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lang w:val="es-ES" w:eastAsia="es-ES"/>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185188" w:rsidRPr="00D23B83" w:rsidRDefault="00002A97" w:rsidP="00185188">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szCs w:val="24"/>
                <w:lang w:val="es-ES" w:eastAsia="es-ES"/>
              </w:rPr>
            </w:pPr>
            <w:r w:rsidRPr="00D23B83">
              <w:rPr>
                <w:rFonts w:eastAsia="Times New Roman" w:cs="Arial"/>
                <w:szCs w:val="24"/>
                <w:lang w:val="es-ES" w:eastAsia="es-ES"/>
              </w:rPr>
              <w:t>UNEP/CMS/COP13/Doc.</w:t>
            </w:r>
            <w:r w:rsidR="00185188" w:rsidRPr="00D23B83">
              <w:rPr>
                <w:rFonts w:eastAsia="Times New Roman" w:cs="Arial"/>
                <w:szCs w:val="24"/>
                <w:lang w:val="es-ES" w:eastAsia="es-ES"/>
              </w:rPr>
              <w:t>28.2.12</w:t>
            </w:r>
          </w:p>
          <w:p w:rsidR="00002A97" w:rsidRPr="00D23B83" w:rsidRDefault="00185188" w:rsidP="00185188">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D23B83">
              <w:rPr>
                <w:rFonts w:eastAsia="Times New Roman" w:cs="Arial"/>
                <w:szCs w:val="24"/>
                <w:lang w:val="es-ES" w:eastAsia="es-ES"/>
              </w:rPr>
              <w:t>14 de octubre 2</w:t>
            </w:r>
            <w:r w:rsidR="00002A97" w:rsidRPr="00D23B83">
              <w:rPr>
                <w:rFonts w:eastAsia="Times New Roman" w:cs="Arial"/>
                <w:szCs w:val="24"/>
                <w:lang w:val="es-ES" w:eastAsia="es-ES"/>
              </w:rPr>
              <w:t>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185188" w:rsidRPr="00185188">
        <w:rPr>
          <w:rFonts w:eastAsia="Times New Roman" w:cs="Arial"/>
          <w:szCs w:val="24"/>
          <w:lang w:val="es-ES" w:eastAsia="es-ES"/>
        </w:rPr>
        <w:t>28.2</w:t>
      </w:r>
      <w:r w:rsidRPr="00002A97">
        <w:rPr>
          <w:rFonts w:eastAsia="Times New Roman" w:cs="Arial"/>
          <w:szCs w:val="24"/>
          <w:lang w:val="es-ES" w:eastAsia="es-ES"/>
        </w:rPr>
        <w:t xml:space="preserve"> del orden del día</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C9B" w:rsidRPr="00185188" w:rsidRDefault="00AC0C9B" w:rsidP="00AC0C9B">
      <w:pPr>
        <w:widowControl w:val="0"/>
        <w:autoSpaceDE w:val="0"/>
        <w:spacing w:after="0"/>
        <w:rPr>
          <w:rFonts w:eastAsia="Times New Roman" w:cs="Arial"/>
          <w:lang w:val="es-ES"/>
        </w:rPr>
      </w:pPr>
    </w:p>
    <w:p w:rsidR="00AC0C9B" w:rsidRPr="00185188" w:rsidRDefault="00AC0C9B" w:rsidP="00AC0C9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3B17F9">
        <w:rPr>
          <w:rFonts w:eastAsia="Times New Roman" w:cs="Arial"/>
          <w:b/>
          <w:bCs/>
          <w:lang w:val="es-ES"/>
        </w:rPr>
        <w:t>PROPUESTA DE ACCIÓN CONCERTADA PARA</w:t>
      </w:r>
    </w:p>
    <w:p w:rsidR="00AC0C9B" w:rsidRPr="00185188" w:rsidRDefault="00AC0C9B" w:rsidP="00AC0C9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3B17F9">
        <w:rPr>
          <w:rFonts w:eastAsia="Times New Roman" w:cs="Arial"/>
          <w:b/>
          <w:bCs/>
          <w:lang w:val="es-ES"/>
        </w:rPr>
        <w:t>EL ALBATROS DE LAS ANTÍPODAS</w:t>
      </w:r>
      <w:r w:rsidRPr="00185188">
        <w:rPr>
          <w:i/>
          <w:iCs/>
          <w:lang w:val="es-ES"/>
        </w:rPr>
        <w:t xml:space="preserve"> </w:t>
      </w:r>
      <w:r w:rsidRPr="003B17F9">
        <w:rPr>
          <w:rFonts w:eastAsia="Times New Roman" w:cs="Arial"/>
          <w:b/>
          <w:bCs/>
          <w:lang w:val="es-ES"/>
        </w:rPr>
        <w:t>(</w:t>
      </w:r>
      <w:proofErr w:type="spellStart"/>
      <w:r w:rsidRPr="003B17F9">
        <w:rPr>
          <w:rFonts w:eastAsia="Times New Roman" w:cs="Arial"/>
          <w:b/>
          <w:bCs/>
          <w:i/>
          <w:iCs/>
          <w:lang w:val="es-ES"/>
        </w:rPr>
        <w:t>Diomedea</w:t>
      </w:r>
      <w:proofErr w:type="spellEnd"/>
      <w:r w:rsidRPr="003B17F9">
        <w:rPr>
          <w:rFonts w:eastAsia="Times New Roman" w:cs="Arial"/>
          <w:b/>
          <w:bCs/>
          <w:i/>
          <w:iCs/>
          <w:lang w:val="es-ES"/>
        </w:rPr>
        <w:t xml:space="preserve"> </w:t>
      </w:r>
      <w:proofErr w:type="spellStart"/>
      <w:r w:rsidRPr="003B17F9">
        <w:rPr>
          <w:rFonts w:eastAsia="Times New Roman" w:cs="Arial"/>
          <w:b/>
          <w:bCs/>
          <w:i/>
          <w:iCs/>
          <w:lang w:val="es-ES"/>
        </w:rPr>
        <w:t>antipodensis</w:t>
      </w:r>
      <w:proofErr w:type="spellEnd"/>
      <w:r w:rsidRPr="003B17F9">
        <w:rPr>
          <w:rFonts w:eastAsia="Times New Roman" w:cs="Arial"/>
          <w:b/>
          <w:bCs/>
          <w:lang w:val="es-ES"/>
        </w:rPr>
        <w:t xml:space="preserve">) </w:t>
      </w:r>
    </w:p>
    <w:p w:rsidR="00AC0C9B" w:rsidRPr="00185188" w:rsidRDefault="00AC0C9B" w:rsidP="00AC0C9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es-ES"/>
        </w:rPr>
      </w:pPr>
      <w:r w:rsidRPr="003B17F9">
        <w:rPr>
          <w:rFonts w:eastAsia="Times New Roman" w:cs="Arial"/>
          <w:b/>
          <w:bCs/>
          <w:lang w:val="es-ES"/>
        </w:rPr>
        <w:t>PROPUESTO PARA SU INCLUSIÓN EN EL APÉNDICE I DE LA CONVENCIÓN</w:t>
      </w:r>
      <w:r w:rsidRPr="003B17F9">
        <w:rPr>
          <w:rFonts w:eastAsia="Times New Roman" w:cs="Arial"/>
          <w:lang w:val="es-ES"/>
        </w:rPr>
        <w:t>*</w:t>
      </w:r>
    </w:p>
    <w:p w:rsidR="00AC0C9B" w:rsidRPr="00185188" w:rsidRDefault="00AC0C9B" w:rsidP="00AC0C9B">
      <w:pPr>
        <w:widowControl w:val="0"/>
        <w:autoSpaceDE w:val="0"/>
        <w:spacing w:after="0"/>
        <w:jc w:val="center"/>
        <w:rPr>
          <w:rFonts w:eastAsia="Times New Roman" w:cs="Arial"/>
          <w:i/>
          <w:lang w:val="es-ES"/>
        </w:rPr>
      </w:pPr>
    </w:p>
    <w:p w:rsidR="00AC0C9B" w:rsidRPr="00185188" w:rsidRDefault="00AC0C9B" w:rsidP="00AC0C9B">
      <w:pPr>
        <w:widowControl w:val="0"/>
        <w:autoSpaceDE w:val="0"/>
        <w:spacing w:after="0"/>
        <w:jc w:val="both"/>
        <w:rPr>
          <w:rFonts w:eastAsia="Times New Roman" w:cs="Arial"/>
          <w:sz w:val="21"/>
          <w:szCs w:val="21"/>
          <w:lang w:val="es-ES"/>
        </w:rPr>
      </w:pPr>
    </w:p>
    <w:p w:rsidR="00AC0C9B" w:rsidRPr="00185188" w:rsidRDefault="00AC0C9B" w:rsidP="00AC0C9B">
      <w:pPr>
        <w:widowControl w:val="0"/>
        <w:tabs>
          <w:tab w:val="left" w:pos="8295"/>
        </w:tabs>
        <w:autoSpaceDE w:val="0"/>
        <w:spacing w:after="0"/>
        <w:jc w:val="both"/>
        <w:rPr>
          <w:rFonts w:eastAsia="Times New Roman" w:cs="Arial"/>
          <w:sz w:val="21"/>
          <w:szCs w:val="21"/>
          <w:lang w:val="es-ES"/>
        </w:rPr>
      </w:pPr>
    </w:p>
    <w:p w:rsidR="00AC0C9B" w:rsidRPr="00185188" w:rsidRDefault="00AC0C9B" w:rsidP="00AC0C9B">
      <w:pPr>
        <w:widowControl w:val="0"/>
        <w:autoSpaceDE w:val="0"/>
        <w:spacing w:after="0"/>
        <w:rPr>
          <w:lang w:val="es-ES"/>
        </w:rPr>
      </w:pPr>
      <w:r>
        <w:rPr>
          <w:rFonts w:eastAsia="Times New Roman" w:cs="Arial"/>
          <w:noProof/>
          <w:sz w:val="21"/>
          <w:szCs w:val="21"/>
          <w:lang w:val="es-ES" w:eastAsia="es-ES"/>
        </w:rPr>
        <mc:AlternateContent>
          <mc:Choice Requires="wps">
            <w:drawing>
              <wp:anchor distT="0" distB="0" distL="114300" distR="114300" simplePos="0" relativeHeight="251659264" behindDoc="0" locked="0" layoutInCell="1" allowOverlap="1" wp14:anchorId="79E97666" wp14:editId="0C702816">
                <wp:simplePos x="0" y="0"/>
                <wp:positionH relativeFrom="column">
                  <wp:posOffset>789940</wp:posOffset>
                </wp:positionH>
                <wp:positionV relativeFrom="paragraph">
                  <wp:posOffset>158750</wp:posOffset>
                </wp:positionV>
                <wp:extent cx="4295140" cy="1152525"/>
                <wp:effectExtent l="0" t="0" r="10160" b="28575"/>
                <wp:wrapNone/>
                <wp:docPr id="5" name="Text Box 4"/>
                <wp:cNvGraphicFramePr/>
                <a:graphic xmlns:a="http://schemas.openxmlformats.org/drawingml/2006/main">
                  <a:graphicData uri="http://schemas.microsoft.com/office/word/2010/wordprocessingShape">
                    <wps:wsp>
                      <wps:cNvSpPr txBox="1"/>
                      <wps:spPr>
                        <a:xfrm>
                          <a:off x="0" y="0"/>
                          <a:ext cx="4295140" cy="1152525"/>
                        </a:xfrm>
                        <a:prstGeom prst="rect">
                          <a:avLst/>
                        </a:prstGeom>
                        <a:solidFill>
                          <a:srgbClr val="FFFFFF"/>
                        </a:solidFill>
                        <a:ln w="3172">
                          <a:solidFill>
                            <a:srgbClr val="000000"/>
                          </a:solidFill>
                          <a:prstDash val="solid"/>
                        </a:ln>
                      </wps:spPr>
                      <wps:txbx>
                        <w:txbxContent>
                          <w:p w:rsidR="00AC0C9B" w:rsidRPr="00185188" w:rsidRDefault="00AC0C9B" w:rsidP="00AC0C9B">
                            <w:pPr>
                              <w:spacing w:after="0"/>
                              <w:jc w:val="both"/>
                              <w:rPr>
                                <w:rFonts w:cs="Arial"/>
                                <w:lang w:val="es-ES"/>
                              </w:rPr>
                            </w:pPr>
                            <w:r w:rsidRPr="00185188">
                              <w:rPr>
                                <w:rFonts w:cs="Arial"/>
                                <w:lang w:val="es-ES"/>
                              </w:rPr>
                              <w:t>Resumen:</w:t>
                            </w:r>
                          </w:p>
                          <w:p w:rsidR="00AC0C9B" w:rsidRPr="00185188" w:rsidRDefault="00AC0C9B" w:rsidP="00AC0C9B">
                            <w:pPr>
                              <w:widowControl w:val="0"/>
                              <w:autoSpaceDE w:val="0"/>
                              <w:spacing w:after="0"/>
                              <w:jc w:val="both"/>
                              <w:rPr>
                                <w:rFonts w:eastAsia="Times New Roman" w:cs="Arial"/>
                                <w:lang w:val="es-ES"/>
                              </w:rPr>
                            </w:pPr>
                          </w:p>
                          <w:p w:rsidR="00AC0C9B" w:rsidRPr="00185188" w:rsidRDefault="00AC0C9B" w:rsidP="00AC0C9B">
                            <w:pPr>
                              <w:widowControl w:val="0"/>
                              <w:autoSpaceDE w:val="0"/>
                              <w:spacing w:after="0"/>
                              <w:jc w:val="both"/>
                              <w:rPr>
                                <w:rFonts w:eastAsia="Times New Roman" w:cs="Arial"/>
                                <w:lang w:val="es-ES"/>
                              </w:rPr>
                            </w:pPr>
                            <w:r w:rsidRPr="00547ABF">
                              <w:rPr>
                                <w:rFonts w:eastAsia="Times New Roman" w:cs="Arial"/>
                                <w:lang w:val="es-ES"/>
                              </w:rPr>
                              <w:t xml:space="preserve">Los Gobiernos de Nueva Zelanda, Australia y Chile han presentado la propuesta adjunta para una acción concertada para el albatros de las Antípodas </w:t>
                            </w:r>
                            <w:r w:rsidRPr="00547ABF">
                              <w:rPr>
                                <w:rFonts w:eastAsia="Times New Roman" w:cs="Arial"/>
                                <w:i/>
                                <w:lang w:val="es-ES"/>
                              </w:rPr>
                              <w:t>(</w:t>
                            </w:r>
                            <w:proofErr w:type="spellStart"/>
                            <w:r w:rsidRPr="00547ABF">
                              <w:rPr>
                                <w:rFonts w:eastAsia="Times New Roman" w:cs="Arial"/>
                                <w:i/>
                                <w:lang w:val="es-ES"/>
                              </w:rPr>
                              <w:t>Diomedea</w:t>
                            </w:r>
                            <w:proofErr w:type="spellEnd"/>
                            <w:r w:rsidRPr="00547ABF">
                              <w:rPr>
                                <w:rFonts w:eastAsia="Times New Roman" w:cs="Arial"/>
                                <w:i/>
                                <w:lang w:val="es-ES"/>
                              </w:rPr>
                              <w:t xml:space="preserve"> </w:t>
                            </w:r>
                            <w:proofErr w:type="spellStart"/>
                            <w:r w:rsidRPr="00547ABF">
                              <w:rPr>
                                <w:rFonts w:eastAsia="Times New Roman" w:cs="Arial"/>
                                <w:i/>
                                <w:lang w:val="es-ES"/>
                              </w:rPr>
                              <w:t>antipodensis</w:t>
                            </w:r>
                            <w:proofErr w:type="spellEnd"/>
                            <w:r w:rsidRPr="00547ABF">
                              <w:rPr>
                                <w:rFonts w:eastAsia="Times New Roman" w:cs="Arial"/>
                                <w:i/>
                                <w:iCs/>
                                <w:lang w:val="es-ES"/>
                              </w:rPr>
                              <w:t>)</w:t>
                            </w:r>
                            <w:r w:rsidRPr="00547ABF">
                              <w:rPr>
                                <w:rFonts w:eastAsia="Times New Roman" w:cs="Arial"/>
                                <w:lang w:val="es-ES"/>
                              </w:rPr>
                              <w:t xml:space="preserve"> de conformidad con el proceso descrito en la Resolución 12.28. </w:t>
                            </w:r>
                          </w:p>
                          <w:p w:rsidR="00AC0C9B" w:rsidRPr="00185188" w:rsidRDefault="00AC0C9B" w:rsidP="00AC0C9B">
                            <w:pPr>
                              <w:spacing w:after="0"/>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9E97666" id="_x0000_t202" coordsize="21600,21600" o:spt="202" path="m,l,21600r21600,l21600,xe">
                <v:stroke joinstyle="miter"/>
                <v:path gradientshapeok="t" o:connecttype="rect"/>
              </v:shapetype>
              <v:shape id="Text Box 4" o:spid="_x0000_s1026" type="#_x0000_t202" style="position:absolute;margin-left:62.2pt;margin-top:12.5pt;width:338.2pt;height:9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I2j9gEAAPkDAAAOAAAAZHJzL2Uyb0RvYy54bWysU9uO0zAQfUfiHyy/01xoWTaqu4KtipBW&#10;gNTlAxzHbiz5hu02KV/P2Ml2u8ATIpEczyXHc86M13ejVujEfZDWEFwtSoy4YbaT5kDw98fdm/cY&#10;hUhNR5U1nOAzD/hu8/rVenANr21vVcc9AhATmsER3MfomqIIrOeahoV13EBQWK9pBNMfis7TAdC1&#10;KuqyfFcM1nfOW8ZDAO92CuJNxheCs/hViMAjUgRDbTGvPq9tWovNmjYHT10v2VwG/YcqNJUGDr1A&#10;bWmk6OjlH1BaMm+DFXHBrC6sEJLxzAHYVOVvbPY9dTxzAXGCu8gU/h8s+3L65pHsCF5hZKiGFj3y&#10;MaKPdkTLpM7gQgNJewdpcQQ3dPnJH8CZSI/C6/QFOgjioPP5om0CY+Bc1reragkhBrGqWtXwJpzi&#10;+XfnQ/zErUZpQ7CH5mVN6ekhxCn1KSWdFqyS3U4qlQ1/aO+VRycKjd7lZ0Z/kaYMGgh+W93UGflF&#10;LFxDlPn5G0QqYUtDPx2VEeY0ZYBO0mvSJe3i2I6ziK3tzqAh3BXg1lv/E6MB5o7g8ONIPcdIfTbQ&#10;2NtqmVSK2Viubmow/HWkvY5QwwCK4IjRtL2P03DDdDkaH8zesdSKJJGxH47RCpmlTMVNFc01w3zl&#10;Zsx3IQ3wtZ2znm/s5hcAAAD//wMAUEsDBBQABgAIAAAAIQBm2+Ib3gAAAAoBAAAPAAAAZHJzL2Rv&#10;d25yZXYueG1sTI/BTsMwEETvSPyDtUjcqN2oKVWIUyEQUg5c0nLg6MbbJCVeR7HbhH49ywmOM/s0&#10;O5NvZ9eLC46h86RhuVAgkGpvO2o0fOzfHjYgQjRkTe8JNXxjgG1xe5ObzPqJKrzsYiM4hEJmNLQx&#10;DpmUoW7RmbDwAxLfjn50JrIcG2lHM3G462Wi1Fo60xF/aM2ALy3WX7uz03C6Rkqoek+Hafx8LNPq&#10;tVyWV63v7+bnJxAR5/gHw299rg4Fdzr4M9kgetbJasWohiTlTQxslOItBzbUOgVZ5PL/hOIHAAD/&#10;/wMAUEsBAi0AFAAGAAgAAAAhALaDOJL+AAAA4QEAABMAAAAAAAAAAAAAAAAAAAAAAFtDb250ZW50&#10;X1R5cGVzXS54bWxQSwECLQAUAAYACAAAACEAOP0h/9YAAACUAQAACwAAAAAAAAAAAAAAAAAvAQAA&#10;X3JlbHMvLnJlbHNQSwECLQAUAAYACAAAACEAkGSNo/YBAAD5AwAADgAAAAAAAAAAAAAAAAAuAgAA&#10;ZHJzL2Uyb0RvYy54bWxQSwECLQAUAAYACAAAACEAZtviG94AAAAKAQAADwAAAAAAAAAAAAAAAABQ&#10;BAAAZHJzL2Rvd25yZXYueG1sUEsFBgAAAAAEAAQA8wAAAFsFAAAAAA==&#10;" strokeweight=".08811mm">
                <v:textbox>
                  <w:txbxContent>
                    <w:p w:rsidR="00AC0C9B" w:rsidRPr="00185188" w:rsidRDefault="00AC0C9B" w:rsidP="00AC0C9B">
                      <w:pPr>
                        <w:spacing w:after="0"/>
                        <w:jc w:val="both"/>
                        <w:rPr>
                          <w:rFonts w:cs="Arial"/>
                          <w:lang w:val="es-ES"/>
                        </w:rPr>
                      </w:pPr>
                      <w:r w:rsidRPr="00185188">
                        <w:rPr>
                          <w:rFonts w:cs="Arial"/>
                          <w:lang w:val="es-ES"/>
                        </w:rPr>
                        <w:t>Resumen:</w:t>
                      </w:r>
                    </w:p>
                    <w:p w:rsidR="00AC0C9B" w:rsidRPr="00185188" w:rsidRDefault="00AC0C9B" w:rsidP="00AC0C9B">
                      <w:pPr>
                        <w:widowControl w:val="0"/>
                        <w:autoSpaceDE w:val="0"/>
                        <w:spacing w:after="0"/>
                        <w:jc w:val="both"/>
                        <w:rPr>
                          <w:rFonts w:eastAsia="Times New Roman" w:cs="Arial"/>
                          <w:lang w:val="es-ES"/>
                        </w:rPr>
                      </w:pPr>
                    </w:p>
                    <w:p w:rsidR="00AC0C9B" w:rsidRPr="00185188" w:rsidRDefault="00AC0C9B" w:rsidP="00AC0C9B">
                      <w:pPr>
                        <w:widowControl w:val="0"/>
                        <w:autoSpaceDE w:val="0"/>
                        <w:spacing w:after="0"/>
                        <w:jc w:val="both"/>
                        <w:rPr>
                          <w:rFonts w:eastAsia="Times New Roman" w:cs="Arial"/>
                          <w:lang w:val="es-ES"/>
                        </w:rPr>
                      </w:pPr>
                      <w:r w:rsidRPr="00547ABF">
                        <w:rPr>
                          <w:rFonts w:eastAsia="Times New Roman" w:cs="Arial"/>
                          <w:lang w:val="es-ES"/>
                        </w:rPr>
                        <w:t xml:space="preserve">Los Gobiernos de Nueva Zelanda, Australia y Chile han presentado la propuesta adjunta para una acción concertada para el albatros de las Antípodas </w:t>
                      </w:r>
                      <w:r w:rsidRPr="00547ABF">
                        <w:rPr>
                          <w:rFonts w:eastAsia="Times New Roman" w:cs="Arial"/>
                          <w:i/>
                          <w:lang w:val="es-ES"/>
                        </w:rPr>
                        <w:t>(</w:t>
                      </w:r>
                      <w:proofErr w:type="spellStart"/>
                      <w:r w:rsidRPr="00547ABF">
                        <w:rPr>
                          <w:rFonts w:eastAsia="Times New Roman" w:cs="Arial"/>
                          <w:i/>
                          <w:lang w:val="es-ES"/>
                        </w:rPr>
                        <w:t>Diomedea</w:t>
                      </w:r>
                      <w:proofErr w:type="spellEnd"/>
                      <w:r w:rsidRPr="00547ABF">
                        <w:rPr>
                          <w:rFonts w:eastAsia="Times New Roman" w:cs="Arial"/>
                          <w:i/>
                          <w:lang w:val="es-ES"/>
                        </w:rPr>
                        <w:t xml:space="preserve"> </w:t>
                      </w:r>
                      <w:proofErr w:type="spellStart"/>
                      <w:r w:rsidRPr="00547ABF">
                        <w:rPr>
                          <w:rFonts w:eastAsia="Times New Roman" w:cs="Arial"/>
                          <w:i/>
                          <w:lang w:val="es-ES"/>
                        </w:rPr>
                        <w:t>antipodensis</w:t>
                      </w:r>
                      <w:proofErr w:type="spellEnd"/>
                      <w:r w:rsidRPr="00547ABF">
                        <w:rPr>
                          <w:rFonts w:eastAsia="Times New Roman" w:cs="Arial"/>
                          <w:i/>
                          <w:iCs/>
                          <w:lang w:val="es-ES"/>
                        </w:rPr>
                        <w:t>)</w:t>
                      </w:r>
                      <w:r w:rsidRPr="00547ABF">
                        <w:rPr>
                          <w:rFonts w:eastAsia="Times New Roman" w:cs="Arial"/>
                          <w:lang w:val="es-ES"/>
                        </w:rPr>
                        <w:t xml:space="preserve"> de conformidad con el proceso descrito en la Resolución 12.28. </w:t>
                      </w:r>
                    </w:p>
                    <w:p w:rsidR="00AC0C9B" w:rsidRPr="00185188" w:rsidRDefault="00AC0C9B" w:rsidP="00AC0C9B">
                      <w:pPr>
                        <w:spacing w:after="0"/>
                        <w:rPr>
                          <w:rFonts w:cs="Arial"/>
                          <w:lang w:val="es-ES"/>
                        </w:rPr>
                      </w:pPr>
                    </w:p>
                  </w:txbxContent>
                </v:textbox>
              </v:shape>
            </w:pict>
          </mc:Fallback>
        </mc:AlternateContent>
      </w:r>
    </w:p>
    <w:p w:rsidR="00AC0C9B" w:rsidRPr="00185188" w:rsidRDefault="00AC0C9B" w:rsidP="00AC0C9B">
      <w:pPr>
        <w:widowControl w:val="0"/>
        <w:autoSpaceDE w:val="0"/>
        <w:spacing w:after="0"/>
        <w:rPr>
          <w:rFonts w:eastAsia="Times New Roman" w:cs="Arial"/>
          <w:sz w:val="21"/>
          <w:szCs w:val="21"/>
          <w:lang w:val="es-ES"/>
        </w:rPr>
      </w:pPr>
    </w:p>
    <w:p w:rsidR="00AC0C9B" w:rsidRPr="00185188" w:rsidRDefault="00AC0C9B" w:rsidP="00AC0C9B">
      <w:pPr>
        <w:widowControl w:val="0"/>
        <w:autoSpaceDE w:val="0"/>
        <w:spacing w:after="0"/>
        <w:rPr>
          <w:rFonts w:eastAsia="Times New Roman" w:cs="Arial"/>
          <w:sz w:val="21"/>
          <w:szCs w:val="21"/>
          <w:lang w:val="es-ES"/>
        </w:rPr>
      </w:pPr>
    </w:p>
    <w:p w:rsidR="00AC0C9B" w:rsidRPr="00185188" w:rsidRDefault="00AC0C9B" w:rsidP="00AC0C9B">
      <w:pPr>
        <w:widowControl w:val="0"/>
        <w:autoSpaceDE w:val="0"/>
        <w:spacing w:after="0"/>
        <w:rPr>
          <w:rFonts w:eastAsia="Times New Roman" w:cs="Arial"/>
          <w:sz w:val="21"/>
          <w:szCs w:val="21"/>
          <w:lang w:val="es-ES"/>
        </w:rPr>
      </w:pPr>
    </w:p>
    <w:p w:rsidR="00AC0C9B" w:rsidRPr="00185188" w:rsidRDefault="00AC0C9B" w:rsidP="00AC0C9B">
      <w:pPr>
        <w:widowControl w:val="0"/>
        <w:autoSpaceDE w:val="0"/>
        <w:spacing w:after="0"/>
        <w:rPr>
          <w:rFonts w:eastAsia="Times New Roman" w:cs="Arial"/>
          <w:sz w:val="21"/>
          <w:szCs w:val="21"/>
          <w:lang w:val="es-ES"/>
        </w:rPr>
      </w:pPr>
    </w:p>
    <w:p w:rsidR="00AC0C9B" w:rsidRPr="00185188" w:rsidRDefault="00AC0C9B" w:rsidP="00AC0C9B">
      <w:pPr>
        <w:widowControl w:val="0"/>
        <w:autoSpaceDE w:val="0"/>
        <w:spacing w:after="0"/>
        <w:rPr>
          <w:rFonts w:eastAsia="Times New Roman" w:cs="Arial"/>
          <w:sz w:val="21"/>
          <w:szCs w:val="21"/>
          <w:lang w:val="es-ES"/>
        </w:rPr>
      </w:pPr>
    </w:p>
    <w:p w:rsidR="00AC0C9B" w:rsidRPr="00185188" w:rsidRDefault="00AC0C9B" w:rsidP="00AC0C9B">
      <w:pPr>
        <w:widowControl w:val="0"/>
        <w:autoSpaceDE w:val="0"/>
        <w:spacing w:after="0"/>
        <w:rPr>
          <w:rFonts w:eastAsia="Times New Roman" w:cs="Arial"/>
          <w:sz w:val="21"/>
          <w:szCs w:val="21"/>
          <w:lang w:val="es-ES"/>
        </w:rPr>
      </w:pPr>
    </w:p>
    <w:p w:rsidR="00AC0C9B" w:rsidRPr="00185188" w:rsidRDefault="00AC0C9B" w:rsidP="00AC0C9B">
      <w:pPr>
        <w:widowControl w:val="0"/>
        <w:autoSpaceDE w:val="0"/>
        <w:spacing w:after="0"/>
        <w:rPr>
          <w:rFonts w:eastAsia="Times New Roman" w:cs="Arial"/>
          <w:sz w:val="21"/>
          <w:szCs w:val="21"/>
          <w:lang w:val="es-ES"/>
        </w:rPr>
      </w:pPr>
    </w:p>
    <w:p w:rsidR="00AC0C9B" w:rsidRPr="00185188" w:rsidRDefault="00AC0C9B" w:rsidP="00AC0C9B">
      <w:pPr>
        <w:widowControl w:val="0"/>
        <w:autoSpaceDE w:val="0"/>
        <w:spacing w:after="0"/>
        <w:rPr>
          <w:rFonts w:eastAsia="Times New Roman" w:cs="Arial"/>
          <w:sz w:val="21"/>
          <w:szCs w:val="21"/>
          <w:lang w:val="es-ES"/>
        </w:rPr>
      </w:pPr>
    </w:p>
    <w:p w:rsidR="00AC0C9B" w:rsidRPr="00185188" w:rsidRDefault="00AC0C9B" w:rsidP="00AC0C9B">
      <w:pPr>
        <w:widowControl w:val="0"/>
        <w:autoSpaceDE w:val="0"/>
        <w:spacing w:after="0"/>
        <w:rPr>
          <w:rFonts w:eastAsia="Times New Roman" w:cs="Arial"/>
          <w:sz w:val="21"/>
          <w:szCs w:val="21"/>
          <w:lang w:val="es-ES"/>
        </w:rPr>
      </w:pPr>
    </w:p>
    <w:p w:rsidR="00AC0C9B" w:rsidRPr="00185188" w:rsidRDefault="00AC0C9B" w:rsidP="00AC0C9B">
      <w:pPr>
        <w:widowControl w:val="0"/>
        <w:autoSpaceDE w:val="0"/>
        <w:spacing w:after="0"/>
        <w:rPr>
          <w:rFonts w:eastAsia="Times New Roman" w:cs="Arial"/>
          <w:sz w:val="21"/>
          <w:szCs w:val="21"/>
          <w:lang w:val="es-ES"/>
        </w:rPr>
      </w:pPr>
    </w:p>
    <w:p w:rsidR="00AC0C9B" w:rsidRPr="00185188" w:rsidRDefault="00AC0C9B" w:rsidP="00AC0C9B">
      <w:pPr>
        <w:widowControl w:val="0"/>
        <w:autoSpaceDE w:val="0"/>
        <w:spacing w:after="0"/>
        <w:rPr>
          <w:rFonts w:eastAsia="Times New Roman" w:cs="Arial"/>
          <w:sz w:val="21"/>
          <w:szCs w:val="21"/>
          <w:lang w:val="es-ES"/>
        </w:rPr>
      </w:pPr>
    </w:p>
    <w:p w:rsidR="00AC0C9B" w:rsidRPr="00185188" w:rsidRDefault="00AC0C9B" w:rsidP="00AC0C9B">
      <w:pPr>
        <w:widowControl w:val="0"/>
        <w:autoSpaceDE w:val="0"/>
        <w:spacing w:after="0"/>
        <w:rPr>
          <w:rFonts w:eastAsia="Times New Roman" w:cs="Arial"/>
          <w:sz w:val="21"/>
          <w:szCs w:val="21"/>
          <w:lang w:val="es-ES"/>
        </w:rPr>
      </w:pPr>
    </w:p>
    <w:p w:rsidR="00AC0C9B" w:rsidRPr="00185188" w:rsidRDefault="00AC0C9B" w:rsidP="00AC0C9B">
      <w:pPr>
        <w:widowControl w:val="0"/>
        <w:autoSpaceDE w:val="0"/>
        <w:spacing w:after="0"/>
        <w:rPr>
          <w:rFonts w:eastAsia="Times New Roman" w:cs="Arial"/>
          <w:sz w:val="21"/>
          <w:szCs w:val="21"/>
          <w:lang w:val="es-ES"/>
        </w:rPr>
      </w:pPr>
    </w:p>
    <w:p w:rsidR="00AC0C9B" w:rsidRPr="00185188" w:rsidRDefault="00AC0C9B" w:rsidP="00AC0C9B">
      <w:pPr>
        <w:widowControl w:val="0"/>
        <w:autoSpaceDE w:val="0"/>
        <w:spacing w:after="0"/>
        <w:rPr>
          <w:rFonts w:eastAsia="Times New Roman" w:cs="Arial"/>
          <w:sz w:val="21"/>
          <w:szCs w:val="21"/>
          <w:lang w:val="es-ES"/>
        </w:rPr>
      </w:pPr>
    </w:p>
    <w:p w:rsidR="00AC0C9B" w:rsidRPr="00185188" w:rsidRDefault="00AC0C9B" w:rsidP="00AC0C9B">
      <w:pPr>
        <w:widowControl w:val="0"/>
        <w:autoSpaceDE w:val="0"/>
        <w:spacing w:after="0"/>
        <w:rPr>
          <w:rFonts w:eastAsia="Times New Roman" w:cs="Arial"/>
          <w:lang w:val="es-ES"/>
        </w:rPr>
      </w:pPr>
    </w:p>
    <w:p w:rsidR="00AC0C9B" w:rsidRPr="00185188" w:rsidRDefault="00AC0C9B" w:rsidP="00AC0C9B">
      <w:pPr>
        <w:widowControl w:val="0"/>
        <w:autoSpaceDE w:val="0"/>
        <w:spacing w:after="0"/>
        <w:rPr>
          <w:rFonts w:eastAsia="Times New Roman" w:cs="Arial"/>
          <w:lang w:val="es-ES"/>
        </w:rPr>
      </w:pPr>
    </w:p>
    <w:p w:rsidR="00AC0C9B" w:rsidRPr="00185188" w:rsidRDefault="00AC0C9B" w:rsidP="00AC0C9B">
      <w:pPr>
        <w:widowControl w:val="0"/>
        <w:autoSpaceDE w:val="0"/>
        <w:spacing w:after="0"/>
        <w:rPr>
          <w:rFonts w:eastAsia="Times New Roman" w:cs="Arial"/>
          <w:lang w:val="es-ES"/>
        </w:rPr>
      </w:pPr>
    </w:p>
    <w:p w:rsidR="00AC0C9B" w:rsidRPr="00185188" w:rsidRDefault="00AC0C9B" w:rsidP="00AC0C9B">
      <w:pPr>
        <w:widowControl w:val="0"/>
        <w:autoSpaceDE w:val="0"/>
        <w:spacing w:after="0"/>
        <w:rPr>
          <w:rFonts w:eastAsia="Times New Roman" w:cs="Arial"/>
          <w:lang w:val="es-ES"/>
        </w:rPr>
      </w:pPr>
    </w:p>
    <w:p w:rsidR="00AC0C9B" w:rsidRPr="00185188" w:rsidRDefault="00AC0C9B" w:rsidP="00AC0C9B">
      <w:pPr>
        <w:widowControl w:val="0"/>
        <w:autoSpaceDE w:val="0"/>
        <w:spacing w:after="0"/>
        <w:rPr>
          <w:rFonts w:eastAsia="Times New Roman" w:cs="Arial"/>
          <w:lang w:val="es-ES"/>
        </w:rPr>
      </w:pPr>
    </w:p>
    <w:p w:rsidR="00AC0C9B" w:rsidRPr="00185188" w:rsidRDefault="00AC0C9B" w:rsidP="00AC0C9B">
      <w:pPr>
        <w:widowControl w:val="0"/>
        <w:autoSpaceDE w:val="0"/>
        <w:spacing w:after="0"/>
        <w:rPr>
          <w:rFonts w:eastAsia="Times New Roman" w:cs="Arial"/>
          <w:lang w:val="es-ES"/>
        </w:rPr>
      </w:pPr>
    </w:p>
    <w:p w:rsidR="00AC0C9B" w:rsidRPr="00185188" w:rsidRDefault="00AC0C9B" w:rsidP="00AC0C9B">
      <w:pPr>
        <w:widowControl w:val="0"/>
        <w:autoSpaceDE w:val="0"/>
        <w:spacing w:after="0"/>
        <w:rPr>
          <w:rFonts w:eastAsia="Times New Roman" w:cs="Arial"/>
          <w:lang w:val="es-ES"/>
        </w:rPr>
      </w:pPr>
    </w:p>
    <w:p w:rsidR="00AC0C9B" w:rsidRPr="00185188" w:rsidRDefault="00AC0C9B" w:rsidP="00AC0C9B">
      <w:pPr>
        <w:widowControl w:val="0"/>
        <w:autoSpaceDE w:val="0"/>
        <w:spacing w:after="0"/>
        <w:rPr>
          <w:rFonts w:eastAsia="Times New Roman" w:cs="Arial"/>
          <w:lang w:val="es-ES"/>
        </w:rPr>
      </w:pPr>
    </w:p>
    <w:p w:rsidR="00AC0C9B" w:rsidRPr="00185188" w:rsidRDefault="00AC0C9B" w:rsidP="00AC0C9B">
      <w:pPr>
        <w:widowControl w:val="0"/>
        <w:autoSpaceDE w:val="0"/>
        <w:spacing w:after="0"/>
        <w:rPr>
          <w:rFonts w:eastAsia="Times New Roman" w:cs="Arial"/>
          <w:lang w:val="es-ES"/>
        </w:rPr>
      </w:pPr>
    </w:p>
    <w:p w:rsidR="00AC0C9B" w:rsidRPr="00185188" w:rsidRDefault="00AC0C9B" w:rsidP="00AC0C9B">
      <w:pPr>
        <w:widowControl w:val="0"/>
        <w:autoSpaceDE w:val="0"/>
        <w:spacing w:after="0"/>
        <w:rPr>
          <w:rFonts w:eastAsia="Times New Roman" w:cs="Arial"/>
          <w:lang w:val="es-ES"/>
        </w:rPr>
      </w:pPr>
    </w:p>
    <w:p w:rsidR="00AC0C9B" w:rsidRPr="00185188" w:rsidRDefault="00AC0C9B" w:rsidP="00AC0C9B">
      <w:pPr>
        <w:widowControl w:val="0"/>
        <w:autoSpaceDE w:val="0"/>
        <w:spacing w:after="0"/>
        <w:rPr>
          <w:rFonts w:eastAsia="Times New Roman" w:cs="Arial"/>
          <w:lang w:val="es-ES"/>
        </w:rPr>
      </w:pPr>
    </w:p>
    <w:p w:rsidR="00AC0C9B" w:rsidRPr="00185188" w:rsidRDefault="00AC0C9B" w:rsidP="00AC0C9B">
      <w:pPr>
        <w:widowControl w:val="0"/>
        <w:autoSpaceDE w:val="0"/>
        <w:spacing w:after="0"/>
        <w:rPr>
          <w:rFonts w:eastAsia="Times New Roman" w:cs="Arial"/>
          <w:lang w:val="es-ES"/>
        </w:rPr>
      </w:pPr>
    </w:p>
    <w:p w:rsidR="00AC0C9B" w:rsidRPr="00185188" w:rsidRDefault="00AC0C9B" w:rsidP="00AC0C9B">
      <w:pPr>
        <w:widowControl w:val="0"/>
        <w:autoSpaceDE w:val="0"/>
        <w:spacing w:after="0"/>
        <w:rPr>
          <w:rFonts w:eastAsia="Times New Roman" w:cs="Arial"/>
          <w:lang w:val="es-ES"/>
        </w:rPr>
      </w:pPr>
    </w:p>
    <w:p w:rsidR="00AC0C9B" w:rsidRPr="00185188" w:rsidRDefault="00AC0C9B" w:rsidP="00AC0C9B">
      <w:pPr>
        <w:widowControl w:val="0"/>
        <w:autoSpaceDE w:val="0"/>
        <w:spacing w:after="0"/>
        <w:rPr>
          <w:rFonts w:eastAsia="Times New Roman" w:cs="Arial"/>
          <w:lang w:val="es-ES"/>
        </w:rPr>
      </w:pPr>
    </w:p>
    <w:p w:rsidR="00185188" w:rsidRDefault="00185188" w:rsidP="00185188">
      <w:pPr>
        <w:widowControl w:val="0"/>
        <w:autoSpaceDE w:val="0"/>
        <w:spacing w:after="0" w:line="240" w:lineRule="auto"/>
        <w:rPr>
          <w:rFonts w:eastAsia="Times New Roman"/>
          <w:lang w:val="es-ES" w:eastAsia="es-ES"/>
        </w:rPr>
      </w:pPr>
    </w:p>
    <w:p w:rsidR="00185188" w:rsidRDefault="00185188" w:rsidP="00185188">
      <w:pPr>
        <w:widowControl w:val="0"/>
        <w:autoSpaceDE w:val="0"/>
        <w:spacing w:after="0" w:line="240" w:lineRule="auto"/>
        <w:rPr>
          <w:rFonts w:eastAsia="Times New Roman"/>
          <w:lang w:val="es-ES" w:eastAsia="es-ES"/>
        </w:rPr>
      </w:pPr>
    </w:p>
    <w:p w:rsidR="00185188" w:rsidRDefault="00185188" w:rsidP="00185188">
      <w:pPr>
        <w:widowControl w:val="0"/>
        <w:autoSpaceDE w:val="0"/>
        <w:spacing w:after="0" w:line="240" w:lineRule="auto"/>
        <w:rPr>
          <w:rFonts w:eastAsia="Times New Roman"/>
          <w:lang w:val="es-ES" w:eastAsia="es-ES"/>
        </w:rPr>
      </w:pPr>
    </w:p>
    <w:p w:rsidR="00185188" w:rsidRDefault="00185188" w:rsidP="00185188">
      <w:pPr>
        <w:widowControl w:val="0"/>
        <w:autoSpaceDE w:val="0"/>
        <w:spacing w:after="0" w:line="240" w:lineRule="auto"/>
        <w:rPr>
          <w:rFonts w:eastAsia="Times New Roman"/>
          <w:lang w:val="es-ES" w:eastAsia="es-ES"/>
        </w:rPr>
      </w:pPr>
    </w:p>
    <w:p w:rsidR="00185188" w:rsidRDefault="00185188" w:rsidP="00185188">
      <w:pPr>
        <w:widowControl w:val="0"/>
        <w:autoSpaceDE w:val="0"/>
        <w:spacing w:after="0" w:line="240" w:lineRule="auto"/>
        <w:rPr>
          <w:rFonts w:eastAsia="Times New Roman"/>
          <w:lang w:val="es-ES" w:eastAsia="es-ES"/>
        </w:rPr>
      </w:pPr>
    </w:p>
    <w:p w:rsidR="00AC0C9B" w:rsidRPr="00185188" w:rsidRDefault="00185188" w:rsidP="00185188">
      <w:pPr>
        <w:widowControl w:val="0"/>
        <w:autoSpaceDE w:val="0"/>
        <w:spacing w:after="0"/>
        <w:rPr>
          <w:rFonts w:eastAsia="Times New Roman" w:cs="Arial"/>
          <w:lang w:val="es-ES"/>
        </w:rPr>
      </w:pPr>
      <w:r>
        <w:rPr>
          <w:rFonts w:eastAsia="Times New Roman"/>
          <w:sz w:val="18"/>
          <w:szCs w:val="18"/>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w:t>
      </w:r>
      <w:r w:rsidR="00D23B83">
        <w:rPr>
          <w:rFonts w:eastAsia="Times New Roman"/>
          <w:sz w:val="18"/>
          <w:szCs w:val="18"/>
          <w:lang w:val="es-ES"/>
        </w:rPr>
        <w:t>r</w:t>
      </w:r>
      <w:bookmarkStart w:id="0" w:name="_GoBack"/>
      <w:bookmarkEnd w:id="0"/>
    </w:p>
    <w:p w:rsidR="00AC0C9B" w:rsidRPr="00185188" w:rsidRDefault="00AC0C9B" w:rsidP="00AC0C9B">
      <w:pPr>
        <w:spacing w:after="0"/>
        <w:jc w:val="center"/>
        <w:rPr>
          <w:rFonts w:cs="Arial"/>
          <w:b/>
          <w:bCs/>
          <w:i/>
          <w:iCs/>
          <w:sz w:val="24"/>
          <w:szCs w:val="24"/>
          <w:lang w:val="es-ES"/>
        </w:rPr>
      </w:pPr>
      <w:r w:rsidRPr="00441F6C">
        <w:rPr>
          <w:rFonts w:cs="Arial"/>
          <w:b/>
          <w:bCs/>
          <w:sz w:val="24"/>
          <w:szCs w:val="24"/>
          <w:lang w:val="es-ES"/>
        </w:rPr>
        <w:lastRenderedPageBreak/>
        <w:t xml:space="preserve">Acción concertada para el albatros </w:t>
      </w:r>
      <w:r>
        <w:rPr>
          <w:rFonts w:cs="Arial"/>
          <w:b/>
          <w:bCs/>
          <w:sz w:val="24"/>
          <w:szCs w:val="24"/>
          <w:lang w:val="es-ES"/>
        </w:rPr>
        <w:t>de las Antípodas</w:t>
      </w:r>
      <w:r w:rsidRPr="00441F6C">
        <w:rPr>
          <w:rFonts w:ascii="Calibri" w:hAnsi="Calibri"/>
          <w:i/>
          <w:iCs/>
          <w:sz w:val="20"/>
          <w:szCs w:val="20"/>
          <w:lang w:val="es-ES"/>
        </w:rPr>
        <w:t xml:space="preserve"> </w:t>
      </w:r>
      <w:r w:rsidRPr="00441F6C">
        <w:rPr>
          <w:rFonts w:cs="Arial"/>
          <w:b/>
          <w:bCs/>
          <w:i/>
          <w:iCs/>
          <w:sz w:val="24"/>
          <w:szCs w:val="24"/>
          <w:lang w:val="es-ES"/>
        </w:rPr>
        <w:t>(</w:t>
      </w:r>
      <w:proofErr w:type="spellStart"/>
      <w:r w:rsidRPr="00441F6C">
        <w:rPr>
          <w:rFonts w:cs="Arial"/>
          <w:b/>
          <w:bCs/>
          <w:i/>
          <w:iCs/>
          <w:sz w:val="24"/>
          <w:szCs w:val="24"/>
          <w:lang w:val="es-ES"/>
        </w:rPr>
        <w:t>Diomedea</w:t>
      </w:r>
      <w:proofErr w:type="spellEnd"/>
      <w:r w:rsidRPr="00441F6C">
        <w:rPr>
          <w:rFonts w:cs="Arial"/>
          <w:b/>
          <w:bCs/>
          <w:i/>
          <w:iCs/>
          <w:sz w:val="24"/>
          <w:szCs w:val="24"/>
          <w:lang w:val="es-ES"/>
        </w:rPr>
        <w:t xml:space="preserve"> </w:t>
      </w:r>
      <w:proofErr w:type="spellStart"/>
      <w:r w:rsidRPr="00441F6C">
        <w:rPr>
          <w:rFonts w:cs="Arial"/>
          <w:b/>
          <w:bCs/>
          <w:i/>
          <w:iCs/>
          <w:sz w:val="24"/>
          <w:szCs w:val="24"/>
          <w:lang w:val="es-ES"/>
        </w:rPr>
        <w:t>antipodensis</w:t>
      </w:r>
      <w:proofErr w:type="spellEnd"/>
      <w:r w:rsidRPr="00441F6C">
        <w:rPr>
          <w:rFonts w:cs="Arial"/>
          <w:b/>
          <w:bCs/>
          <w:i/>
          <w:iCs/>
          <w:sz w:val="24"/>
          <w:szCs w:val="24"/>
          <w:lang w:val="es-ES"/>
        </w:rPr>
        <w:t>)</w:t>
      </w:r>
    </w:p>
    <w:p w:rsidR="00AC0C9B" w:rsidRPr="00185188" w:rsidRDefault="00AC0C9B" w:rsidP="00AC0C9B">
      <w:pPr>
        <w:spacing w:after="0"/>
        <w:jc w:val="center"/>
        <w:rPr>
          <w:rFonts w:cs="Arial"/>
          <w:b/>
          <w:bCs/>
          <w:sz w:val="24"/>
          <w:szCs w:val="24"/>
          <w:lang w:val="es-ES"/>
        </w:rPr>
      </w:pPr>
    </w:p>
    <w:p w:rsidR="00AC0C9B" w:rsidRPr="00185188" w:rsidRDefault="00AC0C9B" w:rsidP="00AC0C9B">
      <w:pPr>
        <w:spacing w:after="0"/>
        <w:jc w:val="center"/>
        <w:rPr>
          <w:rFonts w:cs="Arial"/>
          <w:b/>
          <w:bCs/>
          <w:sz w:val="24"/>
          <w:szCs w:val="24"/>
          <w:lang w:val="es-ES"/>
        </w:rPr>
      </w:pPr>
    </w:p>
    <w:p w:rsidR="00AC0C9B" w:rsidRPr="00185188" w:rsidRDefault="00AC0C9B" w:rsidP="00AC0C9B">
      <w:pPr>
        <w:numPr>
          <w:ilvl w:val="0"/>
          <w:numId w:val="5"/>
        </w:numPr>
        <w:spacing w:after="0" w:line="240" w:lineRule="auto"/>
        <w:ind w:left="540" w:hanging="540"/>
        <w:jc w:val="both"/>
        <w:rPr>
          <w:rFonts w:cs="Arial"/>
          <w:lang w:val="es-ES"/>
        </w:rPr>
      </w:pPr>
      <w:r w:rsidRPr="00441F6C">
        <w:rPr>
          <w:rFonts w:cs="Arial"/>
          <w:b/>
          <w:lang w:val="es-ES"/>
        </w:rPr>
        <w:t>Proponentes:</w:t>
      </w:r>
      <w:r w:rsidRPr="00441F6C">
        <w:rPr>
          <w:rFonts w:cs="Arial"/>
          <w:lang w:val="es-ES"/>
        </w:rPr>
        <w:t xml:space="preserve"> Gobiernos de Nueva Zelanda, Australia y Chile. </w:t>
      </w:r>
    </w:p>
    <w:p w:rsidR="00AC0C9B" w:rsidRPr="00185188" w:rsidRDefault="00AC0C9B" w:rsidP="00AC0C9B">
      <w:pPr>
        <w:spacing w:after="0"/>
        <w:ind w:left="540" w:hanging="540"/>
        <w:jc w:val="both"/>
        <w:rPr>
          <w:rFonts w:cs="Arial"/>
          <w:lang w:val="es-ES"/>
        </w:rPr>
      </w:pPr>
    </w:p>
    <w:p w:rsidR="00AC0C9B" w:rsidRPr="00185188" w:rsidRDefault="00AC0C9B" w:rsidP="00AC0C9B">
      <w:pPr>
        <w:numPr>
          <w:ilvl w:val="0"/>
          <w:numId w:val="5"/>
        </w:numPr>
        <w:spacing w:after="0" w:line="240" w:lineRule="auto"/>
        <w:ind w:left="540" w:hanging="540"/>
        <w:jc w:val="both"/>
        <w:rPr>
          <w:rFonts w:cs="Arial"/>
          <w:lang w:val="es-ES"/>
        </w:rPr>
      </w:pPr>
      <w:r w:rsidRPr="00441F6C">
        <w:rPr>
          <w:rFonts w:cs="Arial"/>
          <w:b/>
          <w:lang w:val="es-ES"/>
        </w:rPr>
        <w:t>Especies seleccionadas, población o taxón más bajo o grupo de taxones con necesidades comunes:</w:t>
      </w:r>
      <w:r w:rsidRPr="00441F6C">
        <w:rPr>
          <w:rFonts w:cs="Arial"/>
          <w:lang w:val="es-ES"/>
        </w:rPr>
        <w:t xml:space="preserve"> </w:t>
      </w:r>
      <w:proofErr w:type="spellStart"/>
      <w:r w:rsidRPr="00441F6C">
        <w:rPr>
          <w:rFonts w:cs="Arial"/>
          <w:i/>
          <w:iCs/>
          <w:lang w:val="es-ES"/>
        </w:rPr>
        <w:t>Diomedea</w:t>
      </w:r>
      <w:proofErr w:type="spellEnd"/>
      <w:r w:rsidRPr="00441F6C">
        <w:rPr>
          <w:rFonts w:cs="Arial"/>
          <w:i/>
          <w:iCs/>
          <w:lang w:val="es-ES"/>
        </w:rPr>
        <w:t xml:space="preserve"> </w:t>
      </w:r>
      <w:proofErr w:type="spellStart"/>
      <w:r w:rsidRPr="00441F6C">
        <w:rPr>
          <w:rFonts w:cs="Arial"/>
          <w:i/>
          <w:iCs/>
          <w:lang w:val="es-ES"/>
        </w:rPr>
        <w:t>antipodensis</w:t>
      </w:r>
      <w:proofErr w:type="spellEnd"/>
      <w:r w:rsidRPr="00441F6C">
        <w:rPr>
          <w:rFonts w:cs="Arial"/>
          <w:lang w:val="es-ES"/>
        </w:rPr>
        <w:t xml:space="preserve"> (Robertson y </w:t>
      </w:r>
      <w:proofErr w:type="spellStart"/>
      <w:r w:rsidRPr="00441F6C">
        <w:rPr>
          <w:rFonts w:cs="Arial"/>
          <w:lang w:val="es-ES"/>
        </w:rPr>
        <w:t>Warham</w:t>
      </w:r>
      <w:proofErr w:type="spellEnd"/>
      <w:r w:rsidRPr="00441F6C">
        <w:rPr>
          <w:rFonts w:cs="Arial"/>
          <w:lang w:val="es-ES"/>
        </w:rPr>
        <w:t xml:space="preserve">, 1992), que engloba dos subespecies: </w:t>
      </w:r>
      <w:proofErr w:type="spellStart"/>
      <w:r w:rsidRPr="00441F6C">
        <w:rPr>
          <w:rFonts w:cs="Arial"/>
          <w:i/>
          <w:iCs/>
          <w:lang w:val="es-ES"/>
        </w:rPr>
        <w:t>Diomedea</w:t>
      </w:r>
      <w:proofErr w:type="spellEnd"/>
      <w:r w:rsidRPr="00441F6C">
        <w:rPr>
          <w:rFonts w:cs="Arial"/>
          <w:i/>
          <w:iCs/>
          <w:lang w:val="es-ES"/>
        </w:rPr>
        <w:t xml:space="preserve"> </w:t>
      </w:r>
      <w:proofErr w:type="spellStart"/>
      <w:r w:rsidRPr="00441F6C">
        <w:rPr>
          <w:rFonts w:cs="Arial"/>
          <w:i/>
          <w:iCs/>
          <w:lang w:val="es-ES"/>
        </w:rPr>
        <w:t>antipodensis</w:t>
      </w:r>
      <w:proofErr w:type="spellEnd"/>
      <w:r w:rsidRPr="00441F6C">
        <w:rPr>
          <w:rFonts w:cs="Arial"/>
          <w:i/>
          <w:iCs/>
          <w:lang w:val="es-ES"/>
        </w:rPr>
        <w:t xml:space="preserve"> </w:t>
      </w:r>
      <w:proofErr w:type="spellStart"/>
      <w:r w:rsidRPr="00441F6C">
        <w:rPr>
          <w:rFonts w:cs="Arial"/>
          <w:i/>
          <w:iCs/>
          <w:lang w:val="es-ES"/>
        </w:rPr>
        <w:t>antipodensis</w:t>
      </w:r>
      <w:proofErr w:type="spellEnd"/>
      <w:r w:rsidRPr="00441F6C">
        <w:rPr>
          <w:rFonts w:cs="Arial"/>
          <w:i/>
          <w:iCs/>
          <w:lang w:val="es-ES"/>
        </w:rPr>
        <w:t xml:space="preserve"> </w:t>
      </w:r>
      <w:r w:rsidRPr="00441F6C">
        <w:rPr>
          <w:rFonts w:cs="Arial"/>
          <w:lang w:val="es-ES"/>
        </w:rPr>
        <w:t xml:space="preserve">y </w:t>
      </w:r>
      <w:proofErr w:type="spellStart"/>
      <w:r w:rsidRPr="00441F6C">
        <w:rPr>
          <w:rFonts w:cs="Arial"/>
          <w:i/>
          <w:iCs/>
          <w:lang w:val="es-ES"/>
        </w:rPr>
        <w:t>Diomedea</w:t>
      </w:r>
      <w:proofErr w:type="spellEnd"/>
      <w:r w:rsidRPr="00441F6C">
        <w:rPr>
          <w:rFonts w:cs="Arial"/>
          <w:i/>
          <w:iCs/>
          <w:lang w:val="es-ES"/>
        </w:rPr>
        <w:t xml:space="preserve"> </w:t>
      </w:r>
      <w:proofErr w:type="spellStart"/>
      <w:r w:rsidRPr="00441F6C">
        <w:rPr>
          <w:rFonts w:cs="Arial"/>
          <w:i/>
          <w:iCs/>
          <w:lang w:val="es-ES"/>
        </w:rPr>
        <w:t>antipodensis</w:t>
      </w:r>
      <w:proofErr w:type="spellEnd"/>
      <w:r w:rsidRPr="00441F6C">
        <w:rPr>
          <w:rFonts w:cs="Arial"/>
          <w:i/>
          <w:iCs/>
          <w:lang w:val="es-ES"/>
        </w:rPr>
        <w:t xml:space="preserve"> </w:t>
      </w:r>
      <w:proofErr w:type="spellStart"/>
      <w:r w:rsidRPr="00441F6C">
        <w:rPr>
          <w:rFonts w:cs="Arial"/>
          <w:i/>
          <w:iCs/>
          <w:lang w:val="es-ES"/>
        </w:rPr>
        <w:t>gibsoni</w:t>
      </w:r>
      <w:proofErr w:type="spellEnd"/>
      <w:r w:rsidRPr="00441F6C">
        <w:rPr>
          <w:rFonts w:cs="Arial"/>
          <w:lang w:val="es-ES"/>
        </w:rPr>
        <w:t xml:space="preserve">. </w:t>
      </w:r>
    </w:p>
    <w:p w:rsidR="00AC0C9B" w:rsidRPr="00185188" w:rsidRDefault="00AC0C9B" w:rsidP="00AC0C9B">
      <w:pPr>
        <w:spacing w:after="0"/>
        <w:ind w:left="540" w:hanging="540"/>
        <w:jc w:val="both"/>
        <w:rPr>
          <w:rFonts w:cs="Arial"/>
          <w:lang w:val="es-ES"/>
        </w:rPr>
      </w:pPr>
    </w:p>
    <w:p w:rsidR="00AC0C9B" w:rsidRPr="00185188" w:rsidRDefault="00AC0C9B" w:rsidP="00AC0C9B">
      <w:pPr>
        <w:numPr>
          <w:ilvl w:val="0"/>
          <w:numId w:val="5"/>
        </w:numPr>
        <w:spacing w:after="0" w:line="240" w:lineRule="auto"/>
        <w:ind w:left="540" w:hanging="540"/>
        <w:jc w:val="both"/>
        <w:rPr>
          <w:rFonts w:cs="Arial"/>
          <w:lang w:val="es-ES"/>
        </w:rPr>
      </w:pPr>
      <w:r w:rsidRPr="00441F6C">
        <w:rPr>
          <w:rFonts w:cs="Arial"/>
          <w:b/>
          <w:lang w:val="es-ES"/>
        </w:rPr>
        <w:t>Distribución geográfica:</w:t>
      </w:r>
      <w:r w:rsidRPr="00441F6C">
        <w:rPr>
          <w:rFonts w:cs="Arial"/>
          <w:lang w:val="es-ES"/>
        </w:rPr>
        <w:t xml:space="preserve"> la especie </w:t>
      </w:r>
      <w:proofErr w:type="spellStart"/>
      <w:r w:rsidRPr="00441F6C">
        <w:rPr>
          <w:rFonts w:cs="Arial"/>
          <w:i/>
          <w:iCs/>
          <w:lang w:val="es-ES"/>
        </w:rPr>
        <w:t>Diomedea</w:t>
      </w:r>
      <w:proofErr w:type="spellEnd"/>
      <w:r w:rsidRPr="00441F6C">
        <w:rPr>
          <w:rFonts w:cs="Arial"/>
          <w:i/>
          <w:iCs/>
          <w:lang w:val="es-ES"/>
        </w:rPr>
        <w:t xml:space="preserve"> </w:t>
      </w:r>
      <w:proofErr w:type="spellStart"/>
      <w:r w:rsidRPr="00441F6C">
        <w:rPr>
          <w:rFonts w:cs="Arial"/>
          <w:i/>
          <w:iCs/>
          <w:lang w:val="es-ES"/>
        </w:rPr>
        <w:t>antipodensis</w:t>
      </w:r>
      <w:proofErr w:type="spellEnd"/>
      <w:r w:rsidRPr="00441F6C">
        <w:rPr>
          <w:rFonts w:cs="Arial"/>
          <w:lang w:val="es-ES"/>
        </w:rPr>
        <w:t xml:space="preserve"> se reproduce en cuatro grupos de islas frente a la costa del sur de Nueva Zelanda y migra de Chile a Australia a través del Océano Pacífico Sur.</w:t>
      </w:r>
    </w:p>
    <w:p w:rsidR="00AC0C9B" w:rsidRPr="00185188" w:rsidRDefault="00AC0C9B" w:rsidP="00AC0C9B">
      <w:pPr>
        <w:spacing w:after="200"/>
        <w:ind w:left="720"/>
        <w:contextualSpacing/>
        <w:rPr>
          <w:rFonts w:cs="Arial"/>
          <w:b/>
          <w:lang w:val="es-ES"/>
        </w:rPr>
      </w:pPr>
    </w:p>
    <w:p w:rsidR="00AC0C9B" w:rsidRPr="00185188" w:rsidRDefault="00AC0C9B" w:rsidP="00AC0C9B">
      <w:pPr>
        <w:numPr>
          <w:ilvl w:val="0"/>
          <w:numId w:val="5"/>
        </w:numPr>
        <w:spacing w:after="0" w:line="240" w:lineRule="auto"/>
        <w:ind w:left="540" w:hanging="540"/>
        <w:jc w:val="both"/>
        <w:rPr>
          <w:rFonts w:cs="Arial"/>
          <w:lang w:val="es-ES"/>
        </w:rPr>
      </w:pPr>
      <w:r w:rsidRPr="00441F6C">
        <w:rPr>
          <w:rFonts w:cs="Arial"/>
          <w:b/>
          <w:lang w:val="es-ES"/>
        </w:rPr>
        <w:t>Resumen de actividades:</w:t>
      </w:r>
      <w:r w:rsidRPr="00441F6C">
        <w:rPr>
          <w:rFonts w:cs="Arial"/>
          <w:lang w:val="es-ES"/>
        </w:rPr>
        <w:t xml:space="preserve"> la presente acción concertada se centra en la gestión de la captura incidental en pesquerías, considerada la mayor amenaza para la especie </w:t>
      </w:r>
      <w:proofErr w:type="spellStart"/>
      <w:r w:rsidRPr="00441F6C">
        <w:rPr>
          <w:rFonts w:cs="Arial"/>
          <w:i/>
          <w:iCs/>
          <w:lang w:val="es-ES"/>
        </w:rPr>
        <w:t>Diomedea</w:t>
      </w:r>
      <w:proofErr w:type="spellEnd"/>
      <w:r w:rsidRPr="00441F6C">
        <w:rPr>
          <w:rFonts w:cs="Arial"/>
          <w:i/>
          <w:iCs/>
          <w:lang w:val="es-ES"/>
        </w:rPr>
        <w:t xml:space="preserve"> </w:t>
      </w:r>
      <w:proofErr w:type="spellStart"/>
      <w:r w:rsidRPr="00441F6C">
        <w:rPr>
          <w:rFonts w:cs="Arial"/>
          <w:i/>
          <w:iCs/>
          <w:lang w:val="es-ES"/>
        </w:rPr>
        <w:t>antipodensis</w:t>
      </w:r>
      <w:proofErr w:type="spellEnd"/>
      <w:r w:rsidRPr="00441F6C">
        <w:rPr>
          <w:rFonts w:cs="Arial"/>
          <w:lang w:val="es-ES"/>
        </w:rPr>
        <w:t xml:space="preserve">. Esta amenaza se da tanto en aguas bajo jurisdicción nacional como en alta mar. </w:t>
      </w:r>
    </w:p>
    <w:p w:rsidR="00AC0C9B" w:rsidRPr="00185188" w:rsidRDefault="00AC0C9B" w:rsidP="00AC0C9B">
      <w:pPr>
        <w:spacing w:after="200"/>
        <w:ind w:left="720"/>
        <w:contextualSpacing/>
        <w:rPr>
          <w:rFonts w:cs="Arial"/>
          <w:lang w:val="es-ES"/>
        </w:rPr>
      </w:pPr>
    </w:p>
    <w:p w:rsidR="00AC0C9B" w:rsidRPr="00185188" w:rsidRDefault="00AC0C9B" w:rsidP="00AC0C9B">
      <w:pPr>
        <w:spacing w:after="0"/>
        <w:ind w:left="540"/>
        <w:jc w:val="both"/>
        <w:rPr>
          <w:rFonts w:cs="Arial"/>
          <w:lang w:val="es-ES"/>
        </w:rPr>
      </w:pPr>
      <w:r w:rsidRPr="00441F6C">
        <w:rPr>
          <w:rFonts w:cs="Arial"/>
          <w:lang w:val="es-ES"/>
        </w:rPr>
        <w:t xml:space="preserve">Entre las actividades contempladas en la acción concertada para abordar la captura incidental en pesquerías se incluyen las siguientes: </w:t>
      </w:r>
    </w:p>
    <w:p w:rsidR="00AC0C9B" w:rsidRPr="00185188" w:rsidRDefault="00AC0C9B" w:rsidP="00AC0C9B">
      <w:pPr>
        <w:numPr>
          <w:ilvl w:val="0"/>
          <w:numId w:val="6"/>
        </w:numPr>
        <w:spacing w:after="0" w:line="240" w:lineRule="auto"/>
        <w:ind w:left="900"/>
        <w:jc w:val="both"/>
        <w:rPr>
          <w:rFonts w:cs="Arial"/>
          <w:lang w:val="es-ES"/>
        </w:rPr>
      </w:pPr>
      <w:r w:rsidRPr="00441F6C">
        <w:rPr>
          <w:rFonts w:cs="Arial"/>
          <w:lang w:val="es-ES"/>
        </w:rPr>
        <w:t xml:space="preserve">la aplicación de medidas eficaces de mitigación de la captura incidental de aves marinas en operaciones de pesca pelágica con palangre, así como la adopción de las medidas de control y cumplimiento asociadas; </w:t>
      </w:r>
    </w:p>
    <w:p w:rsidR="00AC0C9B" w:rsidRPr="00185188" w:rsidRDefault="00AC0C9B" w:rsidP="00AC0C9B">
      <w:pPr>
        <w:numPr>
          <w:ilvl w:val="0"/>
          <w:numId w:val="6"/>
        </w:numPr>
        <w:spacing w:after="0" w:line="240" w:lineRule="auto"/>
        <w:ind w:left="900"/>
        <w:jc w:val="both"/>
        <w:rPr>
          <w:rFonts w:cs="Arial"/>
          <w:lang w:val="es-ES"/>
        </w:rPr>
      </w:pPr>
      <w:r w:rsidRPr="00441F6C">
        <w:rPr>
          <w:rFonts w:cs="Arial"/>
          <w:lang w:val="es-ES"/>
        </w:rPr>
        <w:t xml:space="preserve">el intercambio de información y la evaluación de los riesgos de la captura incidental, también para otros métodos de pesca, como la pesca </w:t>
      </w:r>
      <w:proofErr w:type="spellStart"/>
      <w:r w:rsidRPr="00441F6C">
        <w:rPr>
          <w:rFonts w:cs="Arial"/>
          <w:lang w:val="es-ES"/>
        </w:rPr>
        <w:t>demersal</w:t>
      </w:r>
      <w:proofErr w:type="spellEnd"/>
      <w:r w:rsidRPr="00441F6C">
        <w:rPr>
          <w:rFonts w:cs="Arial"/>
          <w:lang w:val="es-ES"/>
        </w:rPr>
        <w:t xml:space="preserve"> y de arrastre con palangre, que se sabe que plantean cierto nivel de riesgo, así como el uso de medidas eficaces de mitigación de la captura incidental de aves marinas cuando corresponda; y </w:t>
      </w:r>
    </w:p>
    <w:p w:rsidR="00AC0C9B" w:rsidRPr="00185188" w:rsidRDefault="00AC0C9B" w:rsidP="00AC0C9B">
      <w:pPr>
        <w:numPr>
          <w:ilvl w:val="0"/>
          <w:numId w:val="6"/>
        </w:numPr>
        <w:spacing w:after="0" w:line="240" w:lineRule="auto"/>
        <w:ind w:left="900"/>
        <w:jc w:val="both"/>
        <w:rPr>
          <w:rFonts w:cs="Arial"/>
          <w:lang w:val="es-ES"/>
        </w:rPr>
      </w:pPr>
      <w:r w:rsidRPr="00441F6C">
        <w:rPr>
          <w:rFonts w:cs="Arial"/>
          <w:lang w:val="es-ES"/>
        </w:rPr>
        <w:t>la recopilación de datos de otras pesquerías, como la pesca de calamar con potera, que puedan suponer un riesgo de captura incidental, colisión de embarcaciones u otros efectos indirectos.</w:t>
      </w:r>
    </w:p>
    <w:p w:rsidR="00AC0C9B" w:rsidRPr="00185188" w:rsidRDefault="00AC0C9B" w:rsidP="00AC0C9B">
      <w:pPr>
        <w:spacing w:after="200"/>
        <w:ind w:left="720"/>
        <w:contextualSpacing/>
        <w:rPr>
          <w:rFonts w:cs="Arial"/>
          <w:lang w:val="es-ES"/>
        </w:rPr>
      </w:pPr>
    </w:p>
    <w:p w:rsidR="00AC0C9B" w:rsidRPr="00185188" w:rsidRDefault="00AC0C9B" w:rsidP="00AC0C9B">
      <w:pPr>
        <w:spacing w:after="0"/>
        <w:ind w:left="540"/>
        <w:jc w:val="both"/>
        <w:rPr>
          <w:rFonts w:cs="Arial"/>
          <w:lang w:val="es-ES"/>
        </w:rPr>
      </w:pPr>
      <w:r w:rsidRPr="00441F6C">
        <w:rPr>
          <w:rFonts w:cs="Arial"/>
          <w:lang w:val="es-ES"/>
        </w:rPr>
        <w:t xml:space="preserve">El Gobierno de Nueva Zelanda ya ha emprendido otras actividades, como mantener la protección y la cuarentena de las zonas de reproducción, e investigar para entender mejor la dinámica poblacional y el comportamiento de búsqueda de alimentos. El programa de investigación ofrece oportunidades para desarrollar </w:t>
      </w:r>
      <w:proofErr w:type="spellStart"/>
      <w:r w:rsidRPr="00441F6C">
        <w:rPr>
          <w:rFonts w:cs="Arial"/>
          <w:lang w:val="es-ES"/>
        </w:rPr>
        <w:t>mātauranga</w:t>
      </w:r>
      <w:proofErr w:type="spellEnd"/>
      <w:r w:rsidRPr="00441F6C">
        <w:rPr>
          <w:rFonts w:cs="Arial"/>
          <w:lang w:val="es-ES"/>
        </w:rPr>
        <w:t xml:space="preserve"> </w:t>
      </w:r>
      <w:proofErr w:type="spellStart"/>
      <w:r w:rsidRPr="00441F6C">
        <w:rPr>
          <w:rFonts w:cs="Arial"/>
          <w:lang w:val="es-ES"/>
        </w:rPr>
        <w:t>māori</w:t>
      </w:r>
      <w:proofErr w:type="spellEnd"/>
      <w:r w:rsidRPr="00441F6C">
        <w:rPr>
          <w:rFonts w:cs="Arial"/>
          <w:lang w:val="es-ES"/>
        </w:rPr>
        <w:t xml:space="preserve"> (conocimientos indígenas de Nueva Zelanda) y establecer una conexión más fuerte entre </w:t>
      </w:r>
      <w:proofErr w:type="spellStart"/>
      <w:r w:rsidRPr="00441F6C">
        <w:rPr>
          <w:rFonts w:cs="Arial"/>
          <w:lang w:val="es-ES"/>
        </w:rPr>
        <w:t>Ngāi</w:t>
      </w:r>
      <w:proofErr w:type="spellEnd"/>
      <w:r w:rsidRPr="00441F6C">
        <w:rPr>
          <w:rFonts w:cs="Arial"/>
          <w:lang w:val="es-ES"/>
        </w:rPr>
        <w:t xml:space="preserve"> </w:t>
      </w:r>
      <w:proofErr w:type="spellStart"/>
      <w:r w:rsidRPr="00441F6C">
        <w:rPr>
          <w:rFonts w:cs="Arial"/>
          <w:lang w:val="es-ES"/>
        </w:rPr>
        <w:t>Tahu</w:t>
      </w:r>
      <w:proofErr w:type="spellEnd"/>
      <w:r w:rsidRPr="00441F6C">
        <w:rPr>
          <w:rFonts w:cs="Arial"/>
          <w:lang w:val="es-ES"/>
        </w:rPr>
        <w:t xml:space="preserve"> (la principal tribu indígena de la región meridional de Nueva Zelanda) y la especie </w:t>
      </w:r>
      <w:proofErr w:type="spellStart"/>
      <w:r w:rsidRPr="00441F6C">
        <w:rPr>
          <w:rFonts w:cs="Arial"/>
          <w:i/>
          <w:iCs/>
          <w:lang w:val="es-ES"/>
        </w:rPr>
        <w:t>Diomedea</w:t>
      </w:r>
      <w:proofErr w:type="spellEnd"/>
      <w:r w:rsidRPr="00441F6C">
        <w:rPr>
          <w:rFonts w:cs="Arial"/>
          <w:i/>
          <w:iCs/>
          <w:lang w:val="es-ES"/>
        </w:rPr>
        <w:t xml:space="preserve"> </w:t>
      </w:r>
      <w:proofErr w:type="spellStart"/>
      <w:r w:rsidRPr="00441F6C">
        <w:rPr>
          <w:rFonts w:cs="Arial"/>
          <w:i/>
          <w:iCs/>
          <w:lang w:val="es-ES"/>
        </w:rPr>
        <w:t>antipodensis</w:t>
      </w:r>
      <w:proofErr w:type="spellEnd"/>
      <w:r w:rsidRPr="00441F6C">
        <w:rPr>
          <w:rFonts w:cs="Arial"/>
          <w:lang w:val="es-ES"/>
        </w:rPr>
        <w:t>. Sería beneficioso intensificar la colaboración internacional con los sectores científicos.</w:t>
      </w:r>
    </w:p>
    <w:p w:rsidR="00AC0C9B" w:rsidRPr="00185188" w:rsidRDefault="00AC0C9B" w:rsidP="00AC0C9B">
      <w:pPr>
        <w:spacing w:after="200"/>
        <w:ind w:left="720"/>
        <w:contextualSpacing/>
        <w:rPr>
          <w:rFonts w:cs="Arial"/>
          <w:b/>
          <w:lang w:val="es-ES"/>
        </w:rPr>
      </w:pPr>
    </w:p>
    <w:p w:rsidR="00AC0C9B" w:rsidRPr="00185188" w:rsidRDefault="00AC0C9B" w:rsidP="00AC0C9B">
      <w:pPr>
        <w:numPr>
          <w:ilvl w:val="0"/>
          <w:numId w:val="5"/>
        </w:numPr>
        <w:spacing w:after="0" w:line="240" w:lineRule="auto"/>
        <w:ind w:left="540" w:hanging="540"/>
        <w:jc w:val="both"/>
        <w:rPr>
          <w:rFonts w:cs="Arial"/>
          <w:lang w:val="es-ES"/>
        </w:rPr>
      </w:pPr>
      <w:r w:rsidRPr="00441F6C">
        <w:rPr>
          <w:rFonts w:cs="Arial"/>
          <w:b/>
          <w:lang w:val="es-ES"/>
        </w:rPr>
        <w:t>Actividades y resultados previstos:</w:t>
      </w:r>
      <w:r w:rsidRPr="00441F6C">
        <w:rPr>
          <w:rFonts w:cs="Arial"/>
          <w:lang w:val="es-ES"/>
        </w:rPr>
        <w:t xml:space="preserve"> las actividades y los resultados previstos de la </w:t>
      </w:r>
      <w:proofErr w:type="gramStart"/>
      <w:r w:rsidRPr="00441F6C">
        <w:rPr>
          <w:rFonts w:cs="Arial"/>
          <w:lang w:val="es-ES"/>
        </w:rPr>
        <w:t>presente acción concertada abordan</w:t>
      </w:r>
      <w:proofErr w:type="gramEnd"/>
      <w:r w:rsidRPr="00441F6C">
        <w:rPr>
          <w:rFonts w:cs="Arial"/>
          <w:lang w:val="es-ES"/>
        </w:rPr>
        <w:t xml:space="preserve"> los siguientes ámbitos:</w:t>
      </w:r>
    </w:p>
    <w:p w:rsidR="00AC0C9B" w:rsidRPr="00185188" w:rsidRDefault="00AC0C9B" w:rsidP="00AC0C9B">
      <w:pPr>
        <w:numPr>
          <w:ilvl w:val="0"/>
          <w:numId w:val="7"/>
        </w:numPr>
        <w:spacing w:after="0" w:line="240" w:lineRule="auto"/>
        <w:contextualSpacing/>
        <w:jc w:val="both"/>
        <w:rPr>
          <w:rFonts w:cs="Arial"/>
          <w:lang w:val="es-ES"/>
        </w:rPr>
      </w:pPr>
      <w:r w:rsidRPr="00441F6C">
        <w:rPr>
          <w:rFonts w:cs="Arial"/>
          <w:lang w:val="es-ES"/>
        </w:rPr>
        <w:t>Captura incidental en pesquerías en las jurisdicciones de los Estados del área de distribución.</w:t>
      </w:r>
    </w:p>
    <w:p w:rsidR="00AC0C9B" w:rsidRPr="00185188" w:rsidRDefault="00AC0C9B" w:rsidP="00AC0C9B">
      <w:pPr>
        <w:numPr>
          <w:ilvl w:val="0"/>
          <w:numId w:val="7"/>
        </w:numPr>
        <w:spacing w:after="0" w:line="240" w:lineRule="auto"/>
        <w:contextualSpacing/>
        <w:jc w:val="both"/>
        <w:rPr>
          <w:rFonts w:cs="Arial"/>
          <w:lang w:val="es-ES"/>
        </w:rPr>
      </w:pPr>
      <w:r w:rsidRPr="00441F6C">
        <w:rPr>
          <w:rFonts w:cs="Arial"/>
          <w:lang w:val="es-ES"/>
        </w:rPr>
        <w:t>Captura incidental en pesquerías en alta mar.</w:t>
      </w:r>
    </w:p>
    <w:p w:rsidR="00AC0C9B" w:rsidRPr="00441F6C" w:rsidRDefault="00AC0C9B" w:rsidP="00AC0C9B">
      <w:pPr>
        <w:numPr>
          <w:ilvl w:val="0"/>
          <w:numId w:val="7"/>
        </w:numPr>
        <w:spacing w:after="0" w:line="240" w:lineRule="auto"/>
        <w:contextualSpacing/>
        <w:jc w:val="both"/>
        <w:rPr>
          <w:rFonts w:cs="Arial"/>
          <w:lang w:val="en-NZ"/>
        </w:rPr>
      </w:pPr>
      <w:r w:rsidRPr="00441F6C">
        <w:rPr>
          <w:rFonts w:cs="Arial"/>
          <w:lang w:val="es-ES"/>
        </w:rPr>
        <w:t>Investigación.</w:t>
      </w:r>
    </w:p>
    <w:p w:rsidR="00AC0C9B" w:rsidRPr="00185188" w:rsidRDefault="00AC0C9B" w:rsidP="00AC0C9B">
      <w:pPr>
        <w:numPr>
          <w:ilvl w:val="0"/>
          <w:numId w:val="7"/>
        </w:numPr>
        <w:spacing w:after="0" w:line="240" w:lineRule="auto"/>
        <w:contextualSpacing/>
        <w:jc w:val="both"/>
        <w:rPr>
          <w:rFonts w:cs="Arial"/>
          <w:lang w:val="es-ES"/>
        </w:rPr>
      </w:pPr>
      <w:r w:rsidRPr="00441F6C">
        <w:rPr>
          <w:rFonts w:cs="Arial"/>
          <w:lang w:val="es-ES"/>
        </w:rPr>
        <w:t>Gestión de las zonas de reproducción.</w:t>
      </w:r>
    </w:p>
    <w:p w:rsidR="00AC0C9B" w:rsidRPr="00185188" w:rsidRDefault="00AC0C9B" w:rsidP="00AC0C9B">
      <w:pPr>
        <w:spacing w:after="0"/>
        <w:ind w:left="540"/>
        <w:jc w:val="both"/>
        <w:rPr>
          <w:rFonts w:cs="Arial"/>
          <w:lang w:val="es-ES"/>
        </w:rPr>
      </w:pPr>
    </w:p>
    <w:p w:rsidR="00AC0C9B" w:rsidRPr="00185188" w:rsidRDefault="00AC0C9B" w:rsidP="00AC0C9B">
      <w:pPr>
        <w:spacing w:after="0"/>
        <w:ind w:left="540"/>
        <w:jc w:val="both"/>
        <w:rPr>
          <w:rFonts w:cs="Arial"/>
          <w:lang w:val="es-ES"/>
        </w:rPr>
      </w:pPr>
      <w:r w:rsidRPr="00441F6C">
        <w:rPr>
          <w:rFonts w:cs="Arial"/>
          <w:lang w:val="es-ES"/>
        </w:rPr>
        <w:t>Las actividades y los resultados previstos figuran en el Anexo 1: Acciones concertadas para la conservación del albatros de las Antípodas (</w:t>
      </w:r>
      <w:proofErr w:type="spellStart"/>
      <w:r w:rsidRPr="00441F6C">
        <w:rPr>
          <w:rFonts w:cs="Arial"/>
          <w:i/>
          <w:iCs/>
          <w:lang w:val="es-ES"/>
        </w:rPr>
        <w:t>Diomedea</w:t>
      </w:r>
      <w:proofErr w:type="spellEnd"/>
      <w:r w:rsidRPr="00441F6C">
        <w:rPr>
          <w:rFonts w:cs="Arial"/>
          <w:i/>
          <w:iCs/>
          <w:lang w:val="es-ES"/>
        </w:rPr>
        <w:t xml:space="preserve"> </w:t>
      </w:r>
      <w:proofErr w:type="spellStart"/>
      <w:r w:rsidRPr="00441F6C">
        <w:rPr>
          <w:rFonts w:cs="Arial"/>
          <w:i/>
          <w:iCs/>
          <w:lang w:val="es-ES"/>
        </w:rPr>
        <w:t>antipodensis</w:t>
      </w:r>
      <w:proofErr w:type="spellEnd"/>
      <w:r w:rsidRPr="00441F6C">
        <w:rPr>
          <w:rFonts w:cs="Arial"/>
          <w:lang w:val="es-ES"/>
        </w:rPr>
        <w:t>) bajo la Convención para la Conservación de las Especies Migratorias de Animales Silvestres (CMS).</w:t>
      </w:r>
    </w:p>
    <w:p w:rsidR="00AC0C9B" w:rsidRPr="00185188" w:rsidRDefault="00AC0C9B" w:rsidP="00AC0C9B">
      <w:pPr>
        <w:spacing w:after="0"/>
        <w:ind w:left="540"/>
        <w:jc w:val="both"/>
        <w:rPr>
          <w:rFonts w:cs="Arial"/>
          <w:lang w:val="es-ES"/>
        </w:rPr>
      </w:pPr>
    </w:p>
    <w:p w:rsidR="00AC0C9B" w:rsidRPr="00185188" w:rsidRDefault="00AC0C9B" w:rsidP="00AC0C9B">
      <w:pPr>
        <w:numPr>
          <w:ilvl w:val="0"/>
          <w:numId w:val="5"/>
        </w:numPr>
        <w:spacing w:after="0" w:line="240" w:lineRule="auto"/>
        <w:ind w:left="540" w:hanging="540"/>
        <w:jc w:val="both"/>
        <w:rPr>
          <w:rFonts w:cs="Arial"/>
          <w:lang w:val="es-ES"/>
        </w:rPr>
      </w:pPr>
      <w:r w:rsidRPr="00441F6C">
        <w:rPr>
          <w:rFonts w:cs="Arial"/>
          <w:b/>
          <w:lang w:val="es-ES"/>
        </w:rPr>
        <w:lastRenderedPageBreak/>
        <w:t>Beneficios asociados:</w:t>
      </w:r>
      <w:r w:rsidRPr="00441F6C">
        <w:rPr>
          <w:rFonts w:cs="Arial"/>
          <w:lang w:val="es-ES"/>
        </w:rPr>
        <w:t xml:space="preserve"> el riesgo que plantea la captura incidental en pesquerías no se limita a la especie </w:t>
      </w:r>
      <w:proofErr w:type="spellStart"/>
      <w:r w:rsidRPr="00441F6C">
        <w:rPr>
          <w:rFonts w:cs="Arial"/>
          <w:i/>
          <w:iCs/>
          <w:lang w:val="es-ES"/>
        </w:rPr>
        <w:t>Diomedea</w:t>
      </w:r>
      <w:proofErr w:type="spellEnd"/>
      <w:r w:rsidRPr="00441F6C">
        <w:rPr>
          <w:rFonts w:cs="Arial"/>
          <w:i/>
          <w:iCs/>
          <w:lang w:val="es-ES"/>
        </w:rPr>
        <w:t xml:space="preserve"> </w:t>
      </w:r>
      <w:proofErr w:type="spellStart"/>
      <w:r w:rsidRPr="00441F6C">
        <w:rPr>
          <w:rFonts w:cs="Arial"/>
          <w:i/>
          <w:iCs/>
          <w:lang w:val="es-ES"/>
        </w:rPr>
        <w:t>antipodensis</w:t>
      </w:r>
      <w:proofErr w:type="spellEnd"/>
      <w:r w:rsidRPr="00441F6C">
        <w:rPr>
          <w:rFonts w:cs="Arial"/>
          <w:lang w:val="es-ES"/>
        </w:rPr>
        <w:t xml:space="preserve">, sino que también afecta a otras especies de aves marítimas migratorias que se solapan con el esfuerzo pesquero. Entre estas se encuentran las especies de albatros y de petreles enumeradas en el Apéndice II de la CMS que buscan alimentos exclusiva o parcialmente en el Océano Pacífico Sur. Las prácticas de mitigación de la captura incidental que reducen el riesgo de captura incidental de la especie </w:t>
      </w:r>
      <w:proofErr w:type="spellStart"/>
      <w:r w:rsidRPr="00441F6C">
        <w:rPr>
          <w:rFonts w:cs="Arial"/>
          <w:i/>
          <w:iCs/>
          <w:lang w:val="es-ES"/>
        </w:rPr>
        <w:t>Diomedea</w:t>
      </w:r>
      <w:proofErr w:type="spellEnd"/>
      <w:r w:rsidRPr="00441F6C">
        <w:rPr>
          <w:rFonts w:cs="Arial"/>
          <w:i/>
          <w:iCs/>
          <w:lang w:val="es-ES"/>
        </w:rPr>
        <w:t xml:space="preserve"> </w:t>
      </w:r>
      <w:proofErr w:type="spellStart"/>
      <w:r w:rsidRPr="00441F6C">
        <w:rPr>
          <w:rFonts w:cs="Arial"/>
          <w:i/>
          <w:iCs/>
          <w:lang w:val="es-ES"/>
        </w:rPr>
        <w:t>antipodensis</w:t>
      </w:r>
      <w:proofErr w:type="spellEnd"/>
      <w:r w:rsidRPr="00441F6C">
        <w:rPr>
          <w:rFonts w:cs="Arial"/>
          <w:lang w:val="es-ES"/>
        </w:rPr>
        <w:t xml:space="preserve"> reducirán asimismo el riesgo de captura incidental de otras aves marinas. </w:t>
      </w:r>
    </w:p>
    <w:p w:rsidR="00AC0C9B" w:rsidRPr="00185188" w:rsidRDefault="00AC0C9B" w:rsidP="00AC0C9B">
      <w:pPr>
        <w:spacing w:after="0"/>
        <w:ind w:left="540"/>
        <w:jc w:val="both"/>
        <w:rPr>
          <w:rFonts w:cs="Arial"/>
          <w:lang w:val="es-ES"/>
        </w:rPr>
      </w:pPr>
    </w:p>
    <w:p w:rsidR="00AC0C9B" w:rsidRPr="00185188" w:rsidRDefault="00AC0C9B" w:rsidP="00AC0C9B">
      <w:pPr>
        <w:spacing w:after="0"/>
        <w:ind w:left="540"/>
        <w:jc w:val="both"/>
        <w:rPr>
          <w:rFonts w:cs="Arial"/>
          <w:lang w:val="es-ES"/>
        </w:rPr>
      </w:pPr>
      <w:r w:rsidRPr="00441F6C">
        <w:rPr>
          <w:rFonts w:cs="Arial"/>
          <w:lang w:val="es-ES"/>
        </w:rPr>
        <w:t xml:space="preserve">Aunque las actividades requeridas para la especie </w:t>
      </w:r>
      <w:proofErr w:type="spellStart"/>
      <w:r w:rsidRPr="00441F6C">
        <w:rPr>
          <w:rFonts w:cs="Arial"/>
          <w:i/>
          <w:iCs/>
          <w:lang w:val="es-ES"/>
        </w:rPr>
        <w:t>Diomedea</w:t>
      </w:r>
      <w:proofErr w:type="spellEnd"/>
      <w:r w:rsidRPr="00441F6C">
        <w:rPr>
          <w:rFonts w:cs="Arial"/>
          <w:i/>
          <w:iCs/>
          <w:lang w:val="es-ES"/>
        </w:rPr>
        <w:t xml:space="preserve"> </w:t>
      </w:r>
      <w:proofErr w:type="spellStart"/>
      <w:r w:rsidRPr="00441F6C">
        <w:rPr>
          <w:rFonts w:cs="Arial"/>
          <w:i/>
          <w:iCs/>
          <w:lang w:val="es-ES"/>
        </w:rPr>
        <w:t>antipodensis</w:t>
      </w:r>
      <w:proofErr w:type="spellEnd"/>
      <w:r w:rsidRPr="00441F6C">
        <w:rPr>
          <w:rFonts w:cs="Arial"/>
          <w:lang w:val="es-ES"/>
        </w:rPr>
        <w:t xml:space="preserve"> se limitan al Océano Pacífico Sur, estas acciones concertadas pueden servir de precedente para mejorar la gestión de la captura incidental de aves marinas en pesquerías similares que operen en otros océanos. </w:t>
      </w:r>
    </w:p>
    <w:p w:rsidR="00AC0C9B" w:rsidRPr="00185188" w:rsidRDefault="00AC0C9B" w:rsidP="00AC0C9B">
      <w:pPr>
        <w:spacing w:after="200"/>
        <w:ind w:left="720"/>
        <w:contextualSpacing/>
        <w:rPr>
          <w:rFonts w:cs="Arial"/>
          <w:lang w:val="es-ES"/>
        </w:rPr>
      </w:pPr>
    </w:p>
    <w:p w:rsidR="00AC0C9B" w:rsidRPr="00185188" w:rsidRDefault="00AC0C9B" w:rsidP="00AC0C9B">
      <w:pPr>
        <w:spacing w:after="0"/>
        <w:ind w:left="540"/>
        <w:jc w:val="both"/>
        <w:rPr>
          <w:rFonts w:cs="Arial"/>
          <w:lang w:val="es-ES"/>
        </w:rPr>
      </w:pPr>
      <w:r w:rsidRPr="00441F6C">
        <w:rPr>
          <w:rFonts w:cs="Arial"/>
          <w:lang w:val="es-ES"/>
        </w:rPr>
        <w:t xml:space="preserve">Entre los beneficios adicionales se incluyen oportunidades de concienciación sobre el estado de conservación de la especie </w:t>
      </w:r>
      <w:proofErr w:type="spellStart"/>
      <w:r w:rsidRPr="00441F6C">
        <w:rPr>
          <w:rFonts w:cs="Arial"/>
          <w:i/>
          <w:iCs/>
          <w:lang w:val="es-ES"/>
        </w:rPr>
        <w:t>Diomedea</w:t>
      </w:r>
      <w:proofErr w:type="spellEnd"/>
      <w:r w:rsidRPr="00441F6C">
        <w:rPr>
          <w:rFonts w:cs="Arial"/>
          <w:i/>
          <w:iCs/>
          <w:lang w:val="es-ES"/>
        </w:rPr>
        <w:t xml:space="preserve"> </w:t>
      </w:r>
      <w:proofErr w:type="spellStart"/>
      <w:r w:rsidRPr="00441F6C">
        <w:rPr>
          <w:rFonts w:cs="Arial"/>
          <w:i/>
          <w:iCs/>
          <w:lang w:val="es-ES"/>
        </w:rPr>
        <w:t>antipodensis</w:t>
      </w:r>
      <w:proofErr w:type="spellEnd"/>
      <w:r w:rsidRPr="00441F6C">
        <w:rPr>
          <w:rFonts w:cs="Arial"/>
          <w:lang w:val="es-ES"/>
        </w:rPr>
        <w:t xml:space="preserve"> y las amenazas a las que esta se enfrenta entre las Partes de la CMS y otras partes que pertenecen a organizaciones regionales de ordenación pesquera (OROP) relevantes. La acción concertada puede asimismo crear un catalizador para actividades de capacitación relacionadas con la mitigación de la captura incidental de aves marinas y la recopilación de datos entre las Partes de la CMS.  </w:t>
      </w:r>
    </w:p>
    <w:p w:rsidR="00AC0C9B" w:rsidRPr="00185188" w:rsidRDefault="00AC0C9B" w:rsidP="00AC0C9B">
      <w:pPr>
        <w:spacing w:after="0"/>
        <w:jc w:val="both"/>
        <w:rPr>
          <w:rFonts w:cs="Arial"/>
          <w:lang w:val="es-ES"/>
        </w:rPr>
      </w:pPr>
    </w:p>
    <w:p w:rsidR="00AC0C9B" w:rsidRPr="00185188" w:rsidRDefault="00AC0C9B" w:rsidP="00AC0C9B">
      <w:pPr>
        <w:numPr>
          <w:ilvl w:val="0"/>
          <w:numId w:val="5"/>
        </w:numPr>
        <w:spacing w:after="0" w:line="240" w:lineRule="auto"/>
        <w:ind w:left="540" w:hanging="540"/>
        <w:jc w:val="both"/>
        <w:rPr>
          <w:rFonts w:cs="Arial"/>
          <w:lang w:val="es-ES"/>
        </w:rPr>
      </w:pPr>
      <w:r w:rsidRPr="00441F6C">
        <w:rPr>
          <w:rFonts w:cs="Arial"/>
          <w:b/>
          <w:lang w:val="es-ES"/>
        </w:rPr>
        <w:t>Marco temporal:</w:t>
      </w:r>
      <w:r w:rsidRPr="00441F6C">
        <w:rPr>
          <w:rFonts w:cs="Arial"/>
          <w:lang w:val="es-ES"/>
        </w:rPr>
        <w:t xml:space="preserve"> se han determinado los marcos temporales para cada actividad (véase el Anexo).</w:t>
      </w:r>
    </w:p>
    <w:p w:rsidR="00AC0C9B" w:rsidRPr="00185188" w:rsidRDefault="00AC0C9B" w:rsidP="00AC0C9B">
      <w:pPr>
        <w:spacing w:after="0"/>
        <w:jc w:val="both"/>
        <w:rPr>
          <w:rFonts w:cs="Arial"/>
          <w:lang w:val="es-ES"/>
        </w:rPr>
      </w:pPr>
    </w:p>
    <w:p w:rsidR="00AC0C9B" w:rsidRPr="00185188" w:rsidRDefault="00AC0C9B" w:rsidP="00AC0C9B">
      <w:pPr>
        <w:numPr>
          <w:ilvl w:val="0"/>
          <w:numId w:val="5"/>
        </w:numPr>
        <w:spacing w:after="0" w:line="240" w:lineRule="auto"/>
        <w:ind w:left="540" w:hanging="540"/>
        <w:jc w:val="both"/>
        <w:rPr>
          <w:rFonts w:cs="Arial"/>
          <w:lang w:val="es-ES"/>
        </w:rPr>
      </w:pPr>
      <w:r w:rsidRPr="00441F6C">
        <w:rPr>
          <w:rFonts w:cs="Arial"/>
          <w:b/>
          <w:lang w:val="es-ES"/>
        </w:rPr>
        <w:t>Relación con otras acciones de la CMS:</w:t>
      </w:r>
      <w:r w:rsidRPr="00441F6C">
        <w:rPr>
          <w:rFonts w:cs="Arial"/>
          <w:lang w:val="es-ES"/>
        </w:rPr>
        <w:t xml:space="preserve"> la presente acción concertada respalda la implementación del Plan Estratégico para las Especies Migratorias 2015-2023 de la CMS (UNEP/CMS/Resolución 11.2) y la Resolución sobre la captura incidental (UNEP/CMS/Resolución 12.22).</w:t>
      </w:r>
    </w:p>
    <w:p w:rsidR="00AC0C9B" w:rsidRPr="00185188" w:rsidRDefault="00AC0C9B" w:rsidP="00AC0C9B">
      <w:pPr>
        <w:spacing w:after="0"/>
        <w:ind w:left="720"/>
        <w:contextualSpacing/>
        <w:jc w:val="both"/>
        <w:rPr>
          <w:rFonts w:cs="Arial"/>
          <w:lang w:val="es-ES"/>
        </w:rPr>
      </w:pPr>
    </w:p>
    <w:p w:rsidR="00AC0C9B" w:rsidRPr="00185188" w:rsidRDefault="00AC0C9B" w:rsidP="00AC0C9B">
      <w:pPr>
        <w:spacing w:after="0"/>
        <w:ind w:left="540"/>
        <w:jc w:val="both"/>
        <w:rPr>
          <w:rFonts w:cs="Arial"/>
          <w:lang w:val="es-ES"/>
        </w:rPr>
      </w:pPr>
      <w:r w:rsidRPr="00441F6C">
        <w:rPr>
          <w:rFonts w:cs="Arial"/>
          <w:lang w:val="es-ES"/>
        </w:rPr>
        <w:t xml:space="preserve">También respalda y complementa la labor del Acuerdo sobre la conservación de albatros y petreles (ACAP), un acuerdo subsidiario de la CMS. </w:t>
      </w:r>
    </w:p>
    <w:p w:rsidR="00AC0C9B" w:rsidRPr="00185188" w:rsidRDefault="00AC0C9B" w:rsidP="00AC0C9B">
      <w:pPr>
        <w:spacing w:after="0"/>
        <w:jc w:val="both"/>
        <w:rPr>
          <w:rFonts w:cs="Arial"/>
          <w:lang w:val="es-ES"/>
        </w:rPr>
      </w:pPr>
    </w:p>
    <w:p w:rsidR="00AC0C9B" w:rsidRPr="00185188" w:rsidRDefault="00AC0C9B" w:rsidP="00AC0C9B">
      <w:pPr>
        <w:numPr>
          <w:ilvl w:val="0"/>
          <w:numId w:val="5"/>
        </w:numPr>
        <w:spacing w:after="0" w:line="240" w:lineRule="auto"/>
        <w:ind w:left="540" w:hanging="540"/>
        <w:jc w:val="both"/>
        <w:rPr>
          <w:rFonts w:cs="Arial"/>
          <w:lang w:val="es-ES"/>
        </w:rPr>
      </w:pPr>
      <w:r w:rsidRPr="00441F6C">
        <w:rPr>
          <w:rFonts w:cs="Arial"/>
          <w:b/>
          <w:lang w:val="es-ES"/>
        </w:rPr>
        <w:t>Prioridad de conservación:</w:t>
      </w:r>
      <w:r w:rsidRPr="00441F6C">
        <w:rPr>
          <w:rFonts w:cs="Arial"/>
          <w:lang w:val="es-ES"/>
        </w:rPr>
        <w:t xml:space="preserve"> la prioridad de conservación de la especie </w:t>
      </w:r>
      <w:proofErr w:type="spellStart"/>
      <w:r w:rsidRPr="00441F6C">
        <w:rPr>
          <w:rFonts w:cs="Arial"/>
          <w:i/>
          <w:iCs/>
          <w:lang w:val="es-ES"/>
        </w:rPr>
        <w:t>Diomedea</w:t>
      </w:r>
      <w:proofErr w:type="spellEnd"/>
      <w:r w:rsidRPr="00441F6C">
        <w:rPr>
          <w:rFonts w:cs="Arial"/>
          <w:i/>
          <w:iCs/>
          <w:lang w:val="es-ES"/>
        </w:rPr>
        <w:t xml:space="preserve"> </w:t>
      </w:r>
      <w:proofErr w:type="spellStart"/>
      <w:r w:rsidRPr="00441F6C">
        <w:rPr>
          <w:rFonts w:cs="Arial"/>
          <w:i/>
          <w:iCs/>
          <w:lang w:val="es-ES"/>
        </w:rPr>
        <w:t>antipodensis</w:t>
      </w:r>
      <w:proofErr w:type="spellEnd"/>
      <w:r w:rsidRPr="00441F6C">
        <w:rPr>
          <w:rFonts w:cs="Arial"/>
          <w:lang w:val="es-ES"/>
        </w:rPr>
        <w:t xml:space="preserve">, clasificada como especie en peligro de extinción (UICN), es extremadamente alta. </w:t>
      </w:r>
    </w:p>
    <w:p w:rsidR="00AC0C9B" w:rsidRPr="00185188" w:rsidRDefault="00AC0C9B" w:rsidP="00AC0C9B">
      <w:pPr>
        <w:spacing w:after="0"/>
        <w:ind w:left="540"/>
        <w:jc w:val="both"/>
        <w:rPr>
          <w:rFonts w:cs="Arial"/>
          <w:lang w:val="es-ES"/>
        </w:rPr>
      </w:pPr>
    </w:p>
    <w:p w:rsidR="00AC0C9B" w:rsidRPr="00185188" w:rsidRDefault="00AC0C9B" w:rsidP="00AC0C9B">
      <w:pPr>
        <w:spacing w:after="0"/>
        <w:ind w:left="540"/>
        <w:jc w:val="both"/>
        <w:rPr>
          <w:rFonts w:cs="Arial"/>
          <w:lang w:val="es-ES"/>
        </w:rPr>
      </w:pPr>
      <w:r w:rsidRPr="00441F6C">
        <w:rPr>
          <w:rFonts w:cs="Arial"/>
          <w:lang w:val="es-ES"/>
        </w:rPr>
        <w:t>Ambas subespecies han experimentado considerables descensos demográficos desde 2004, tras un período de aumento o estabilidad de la población en los años 90. La población reproductora de las islas Antípodas se ha reducido a la mitad desde 2004. Estas especies de grandes albatros no comienzan a anidar, por lo general, hasta los 10-12 años o más y crían, como máximo, un polluelo cada dos años. Al ritmo de descenso demográfico actual, la población de las islas Antípodas podría sufrir una extinción funcional en los próximos 20 a 30 años. Esta población está reconocida como un problema de conservación prioritario por el ACAP.</w:t>
      </w:r>
    </w:p>
    <w:p w:rsidR="00AC0C9B" w:rsidRPr="00185188" w:rsidRDefault="00AC0C9B" w:rsidP="00AC0C9B">
      <w:pPr>
        <w:spacing w:after="0"/>
        <w:ind w:left="540"/>
        <w:jc w:val="both"/>
        <w:rPr>
          <w:rFonts w:cs="Arial"/>
          <w:lang w:val="es-ES"/>
        </w:rPr>
      </w:pPr>
    </w:p>
    <w:p w:rsidR="00AC0C9B" w:rsidRPr="00185188" w:rsidRDefault="00AC0C9B" w:rsidP="00AC0C9B">
      <w:pPr>
        <w:spacing w:after="0"/>
        <w:ind w:left="540"/>
        <w:jc w:val="both"/>
        <w:rPr>
          <w:rFonts w:cs="Arial"/>
          <w:lang w:val="es-ES"/>
        </w:rPr>
      </w:pPr>
      <w:r w:rsidRPr="00441F6C">
        <w:rPr>
          <w:rFonts w:cs="Arial"/>
          <w:lang w:val="es-ES"/>
        </w:rPr>
        <w:t xml:space="preserve">La presente acción concertada contribuirá a la consecución de las acciones prioritarias de conservación de la Resolución de la CMS sobre la captura incidental (UNEP/CMS/Resolución 12.22).  </w:t>
      </w:r>
    </w:p>
    <w:p w:rsidR="00AC0C9B" w:rsidRPr="00185188" w:rsidRDefault="00AC0C9B" w:rsidP="00AC0C9B">
      <w:pPr>
        <w:spacing w:after="0"/>
        <w:jc w:val="both"/>
        <w:rPr>
          <w:rFonts w:cs="Arial"/>
          <w:lang w:val="es-ES"/>
        </w:rPr>
      </w:pPr>
    </w:p>
    <w:p w:rsidR="00AC0C9B" w:rsidRPr="00185188" w:rsidRDefault="00AC0C9B" w:rsidP="00AC0C9B">
      <w:pPr>
        <w:numPr>
          <w:ilvl w:val="0"/>
          <w:numId w:val="5"/>
        </w:numPr>
        <w:spacing w:after="0" w:line="240" w:lineRule="auto"/>
        <w:ind w:left="540" w:hanging="540"/>
        <w:jc w:val="both"/>
        <w:rPr>
          <w:rFonts w:cs="Arial"/>
          <w:lang w:val="es-ES"/>
        </w:rPr>
      </w:pPr>
      <w:r w:rsidRPr="00441F6C">
        <w:rPr>
          <w:rFonts w:cs="Arial"/>
          <w:b/>
          <w:lang w:val="es-ES"/>
        </w:rPr>
        <w:t>Relevancia:</w:t>
      </w:r>
      <w:r w:rsidRPr="00441F6C">
        <w:rPr>
          <w:rFonts w:cs="Arial"/>
          <w:lang w:val="es-ES"/>
        </w:rPr>
        <w:t xml:space="preserve"> la mayor amenaza para la especie </w:t>
      </w:r>
      <w:proofErr w:type="spellStart"/>
      <w:r w:rsidRPr="00441F6C">
        <w:rPr>
          <w:rFonts w:cs="Arial"/>
          <w:i/>
          <w:iCs/>
          <w:lang w:val="es-ES"/>
        </w:rPr>
        <w:t>Diomedea</w:t>
      </w:r>
      <w:proofErr w:type="spellEnd"/>
      <w:r w:rsidRPr="00441F6C">
        <w:rPr>
          <w:rFonts w:cs="Arial"/>
          <w:i/>
          <w:iCs/>
          <w:lang w:val="es-ES"/>
        </w:rPr>
        <w:t xml:space="preserve"> </w:t>
      </w:r>
      <w:proofErr w:type="spellStart"/>
      <w:r w:rsidRPr="00441F6C">
        <w:rPr>
          <w:rFonts w:cs="Arial"/>
          <w:i/>
          <w:iCs/>
          <w:lang w:val="es-ES"/>
        </w:rPr>
        <w:t>antipodensis</w:t>
      </w:r>
      <w:proofErr w:type="spellEnd"/>
      <w:r w:rsidRPr="00441F6C">
        <w:rPr>
          <w:rFonts w:cs="Arial"/>
          <w:lang w:val="es-ES"/>
        </w:rPr>
        <w:t xml:space="preserve"> es la captura incidental en pesquerías a escala de cuenca oceánica en múltiples jurisdicciones, así como en alta mar. El carácter generalizado de esta amenaza se debe a la naturaleza altamente migratoria de la especie, que se reproduce en una única jurisdicción (Nueva Zelanda). Una gestión eficaz de esta amenaza en toda el área de distribución migratoria </w:t>
      </w:r>
      <w:r w:rsidRPr="00441F6C">
        <w:rPr>
          <w:rFonts w:cs="Arial"/>
          <w:lang w:val="es-ES"/>
        </w:rPr>
        <w:lastRenderedPageBreak/>
        <w:t xml:space="preserve">de la especie requiere la cooperación y alineación de los esfuerzos de ordenación pesquera de los Estados del área de distribución y los Estados que operan flotas de pesca de altura en el área. Entre los Estados del área de distribución se incluyen varias Partes de la CMS. </w:t>
      </w:r>
    </w:p>
    <w:p w:rsidR="00AC0C9B" w:rsidRPr="00185188" w:rsidRDefault="00AC0C9B" w:rsidP="00AC0C9B">
      <w:pPr>
        <w:spacing w:after="0"/>
        <w:jc w:val="both"/>
        <w:rPr>
          <w:rFonts w:cs="Arial"/>
          <w:lang w:val="es-ES"/>
        </w:rPr>
      </w:pPr>
    </w:p>
    <w:p w:rsidR="00AC0C9B" w:rsidRPr="00185188" w:rsidRDefault="00AC0C9B" w:rsidP="00AC0C9B">
      <w:pPr>
        <w:numPr>
          <w:ilvl w:val="0"/>
          <w:numId w:val="5"/>
        </w:numPr>
        <w:spacing w:after="0" w:line="240" w:lineRule="auto"/>
        <w:ind w:left="540" w:hanging="540"/>
        <w:jc w:val="both"/>
        <w:rPr>
          <w:rFonts w:cs="Arial"/>
          <w:lang w:val="es-ES"/>
        </w:rPr>
      </w:pPr>
      <w:r w:rsidRPr="00441F6C">
        <w:rPr>
          <w:rFonts w:cs="Arial"/>
          <w:b/>
          <w:lang w:val="es-ES"/>
        </w:rPr>
        <w:t>Ausencia de mejores soluciones:</w:t>
      </w:r>
      <w:r w:rsidRPr="00441F6C">
        <w:rPr>
          <w:rFonts w:cs="Arial"/>
          <w:lang w:val="es-ES"/>
        </w:rPr>
        <w:t xml:space="preserve"> entre otros mecanismos establecidos para mejorar el estado de conservación de la especie </w:t>
      </w:r>
      <w:proofErr w:type="spellStart"/>
      <w:r w:rsidRPr="00441F6C">
        <w:rPr>
          <w:rFonts w:cs="Arial"/>
          <w:i/>
          <w:iCs/>
          <w:lang w:val="es-ES"/>
        </w:rPr>
        <w:t>Diomedea</w:t>
      </w:r>
      <w:proofErr w:type="spellEnd"/>
      <w:r w:rsidRPr="00441F6C">
        <w:rPr>
          <w:rFonts w:cs="Arial"/>
          <w:i/>
          <w:iCs/>
          <w:lang w:val="es-ES"/>
        </w:rPr>
        <w:t xml:space="preserve"> </w:t>
      </w:r>
      <w:proofErr w:type="spellStart"/>
      <w:r w:rsidRPr="00441F6C">
        <w:rPr>
          <w:rFonts w:cs="Arial"/>
          <w:i/>
          <w:iCs/>
          <w:lang w:val="es-ES"/>
        </w:rPr>
        <w:t>antipodensis</w:t>
      </w:r>
      <w:proofErr w:type="spellEnd"/>
      <w:r w:rsidRPr="00441F6C">
        <w:rPr>
          <w:rFonts w:cs="Arial"/>
          <w:lang w:val="es-ES"/>
        </w:rPr>
        <w:t xml:space="preserve"> y abordar las amenazas a las que esta se enfrenta, se encuentra la cooperación entre las partes del ACAP en cuestiones como el desarrollo del asesoramiento sobre la mitigación de la captura incidental de aves marinas, así como medidas de conservación y ordenación adoptadas por las OROP. A pesar de los mecanismos establecidos, quedan retos pendientes, como la limitada influencia de Nueva Zelanda en organizaciones de ordenación como la Comisión Interamericana del Atún Tropical (CIAT) donde busca alimentos la especie </w:t>
      </w:r>
      <w:proofErr w:type="spellStart"/>
      <w:r w:rsidRPr="00441F6C">
        <w:rPr>
          <w:rFonts w:cs="Arial"/>
          <w:i/>
          <w:iCs/>
          <w:lang w:val="es-ES"/>
        </w:rPr>
        <w:t>Diomedea</w:t>
      </w:r>
      <w:proofErr w:type="spellEnd"/>
      <w:r w:rsidRPr="00441F6C">
        <w:rPr>
          <w:rFonts w:cs="Arial"/>
          <w:i/>
          <w:iCs/>
          <w:lang w:val="es-ES"/>
        </w:rPr>
        <w:t xml:space="preserve"> </w:t>
      </w:r>
      <w:proofErr w:type="spellStart"/>
      <w:r w:rsidRPr="00441F6C">
        <w:rPr>
          <w:rFonts w:cs="Arial"/>
          <w:i/>
          <w:iCs/>
          <w:lang w:val="es-ES"/>
        </w:rPr>
        <w:t>antipodensis</w:t>
      </w:r>
      <w:proofErr w:type="spellEnd"/>
      <w:r w:rsidRPr="00441F6C">
        <w:rPr>
          <w:rFonts w:cs="Arial"/>
          <w:lang w:val="es-ES"/>
        </w:rPr>
        <w:t xml:space="preserve">. Si bien es importante continuar trabajando en el ACAP y las OROP, una acción concertada bajo la CMS promoverá la sensibilización entre las Partes de la CMS y facilitará la actuación de un mayor número de partes. Por consiguiente, se considera que es fundamental implementar una acción concertada bajo la CMS para mejorar el estado de conservación de la especie </w:t>
      </w:r>
      <w:proofErr w:type="spellStart"/>
      <w:r w:rsidRPr="00441F6C">
        <w:rPr>
          <w:rFonts w:cs="Arial"/>
          <w:i/>
          <w:iCs/>
          <w:lang w:val="es-ES"/>
        </w:rPr>
        <w:t>Diomedea</w:t>
      </w:r>
      <w:proofErr w:type="spellEnd"/>
      <w:r w:rsidRPr="00441F6C">
        <w:rPr>
          <w:rFonts w:cs="Arial"/>
          <w:i/>
          <w:iCs/>
          <w:lang w:val="es-ES"/>
        </w:rPr>
        <w:t xml:space="preserve"> </w:t>
      </w:r>
      <w:proofErr w:type="spellStart"/>
      <w:r w:rsidRPr="00441F6C">
        <w:rPr>
          <w:rFonts w:cs="Arial"/>
          <w:i/>
          <w:iCs/>
          <w:lang w:val="es-ES"/>
        </w:rPr>
        <w:t>antipodensis</w:t>
      </w:r>
      <w:proofErr w:type="spellEnd"/>
      <w:r w:rsidRPr="00441F6C">
        <w:rPr>
          <w:rFonts w:cs="Arial"/>
          <w:lang w:val="es-ES"/>
        </w:rPr>
        <w:t xml:space="preserve">, y que esta complementará e impulsará potencialmente los mecanismos ya establecidos. </w:t>
      </w:r>
    </w:p>
    <w:p w:rsidR="00AC0C9B" w:rsidRPr="00185188" w:rsidRDefault="00AC0C9B" w:rsidP="00AC0C9B">
      <w:pPr>
        <w:spacing w:after="0"/>
        <w:ind w:left="540"/>
        <w:jc w:val="both"/>
        <w:rPr>
          <w:rFonts w:cs="Arial"/>
          <w:lang w:val="es-ES"/>
        </w:rPr>
      </w:pPr>
    </w:p>
    <w:p w:rsidR="00AC0C9B" w:rsidRPr="00185188" w:rsidRDefault="00AC0C9B" w:rsidP="00AC0C9B">
      <w:pPr>
        <w:numPr>
          <w:ilvl w:val="0"/>
          <w:numId w:val="5"/>
        </w:numPr>
        <w:spacing w:after="0" w:line="240" w:lineRule="auto"/>
        <w:ind w:left="540" w:hanging="540"/>
        <w:jc w:val="both"/>
        <w:rPr>
          <w:rFonts w:cs="Arial"/>
          <w:lang w:val="es-ES"/>
        </w:rPr>
      </w:pPr>
      <w:r w:rsidRPr="00441F6C">
        <w:rPr>
          <w:rFonts w:cs="Arial"/>
          <w:b/>
          <w:lang w:val="es-ES"/>
        </w:rPr>
        <w:t>Grado de preparación y viabilidad:</w:t>
      </w:r>
      <w:r w:rsidRPr="00441F6C">
        <w:rPr>
          <w:rFonts w:cs="Arial"/>
          <w:lang w:val="es-ES"/>
        </w:rPr>
        <w:t xml:space="preserve"> las actividades definidas en la presente acción concertada se centran en emplear las estructuras existentes de ordenación pesquera y conservación en las que ya participan numerosas Partes. Una serie de flotas han probado y aplican prácticas eficaces de mitigación de la captura incidental de aves marinas, tales como las opciones recomendadas como asesoramiento sobre las prácticas recomendadas de mitigación del ACAP. Los retos actuales en el tipo de actividades de ordenación pesquera descritas en la presente acción concertada pueden incluir la cobertura de observadores, la supervisión de las medidas de mitigación, así como la recopilación y el intercambio de información. Está previsto que la adopción de la presente acción concertada facilite la cooperación para superar estos retos. Así pues, las actividades están preparadas y son viables, y requieren un liderazgo impulsado por la presente acción concertada para alcanzar los resultados deseados.</w:t>
      </w:r>
    </w:p>
    <w:p w:rsidR="00AC0C9B" w:rsidRPr="00185188" w:rsidRDefault="00AC0C9B" w:rsidP="00AC0C9B">
      <w:pPr>
        <w:spacing w:after="200"/>
        <w:ind w:left="720"/>
        <w:contextualSpacing/>
        <w:rPr>
          <w:rFonts w:cs="Arial"/>
          <w:lang w:val="es-ES"/>
        </w:rPr>
      </w:pPr>
    </w:p>
    <w:p w:rsidR="00AC0C9B" w:rsidRPr="00185188" w:rsidRDefault="00AC0C9B" w:rsidP="00AC0C9B">
      <w:pPr>
        <w:spacing w:after="0"/>
        <w:ind w:left="540"/>
        <w:jc w:val="both"/>
        <w:rPr>
          <w:rFonts w:cs="Arial"/>
          <w:lang w:val="es-ES"/>
        </w:rPr>
      </w:pPr>
      <w:r w:rsidRPr="00547ABF">
        <w:rPr>
          <w:rFonts w:cs="Arial"/>
          <w:lang w:val="es-ES"/>
        </w:rPr>
        <w:t>Las actividades de investigación ya están en curso y se basan en protocolos normalizados, por lo que están preparadas y son viables. Se han desarrollado y utilizado métodos de evaluación de los riesgos a varias escalas, y el principal reto (como ya se ha recalcado) será obtener información adecuada sobre las operaciones pesqueras. Ya se han puesto en marcha los controles de bioseguridad y la gestión de las zonas de reproducción.</w:t>
      </w:r>
    </w:p>
    <w:p w:rsidR="00AC0C9B" w:rsidRPr="00185188" w:rsidRDefault="00AC0C9B" w:rsidP="00AC0C9B">
      <w:pPr>
        <w:spacing w:after="0"/>
        <w:jc w:val="both"/>
        <w:rPr>
          <w:rFonts w:cs="Arial"/>
          <w:lang w:val="es-ES"/>
        </w:rPr>
      </w:pPr>
      <w:r w:rsidRPr="00547ABF">
        <w:rPr>
          <w:rFonts w:cs="Arial"/>
          <w:lang w:val="es-ES"/>
        </w:rPr>
        <w:t xml:space="preserve"> </w:t>
      </w:r>
    </w:p>
    <w:p w:rsidR="00AC0C9B" w:rsidRPr="00185188" w:rsidRDefault="00AC0C9B" w:rsidP="00AC0C9B">
      <w:pPr>
        <w:numPr>
          <w:ilvl w:val="0"/>
          <w:numId w:val="5"/>
        </w:numPr>
        <w:spacing w:after="0" w:line="240" w:lineRule="auto"/>
        <w:ind w:left="540" w:hanging="540"/>
        <w:jc w:val="both"/>
        <w:rPr>
          <w:rFonts w:cs="Arial"/>
          <w:lang w:val="es-ES"/>
        </w:rPr>
      </w:pPr>
      <w:r w:rsidRPr="00547ABF">
        <w:rPr>
          <w:rFonts w:cs="Arial"/>
          <w:b/>
          <w:lang w:val="es-ES"/>
        </w:rPr>
        <w:t>Probabilidad de éxito:</w:t>
      </w:r>
      <w:r w:rsidRPr="00547ABF">
        <w:rPr>
          <w:rFonts w:cs="Arial"/>
          <w:lang w:val="es-ES"/>
        </w:rPr>
        <w:t xml:space="preserve"> todavía no se conoce con certeza el nivel de amenaza que representa la pesca incidental en pesquerías para la especie </w:t>
      </w:r>
      <w:proofErr w:type="spellStart"/>
      <w:r w:rsidRPr="00547ABF">
        <w:rPr>
          <w:rFonts w:cs="Arial"/>
          <w:i/>
          <w:iCs/>
          <w:lang w:val="es-ES"/>
        </w:rPr>
        <w:t>Diomedea</w:t>
      </w:r>
      <w:proofErr w:type="spellEnd"/>
      <w:r w:rsidRPr="00547ABF">
        <w:rPr>
          <w:rFonts w:cs="Arial"/>
          <w:i/>
          <w:iCs/>
          <w:lang w:val="es-ES"/>
        </w:rPr>
        <w:t xml:space="preserve"> </w:t>
      </w:r>
      <w:proofErr w:type="spellStart"/>
      <w:r w:rsidRPr="00547ABF">
        <w:rPr>
          <w:rFonts w:cs="Arial"/>
          <w:i/>
          <w:iCs/>
          <w:lang w:val="es-ES"/>
        </w:rPr>
        <w:t>antipodensis</w:t>
      </w:r>
      <w:proofErr w:type="spellEnd"/>
      <w:r w:rsidRPr="00547ABF">
        <w:rPr>
          <w:rFonts w:cs="Arial"/>
          <w:lang w:val="es-ES"/>
        </w:rPr>
        <w:t>. Así pues, aún existe el riesgo de que la población continúe disminuyendo a pesar de que la captura incidental en pesquerías se gestione debidamente. No obstante, la gestión de las repercusiones de todas las pesquerías, incluida la posible utilización con fines alimentarios por las tripulaciones de las embarcaciones que operan en alta mar, es la única amenaza para la especie notable y fácilmente gestionable, por lo que representa la intervención de gestión con el mayor beneficio potencial para la especie.</w:t>
      </w:r>
    </w:p>
    <w:p w:rsidR="00AC0C9B" w:rsidRPr="00185188" w:rsidRDefault="00AC0C9B" w:rsidP="00AC0C9B">
      <w:pPr>
        <w:spacing w:after="0"/>
        <w:jc w:val="both"/>
        <w:rPr>
          <w:rFonts w:cs="Arial"/>
          <w:lang w:val="es-ES"/>
        </w:rPr>
      </w:pPr>
    </w:p>
    <w:p w:rsidR="00AC0C9B" w:rsidRPr="00185188" w:rsidRDefault="00AC0C9B" w:rsidP="00AC0C9B">
      <w:pPr>
        <w:numPr>
          <w:ilvl w:val="0"/>
          <w:numId w:val="5"/>
        </w:numPr>
        <w:spacing w:after="0" w:line="240" w:lineRule="auto"/>
        <w:ind w:left="540" w:hanging="540"/>
        <w:jc w:val="both"/>
        <w:rPr>
          <w:rFonts w:cs="Arial"/>
          <w:lang w:val="es-ES"/>
        </w:rPr>
      </w:pPr>
      <w:r w:rsidRPr="00547ABF">
        <w:rPr>
          <w:rFonts w:cs="Arial"/>
          <w:b/>
          <w:lang w:val="es-ES"/>
        </w:rPr>
        <w:t>Magnitud del impacto probable:</w:t>
      </w:r>
      <w:r w:rsidRPr="00547ABF">
        <w:rPr>
          <w:rFonts w:cs="Arial"/>
          <w:lang w:val="es-ES"/>
        </w:rPr>
        <w:t xml:space="preserve"> las actividades descritas en la presente acción concertada tienen por objeto reducir la captura incidental de aves marinas en las pesquerías tanto en los principales Estados del área de distribución como en alta mar en el Océano Pacífico Sur, al sur del área (aproximadamente a 25° al sur). Entre otras especies de aves marinas cuya captura incidental en pesquerías que operan en estas áreas es conocida o probable y que, por tanto, también se ven afectadas por las actividades que se abordan en la presente acción concertada, se encuentran las siguientes especies enumeradas en el Apéndice II de la CMS y el ACAP: </w:t>
      </w:r>
      <w:proofErr w:type="spellStart"/>
      <w:r w:rsidRPr="00547ABF">
        <w:rPr>
          <w:rFonts w:cs="Arial"/>
          <w:i/>
          <w:iCs/>
          <w:lang w:val="es-ES"/>
        </w:rPr>
        <w:t>Diomedea</w:t>
      </w:r>
      <w:proofErr w:type="spellEnd"/>
      <w:r w:rsidRPr="00547ABF">
        <w:rPr>
          <w:rFonts w:cs="Arial"/>
          <w:i/>
          <w:iCs/>
          <w:lang w:val="es-ES"/>
        </w:rPr>
        <w:t xml:space="preserve"> </w:t>
      </w:r>
      <w:proofErr w:type="spellStart"/>
      <w:r w:rsidRPr="00547ABF">
        <w:rPr>
          <w:rFonts w:cs="Arial"/>
          <w:i/>
          <w:iCs/>
          <w:lang w:val="es-ES"/>
        </w:rPr>
        <w:lastRenderedPageBreak/>
        <w:t>exulans</w:t>
      </w:r>
      <w:proofErr w:type="spellEnd"/>
      <w:r w:rsidRPr="00547ABF">
        <w:rPr>
          <w:rFonts w:cs="Arial"/>
          <w:i/>
          <w:iCs/>
          <w:lang w:val="es-ES"/>
        </w:rPr>
        <w:t xml:space="preserve">, </w:t>
      </w:r>
      <w:proofErr w:type="spellStart"/>
      <w:r w:rsidRPr="00547ABF">
        <w:rPr>
          <w:rFonts w:cs="Arial"/>
          <w:i/>
          <w:iCs/>
          <w:lang w:val="es-ES"/>
        </w:rPr>
        <w:t>Diomedea</w:t>
      </w:r>
      <w:proofErr w:type="spellEnd"/>
      <w:r w:rsidRPr="00547ABF">
        <w:rPr>
          <w:rFonts w:cs="Arial"/>
          <w:i/>
          <w:iCs/>
          <w:lang w:val="es-ES"/>
        </w:rPr>
        <w:t xml:space="preserve"> </w:t>
      </w:r>
      <w:proofErr w:type="spellStart"/>
      <w:r w:rsidRPr="00547ABF">
        <w:rPr>
          <w:rFonts w:cs="Arial"/>
          <w:i/>
          <w:iCs/>
          <w:lang w:val="es-ES"/>
        </w:rPr>
        <w:t>epomophora</w:t>
      </w:r>
      <w:proofErr w:type="spellEnd"/>
      <w:r w:rsidRPr="00547ABF">
        <w:rPr>
          <w:rFonts w:cs="Arial"/>
          <w:i/>
          <w:iCs/>
          <w:lang w:val="es-ES"/>
        </w:rPr>
        <w:t xml:space="preserve">, </w:t>
      </w:r>
      <w:proofErr w:type="spellStart"/>
      <w:r w:rsidRPr="00547ABF">
        <w:rPr>
          <w:rFonts w:cs="Arial"/>
          <w:i/>
          <w:iCs/>
          <w:lang w:val="es-ES"/>
        </w:rPr>
        <w:t>Diomedea</w:t>
      </w:r>
      <w:proofErr w:type="spellEnd"/>
      <w:r w:rsidRPr="00547ABF">
        <w:rPr>
          <w:rFonts w:cs="Arial"/>
          <w:i/>
          <w:iCs/>
          <w:lang w:val="es-ES"/>
        </w:rPr>
        <w:t xml:space="preserve"> </w:t>
      </w:r>
      <w:proofErr w:type="spellStart"/>
      <w:r w:rsidRPr="00547ABF">
        <w:rPr>
          <w:rFonts w:cs="Arial"/>
          <w:i/>
          <w:iCs/>
          <w:lang w:val="es-ES"/>
        </w:rPr>
        <w:t>sanfordi</w:t>
      </w:r>
      <w:proofErr w:type="spellEnd"/>
      <w:r w:rsidRPr="00547ABF">
        <w:rPr>
          <w:rFonts w:cs="Arial"/>
          <w:i/>
          <w:iCs/>
          <w:lang w:val="es-ES"/>
        </w:rPr>
        <w:t xml:space="preserve">, </w:t>
      </w:r>
      <w:proofErr w:type="spellStart"/>
      <w:r w:rsidRPr="00547ABF">
        <w:rPr>
          <w:rFonts w:cs="Arial"/>
          <w:i/>
          <w:iCs/>
          <w:lang w:val="es-ES"/>
        </w:rPr>
        <w:t>Thalassarche</w:t>
      </w:r>
      <w:proofErr w:type="spellEnd"/>
      <w:r w:rsidRPr="00547ABF">
        <w:rPr>
          <w:rFonts w:cs="Arial"/>
          <w:i/>
          <w:iCs/>
          <w:lang w:val="es-ES"/>
        </w:rPr>
        <w:t xml:space="preserve"> </w:t>
      </w:r>
      <w:proofErr w:type="spellStart"/>
      <w:r w:rsidRPr="00547ABF">
        <w:rPr>
          <w:rFonts w:cs="Arial"/>
          <w:i/>
          <w:iCs/>
          <w:lang w:val="es-ES"/>
        </w:rPr>
        <w:t>carteri</w:t>
      </w:r>
      <w:proofErr w:type="spellEnd"/>
      <w:r w:rsidRPr="00547ABF">
        <w:rPr>
          <w:rFonts w:cs="Arial"/>
          <w:i/>
          <w:iCs/>
          <w:lang w:val="es-ES"/>
        </w:rPr>
        <w:t xml:space="preserve">, </w:t>
      </w:r>
      <w:proofErr w:type="spellStart"/>
      <w:r w:rsidRPr="00547ABF">
        <w:rPr>
          <w:rFonts w:cs="Arial"/>
          <w:i/>
          <w:iCs/>
          <w:lang w:val="es-ES"/>
        </w:rPr>
        <w:t>Thalassarche</w:t>
      </w:r>
      <w:proofErr w:type="spellEnd"/>
      <w:r w:rsidRPr="00547ABF">
        <w:rPr>
          <w:rFonts w:cs="Arial"/>
          <w:i/>
          <w:iCs/>
          <w:lang w:val="es-ES"/>
        </w:rPr>
        <w:t xml:space="preserve"> </w:t>
      </w:r>
      <w:proofErr w:type="spellStart"/>
      <w:r w:rsidRPr="00547ABF">
        <w:rPr>
          <w:rFonts w:cs="Arial"/>
          <w:i/>
          <w:iCs/>
          <w:lang w:val="es-ES"/>
        </w:rPr>
        <w:t>melanophris</w:t>
      </w:r>
      <w:proofErr w:type="spellEnd"/>
      <w:r w:rsidRPr="00547ABF">
        <w:rPr>
          <w:rFonts w:cs="Arial"/>
          <w:i/>
          <w:iCs/>
          <w:lang w:val="es-ES"/>
        </w:rPr>
        <w:t xml:space="preserve">, </w:t>
      </w:r>
      <w:proofErr w:type="spellStart"/>
      <w:r w:rsidRPr="00547ABF">
        <w:rPr>
          <w:rFonts w:cs="Arial"/>
          <w:i/>
          <w:iCs/>
          <w:lang w:val="es-ES"/>
        </w:rPr>
        <w:t>Thalassarche</w:t>
      </w:r>
      <w:proofErr w:type="spellEnd"/>
      <w:r w:rsidRPr="00547ABF">
        <w:rPr>
          <w:rFonts w:cs="Arial"/>
          <w:i/>
          <w:iCs/>
          <w:lang w:val="es-ES"/>
        </w:rPr>
        <w:t xml:space="preserve"> </w:t>
      </w:r>
      <w:proofErr w:type="spellStart"/>
      <w:r w:rsidRPr="00547ABF">
        <w:rPr>
          <w:rFonts w:cs="Arial"/>
          <w:i/>
          <w:iCs/>
          <w:lang w:val="es-ES"/>
        </w:rPr>
        <w:t>impavida</w:t>
      </w:r>
      <w:proofErr w:type="spellEnd"/>
      <w:r w:rsidRPr="00547ABF">
        <w:rPr>
          <w:rFonts w:cs="Arial"/>
          <w:i/>
          <w:iCs/>
          <w:lang w:val="es-ES"/>
        </w:rPr>
        <w:t xml:space="preserve">, </w:t>
      </w:r>
      <w:proofErr w:type="spellStart"/>
      <w:r w:rsidRPr="00547ABF">
        <w:rPr>
          <w:rFonts w:cs="Arial"/>
          <w:i/>
          <w:iCs/>
          <w:lang w:val="es-ES"/>
        </w:rPr>
        <w:t>Thalassarche</w:t>
      </w:r>
      <w:proofErr w:type="spellEnd"/>
      <w:r w:rsidRPr="00547ABF">
        <w:rPr>
          <w:rFonts w:cs="Arial"/>
          <w:i/>
          <w:iCs/>
          <w:lang w:val="es-ES"/>
        </w:rPr>
        <w:t xml:space="preserve"> </w:t>
      </w:r>
      <w:proofErr w:type="spellStart"/>
      <w:r w:rsidRPr="00547ABF">
        <w:rPr>
          <w:rFonts w:cs="Arial"/>
          <w:i/>
          <w:iCs/>
          <w:lang w:val="es-ES"/>
        </w:rPr>
        <w:t>chrysostoma</w:t>
      </w:r>
      <w:proofErr w:type="spellEnd"/>
      <w:r w:rsidRPr="00547ABF">
        <w:rPr>
          <w:rFonts w:cs="Arial"/>
          <w:i/>
          <w:iCs/>
          <w:lang w:val="es-ES"/>
        </w:rPr>
        <w:t xml:space="preserve">, </w:t>
      </w:r>
      <w:proofErr w:type="spellStart"/>
      <w:r w:rsidRPr="00547ABF">
        <w:rPr>
          <w:rFonts w:cs="Arial"/>
          <w:i/>
          <w:iCs/>
          <w:lang w:val="es-ES"/>
        </w:rPr>
        <w:t>Thalassarche</w:t>
      </w:r>
      <w:proofErr w:type="spellEnd"/>
      <w:r w:rsidRPr="00547ABF">
        <w:rPr>
          <w:rFonts w:cs="Arial"/>
          <w:i/>
          <w:iCs/>
          <w:lang w:val="es-ES"/>
        </w:rPr>
        <w:t xml:space="preserve"> </w:t>
      </w:r>
      <w:proofErr w:type="spellStart"/>
      <w:r w:rsidRPr="00547ABF">
        <w:rPr>
          <w:rFonts w:cs="Arial"/>
          <w:i/>
          <w:iCs/>
          <w:lang w:val="es-ES"/>
        </w:rPr>
        <w:t>bulleri</w:t>
      </w:r>
      <w:proofErr w:type="spellEnd"/>
      <w:r w:rsidRPr="00547ABF">
        <w:rPr>
          <w:rFonts w:cs="Arial"/>
          <w:i/>
          <w:iCs/>
          <w:lang w:val="es-ES"/>
        </w:rPr>
        <w:t xml:space="preserve">, </w:t>
      </w:r>
      <w:proofErr w:type="spellStart"/>
      <w:r w:rsidRPr="00547ABF">
        <w:rPr>
          <w:rFonts w:cs="Arial"/>
          <w:i/>
          <w:iCs/>
          <w:lang w:val="es-ES"/>
        </w:rPr>
        <w:t>Thalassarche</w:t>
      </w:r>
      <w:proofErr w:type="spellEnd"/>
      <w:r w:rsidRPr="00547ABF">
        <w:rPr>
          <w:rFonts w:cs="Arial"/>
          <w:i/>
          <w:iCs/>
          <w:lang w:val="es-ES"/>
        </w:rPr>
        <w:t xml:space="preserve"> cauta, </w:t>
      </w:r>
      <w:proofErr w:type="spellStart"/>
      <w:r w:rsidRPr="00547ABF">
        <w:rPr>
          <w:rFonts w:cs="Arial"/>
          <w:i/>
          <w:iCs/>
          <w:lang w:val="es-ES"/>
        </w:rPr>
        <w:t>Thalassarche</w:t>
      </w:r>
      <w:proofErr w:type="spellEnd"/>
      <w:r w:rsidRPr="00547ABF">
        <w:rPr>
          <w:rFonts w:cs="Arial"/>
          <w:i/>
          <w:iCs/>
          <w:lang w:val="es-ES"/>
        </w:rPr>
        <w:t xml:space="preserve"> </w:t>
      </w:r>
      <w:proofErr w:type="spellStart"/>
      <w:r w:rsidRPr="00547ABF">
        <w:rPr>
          <w:rFonts w:cs="Arial"/>
          <w:i/>
          <w:iCs/>
          <w:lang w:val="es-ES"/>
        </w:rPr>
        <w:t>steadi</w:t>
      </w:r>
      <w:proofErr w:type="spellEnd"/>
      <w:r w:rsidRPr="00547ABF">
        <w:rPr>
          <w:rFonts w:cs="Arial"/>
          <w:i/>
          <w:iCs/>
          <w:lang w:val="es-ES"/>
        </w:rPr>
        <w:t xml:space="preserve">, </w:t>
      </w:r>
      <w:proofErr w:type="spellStart"/>
      <w:r w:rsidRPr="00547ABF">
        <w:rPr>
          <w:rFonts w:cs="Arial"/>
          <w:i/>
          <w:iCs/>
          <w:lang w:val="es-ES"/>
        </w:rPr>
        <w:t>Thalassarche</w:t>
      </w:r>
      <w:proofErr w:type="spellEnd"/>
      <w:r w:rsidRPr="00547ABF">
        <w:rPr>
          <w:rFonts w:cs="Arial"/>
          <w:i/>
          <w:iCs/>
          <w:lang w:val="es-ES"/>
        </w:rPr>
        <w:t xml:space="preserve"> eremita, </w:t>
      </w:r>
      <w:proofErr w:type="spellStart"/>
      <w:r w:rsidRPr="00547ABF">
        <w:rPr>
          <w:rFonts w:cs="Arial"/>
          <w:i/>
          <w:iCs/>
          <w:lang w:val="es-ES"/>
        </w:rPr>
        <w:t>Thalassarche</w:t>
      </w:r>
      <w:proofErr w:type="spellEnd"/>
      <w:r w:rsidRPr="00547ABF">
        <w:rPr>
          <w:rFonts w:cs="Arial"/>
          <w:i/>
          <w:iCs/>
          <w:lang w:val="es-ES"/>
        </w:rPr>
        <w:t xml:space="preserve"> </w:t>
      </w:r>
      <w:proofErr w:type="spellStart"/>
      <w:r w:rsidRPr="00547ABF">
        <w:rPr>
          <w:rFonts w:cs="Arial"/>
          <w:i/>
          <w:iCs/>
          <w:lang w:val="es-ES"/>
        </w:rPr>
        <w:t>salvini</w:t>
      </w:r>
      <w:proofErr w:type="spellEnd"/>
      <w:r w:rsidRPr="00547ABF">
        <w:rPr>
          <w:rFonts w:cs="Arial"/>
          <w:i/>
          <w:iCs/>
          <w:lang w:val="es-ES"/>
        </w:rPr>
        <w:t xml:space="preserve">, </w:t>
      </w:r>
      <w:proofErr w:type="spellStart"/>
      <w:r w:rsidRPr="00547ABF">
        <w:rPr>
          <w:rFonts w:cs="Arial"/>
          <w:i/>
          <w:iCs/>
          <w:lang w:val="es-ES"/>
        </w:rPr>
        <w:t>Phoebetria</w:t>
      </w:r>
      <w:proofErr w:type="spellEnd"/>
      <w:r w:rsidRPr="00547ABF">
        <w:rPr>
          <w:rFonts w:cs="Arial"/>
          <w:i/>
          <w:iCs/>
          <w:lang w:val="es-ES"/>
        </w:rPr>
        <w:t xml:space="preserve"> </w:t>
      </w:r>
      <w:proofErr w:type="spellStart"/>
      <w:r w:rsidRPr="00547ABF">
        <w:rPr>
          <w:rFonts w:cs="Arial"/>
          <w:i/>
          <w:iCs/>
          <w:lang w:val="es-ES"/>
        </w:rPr>
        <w:t>palpebrata</w:t>
      </w:r>
      <w:proofErr w:type="spellEnd"/>
      <w:r w:rsidRPr="00547ABF">
        <w:rPr>
          <w:rFonts w:cs="Arial"/>
          <w:i/>
          <w:iCs/>
          <w:lang w:val="es-ES"/>
        </w:rPr>
        <w:t xml:space="preserve">, </w:t>
      </w:r>
      <w:proofErr w:type="spellStart"/>
      <w:r w:rsidRPr="00547ABF">
        <w:rPr>
          <w:rFonts w:cs="Arial"/>
          <w:i/>
          <w:iCs/>
          <w:lang w:val="es-ES"/>
        </w:rPr>
        <w:t>Macronectes</w:t>
      </w:r>
      <w:proofErr w:type="spellEnd"/>
      <w:r w:rsidRPr="00547ABF">
        <w:rPr>
          <w:rFonts w:cs="Arial"/>
          <w:i/>
          <w:iCs/>
          <w:lang w:val="es-ES"/>
        </w:rPr>
        <w:t xml:space="preserve"> </w:t>
      </w:r>
      <w:proofErr w:type="spellStart"/>
      <w:r w:rsidRPr="00547ABF">
        <w:rPr>
          <w:rFonts w:cs="Arial"/>
          <w:i/>
          <w:iCs/>
          <w:lang w:val="es-ES"/>
        </w:rPr>
        <w:t>giganteus</w:t>
      </w:r>
      <w:proofErr w:type="spellEnd"/>
      <w:r w:rsidRPr="00547ABF">
        <w:rPr>
          <w:rFonts w:cs="Arial"/>
          <w:i/>
          <w:iCs/>
          <w:lang w:val="es-ES"/>
        </w:rPr>
        <w:t xml:space="preserve">, </w:t>
      </w:r>
      <w:proofErr w:type="spellStart"/>
      <w:r w:rsidRPr="00547ABF">
        <w:rPr>
          <w:rFonts w:cs="Arial"/>
          <w:i/>
          <w:iCs/>
          <w:lang w:val="es-ES"/>
        </w:rPr>
        <w:t>Macronectes</w:t>
      </w:r>
      <w:proofErr w:type="spellEnd"/>
      <w:r w:rsidRPr="00547ABF">
        <w:rPr>
          <w:rFonts w:cs="Arial"/>
          <w:i/>
          <w:iCs/>
          <w:lang w:val="es-ES"/>
        </w:rPr>
        <w:t xml:space="preserve"> </w:t>
      </w:r>
      <w:proofErr w:type="spellStart"/>
      <w:r w:rsidRPr="00547ABF">
        <w:rPr>
          <w:rFonts w:cs="Arial"/>
          <w:i/>
          <w:iCs/>
          <w:lang w:val="es-ES"/>
        </w:rPr>
        <w:t>halli</w:t>
      </w:r>
      <w:proofErr w:type="spellEnd"/>
      <w:r w:rsidRPr="00547ABF">
        <w:rPr>
          <w:rFonts w:cs="Arial"/>
          <w:i/>
          <w:iCs/>
          <w:lang w:val="es-ES"/>
        </w:rPr>
        <w:t xml:space="preserve">, </w:t>
      </w:r>
      <w:proofErr w:type="spellStart"/>
      <w:r w:rsidRPr="00547ABF">
        <w:rPr>
          <w:rFonts w:cs="Arial"/>
          <w:i/>
          <w:iCs/>
          <w:lang w:val="es-ES"/>
        </w:rPr>
        <w:t>Procellaria</w:t>
      </w:r>
      <w:proofErr w:type="spellEnd"/>
      <w:r w:rsidRPr="00547ABF">
        <w:rPr>
          <w:rFonts w:cs="Arial"/>
          <w:i/>
          <w:iCs/>
          <w:lang w:val="es-ES"/>
        </w:rPr>
        <w:t xml:space="preserve"> </w:t>
      </w:r>
      <w:proofErr w:type="spellStart"/>
      <w:r w:rsidRPr="00547ABF">
        <w:rPr>
          <w:rFonts w:cs="Arial"/>
          <w:i/>
          <w:iCs/>
          <w:lang w:val="es-ES"/>
        </w:rPr>
        <w:t>aequinoctialis</w:t>
      </w:r>
      <w:proofErr w:type="spellEnd"/>
      <w:r w:rsidRPr="00547ABF">
        <w:rPr>
          <w:rFonts w:cs="Arial"/>
          <w:i/>
          <w:iCs/>
          <w:lang w:val="es-ES"/>
        </w:rPr>
        <w:t xml:space="preserve">, </w:t>
      </w:r>
      <w:proofErr w:type="spellStart"/>
      <w:r w:rsidRPr="00547ABF">
        <w:rPr>
          <w:rFonts w:cs="Arial"/>
          <w:i/>
          <w:iCs/>
          <w:lang w:val="es-ES"/>
        </w:rPr>
        <w:t>Procellaria</w:t>
      </w:r>
      <w:proofErr w:type="spellEnd"/>
      <w:r w:rsidRPr="00547ABF">
        <w:rPr>
          <w:rFonts w:cs="Arial"/>
          <w:i/>
          <w:iCs/>
          <w:lang w:val="es-ES"/>
        </w:rPr>
        <w:t xml:space="preserve"> </w:t>
      </w:r>
      <w:proofErr w:type="spellStart"/>
      <w:r w:rsidRPr="00547ABF">
        <w:rPr>
          <w:rFonts w:cs="Arial"/>
          <w:i/>
          <w:iCs/>
          <w:lang w:val="es-ES"/>
        </w:rPr>
        <w:t>westlandica</w:t>
      </w:r>
      <w:proofErr w:type="spellEnd"/>
      <w:r w:rsidRPr="00547ABF">
        <w:rPr>
          <w:rFonts w:cs="Arial"/>
          <w:i/>
          <w:iCs/>
          <w:lang w:val="es-ES"/>
        </w:rPr>
        <w:t xml:space="preserve">, </w:t>
      </w:r>
      <w:proofErr w:type="spellStart"/>
      <w:r w:rsidRPr="00547ABF">
        <w:rPr>
          <w:rFonts w:cs="Arial"/>
          <w:i/>
          <w:iCs/>
          <w:lang w:val="es-ES"/>
        </w:rPr>
        <w:t>Procellaria</w:t>
      </w:r>
      <w:proofErr w:type="spellEnd"/>
      <w:r w:rsidRPr="00547ABF">
        <w:rPr>
          <w:rFonts w:cs="Arial"/>
          <w:i/>
          <w:iCs/>
          <w:lang w:val="es-ES"/>
        </w:rPr>
        <w:t xml:space="preserve"> </w:t>
      </w:r>
      <w:proofErr w:type="spellStart"/>
      <w:r w:rsidRPr="00547ABF">
        <w:rPr>
          <w:rFonts w:cs="Arial"/>
          <w:i/>
          <w:iCs/>
          <w:lang w:val="es-ES"/>
        </w:rPr>
        <w:t>parkinsoni</w:t>
      </w:r>
      <w:proofErr w:type="spellEnd"/>
      <w:r w:rsidRPr="00547ABF">
        <w:rPr>
          <w:rFonts w:cs="Arial"/>
          <w:lang w:val="es-ES"/>
        </w:rPr>
        <w:t xml:space="preserve"> y </w:t>
      </w:r>
      <w:proofErr w:type="spellStart"/>
      <w:r w:rsidRPr="00547ABF">
        <w:rPr>
          <w:rFonts w:cs="Arial"/>
          <w:i/>
          <w:iCs/>
          <w:lang w:val="es-ES"/>
        </w:rPr>
        <w:t>Procellaria</w:t>
      </w:r>
      <w:proofErr w:type="spellEnd"/>
      <w:r w:rsidRPr="00547ABF">
        <w:rPr>
          <w:rFonts w:cs="Arial"/>
          <w:i/>
          <w:iCs/>
          <w:lang w:val="es-ES"/>
        </w:rPr>
        <w:t xml:space="preserve"> </w:t>
      </w:r>
      <w:proofErr w:type="spellStart"/>
      <w:r w:rsidRPr="00547ABF">
        <w:rPr>
          <w:rFonts w:cs="Arial"/>
          <w:i/>
          <w:iCs/>
          <w:lang w:val="es-ES"/>
        </w:rPr>
        <w:t>cinerea</w:t>
      </w:r>
      <w:proofErr w:type="spellEnd"/>
      <w:r w:rsidRPr="00547ABF">
        <w:rPr>
          <w:rFonts w:cs="Arial"/>
          <w:lang w:val="es-ES"/>
        </w:rPr>
        <w:t>.</w:t>
      </w:r>
    </w:p>
    <w:p w:rsidR="00AC0C9B" w:rsidRPr="00185188" w:rsidRDefault="00AC0C9B" w:rsidP="00AC0C9B">
      <w:pPr>
        <w:spacing w:after="0"/>
        <w:jc w:val="both"/>
        <w:rPr>
          <w:rFonts w:cs="Arial"/>
          <w:lang w:val="es-ES"/>
        </w:rPr>
      </w:pPr>
    </w:p>
    <w:p w:rsidR="00AC0C9B" w:rsidRPr="00185188" w:rsidRDefault="00AC0C9B" w:rsidP="00AC0C9B">
      <w:pPr>
        <w:numPr>
          <w:ilvl w:val="0"/>
          <w:numId w:val="5"/>
        </w:numPr>
        <w:spacing w:after="0" w:line="240" w:lineRule="auto"/>
        <w:ind w:left="540" w:hanging="540"/>
        <w:jc w:val="both"/>
        <w:rPr>
          <w:rFonts w:cs="Arial"/>
          <w:lang w:val="es-ES"/>
        </w:rPr>
      </w:pPr>
      <w:r w:rsidRPr="00441F6C">
        <w:rPr>
          <w:rFonts w:cs="Arial"/>
          <w:b/>
          <w:lang w:val="es-ES"/>
        </w:rPr>
        <w:t>Rentabilidad:</w:t>
      </w:r>
      <w:r w:rsidRPr="00441F6C">
        <w:rPr>
          <w:rFonts w:cs="Arial"/>
          <w:lang w:val="es-ES"/>
        </w:rPr>
        <w:t xml:space="preserve"> las actividades definidas en la presente acción concertada se centran en emplear las estructuras existentes de ordenación pesquera. Por consiguiente, los costes adicionales relacionados con la gestión de las pesquerías nacionales o la colaboración con OROP relevantes, son bajos y se derivarán de la financiación de la capacidad suficiente y/o la priorización de la capacidad existente, así como la colaboración con los sectores de gestión de la captura incidental de estos procesos de ordenación pesquera. Las flotas pesqueras pertinentes que actualmente no apliquen medidas eficaces de mitigación de la captura incidental de aves marinas o no recopilen información sobre las interacciones de las aves marinas pueden enfrentarse a costes derivados de la mejora de sus operaciones. Los costes adicionales estarían relacionados con la supervisión de la implementación de prácticas de mitigación y recopilación de datos. Sin embargo, cabe señalar que las acciones que emprendan las flotas pesqueras para reducir el riesgo de captura incidental de la especie </w:t>
      </w:r>
      <w:proofErr w:type="spellStart"/>
      <w:r w:rsidRPr="00547ABF">
        <w:rPr>
          <w:rFonts w:cs="Arial"/>
          <w:i/>
          <w:iCs/>
          <w:lang w:val="es-ES"/>
        </w:rPr>
        <w:t>Diomedea</w:t>
      </w:r>
      <w:proofErr w:type="spellEnd"/>
      <w:r w:rsidRPr="00547ABF">
        <w:rPr>
          <w:rFonts w:cs="Arial"/>
          <w:i/>
          <w:iCs/>
          <w:lang w:val="es-ES"/>
        </w:rPr>
        <w:t xml:space="preserve"> </w:t>
      </w:r>
      <w:proofErr w:type="spellStart"/>
      <w:r w:rsidRPr="00547ABF">
        <w:rPr>
          <w:rFonts w:cs="Arial"/>
          <w:i/>
          <w:iCs/>
          <w:lang w:val="es-ES"/>
        </w:rPr>
        <w:t>antipodensis</w:t>
      </w:r>
      <w:proofErr w:type="spellEnd"/>
      <w:r w:rsidRPr="00441F6C">
        <w:rPr>
          <w:rFonts w:cs="Arial"/>
          <w:lang w:val="es-ES"/>
        </w:rPr>
        <w:t xml:space="preserve"> reducirán asimismo el riesgo de captura incidental de otras especies de aves marinas, por lo que mejorarán ciertos aspectos de la sostenibilidad de su operación. </w:t>
      </w:r>
    </w:p>
    <w:p w:rsidR="00AC0C9B" w:rsidRPr="00185188" w:rsidRDefault="00AC0C9B" w:rsidP="00AC0C9B">
      <w:pPr>
        <w:spacing w:after="200"/>
        <w:ind w:left="720"/>
        <w:contextualSpacing/>
        <w:rPr>
          <w:rFonts w:cs="Arial"/>
          <w:lang w:val="es-ES"/>
        </w:rPr>
      </w:pPr>
    </w:p>
    <w:p w:rsidR="00AC0C9B" w:rsidRPr="00185188" w:rsidRDefault="00AC0C9B" w:rsidP="00AC0C9B">
      <w:pPr>
        <w:spacing w:after="0"/>
        <w:ind w:left="540"/>
        <w:jc w:val="both"/>
        <w:rPr>
          <w:rFonts w:cs="Arial"/>
          <w:lang w:val="es-ES"/>
        </w:rPr>
      </w:pPr>
      <w:r w:rsidRPr="00547ABF">
        <w:rPr>
          <w:rFonts w:cs="Arial"/>
          <w:lang w:val="es-ES"/>
        </w:rPr>
        <w:t>El Gobierno de Nueva Zelanda ya ha asignado los fondos para la investigación de base y el seguimiento de las especies. La colaboración y la financiación adicional permitirían ampliar el programa de investigación (p. ej., seguimiento adicional en alta mar o estudio de la dieta).</w:t>
      </w:r>
    </w:p>
    <w:p w:rsidR="00AC0C9B" w:rsidRPr="00185188" w:rsidRDefault="00AC0C9B" w:rsidP="00AC0C9B">
      <w:pPr>
        <w:spacing w:after="0"/>
        <w:ind w:left="540"/>
        <w:jc w:val="both"/>
        <w:rPr>
          <w:rFonts w:cs="Arial"/>
          <w:lang w:val="es-ES"/>
        </w:rPr>
      </w:pPr>
    </w:p>
    <w:p w:rsidR="00AC0C9B" w:rsidRPr="00185188" w:rsidRDefault="00AC0C9B" w:rsidP="00AC0C9B">
      <w:pPr>
        <w:spacing w:after="0"/>
        <w:ind w:left="540"/>
        <w:jc w:val="both"/>
        <w:rPr>
          <w:rFonts w:cs="Arial"/>
          <w:lang w:val="es-ES"/>
        </w:rPr>
      </w:pPr>
      <w:r w:rsidRPr="00441F6C">
        <w:rPr>
          <w:rFonts w:cs="Arial"/>
          <w:lang w:val="es-ES"/>
        </w:rPr>
        <w:t xml:space="preserve">El Gobierno de Nueva Zelanda ya ha asignado los fondos para la protección continua y el control de bioseguridad de las zonas de reproducción. El Gobierno de Nueva Zelanda ha destinado 2 millones de dólares neozelandeses para las fases de viabilidad y planificación de la erradicación de la plaga de mamíferos en la isla Auckland, y la operación completa, para la que aún se deben obtener fondos, está estimada actualmente en 60 millones dólares neozelandeses. Los costes de estas acciones de gestión sobre el terreno benefician a otras especies con problemas de conservación. </w:t>
      </w:r>
    </w:p>
    <w:p w:rsidR="00AC0C9B" w:rsidRPr="00185188" w:rsidRDefault="00AC0C9B" w:rsidP="00AC0C9B">
      <w:pPr>
        <w:spacing w:after="0"/>
        <w:ind w:left="540" w:hanging="540"/>
        <w:jc w:val="both"/>
        <w:rPr>
          <w:rFonts w:cs="Arial"/>
          <w:lang w:val="es-ES"/>
        </w:rPr>
      </w:pPr>
    </w:p>
    <w:p w:rsidR="00AC0C9B" w:rsidRPr="00185188" w:rsidRDefault="00AC0C9B" w:rsidP="00AC0C9B">
      <w:pPr>
        <w:numPr>
          <w:ilvl w:val="0"/>
          <w:numId w:val="5"/>
        </w:numPr>
        <w:spacing w:after="0" w:line="240" w:lineRule="auto"/>
        <w:ind w:left="540" w:hanging="540"/>
        <w:jc w:val="both"/>
        <w:rPr>
          <w:rFonts w:cs="Arial"/>
          <w:lang w:val="es-ES"/>
        </w:rPr>
      </w:pPr>
      <w:r w:rsidRPr="00441F6C">
        <w:rPr>
          <w:rFonts w:cs="Arial"/>
          <w:b/>
          <w:lang w:val="es-ES"/>
        </w:rPr>
        <w:t>Consultas planeadas/realizadas:</w:t>
      </w:r>
      <w:r w:rsidRPr="00441F6C">
        <w:rPr>
          <w:rFonts w:cs="Arial"/>
          <w:lang w:val="es-ES"/>
        </w:rPr>
        <w:t xml:space="preserve"> la presente acción concertada se ha consultado con todos los Estados del área de distribución de la CMS, así como la Secretaría del ACAP, </w:t>
      </w:r>
      <w:proofErr w:type="spellStart"/>
      <w:r w:rsidRPr="00441F6C">
        <w:rPr>
          <w:rFonts w:cs="Arial"/>
          <w:lang w:val="es-ES"/>
        </w:rPr>
        <w:t>Birdlife</w:t>
      </w:r>
      <w:proofErr w:type="spellEnd"/>
      <w:r w:rsidRPr="00441F6C">
        <w:rPr>
          <w:rFonts w:cs="Arial"/>
          <w:lang w:val="es-ES"/>
        </w:rPr>
        <w:t xml:space="preserve"> International y la Secretaría del Programa Regional del Pacífico para el Medio Ambiente (SPREP). </w:t>
      </w:r>
    </w:p>
    <w:p w:rsidR="00AC0C9B" w:rsidRPr="00185188" w:rsidRDefault="00AC0C9B" w:rsidP="00AC0C9B">
      <w:pPr>
        <w:spacing w:after="0"/>
        <w:ind w:left="540"/>
        <w:jc w:val="both"/>
        <w:rPr>
          <w:rFonts w:cs="Arial"/>
          <w:lang w:val="es-ES"/>
        </w:rPr>
      </w:pPr>
    </w:p>
    <w:p w:rsidR="00AC0C9B" w:rsidRPr="00185188" w:rsidRDefault="00AC0C9B" w:rsidP="00AC0C9B">
      <w:pPr>
        <w:spacing w:after="0"/>
        <w:ind w:left="540"/>
        <w:jc w:val="both"/>
        <w:rPr>
          <w:rFonts w:cs="Arial"/>
          <w:lang w:val="es-ES"/>
        </w:rPr>
      </w:pPr>
      <w:r w:rsidRPr="00441F6C">
        <w:rPr>
          <w:rFonts w:cs="Arial"/>
          <w:lang w:val="es-ES"/>
        </w:rPr>
        <w:t xml:space="preserve">Asimismo, se ha consultado a </w:t>
      </w:r>
      <w:proofErr w:type="spellStart"/>
      <w:r w:rsidRPr="00441F6C">
        <w:rPr>
          <w:rFonts w:cs="Arial"/>
          <w:lang w:val="es-ES"/>
        </w:rPr>
        <w:t>Ngāi</w:t>
      </w:r>
      <w:proofErr w:type="spellEnd"/>
      <w:r w:rsidRPr="00441F6C">
        <w:rPr>
          <w:rFonts w:cs="Arial"/>
          <w:lang w:val="es-ES"/>
        </w:rPr>
        <w:t xml:space="preserve"> </w:t>
      </w:r>
      <w:proofErr w:type="spellStart"/>
      <w:r w:rsidRPr="00441F6C">
        <w:rPr>
          <w:rFonts w:cs="Arial"/>
          <w:lang w:val="es-ES"/>
        </w:rPr>
        <w:t>Tahu</w:t>
      </w:r>
      <w:proofErr w:type="spellEnd"/>
      <w:r w:rsidRPr="00441F6C">
        <w:rPr>
          <w:rFonts w:cs="Arial"/>
          <w:lang w:val="es-ES"/>
        </w:rPr>
        <w:t xml:space="preserve">, la principal </w:t>
      </w:r>
      <w:proofErr w:type="spellStart"/>
      <w:r w:rsidRPr="00441F6C">
        <w:rPr>
          <w:rFonts w:cs="Arial"/>
          <w:lang w:val="es-ES"/>
        </w:rPr>
        <w:t>iwi</w:t>
      </w:r>
      <w:proofErr w:type="spellEnd"/>
      <w:r w:rsidRPr="00441F6C">
        <w:rPr>
          <w:rFonts w:cs="Arial"/>
          <w:lang w:val="es-ES"/>
        </w:rPr>
        <w:t xml:space="preserve"> (tribu) </w:t>
      </w:r>
      <w:proofErr w:type="spellStart"/>
      <w:r w:rsidRPr="00441F6C">
        <w:rPr>
          <w:rFonts w:cs="Arial"/>
          <w:lang w:val="es-ES"/>
        </w:rPr>
        <w:t>māori</w:t>
      </w:r>
      <w:proofErr w:type="spellEnd"/>
      <w:r w:rsidRPr="00441F6C">
        <w:rPr>
          <w:rFonts w:cs="Arial"/>
          <w:lang w:val="es-ES"/>
        </w:rPr>
        <w:t xml:space="preserve"> (indígena) de la región meridional de Nueva Zelanda, donde cría el albatros de las Antípodas o </w:t>
      </w:r>
      <w:proofErr w:type="spellStart"/>
      <w:r w:rsidRPr="00441F6C">
        <w:rPr>
          <w:rFonts w:cs="Arial"/>
          <w:lang w:val="es-ES"/>
        </w:rPr>
        <w:t>toroa</w:t>
      </w:r>
      <w:proofErr w:type="spellEnd"/>
      <w:r w:rsidRPr="00441F6C">
        <w:rPr>
          <w:rFonts w:cs="Arial"/>
          <w:lang w:val="es-ES"/>
        </w:rPr>
        <w:t>.</w:t>
      </w:r>
    </w:p>
    <w:p w:rsidR="00AC0C9B" w:rsidRPr="00185188" w:rsidRDefault="00AC0C9B" w:rsidP="00AC0C9B">
      <w:pPr>
        <w:spacing w:after="0"/>
        <w:ind w:left="540"/>
        <w:jc w:val="both"/>
        <w:rPr>
          <w:rFonts w:cs="Arial"/>
          <w:lang w:val="es-ES"/>
        </w:rPr>
      </w:pPr>
    </w:p>
    <w:p w:rsidR="00AC0C9B" w:rsidRPr="00185188" w:rsidRDefault="00AC0C9B" w:rsidP="00AC0C9B">
      <w:pPr>
        <w:spacing w:after="0"/>
        <w:ind w:left="540"/>
        <w:jc w:val="both"/>
        <w:rPr>
          <w:rFonts w:cs="Arial"/>
          <w:lang w:val="es-ES"/>
        </w:rPr>
      </w:pPr>
      <w:r w:rsidRPr="00441F6C">
        <w:rPr>
          <w:rFonts w:cs="Arial"/>
          <w:lang w:val="es-ES"/>
        </w:rPr>
        <w:t xml:space="preserve">Se han llevado a cabo consultas sobre las acciones para recuperar la especie </w:t>
      </w:r>
      <w:proofErr w:type="spellStart"/>
      <w:r w:rsidRPr="00441F6C">
        <w:rPr>
          <w:rFonts w:cs="Arial"/>
          <w:i/>
          <w:iCs/>
          <w:lang w:val="es-ES"/>
        </w:rPr>
        <w:t>Diomedea</w:t>
      </w:r>
      <w:proofErr w:type="spellEnd"/>
      <w:r w:rsidRPr="00441F6C">
        <w:rPr>
          <w:rFonts w:cs="Arial"/>
          <w:i/>
          <w:iCs/>
          <w:lang w:val="es-ES"/>
        </w:rPr>
        <w:t xml:space="preserve"> </w:t>
      </w:r>
      <w:proofErr w:type="spellStart"/>
      <w:r w:rsidRPr="00441F6C">
        <w:rPr>
          <w:rFonts w:cs="Arial"/>
          <w:i/>
          <w:iCs/>
          <w:lang w:val="es-ES"/>
        </w:rPr>
        <w:t>antipodensis</w:t>
      </w:r>
      <w:proofErr w:type="spellEnd"/>
      <w:r w:rsidRPr="00441F6C">
        <w:rPr>
          <w:rFonts w:cs="Arial"/>
          <w:lang w:val="es-ES"/>
        </w:rPr>
        <w:t xml:space="preserve"> entre Nueva Zelanda y Chile, como parte del Acuerdo para la conservación de las aves marinas celebrado entre los Gobiernos de Nueva Zelanda y Chile. </w:t>
      </w:r>
    </w:p>
    <w:p w:rsidR="00AC0C9B" w:rsidRPr="00185188" w:rsidRDefault="00AC0C9B" w:rsidP="00AC0C9B">
      <w:pPr>
        <w:spacing w:after="0"/>
        <w:ind w:left="540"/>
        <w:jc w:val="both"/>
        <w:rPr>
          <w:rFonts w:cs="Arial"/>
          <w:lang w:val="es-ES"/>
        </w:rPr>
      </w:pPr>
    </w:p>
    <w:p w:rsidR="00AC0C9B" w:rsidRPr="00185188" w:rsidRDefault="00AC0C9B" w:rsidP="00AC0C9B">
      <w:pPr>
        <w:spacing w:after="0"/>
        <w:ind w:left="540"/>
        <w:jc w:val="both"/>
        <w:rPr>
          <w:rFonts w:cs="Arial"/>
          <w:lang w:val="es-ES"/>
        </w:rPr>
        <w:sectPr w:rsidR="00AC0C9B" w:rsidRPr="00185188">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pgMar w:top="1008" w:right="1411" w:bottom="1152" w:left="1411" w:header="432" w:footer="432" w:gutter="0"/>
          <w:cols w:space="720"/>
          <w:titlePg/>
        </w:sectPr>
      </w:pPr>
      <w:r w:rsidRPr="00441F6C">
        <w:rPr>
          <w:rFonts w:cs="Arial"/>
          <w:lang w:val="es-ES"/>
        </w:rPr>
        <w:t xml:space="preserve">Nueva Zelanda ha colaborado con </w:t>
      </w:r>
      <w:proofErr w:type="spellStart"/>
      <w:r w:rsidRPr="00441F6C">
        <w:rPr>
          <w:rFonts w:cs="Arial"/>
          <w:lang w:val="es-ES"/>
        </w:rPr>
        <w:t>Birldlife</w:t>
      </w:r>
      <w:proofErr w:type="spellEnd"/>
      <w:r w:rsidRPr="00441F6C">
        <w:rPr>
          <w:rFonts w:cs="Arial"/>
          <w:lang w:val="es-ES"/>
        </w:rPr>
        <w:t xml:space="preserve"> International y ACAP en proyectos sobre la captura incidental de aves marinas en </w:t>
      </w:r>
      <w:proofErr w:type="spellStart"/>
      <w:r w:rsidRPr="00441F6C">
        <w:rPr>
          <w:rFonts w:cs="Arial"/>
          <w:lang w:val="es-ES"/>
        </w:rPr>
        <w:t>Fiji</w:t>
      </w:r>
      <w:proofErr w:type="spellEnd"/>
      <w:r w:rsidRPr="00441F6C">
        <w:rPr>
          <w:rFonts w:cs="Arial"/>
          <w:lang w:val="es-ES"/>
        </w:rPr>
        <w:t xml:space="preserve"> y la Polinesia Francesa.</w:t>
      </w:r>
    </w:p>
    <w:p w:rsidR="00AC0C9B" w:rsidRPr="00185188" w:rsidRDefault="00AC0C9B" w:rsidP="00AC0C9B">
      <w:pPr>
        <w:spacing w:after="200"/>
        <w:ind w:left="-284"/>
        <w:rPr>
          <w:rFonts w:cs="Arial"/>
          <w:b/>
          <w:bCs/>
          <w:sz w:val="20"/>
          <w:szCs w:val="20"/>
          <w:lang w:val="es-ES"/>
        </w:rPr>
      </w:pPr>
      <w:r w:rsidRPr="00441F6C">
        <w:rPr>
          <w:rFonts w:cs="Arial"/>
          <w:b/>
          <w:bCs/>
          <w:sz w:val="20"/>
          <w:szCs w:val="20"/>
          <w:lang w:val="es-ES"/>
        </w:rPr>
        <w:lastRenderedPageBreak/>
        <w:t xml:space="preserve">Anexo. Acciones concertadas para la conservación del albatros de las Antípodas </w:t>
      </w:r>
      <w:r w:rsidRPr="00441F6C">
        <w:rPr>
          <w:rFonts w:cs="Arial"/>
          <w:b/>
          <w:bCs/>
          <w:i/>
          <w:iCs/>
          <w:sz w:val="20"/>
          <w:szCs w:val="20"/>
          <w:lang w:val="es-ES"/>
        </w:rPr>
        <w:t>(</w:t>
      </w:r>
      <w:proofErr w:type="spellStart"/>
      <w:r w:rsidRPr="00441F6C">
        <w:rPr>
          <w:rFonts w:cs="Arial"/>
          <w:b/>
          <w:bCs/>
          <w:i/>
          <w:iCs/>
          <w:sz w:val="20"/>
          <w:szCs w:val="20"/>
          <w:lang w:val="es-ES"/>
        </w:rPr>
        <w:t>Diomedea</w:t>
      </w:r>
      <w:proofErr w:type="spellEnd"/>
      <w:r w:rsidRPr="00441F6C">
        <w:rPr>
          <w:rFonts w:cs="Arial"/>
          <w:b/>
          <w:bCs/>
          <w:i/>
          <w:iCs/>
          <w:sz w:val="20"/>
          <w:szCs w:val="20"/>
          <w:lang w:val="es-ES"/>
        </w:rPr>
        <w:t xml:space="preserve"> </w:t>
      </w:r>
      <w:proofErr w:type="spellStart"/>
      <w:r w:rsidRPr="00441F6C">
        <w:rPr>
          <w:rFonts w:cs="Arial"/>
          <w:b/>
          <w:bCs/>
          <w:i/>
          <w:iCs/>
          <w:sz w:val="20"/>
          <w:szCs w:val="20"/>
          <w:lang w:val="es-ES"/>
        </w:rPr>
        <w:t>antipodensis</w:t>
      </w:r>
      <w:proofErr w:type="spellEnd"/>
      <w:r w:rsidRPr="00441F6C">
        <w:rPr>
          <w:rFonts w:cs="Arial"/>
          <w:b/>
          <w:bCs/>
          <w:i/>
          <w:iCs/>
          <w:sz w:val="20"/>
          <w:szCs w:val="20"/>
          <w:lang w:val="es-ES"/>
        </w:rPr>
        <w:t>)</w:t>
      </w:r>
      <w:r w:rsidRPr="00441F6C">
        <w:rPr>
          <w:rFonts w:cs="Arial"/>
          <w:b/>
          <w:bCs/>
          <w:sz w:val="20"/>
          <w:szCs w:val="20"/>
          <w:lang w:val="es-ES"/>
        </w:rPr>
        <w:t xml:space="preserve"> bajo la Convención para la Conservación de las Especies Migratorias de Animales Silvestres (CMS)</w:t>
      </w:r>
    </w:p>
    <w:tbl>
      <w:tblPr>
        <w:tblStyle w:val="TableGrid1"/>
        <w:tblW w:w="15031" w:type="dxa"/>
        <w:tblInd w:w="-289" w:type="dxa"/>
        <w:tblLook w:val="04A0" w:firstRow="1" w:lastRow="0" w:firstColumn="1" w:lastColumn="0" w:noHBand="0" w:noVBand="1"/>
      </w:tblPr>
      <w:tblGrid>
        <w:gridCol w:w="4504"/>
        <w:gridCol w:w="2964"/>
        <w:gridCol w:w="1628"/>
        <w:gridCol w:w="1982"/>
        <w:gridCol w:w="3942"/>
        <w:gridCol w:w="11"/>
      </w:tblGrid>
      <w:tr w:rsidR="00AC0C9B" w:rsidRPr="008E47C7" w:rsidTr="00FE3F58">
        <w:trPr>
          <w:gridAfter w:val="1"/>
          <w:wAfter w:w="11" w:type="dxa"/>
          <w:cantSplit/>
          <w:tblHeader/>
        </w:trPr>
        <w:tc>
          <w:tcPr>
            <w:tcW w:w="4531" w:type="dxa"/>
            <w:shd w:val="clear" w:color="auto" w:fill="BFBFBF"/>
          </w:tcPr>
          <w:p w:rsidR="00AC0C9B" w:rsidRPr="00441F6C" w:rsidRDefault="00AC0C9B" w:rsidP="00FE3F58">
            <w:pPr>
              <w:spacing w:before="60" w:after="60"/>
              <w:rPr>
                <w:rFonts w:ascii="Arial" w:hAnsi="Arial" w:cs="Arial"/>
                <w:b/>
                <w:bCs/>
                <w:sz w:val="20"/>
                <w:szCs w:val="20"/>
              </w:rPr>
            </w:pPr>
            <w:proofErr w:type="spellStart"/>
            <w:r w:rsidRPr="00441F6C">
              <w:rPr>
                <w:rFonts w:ascii="Arial" w:hAnsi="Arial" w:cs="Arial"/>
                <w:b/>
                <w:bCs/>
                <w:sz w:val="20"/>
                <w:szCs w:val="20"/>
              </w:rPr>
              <w:t>Actividad</w:t>
            </w:r>
            <w:proofErr w:type="spellEnd"/>
          </w:p>
        </w:tc>
        <w:tc>
          <w:tcPr>
            <w:tcW w:w="2977" w:type="dxa"/>
            <w:shd w:val="clear" w:color="auto" w:fill="BFBFBF"/>
          </w:tcPr>
          <w:p w:rsidR="00AC0C9B" w:rsidRPr="00441F6C" w:rsidRDefault="00AC0C9B" w:rsidP="00FE3F58">
            <w:pPr>
              <w:spacing w:before="60" w:after="60"/>
              <w:rPr>
                <w:rFonts w:ascii="Arial" w:hAnsi="Arial" w:cs="Arial"/>
                <w:b/>
                <w:bCs/>
                <w:sz w:val="20"/>
                <w:szCs w:val="20"/>
              </w:rPr>
            </w:pPr>
            <w:proofErr w:type="spellStart"/>
            <w:r w:rsidRPr="00441F6C">
              <w:rPr>
                <w:rFonts w:ascii="Arial" w:hAnsi="Arial" w:cs="Arial"/>
                <w:b/>
                <w:bCs/>
                <w:sz w:val="20"/>
                <w:szCs w:val="20"/>
              </w:rPr>
              <w:t>Resultados</w:t>
            </w:r>
            <w:proofErr w:type="spellEnd"/>
            <w:r w:rsidRPr="00441F6C">
              <w:rPr>
                <w:rFonts w:ascii="Arial" w:hAnsi="Arial" w:cs="Arial"/>
                <w:b/>
                <w:bCs/>
                <w:sz w:val="20"/>
                <w:szCs w:val="20"/>
              </w:rPr>
              <w:t>/</w:t>
            </w:r>
            <w:proofErr w:type="spellStart"/>
            <w:r w:rsidRPr="00441F6C">
              <w:rPr>
                <w:rFonts w:ascii="Arial" w:hAnsi="Arial" w:cs="Arial"/>
                <w:b/>
                <w:bCs/>
                <w:sz w:val="20"/>
                <w:szCs w:val="20"/>
              </w:rPr>
              <w:t>efecto</w:t>
            </w:r>
            <w:proofErr w:type="spellEnd"/>
          </w:p>
        </w:tc>
        <w:tc>
          <w:tcPr>
            <w:tcW w:w="1559" w:type="dxa"/>
            <w:shd w:val="clear" w:color="auto" w:fill="BFBFBF"/>
          </w:tcPr>
          <w:p w:rsidR="00AC0C9B" w:rsidRPr="00441F6C" w:rsidRDefault="00AC0C9B" w:rsidP="00FE3F58">
            <w:pPr>
              <w:spacing w:before="60" w:after="60"/>
              <w:rPr>
                <w:rFonts w:ascii="Arial" w:hAnsi="Arial" w:cs="Arial"/>
                <w:b/>
                <w:bCs/>
                <w:sz w:val="20"/>
                <w:szCs w:val="20"/>
              </w:rPr>
            </w:pPr>
            <w:r w:rsidRPr="00441F6C">
              <w:rPr>
                <w:rFonts w:ascii="Arial" w:hAnsi="Arial" w:cs="Arial"/>
                <w:b/>
                <w:bCs/>
                <w:sz w:val="20"/>
                <w:szCs w:val="20"/>
              </w:rPr>
              <w:t>Marco temporal</w:t>
            </w:r>
          </w:p>
        </w:tc>
        <w:tc>
          <w:tcPr>
            <w:tcW w:w="1984" w:type="dxa"/>
            <w:shd w:val="clear" w:color="auto" w:fill="BFBFBF"/>
          </w:tcPr>
          <w:p w:rsidR="00AC0C9B" w:rsidRPr="00441F6C" w:rsidRDefault="00AC0C9B" w:rsidP="00FE3F58">
            <w:pPr>
              <w:spacing w:before="60" w:after="60"/>
              <w:rPr>
                <w:rFonts w:ascii="Arial" w:hAnsi="Arial" w:cs="Arial"/>
                <w:b/>
                <w:bCs/>
                <w:sz w:val="20"/>
                <w:szCs w:val="20"/>
              </w:rPr>
            </w:pPr>
            <w:proofErr w:type="spellStart"/>
            <w:r w:rsidRPr="00441F6C">
              <w:rPr>
                <w:rFonts w:ascii="Arial" w:hAnsi="Arial" w:cs="Arial"/>
                <w:b/>
                <w:bCs/>
                <w:sz w:val="20"/>
                <w:szCs w:val="20"/>
              </w:rPr>
              <w:t>Responsabilidad</w:t>
            </w:r>
            <w:proofErr w:type="spellEnd"/>
          </w:p>
        </w:tc>
        <w:tc>
          <w:tcPr>
            <w:tcW w:w="3969" w:type="dxa"/>
            <w:shd w:val="clear" w:color="auto" w:fill="BFBFBF"/>
          </w:tcPr>
          <w:p w:rsidR="00AC0C9B" w:rsidRPr="00441F6C" w:rsidRDefault="00AC0C9B" w:rsidP="00FE3F58">
            <w:pPr>
              <w:spacing w:before="60" w:after="60"/>
              <w:rPr>
                <w:rFonts w:ascii="Arial" w:hAnsi="Arial" w:cs="Arial"/>
                <w:b/>
                <w:bCs/>
                <w:sz w:val="20"/>
                <w:szCs w:val="20"/>
              </w:rPr>
            </w:pPr>
            <w:proofErr w:type="spellStart"/>
            <w:r w:rsidRPr="00441F6C">
              <w:rPr>
                <w:rFonts w:ascii="Arial" w:hAnsi="Arial" w:cs="Arial"/>
                <w:b/>
                <w:bCs/>
                <w:sz w:val="20"/>
                <w:szCs w:val="20"/>
              </w:rPr>
              <w:t>Financiación</w:t>
            </w:r>
            <w:proofErr w:type="spellEnd"/>
          </w:p>
        </w:tc>
      </w:tr>
      <w:tr w:rsidR="00AC0C9B" w:rsidRPr="00D23B83" w:rsidTr="00FE3F58">
        <w:tc>
          <w:tcPr>
            <w:tcW w:w="15031" w:type="dxa"/>
            <w:gridSpan w:val="6"/>
            <w:shd w:val="clear" w:color="auto" w:fill="D9D9D9"/>
            <w:vAlign w:val="center"/>
          </w:tcPr>
          <w:p w:rsidR="00AC0C9B" w:rsidRPr="00AC0C9B" w:rsidRDefault="00AC0C9B" w:rsidP="00AC0C9B">
            <w:pPr>
              <w:numPr>
                <w:ilvl w:val="0"/>
                <w:numId w:val="8"/>
              </w:numPr>
              <w:spacing w:before="60" w:after="60"/>
              <w:contextualSpacing/>
              <w:rPr>
                <w:rFonts w:ascii="Arial" w:hAnsi="Arial" w:cs="Arial"/>
                <w:b/>
                <w:bCs/>
                <w:sz w:val="20"/>
                <w:szCs w:val="20"/>
                <w:lang w:val="es-ES"/>
              </w:rPr>
            </w:pPr>
            <w:r w:rsidRPr="00AC0C9B">
              <w:rPr>
                <w:rFonts w:ascii="Arial" w:hAnsi="Arial" w:cs="Arial"/>
                <w:b/>
                <w:bCs/>
                <w:sz w:val="20"/>
                <w:szCs w:val="20"/>
                <w:lang w:val="es-ES"/>
              </w:rPr>
              <w:t>Captura incidental en pesquerías en las jurisdicciones de los Estados del área de distribución</w:t>
            </w:r>
          </w:p>
        </w:tc>
      </w:tr>
      <w:tr w:rsidR="00AC0C9B" w:rsidRPr="00D23B83" w:rsidTr="00FE3F58">
        <w:trPr>
          <w:gridAfter w:val="1"/>
          <w:wAfter w:w="11" w:type="dxa"/>
        </w:trPr>
        <w:tc>
          <w:tcPr>
            <w:tcW w:w="4531" w:type="dxa"/>
          </w:tcPr>
          <w:p w:rsidR="00AC0C9B" w:rsidRPr="00AC0C9B" w:rsidRDefault="00AC0C9B" w:rsidP="00AC0C9B">
            <w:pPr>
              <w:numPr>
                <w:ilvl w:val="1"/>
                <w:numId w:val="8"/>
              </w:numPr>
              <w:spacing w:before="60" w:after="60"/>
              <w:jc w:val="both"/>
              <w:rPr>
                <w:rFonts w:ascii="Arial" w:hAnsi="Arial" w:cs="Arial"/>
                <w:b/>
                <w:bCs/>
                <w:sz w:val="20"/>
                <w:szCs w:val="20"/>
                <w:lang w:val="es-ES"/>
              </w:rPr>
            </w:pPr>
            <w:r w:rsidRPr="00AC0C9B">
              <w:rPr>
                <w:rFonts w:ascii="Arial" w:hAnsi="Arial" w:cs="Arial"/>
                <w:sz w:val="20"/>
                <w:szCs w:val="20"/>
                <w:lang w:val="es-ES"/>
              </w:rPr>
              <w:t>Continuar la implementación de medidas eficaces de mitigación de la captura incidental en pesquerías pelágicas con palangre, la pesca de arrastre y otros tipos de pesquería relevantes, incluida la divulgación entre los pescadores en relación con la captura incidental de aves marinas</w:t>
            </w:r>
          </w:p>
        </w:tc>
        <w:tc>
          <w:tcPr>
            <w:tcW w:w="2977" w:type="dxa"/>
          </w:tcPr>
          <w:p w:rsidR="00AC0C9B" w:rsidRPr="00AC0C9B" w:rsidRDefault="00AC0C9B" w:rsidP="00FE3F58">
            <w:pPr>
              <w:spacing w:before="60" w:after="60"/>
              <w:rPr>
                <w:rFonts w:ascii="Arial" w:hAnsi="Arial" w:cs="Arial"/>
                <w:b/>
                <w:bCs/>
                <w:sz w:val="20"/>
                <w:szCs w:val="20"/>
                <w:lang w:val="es-ES"/>
              </w:rPr>
            </w:pPr>
            <w:r w:rsidRPr="00AC0C9B">
              <w:rPr>
                <w:rFonts w:ascii="Arial" w:hAnsi="Arial" w:cs="Arial"/>
                <w:sz w:val="20"/>
                <w:szCs w:val="20"/>
                <w:lang w:val="es-ES"/>
              </w:rPr>
              <w:t>Riesgo de captura incidental en pesquerías minimizado en las jurisdicciones de los Estados del área de distribución</w:t>
            </w:r>
          </w:p>
        </w:tc>
        <w:tc>
          <w:tcPr>
            <w:tcW w:w="1559" w:type="dxa"/>
          </w:tcPr>
          <w:p w:rsidR="00AC0C9B" w:rsidRPr="00441F6C" w:rsidRDefault="00AC0C9B" w:rsidP="00FE3F58">
            <w:pPr>
              <w:spacing w:before="60" w:after="60"/>
              <w:rPr>
                <w:rFonts w:ascii="Arial" w:hAnsi="Arial" w:cs="Arial"/>
                <w:b/>
                <w:bCs/>
                <w:sz w:val="20"/>
                <w:szCs w:val="20"/>
              </w:rPr>
            </w:pPr>
            <w:proofErr w:type="spellStart"/>
            <w:r w:rsidRPr="00441F6C">
              <w:rPr>
                <w:rFonts w:ascii="Arial" w:hAnsi="Arial" w:cs="Arial"/>
                <w:sz w:val="20"/>
                <w:szCs w:val="20"/>
              </w:rPr>
              <w:t>En</w:t>
            </w:r>
            <w:proofErr w:type="spellEnd"/>
            <w:r w:rsidRPr="00441F6C">
              <w:rPr>
                <w:rFonts w:ascii="Arial" w:hAnsi="Arial" w:cs="Arial"/>
                <w:sz w:val="20"/>
                <w:szCs w:val="20"/>
              </w:rPr>
              <w:t xml:space="preserve"> </w:t>
            </w:r>
            <w:proofErr w:type="spellStart"/>
            <w:r w:rsidRPr="00441F6C">
              <w:rPr>
                <w:rFonts w:ascii="Arial" w:hAnsi="Arial" w:cs="Arial"/>
                <w:sz w:val="20"/>
                <w:szCs w:val="20"/>
              </w:rPr>
              <w:t>curso</w:t>
            </w:r>
            <w:proofErr w:type="spellEnd"/>
          </w:p>
        </w:tc>
        <w:tc>
          <w:tcPr>
            <w:tcW w:w="1984" w:type="dxa"/>
          </w:tcPr>
          <w:p w:rsidR="00AC0C9B" w:rsidRPr="00AC0C9B" w:rsidRDefault="00AC0C9B" w:rsidP="00FE3F58">
            <w:pPr>
              <w:spacing w:before="60" w:after="60"/>
              <w:rPr>
                <w:rFonts w:ascii="Arial" w:hAnsi="Arial" w:cs="Arial"/>
                <w:b/>
                <w:bCs/>
                <w:sz w:val="20"/>
                <w:szCs w:val="20"/>
                <w:lang w:val="es-ES"/>
              </w:rPr>
            </w:pPr>
            <w:r w:rsidRPr="00AC0C9B">
              <w:rPr>
                <w:rFonts w:ascii="Arial" w:hAnsi="Arial" w:cs="Arial"/>
                <w:sz w:val="20"/>
                <w:szCs w:val="20"/>
                <w:lang w:val="es-ES"/>
              </w:rPr>
              <w:t>Los Estados del área de distribución que son Partes de la CMS</w:t>
            </w:r>
          </w:p>
        </w:tc>
        <w:tc>
          <w:tcPr>
            <w:tcW w:w="3969" w:type="dxa"/>
          </w:tcPr>
          <w:p w:rsidR="00AC0C9B" w:rsidRPr="00AC0C9B" w:rsidRDefault="00AC0C9B" w:rsidP="00FE3F58">
            <w:pPr>
              <w:spacing w:before="60" w:after="60"/>
              <w:jc w:val="both"/>
              <w:rPr>
                <w:rFonts w:ascii="Arial" w:hAnsi="Arial" w:cs="Arial"/>
                <w:sz w:val="20"/>
                <w:szCs w:val="20"/>
                <w:lang w:val="es-ES"/>
              </w:rPr>
            </w:pPr>
            <w:r w:rsidRPr="00AC0C9B">
              <w:rPr>
                <w:rFonts w:ascii="Arial" w:hAnsi="Arial" w:cs="Arial"/>
                <w:sz w:val="20"/>
                <w:szCs w:val="20"/>
                <w:lang w:val="es-ES"/>
              </w:rPr>
              <w:t>Se han establecido mecanismos para gestionar la captura incidental en pesquerías. Todo nuevo requisito para los operadores pesqueros puede suponer costes para ellos</w:t>
            </w:r>
          </w:p>
        </w:tc>
      </w:tr>
      <w:tr w:rsidR="00AC0C9B" w:rsidRPr="00D23B83" w:rsidTr="00FE3F58">
        <w:trPr>
          <w:gridAfter w:val="1"/>
          <w:wAfter w:w="11" w:type="dxa"/>
        </w:trPr>
        <w:tc>
          <w:tcPr>
            <w:tcW w:w="4531" w:type="dxa"/>
          </w:tcPr>
          <w:p w:rsidR="00AC0C9B" w:rsidRPr="00AC0C9B" w:rsidRDefault="00AC0C9B" w:rsidP="00AC0C9B">
            <w:pPr>
              <w:numPr>
                <w:ilvl w:val="1"/>
                <w:numId w:val="8"/>
              </w:numPr>
              <w:spacing w:before="60" w:after="60"/>
              <w:jc w:val="both"/>
              <w:rPr>
                <w:rFonts w:ascii="Arial" w:hAnsi="Arial" w:cs="Arial"/>
                <w:sz w:val="20"/>
                <w:szCs w:val="20"/>
                <w:lang w:val="es-ES"/>
              </w:rPr>
            </w:pPr>
            <w:r w:rsidRPr="00AC0C9B">
              <w:rPr>
                <w:rFonts w:ascii="Arial" w:hAnsi="Arial" w:cs="Arial"/>
                <w:sz w:val="20"/>
                <w:szCs w:val="20"/>
                <w:lang w:val="es-ES"/>
              </w:rPr>
              <w:t>Garantizar una cobertura de observación adecuada para supervisar la aplicación de las medidas de mitigación e identificar toda posible captura incidental de aves marinas a nivel de las especies</w:t>
            </w:r>
          </w:p>
          <w:p w:rsidR="00AC0C9B" w:rsidRPr="00AC0C9B" w:rsidRDefault="00AC0C9B" w:rsidP="00FE3F58">
            <w:pPr>
              <w:spacing w:before="60" w:after="60"/>
              <w:jc w:val="both"/>
              <w:rPr>
                <w:rFonts w:ascii="Arial" w:hAnsi="Arial" w:cs="Arial"/>
                <w:b/>
                <w:bCs/>
                <w:sz w:val="20"/>
                <w:szCs w:val="20"/>
                <w:lang w:val="es-ES"/>
              </w:rPr>
            </w:pPr>
          </w:p>
        </w:tc>
        <w:tc>
          <w:tcPr>
            <w:tcW w:w="2977" w:type="dxa"/>
          </w:tcPr>
          <w:p w:rsidR="00AC0C9B" w:rsidRPr="00AC0C9B" w:rsidRDefault="00AC0C9B" w:rsidP="00FE3F58">
            <w:pPr>
              <w:spacing w:before="60" w:after="60"/>
              <w:rPr>
                <w:rFonts w:ascii="Arial" w:hAnsi="Arial" w:cs="Arial"/>
                <w:b/>
                <w:bCs/>
                <w:sz w:val="20"/>
                <w:szCs w:val="20"/>
                <w:lang w:val="es-ES"/>
              </w:rPr>
            </w:pPr>
            <w:r w:rsidRPr="00AC0C9B">
              <w:rPr>
                <w:rFonts w:ascii="Arial" w:hAnsi="Arial" w:cs="Arial"/>
                <w:sz w:val="20"/>
                <w:szCs w:val="20"/>
                <w:lang w:val="es-ES"/>
              </w:rPr>
              <w:t>Los niveles y el riesgo de captura incidental en pesquerías, a nivel de las especies, se conocen y pueden notificarse</w:t>
            </w:r>
          </w:p>
        </w:tc>
        <w:tc>
          <w:tcPr>
            <w:tcW w:w="1559" w:type="dxa"/>
          </w:tcPr>
          <w:p w:rsidR="00AC0C9B" w:rsidRPr="00441F6C" w:rsidRDefault="00AC0C9B" w:rsidP="00FE3F58">
            <w:pPr>
              <w:spacing w:before="60" w:after="60"/>
              <w:rPr>
                <w:rFonts w:ascii="Arial" w:hAnsi="Arial" w:cs="Arial"/>
                <w:b/>
                <w:bCs/>
                <w:sz w:val="20"/>
                <w:szCs w:val="20"/>
              </w:rPr>
            </w:pPr>
            <w:proofErr w:type="spellStart"/>
            <w:r w:rsidRPr="00441F6C">
              <w:rPr>
                <w:rFonts w:ascii="Arial" w:hAnsi="Arial" w:cs="Arial"/>
                <w:sz w:val="20"/>
                <w:szCs w:val="20"/>
              </w:rPr>
              <w:t>En</w:t>
            </w:r>
            <w:proofErr w:type="spellEnd"/>
            <w:r w:rsidRPr="00441F6C">
              <w:rPr>
                <w:rFonts w:ascii="Arial" w:hAnsi="Arial" w:cs="Arial"/>
                <w:sz w:val="20"/>
                <w:szCs w:val="20"/>
              </w:rPr>
              <w:t xml:space="preserve"> </w:t>
            </w:r>
            <w:proofErr w:type="spellStart"/>
            <w:r w:rsidRPr="00441F6C">
              <w:rPr>
                <w:rFonts w:ascii="Arial" w:hAnsi="Arial" w:cs="Arial"/>
                <w:sz w:val="20"/>
                <w:szCs w:val="20"/>
              </w:rPr>
              <w:t>curso</w:t>
            </w:r>
            <w:proofErr w:type="spellEnd"/>
          </w:p>
        </w:tc>
        <w:tc>
          <w:tcPr>
            <w:tcW w:w="1984" w:type="dxa"/>
          </w:tcPr>
          <w:p w:rsidR="00AC0C9B" w:rsidRPr="00AC0C9B" w:rsidRDefault="00AC0C9B" w:rsidP="00FE3F58">
            <w:pPr>
              <w:spacing w:before="60" w:after="60"/>
              <w:rPr>
                <w:rFonts w:ascii="Arial" w:hAnsi="Arial" w:cs="Arial"/>
                <w:b/>
                <w:bCs/>
                <w:sz w:val="20"/>
                <w:szCs w:val="20"/>
                <w:lang w:val="es-ES"/>
              </w:rPr>
            </w:pPr>
            <w:r w:rsidRPr="00AC0C9B">
              <w:rPr>
                <w:rFonts w:ascii="Arial" w:hAnsi="Arial" w:cs="Arial"/>
                <w:sz w:val="20"/>
                <w:szCs w:val="20"/>
                <w:lang w:val="es-ES"/>
              </w:rPr>
              <w:t>Los Estados del área de distribución que son Partes de la CMS</w:t>
            </w:r>
          </w:p>
        </w:tc>
        <w:tc>
          <w:tcPr>
            <w:tcW w:w="3969" w:type="dxa"/>
          </w:tcPr>
          <w:p w:rsidR="00AC0C9B" w:rsidRPr="00AC0C9B" w:rsidRDefault="00AC0C9B" w:rsidP="00FE3F58">
            <w:pPr>
              <w:spacing w:before="60" w:after="60"/>
              <w:jc w:val="both"/>
              <w:rPr>
                <w:rFonts w:ascii="Arial" w:hAnsi="Arial" w:cs="Arial"/>
                <w:sz w:val="20"/>
                <w:szCs w:val="20"/>
                <w:lang w:val="es-ES"/>
              </w:rPr>
            </w:pPr>
            <w:r w:rsidRPr="00AC0C9B">
              <w:rPr>
                <w:rFonts w:ascii="Arial" w:hAnsi="Arial" w:cs="Arial"/>
                <w:sz w:val="20"/>
                <w:szCs w:val="20"/>
                <w:lang w:val="es-ES"/>
              </w:rPr>
              <w:t>Los programas de observación ya se han implementado, y los requisitos adicionales requerirán financiación de las partes pertinentes. Es posible que sea necesario mejorar la identificación de aves marinas en determinadas pesquerías</w:t>
            </w:r>
          </w:p>
        </w:tc>
      </w:tr>
      <w:tr w:rsidR="00AC0C9B" w:rsidRPr="00D23B83" w:rsidTr="00FE3F58">
        <w:trPr>
          <w:gridAfter w:val="1"/>
          <w:wAfter w:w="11" w:type="dxa"/>
        </w:trPr>
        <w:tc>
          <w:tcPr>
            <w:tcW w:w="4531" w:type="dxa"/>
          </w:tcPr>
          <w:p w:rsidR="00AC0C9B" w:rsidRPr="00AC0C9B" w:rsidRDefault="00AC0C9B" w:rsidP="00AC0C9B">
            <w:pPr>
              <w:numPr>
                <w:ilvl w:val="1"/>
                <w:numId w:val="8"/>
              </w:numPr>
              <w:spacing w:before="60" w:after="60"/>
              <w:contextualSpacing/>
              <w:jc w:val="both"/>
              <w:rPr>
                <w:rFonts w:ascii="Arial" w:hAnsi="Arial" w:cs="Arial"/>
                <w:b/>
                <w:bCs/>
                <w:sz w:val="20"/>
                <w:szCs w:val="20"/>
                <w:lang w:val="es-ES"/>
              </w:rPr>
            </w:pPr>
            <w:r w:rsidRPr="00AC0C9B">
              <w:rPr>
                <w:rFonts w:ascii="Arial" w:hAnsi="Arial" w:cs="Arial"/>
                <w:sz w:val="20"/>
                <w:szCs w:val="20"/>
                <w:lang w:val="es-ES"/>
              </w:rPr>
              <w:t>Desarrollar y mantener una colaboración bilateral/multilateral para el desarrollo de la mitigación, la recopilación y el intercambio de información, y la evaluación de los riesgos. Nueva Zelanda y Chile han celebrado un acuerdo de cooperación para la conservación de las aves marinas que proporciona un marco para esta actividad entre ambos Estados del área de distribución</w:t>
            </w:r>
          </w:p>
        </w:tc>
        <w:tc>
          <w:tcPr>
            <w:tcW w:w="2977" w:type="dxa"/>
          </w:tcPr>
          <w:p w:rsidR="00AC0C9B" w:rsidRPr="00AC0C9B" w:rsidRDefault="00AC0C9B" w:rsidP="00FE3F58">
            <w:pPr>
              <w:spacing w:before="60" w:after="60"/>
              <w:rPr>
                <w:rFonts w:ascii="Arial" w:hAnsi="Arial" w:cs="Arial"/>
                <w:b/>
                <w:bCs/>
                <w:sz w:val="20"/>
                <w:szCs w:val="20"/>
                <w:lang w:val="es-ES"/>
              </w:rPr>
            </w:pPr>
            <w:r w:rsidRPr="00AC0C9B">
              <w:rPr>
                <w:rFonts w:ascii="Arial" w:hAnsi="Arial" w:cs="Arial"/>
                <w:sz w:val="20"/>
                <w:szCs w:val="20"/>
                <w:lang w:val="es-ES"/>
              </w:rPr>
              <w:t>Las estructuras de colaboración llevan a cabo las actividades 1.1 y 1.2</w:t>
            </w:r>
          </w:p>
        </w:tc>
        <w:tc>
          <w:tcPr>
            <w:tcW w:w="1559" w:type="dxa"/>
          </w:tcPr>
          <w:p w:rsidR="00AC0C9B" w:rsidRPr="00441F6C" w:rsidRDefault="00AC0C9B" w:rsidP="00FE3F58">
            <w:pPr>
              <w:spacing w:before="60" w:after="60"/>
              <w:rPr>
                <w:rFonts w:ascii="Arial" w:hAnsi="Arial" w:cs="Arial"/>
                <w:b/>
                <w:bCs/>
                <w:sz w:val="20"/>
                <w:szCs w:val="20"/>
              </w:rPr>
            </w:pPr>
            <w:proofErr w:type="spellStart"/>
            <w:r w:rsidRPr="00441F6C">
              <w:rPr>
                <w:rFonts w:ascii="Arial" w:hAnsi="Arial" w:cs="Arial"/>
                <w:sz w:val="20"/>
                <w:szCs w:val="20"/>
              </w:rPr>
              <w:t>En</w:t>
            </w:r>
            <w:proofErr w:type="spellEnd"/>
            <w:r w:rsidRPr="00441F6C">
              <w:rPr>
                <w:rFonts w:ascii="Arial" w:hAnsi="Arial" w:cs="Arial"/>
                <w:sz w:val="20"/>
                <w:szCs w:val="20"/>
              </w:rPr>
              <w:t xml:space="preserve"> </w:t>
            </w:r>
            <w:proofErr w:type="spellStart"/>
            <w:r w:rsidRPr="00441F6C">
              <w:rPr>
                <w:rFonts w:ascii="Arial" w:hAnsi="Arial" w:cs="Arial"/>
                <w:sz w:val="20"/>
                <w:szCs w:val="20"/>
              </w:rPr>
              <w:t>curso</w:t>
            </w:r>
            <w:proofErr w:type="spellEnd"/>
          </w:p>
        </w:tc>
        <w:tc>
          <w:tcPr>
            <w:tcW w:w="1984" w:type="dxa"/>
          </w:tcPr>
          <w:p w:rsidR="00AC0C9B" w:rsidRPr="00AC0C9B" w:rsidRDefault="00AC0C9B" w:rsidP="00FE3F58">
            <w:pPr>
              <w:spacing w:before="60" w:after="60"/>
              <w:rPr>
                <w:rFonts w:ascii="Arial" w:hAnsi="Arial" w:cs="Arial"/>
                <w:b/>
                <w:bCs/>
                <w:sz w:val="20"/>
                <w:szCs w:val="20"/>
                <w:lang w:val="es-ES"/>
              </w:rPr>
            </w:pPr>
            <w:r w:rsidRPr="00AC0C9B">
              <w:rPr>
                <w:rFonts w:ascii="Arial" w:hAnsi="Arial" w:cs="Arial"/>
                <w:sz w:val="20"/>
                <w:szCs w:val="20"/>
                <w:lang w:val="es-ES"/>
              </w:rPr>
              <w:t>Los Estados del área de distribución que son Partes de la CMS</w:t>
            </w:r>
          </w:p>
        </w:tc>
        <w:tc>
          <w:tcPr>
            <w:tcW w:w="3969" w:type="dxa"/>
          </w:tcPr>
          <w:p w:rsidR="00AC0C9B" w:rsidRPr="00AC0C9B" w:rsidRDefault="00AC0C9B" w:rsidP="00FE3F58">
            <w:pPr>
              <w:spacing w:before="60" w:after="60"/>
              <w:jc w:val="both"/>
              <w:rPr>
                <w:rFonts w:ascii="Arial" w:hAnsi="Arial" w:cs="Arial"/>
                <w:sz w:val="20"/>
                <w:szCs w:val="20"/>
                <w:lang w:val="es-ES"/>
              </w:rPr>
            </w:pPr>
            <w:r w:rsidRPr="00AC0C9B">
              <w:rPr>
                <w:rFonts w:ascii="Arial" w:hAnsi="Arial" w:cs="Arial"/>
                <w:sz w:val="20"/>
                <w:szCs w:val="20"/>
                <w:lang w:val="es-ES"/>
              </w:rPr>
              <w:t>Es posible que las acciones colaborativas requieran fondos adicionales según el caso, aunque muchas acciones se basarán en actividades existentes</w:t>
            </w:r>
          </w:p>
        </w:tc>
      </w:tr>
      <w:tr w:rsidR="00AC0C9B" w:rsidRPr="00D23B83" w:rsidTr="00FE3F58">
        <w:tc>
          <w:tcPr>
            <w:tcW w:w="15031" w:type="dxa"/>
            <w:gridSpan w:val="6"/>
            <w:shd w:val="clear" w:color="auto" w:fill="D9D9D9"/>
          </w:tcPr>
          <w:p w:rsidR="00AC0C9B" w:rsidRPr="00AC0C9B" w:rsidRDefault="00AC0C9B" w:rsidP="00AC0C9B">
            <w:pPr>
              <w:numPr>
                <w:ilvl w:val="0"/>
                <w:numId w:val="8"/>
              </w:numPr>
              <w:spacing w:before="60" w:after="60"/>
              <w:contextualSpacing/>
              <w:jc w:val="both"/>
              <w:rPr>
                <w:rFonts w:ascii="Arial" w:hAnsi="Arial" w:cs="Arial"/>
                <w:b/>
                <w:bCs/>
                <w:sz w:val="20"/>
                <w:szCs w:val="20"/>
                <w:lang w:val="es-ES"/>
              </w:rPr>
            </w:pPr>
            <w:r w:rsidRPr="00AC0C9B">
              <w:rPr>
                <w:rFonts w:ascii="Arial" w:hAnsi="Arial" w:cs="Arial"/>
                <w:b/>
                <w:bCs/>
                <w:sz w:val="20"/>
                <w:szCs w:val="20"/>
                <w:lang w:val="es-ES"/>
              </w:rPr>
              <w:t>Captura incidental en pesquerías en alta mar</w:t>
            </w:r>
          </w:p>
        </w:tc>
      </w:tr>
      <w:tr w:rsidR="00AC0C9B" w:rsidRPr="00D23B83" w:rsidTr="00FE3F58">
        <w:trPr>
          <w:gridAfter w:val="1"/>
          <w:wAfter w:w="11" w:type="dxa"/>
        </w:trPr>
        <w:tc>
          <w:tcPr>
            <w:tcW w:w="4531" w:type="dxa"/>
          </w:tcPr>
          <w:p w:rsidR="00AC0C9B" w:rsidRPr="00AC0C9B" w:rsidRDefault="00AC0C9B" w:rsidP="00AC0C9B">
            <w:pPr>
              <w:numPr>
                <w:ilvl w:val="1"/>
                <w:numId w:val="8"/>
              </w:numPr>
              <w:autoSpaceDE w:val="0"/>
              <w:adjustRightInd w:val="0"/>
              <w:spacing w:before="60" w:after="60"/>
              <w:jc w:val="both"/>
              <w:rPr>
                <w:rFonts w:ascii="Arial" w:hAnsi="Arial" w:cs="Arial"/>
                <w:b/>
                <w:bCs/>
                <w:color w:val="000000"/>
                <w:sz w:val="20"/>
                <w:szCs w:val="20"/>
                <w:lang w:val="es-ES"/>
              </w:rPr>
            </w:pPr>
            <w:r w:rsidRPr="00AC0C9B">
              <w:rPr>
                <w:rFonts w:ascii="Arial" w:hAnsi="Arial" w:cs="Arial"/>
                <w:color w:val="000000"/>
                <w:sz w:val="20"/>
                <w:szCs w:val="20"/>
                <w:lang w:val="es-ES"/>
              </w:rPr>
              <w:t xml:space="preserve">Es necesario respaldar la revisión periódica, así como la mejora en caso necesario, de las medidas de conservación y gestión de la captura incidental de aves marinas para asegurar la aplicación de medidas eficaces de mitigación de la captura incidental, tanto en la Convención para la Conservación de los Recursos Vivos Marinos Antárticos (CCRVMA) como en las organizaciones </w:t>
            </w:r>
            <w:r w:rsidRPr="00AC0C9B">
              <w:rPr>
                <w:rFonts w:ascii="Arial" w:hAnsi="Arial" w:cs="Arial"/>
                <w:color w:val="000000"/>
                <w:sz w:val="20"/>
                <w:szCs w:val="20"/>
                <w:lang w:val="es-ES"/>
              </w:rPr>
              <w:lastRenderedPageBreak/>
              <w:t>regionales de ordenación pesquera (OROP) relevantes: la Comisión de Pesca del Pacífico Occidental y Central (WCPFC), la Comisión Interamericana del Atún Tropical (CIAT), la Comisión para la Conservación del Atún de Aleta Azul del Sur (CCSBT) y la Organización Regional de Ordenación Pesquera del Pacífico Sur (OROPPS)</w:t>
            </w:r>
          </w:p>
        </w:tc>
        <w:tc>
          <w:tcPr>
            <w:tcW w:w="2977" w:type="dxa"/>
          </w:tcPr>
          <w:p w:rsidR="00AC0C9B" w:rsidRPr="00AC0C9B" w:rsidRDefault="00AC0C9B" w:rsidP="00FE3F58">
            <w:p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lastRenderedPageBreak/>
              <w:t>Riesgo de captura incidental en pesquerías minimizado en las OROP relevantes mediante la aplicación de medidas efectivas de mitigación de la captura incidental</w:t>
            </w:r>
          </w:p>
          <w:p w:rsidR="00AC0C9B" w:rsidRPr="00AC0C9B" w:rsidRDefault="00AC0C9B" w:rsidP="00FE3F58">
            <w:pPr>
              <w:autoSpaceDE w:val="0"/>
              <w:adjustRightInd w:val="0"/>
              <w:spacing w:before="60" w:after="60"/>
              <w:rPr>
                <w:rFonts w:ascii="Arial" w:hAnsi="Arial" w:cs="Arial"/>
                <w:b/>
                <w:bCs/>
                <w:color w:val="000000"/>
                <w:sz w:val="20"/>
                <w:szCs w:val="20"/>
                <w:lang w:val="es-ES"/>
              </w:rPr>
            </w:pPr>
          </w:p>
        </w:tc>
        <w:tc>
          <w:tcPr>
            <w:tcW w:w="1559" w:type="dxa"/>
          </w:tcPr>
          <w:p w:rsidR="00AC0C9B" w:rsidRPr="00AC0C9B" w:rsidRDefault="00AC0C9B" w:rsidP="00FE3F58">
            <w:p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2020-2022 para la revisión inicial; revisiones periódicas adicionales (en curso)</w:t>
            </w:r>
          </w:p>
          <w:p w:rsidR="00AC0C9B" w:rsidRPr="00AC0C9B" w:rsidRDefault="00AC0C9B" w:rsidP="00FE3F58">
            <w:pPr>
              <w:spacing w:before="60" w:after="60"/>
              <w:rPr>
                <w:rFonts w:ascii="Arial" w:hAnsi="Arial" w:cs="Arial"/>
                <w:b/>
                <w:bCs/>
                <w:sz w:val="20"/>
                <w:szCs w:val="20"/>
                <w:lang w:val="es-ES"/>
              </w:rPr>
            </w:pPr>
          </w:p>
        </w:tc>
        <w:tc>
          <w:tcPr>
            <w:tcW w:w="1984" w:type="dxa"/>
          </w:tcPr>
          <w:p w:rsidR="00AC0C9B" w:rsidRPr="00AC0C9B" w:rsidRDefault="00AC0C9B" w:rsidP="00FE3F58">
            <w:p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Partes de la CMS que son miembros de las OROP clave o colaboran con ellas</w:t>
            </w:r>
          </w:p>
          <w:p w:rsidR="00AC0C9B" w:rsidRPr="00AC0C9B" w:rsidRDefault="00AC0C9B" w:rsidP="00FE3F58">
            <w:pPr>
              <w:spacing w:before="60" w:after="60"/>
              <w:rPr>
                <w:rFonts w:ascii="Arial" w:hAnsi="Arial" w:cs="Arial"/>
                <w:b/>
                <w:bCs/>
                <w:sz w:val="20"/>
                <w:szCs w:val="20"/>
                <w:lang w:val="es-ES"/>
              </w:rPr>
            </w:pPr>
          </w:p>
        </w:tc>
        <w:tc>
          <w:tcPr>
            <w:tcW w:w="3969" w:type="dxa"/>
          </w:tcPr>
          <w:p w:rsidR="00AC0C9B" w:rsidRPr="00AC0C9B" w:rsidRDefault="00AC0C9B" w:rsidP="00FE3F58">
            <w:pPr>
              <w:spacing w:before="60" w:after="60"/>
              <w:jc w:val="both"/>
              <w:rPr>
                <w:rFonts w:ascii="Arial" w:hAnsi="Arial" w:cs="Arial"/>
                <w:sz w:val="20"/>
                <w:szCs w:val="20"/>
                <w:lang w:val="es-ES"/>
              </w:rPr>
            </w:pPr>
            <w:r w:rsidRPr="00AC0C9B">
              <w:rPr>
                <w:rFonts w:ascii="Arial" w:hAnsi="Arial" w:cs="Arial"/>
                <w:sz w:val="20"/>
                <w:szCs w:val="20"/>
                <w:lang w:val="es-ES"/>
              </w:rPr>
              <w:t>Puede obtenerse a través de la reordenación de las prioridades establecidas en torno a las capacidades existentes de las Partes que colaboran con las OROP o mediante el despliegue de capacidades adicionales, lo que requerirá fondos para costear el tiempo y los desplazamientos a reuniones</w:t>
            </w:r>
          </w:p>
        </w:tc>
      </w:tr>
      <w:tr w:rsidR="00AC0C9B" w:rsidRPr="00D23B83" w:rsidTr="00FE3F58">
        <w:trPr>
          <w:gridAfter w:val="1"/>
          <w:wAfter w:w="11" w:type="dxa"/>
        </w:trPr>
        <w:tc>
          <w:tcPr>
            <w:tcW w:w="4531" w:type="dxa"/>
          </w:tcPr>
          <w:p w:rsidR="00AC0C9B" w:rsidRPr="00AC0C9B" w:rsidRDefault="00AC0C9B" w:rsidP="00AC0C9B">
            <w:pPr>
              <w:numPr>
                <w:ilvl w:val="1"/>
                <w:numId w:val="9"/>
              </w:num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Respaldar la elaboración y distribución de materiales de divulgación para los pescadores en relación con la captura incidental de aves marinas, incluidas guías de identificación de aves marinas</w:t>
            </w:r>
          </w:p>
          <w:p w:rsidR="00AC0C9B" w:rsidRPr="00AC0C9B" w:rsidRDefault="00AC0C9B" w:rsidP="00FE3F58">
            <w:pPr>
              <w:spacing w:before="60" w:after="60"/>
              <w:rPr>
                <w:rFonts w:ascii="Arial" w:hAnsi="Arial" w:cs="Arial"/>
                <w:b/>
                <w:bCs/>
                <w:sz w:val="20"/>
                <w:szCs w:val="20"/>
                <w:lang w:val="es-ES"/>
              </w:rPr>
            </w:pPr>
          </w:p>
        </w:tc>
        <w:tc>
          <w:tcPr>
            <w:tcW w:w="2977" w:type="dxa"/>
          </w:tcPr>
          <w:p w:rsidR="00AC0C9B" w:rsidRPr="00AC0C9B" w:rsidRDefault="00AC0C9B" w:rsidP="00FE3F58">
            <w:pPr>
              <w:autoSpaceDE w:val="0"/>
              <w:adjustRightInd w:val="0"/>
              <w:spacing w:before="60" w:after="60"/>
              <w:rPr>
                <w:rFonts w:ascii="Arial" w:hAnsi="Arial" w:cs="Arial"/>
                <w:b/>
                <w:bCs/>
                <w:color w:val="000000"/>
                <w:sz w:val="20"/>
                <w:szCs w:val="20"/>
                <w:lang w:val="es-ES"/>
              </w:rPr>
            </w:pPr>
            <w:r w:rsidRPr="00AC0C9B">
              <w:rPr>
                <w:rFonts w:ascii="Arial" w:hAnsi="Arial" w:cs="Arial"/>
                <w:color w:val="000000"/>
                <w:sz w:val="20"/>
                <w:szCs w:val="20"/>
                <w:lang w:val="es-ES"/>
              </w:rPr>
              <w:t>Riesgo de captura incidental en pesquerías minimizado en las OROP relevantes mediante una mayor sensibilización, una aplicación mejorada de las medidas de mitigación por los pescadores y una presentación de informes más precisa a nivel de las especies</w:t>
            </w:r>
          </w:p>
        </w:tc>
        <w:tc>
          <w:tcPr>
            <w:tcW w:w="1559" w:type="dxa"/>
          </w:tcPr>
          <w:p w:rsidR="00AC0C9B" w:rsidRPr="00441F6C" w:rsidRDefault="00AC0C9B" w:rsidP="00FE3F58">
            <w:pPr>
              <w:spacing w:before="60" w:after="60"/>
              <w:rPr>
                <w:rFonts w:ascii="Arial" w:hAnsi="Arial" w:cs="Arial"/>
                <w:sz w:val="20"/>
                <w:szCs w:val="20"/>
              </w:rPr>
            </w:pPr>
            <w:proofErr w:type="spellStart"/>
            <w:r w:rsidRPr="00441F6C">
              <w:rPr>
                <w:rFonts w:ascii="Arial" w:hAnsi="Arial" w:cs="Arial"/>
                <w:sz w:val="20"/>
                <w:szCs w:val="20"/>
              </w:rPr>
              <w:t>En</w:t>
            </w:r>
            <w:proofErr w:type="spellEnd"/>
            <w:r w:rsidRPr="00441F6C">
              <w:rPr>
                <w:rFonts w:ascii="Arial" w:hAnsi="Arial" w:cs="Arial"/>
                <w:sz w:val="20"/>
                <w:szCs w:val="20"/>
              </w:rPr>
              <w:t xml:space="preserve"> </w:t>
            </w:r>
            <w:proofErr w:type="spellStart"/>
            <w:r w:rsidRPr="00441F6C">
              <w:rPr>
                <w:rFonts w:ascii="Arial" w:hAnsi="Arial" w:cs="Arial"/>
                <w:sz w:val="20"/>
                <w:szCs w:val="20"/>
              </w:rPr>
              <w:t>curso</w:t>
            </w:r>
            <w:proofErr w:type="spellEnd"/>
          </w:p>
        </w:tc>
        <w:tc>
          <w:tcPr>
            <w:tcW w:w="1984" w:type="dxa"/>
          </w:tcPr>
          <w:p w:rsidR="00AC0C9B" w:rsidRPr="00AC0C9B" w:rsidRDefault="00AC0C9B" w:rsidP="00FE3F58">
            <w:p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Partes de la CMS que son miembros de las OROP clave o colaboran con ellas</w:t>
            </w:r>
          </w:p>
          <w:p w:rsidR="00AC0C9B" w:rsidRPr="00AC0C9B" w:rsidRDefault="00AC0C9B" w:rsidP="00FE3F58">
            <w:pPr>
              <w:spacing w:before="60" w:after="60"/>
              <w:rPr>
                <w:rFonts w:ascii="Arial" w:hAnsi="Arial" w:cs="Arial"/>
                <w:b/>
                <w:bCs/>
                <w:sz w:val="20"/>
                <w:szCs w:val="20"/>
                <w:lang w:val="es-ES"/>
              </w:rPr>
            </w:pPr>
          </w:p>
        </w:tc>
        <w:tc>
          <w:tcPr>
            <w:tcW w:w="3969" w:type="dxa"/>
          </w:tcPr>
          <w:p w:rsidR="00AC0C9B" w:rsidRPr="00AC0C9B" w:rsidRDefault="00AC0C9B" w:rsidP="00FE3F58">
            <w:pPr>
              <w:spacing w:before="60" w:after="60"/>
              <w:rPr>
                <w:rFonts w:ascii="Arial" w:hAnsi="Arial" w:cs="Arial"/>
                <w:sz w:val="20"/>
                <w:szCs w:val="20"/>
                <w:lang w:val="es-ES"/>
              </w:rPr>
            </w:pPr>
            <w:r w:rsidRPr="00AC0C9B">
              <w:rPr>
                <w:rFonts w:ascii="Arial" w:hAnsi="Arial" w:cs="Arial"/>
                <w:sz w:val="20"/>
                <w:szCs w:val="20"/>
                <w:lang w:val="es-ES"/>
              </w:rPr>
              <w:t>La elaboración de nuevos materiales requerirá fondos según el caso</w:t>
            </w:r>
          </w:p>
        </w:tc>
      </w:tr>
      <w:tr w:rsidR="00AC0C9B" w:rsidRPr="00D23B83" w:rsidTr="00FE3F58">
        <w:trPr>
          <w:gridAfter w:val="1"/>
          <w:wAfter w:w="11" w:type="dxa"/>
        </w:trPr>
        <w:tc>
          <w:tcPr>
            <w:tcW w:w="4531" w:type="dxa"/>
          </w:tcPr>
          <w:p w:rsidR="00AC0C9B" w:rsidRPr="00AC0C9B" w:rsidRDefault="00AC0C9B" w:rsidP="00AC0C9B">
            <w:pPr>
              <w:numPr>
                <w:ilvl w:val="1"/>
                <w:numId w:val="9"/>
              </w:num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Respaldar la vigilancia del cumplimiento de las medidas de conservación y gestión de la captura incidental de aves marinas en las OROP relevantes</w:t>
            </w:r>
          </w:p>
          <w:p w:rsidR="00AC0C9B" w:rsidRPr="00AC0C9B" w:rsidRDefault="00AC0C9B" w:rsidP="00FE3F58">
            <w:pPr>
              <w:spacing w:before="60" w:after="60"/>
              <w:rPr>
                <w:rFonts w:ascii="Arial" w:hAnsi="Arial" w:cs="Arial"/>
                <w:b/>
                <w:bCs/>
                <w:sz w:val="20"/>
                <w:szCs w:val="20"/>
                <w:lang w:val="es-ES"/>
              </w:rPr>
            </w:pPr>
          </w:p>
        </w:tc>
        <w:tc>
          <w:tcPr>
            <w:tcW w:w="2977" w:type="dxa"/>
          </w:tcPr>
          <w:p w:rsidR="00AC0C9B" w:rsidRPr="00AC0C9B" w:rsidRDefault="00AC0C9B" w:rsidP="00FE3F58">
            <w:pPr>
              <w:autoSpaceDE w:val="0"/>
              <w:adjustRightInd w:val="0"/>
              <w:spacing w:before="60" w:after="60"/>
              <w:rPr>
                <w:rFonts w:ascii="Arial" w:hAnsi="Arial" w:cs="Arial"/>
                <w:b/>
                <w:bCs/>
                <w:color w:val="000000"/>
                <w:sz w:val="20"/>
                <w:szCs w:val="20"/>
                <w:lang w:val="es-ES"/>
              </w:rPr>
            </w:pPr>
            <w:r w:rsidRPr="00AC0C9B">
              <w:rPr>
                <w:rFonts w:ascii="Arial" w:hAnsi="Arial" w:cs="Arial"/>
                <w:color w:val="000000"/>
                <w:sz w:val="20"/>
                <w:szCs w:val="20"/>
                <w:lang w:val="es-ES"/>
              </w:rPr>
              <w:t xml:space="preserve">La vigilancia del cumplimiento y la presentación de informes en relación con las medidas de conservación y gestión de la captura incidental de aves marinas de las OROP se demuestran en los informes de las OROP </w:t>
            </w:r>
          </w:p>
        </w:tc>
        <w:tc>
          <w:tcPr>
            <w:tcW w:w="1559" w:type="dxa"/>
          </w:tcPr>
          <w:p w:rsidR="00AC0C9B" w:rsidRPr="00AC0C9B" w:rsidRDefault="00AC0C9B" w:rsidP="00FE3F58">
            <w:p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 xml:space="preserve"> 2020-2022 (y se mantiene en curso)</w:t>
            </w:r>
          </w:p>
          <w:p w:rsidR="00AC0C9B" w:rsidRPr="00AC0C9B" w:rsidRDefault="00AC0C9B" w:rsidP="00FE3F58">
            <w:pPr>
              <w:spacing w:before="60" w:after="60"/>
              <w:rPr>
                <w:rFonts w:ascii="Arial" w:hAnsi="Arial" w:cs="Arial"/>
                <w:b/>
                <w:bCs/>
                <w:sz w:val="20"/>
                <w:szCs w:val="20"/>
                <w:lang w:val="es-ES"/>
              </w:rPr>
            </w:pPr>
          </w:p>
        </w:tc>
        <w:tc>
          <w:tcPr>
            <w:tcW w:w="1984" w:type="dxa"/>
          </w:tcPr>
          <w:p w:rsidR="00AC0C9B" w:rsidRPr="00AC0C9B" w:rsidRDefault="00AC0C9B" w:rsidP="00FE3F58">
            <w:p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Partes de la CMS que son miembros de las OROP clave o colaboran con ellas</w:t>
            </w:r>
          </w:p>
          <w:p w:rsidR="00AC0C9B" w:rsidRPr="00AC0C9B" w:rsidRDefault="00AC0C9B" w:rsidP="00FE3F58">
            <w:pPr>
              <w:spacing w:before="60" w:after="60"/>
              <w:rPr>
                <w:rFonts w:ascii="Arial" w:hAnsi="Arial" w:cs="Arial"/>
                <w:b/>
                <w:bCs/>
                <w:sz w:val="20"/>
                <w:szCs w:val="20"/>
                <w:lang w:val="es-ES"/>
              </w:rPr>
            </w:pPr>
          </w:p>
        </w:tc>
        <w:tc>
          <w:tcPr>
            <w:tcW w:w="3969" w:type="dxa"/>
          </w:tcPr>
          <w:p w:rsidR="00AC0C9B" w:rsidRPr="00AC0C9B" w:rsidRDefault="00AC0C9B" w:rsidP="00FE3F58">
            <w:pPr>
              <w:spacing w:before="60" w:after="60"/>
              <w:rPr>
                <w:rFonts w:ascii="Arial" w:hAnsi="Arial" w:cs="Arial"/>
                <w:sz w:val="20"/>
                <w:szCs w:val="20"/>
                <w:lang w:val="es-ES"/>
              </w:rPr>
            </w:pPr>
            <w:r w:rsidRPr="00AC0C9B">
              <w:rPr>
                <w:rFonts w:ascii="Arial" w:hAnsi="Arial" w:cs="Arial"/>
                <w:sz w:val="20"/>
                <w:szCs w:val="20"/>
                <w:lang w:val="es-ES"/>
              </w:rPr>
              <w:t>Puede obtenerse a través de la reordenación de las prioridades establecidas en torno a las capacidades existentes de las Partes que colaboran con las OROP o mediante el despliegue de capacidades adicionales, lo que requerirá fondos para costear el tiempo y los desplazamientos a reuniones</w:t>
            </w:r>
          </w:p>
        </w:tc>
      </w:tr>
      <w:tr w:rsidR="00AC0C9B" w:rsidRPr="00D23B83" w:rsidTr="00FE3F58">
        <w:trPr>
          <w:gridAfter w:val="1"/>
          <w:wAfter w:w="11" w:type="dxa"/>
        </w:trPr>
        <w:tc>
          <w:tcPr>
            <w:tcW w:w="4531" w:type="dxa"/>
          </w:tcPr>
          <w:p w:rsidR="00AC0C9B" w:rsidRPr="00AC0C9B" w:rsidRDefault="00AC0C9B" w:rsidP="00AC0C9B">
            <w:pPr>
              <w:numPr>
                <w:ilvl w:val="1"/>
                <w:numId w:val="9"/>
              </w:num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Respaldar una recopilación e intercambio sólidos de información relacionada con la captura incidental en las OROP relevantes</w:t>
            </w:r>
          </w:p>
          <w:p w:rsidR="00AC0C9B" w:rsidRPr="00AC0C9B" w:rsidRDefault="00AC0C9B" w:rsidP="00FE3F58">
            <w:pPr>
              <w:spacing w:before="60" w:after="60"/>
              <w:rPr>
                <w:rFonts w:ascii="Arial" w:hAnsi="Arial" w:cs="Arial"/>
                <w:b/>
                <w:bCs/>
                <w:sz w:val="20"/>
                <w:szCs w:val="20"/>
                <w:lang w:val="es-ES"/>
              </w:rPr>
            </w:pPr>
          </w:p>
        </w:tc>
        <w:tc>
          <w:tcPr>
            <w:tcW w:w="2977" w:type="dxa"/>
          </w:tcPr>
          <w:p w:rsidR="00AC0C9B" w:rsidRPr="00AC0C9B" w:rsidRDefault="00AC0C9B" w:rsidP="00FE3F58">
            <w:p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El riesgo de captura incidental en pesquerías se documenta y es mensurable a través de la presentación de datos</w:t>
            </w:r>
          </w:p>
          <w:p w:rsidR="00AC0C9B" w:rsidRPr="00AC0C9B" w:rsidRDefault="00AC0C9B" w:rsidP="00FE3F58">
            <w:pPr>
              <w:autoSpaceDE w:val="0"/>
              <w:adjustRightInd w:val="0"/>
              <w:spacing w:before="60" w:after="60"/>
              <w:rPr>
                <w:rFonts w:ascii="Arial" w:hAnsi="Arial" w:cs="Arial"/>
                <w:b/>
                <w:bCs/>
                <w:color w:val="000000"/>
                <w:sz w:val="20"/>
                <w:szCs w:val="20"/>
                <w:lang w:val="es-ES"/>
              </w:rPr>
            </w:pPr>
          </w:p>
        </w:tc>
        <w:tc>
          <w:tcPr>
            <w:tcW w:w="1559" w:type="dxa"/>
          </w:tcPr>
          <w:p w:rsidR="00AC0C9B" w:rsidRPr="00441F6C" w:rsidRDefault="00AC0C9B" w:rsidP="00FE3F58">
            <w:pPr>
              <w:spacing w:before="60" w:after="60"/>
              <w:rPr>
                <w:rFonts w:ascii="Arial" w:hAnsi="Arial" w:cs="Arial"/>
                <w:sz w:val="20"/>
                <w:szCs w:val="20"/>
              </w:rPr>
            </w:pPr>
            <w:proofErr w:type="spellStart"/>
            <w:r w:rsidRPr="00441F6C">
              <w:rPr>
                <w:rFonts w:ascii="Arial" w:hAnsi="Arial" w:cs="Arial"/>
                <w:sz w:val="20"/>
                <w:szCs w:val="20"/>
              </w:rPr>
              <w:t>En</w:t>
            </w:r>
            <w:proofErr w:type="spellEnd"/>
            <w:r w:rsidRPr="00441F6C">
              <w:rPr>
                <w:rFonts w:ascii="Arial" w:hAnsi="Arial" w:cs="Arial"/>
                <w:sz w:val="20"/>
                <w:szCs w:val="20"/>
              </w:rPr>
              <w:t xml:space="preserve"> </w:t>
            </w:r>
            <w:proofErr w:type="spellStart"/>
            <w:r w:rsidRPr="00441F6C">
              <w:rPr>
                <w:rFonts w:ascii="Arial" w:hAnsi="Arial" w:cs="Arial"/>
                <w:sz w:val="20"/>
                <w:szCs w:val="20"/>
              </w:rPr>
              <w:t>curso</w:t>
            </w:r>
            <w:proofErr w:type="spellEnd"/>
          </w:p>
        </w:tc>
        <w:tc>
          <w:tcPr>
            <w:tcW w:w="1984" w:type="dxa"/>
          </w:tcPr>
          <w:p w:rsidR="00AC0C9B" w:rsidRPr="00AC0C9B" w:rsidRDefault="00AC0C9B" w:rsidP="00FE3F58">
            <w:p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Partes de la CMS que son miembros de las OROP clave o colaboran con ellas</w:t>
            </w:r>
          </w:p>
          <w:p w:rsidR="00AC0C9B" w:rsidRPr="00AC0C9B" w:rsidRDefault="00AC0C9B" w:rsidP="00FE3F58">
            <w:pPr>
              <w:spacing w:before="60" w:after="60"/>
              <w:rPr>
                <w:rFonts w:ascii="Arial" w:hAnsi="Arial" w:cs="Arial"/>
                <w:b/>
                <w:bCs/>
                <w:sz w:val="20"/>
                <w:szCs w:val="20"/>
                <w:lang w:val="es-ES"/>
              </w:rPr>
            </w:pPr>
          </w:p>
        </w:tc>
        <w:tc>
          <w:tcPr>
            <w:tcW w:w="3969" w:type="dxa"/>
          </w:tcPr>
          <w:p w:rsidR="00AC0C9B" w:rsidRPr="00AC0C9B" w:rsidRDefault="00AC0C9B" w:rsidP="00FE3F58">
            <w:pPr>
              <w:spacing w:before="60" w:after="60"/>
              <w:rPr>
                <w:rFonts w:ascii="Arial" w:hAnsi="Arial" w:cs="Arial"/>
                <w:b/>
                <w:bCs/>
                <w:sz w:val="20"/>
                <w:szCs w:val="20"/>
                <w:lang w:val="es-ES"/>
              </w:rPr>
            </w:pPr>
            <w:r w:rsidRPr="00AC0C9B">
              <w:rPr>
                <w:rFonts w:ascii="Arial" w:hAnsi="Arial" w:cs="Arial"/>
                <w:sz w:val="20"/>
                <w:szCs w:val="20"/>
                <w:lang w:val="es-ES"/>
              </w:rPr>
              <w:t xml:space="preserve">Puede obtenerse a través de la reordenación de las prioridades establecidas en torno a las capacidades existentes de las Partes que colaboran con las OROP o mediante el despliegue de capacidades adicionales, lo que requerirá fondos para costear el tiempo y los desplazamientos a reuniones. En caso necesario, las OROP miembros </w:t>
            </w:r>
            <w:r w:rsidRPr="00AC0C9B">
              <w:rPr>
                <w:rFonts w:ascii="Arial" w:hAnsi="Arial" w:cs="Arial"/>
                <w:sz w:val="20"/>
                <w:szCs w:val="20"/>
                <w:lang w:val="es-ES"/>
              </w:rPr>
              <w:lastRenderedPageBreak/>
              <w:t>relevantes deberán aportar fondos para aumentar los niveles de observación</w:t>
            </w:r>
          </w:p>
        </w:tc>
      </w:tr>
      <w:tr w:rsidR="00AC0C9B" w:rsidRPr="00D23B83" w:rsidTr="00FE3F58">
        <w:trPr>
          <w:gridAfter w:val="1"/>
          <w:wAfter w:w="11" w:type="dxa"/>
        </w:trPr>
        <w:tc>
          <w:tcPr>
            <w:tcW w:w="4531" w:type="dxa"/>
            <w:tcBorders>
              <w:bottom w:val="single" w:sz="4" w:space="0" w:color="auto"/>
            </w:tcBorders>
          </w:tcPr>
          <w:p w:rsidR="00AC0C9B" w:rsidRPr="00AC0C9B" w:rsidRDefault="00AC0C9B" w:rsidP="00AC0C9B">
            <w:pPr>
              <w:numPr>
                <w:ilvl w:val="1"/>
                <w:numId w:val="9"/>
              </w:num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lastRenderedPageBreak/>
              <w:t>Respaldar una presentación de informes fundamentada sobre la captura incidental y evaluaciones periódicas de la captura incidental en las OROP relevantes</w:t>
            </w:r>
          </w:p>
          <w:p w:rsidR="00AC0C9B" w:rsidRPr="00AC0C9B" w:rsidRDefault="00AC0C9B" w:rsidP="00FE3F58">
            <w:pPr>
              <w:spacing w:before="60" w:after="60"/>
              <w:rPr>
                <w:rFonts w:ascii="Arial" w:hAnsi="Arial" w:cs="Arial"/>
                <w:b/>
                <w:bCs/>
                <w:sz w:val="20"/>
                <w:szCs w:val="20"/>
                <w:lang w:val="es-ES"/>
              </w:rPr>
            </w:pPr>
          </w:p>
        </w:tc>
        <w:tc>
          <w:tcPr>
            <w:tcW w:w="2977" w:type="dxa"/>
            <w:tcBorders>
              <w:bottom w:val="single" w:sz="4" w:space="0" w:color="auto"/>
            </w:tcBorders>
          </w:tcPr>
          <w:p w:rsidR="00AC0C9B" w:rsidRPr="00AC0C9B" w:rsidRDefault="00AC0C9B" w:rsidP="00FE3F58">
            <w:p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Estimación del riesgo de captura incidental de aves marinas en pesquerías a escala de las OROP</w:t>
            </w:r>
          </w:p>
          <w:p w:rsidR="00AC0C9B" w:rsidRPr="00AC0C9B" w:rsidRDefault="00AC0C9B" w:rsidP="00FE3F58">
            <w:pPr>
              <w:autoSpaceDE w:val="0"/>
              <w:adjustRightInd w:val="0"/>
              <w:spacing w:before="60" w:after="60"/>
              <w:rPr>
                <w:rFonts w:ascii="Arial" w:hAnsi="Arial" w:cs="Arial"/>
                <w:color w:val="000000"/>
                <w:sz w:val="20"/>
                <w:szCs w:val="20"/>
                <w:lang w:val="es-ES"/>
              </w:rPr>
            </w:pPr>
          </w:p>
          <w:p w:rsidR="00AC0C9B" w:rsidRPr="00AC0C9B" w:rsidRDefault="00AC0C9B" w:rsidP="00FE3F58">
            <w:pPr>
              <w:spacing w:before="60" w:after="60"/>
              <w:rPr>
                <w:rFonts w:ascii="Arial" w:hAnsi="Arial" w:cs="Arial"/>
                <w:b/>
                <w:bCs/>
                <w:sz w:val="20"/>
                <w:szCs w:val="20"/>
                <w:lang w:val="es-ES"/>
              </w:rPr>
            </w:pPr>
          </w:p>
        </w:tc>
        <w:tc>
          <w:tcPr>
            <w:tcW w:w="1559" w:type="dxa"/>
            <w:tcBorders>
              <w:bottom w:val="single" w:sz="4" w:space="0" w:color="auto"/>
            </w:tcBorders>
          </w:tcPr>
          <w:p w:rsidR="00AC0C9B" w:rsidRPr="00441F6C" w:rsidRDefault="00AC0C9B" w:rsidP="00FE3F58">
            <w:pPr>
              <w:spacing w:before="60" w:after="60"/>
              <w:rPr>
                <w:rFonts w:ascii="Arial" w:hAnsi="Arial" w:cs="Arial"/>
                <w:sz w:val="20"/>
                <w:szCs w:val="20"/>
              </w:rPr>
            </w:pPr>
            <w:proofErr w:type="spellStart"/>
            <w:r w:rsidRPr="00441F6C">
              <w:rPr>
                <w:rFonts w:ascii="Arial" w:hAnsi="Arial" w:cs="Arial"/>
                <w:sz w:val="20"/>
                <w:szCs w:val="20"/>
              </w:rPr>
              <w:t>En</w:t>
            </w:r>
            <w:proofErr w:type="spellEnd"/>
            <w:r w:rsidRPr="00441F6C">
              <w:rPr>
                <w:rFonts w:ascii="Arial" w:hAnsi="Arial" w:cs="Arial"/>
                <w:sz w:val="20"/>
                <w:szCs w:val="20"/>
              </w:rPr>
              <w:t xml:space="preserve"> </w:t>
            </w:r>
            <w:proofErr w:type="spellStart"/>
            <w:r w:rsidRPr="00441F6C">
              <w:rPr>
                <w:rFonts w:ascii="Arial" w:hAnsi="Arial" w:cs="Arial"/>
                <w:sz w:val="20"/>
                <w:szCs w:val="20"/>
              </w:rPr>
              <w:t>curso</w:t>
            </w:r>
            <w:proofErr w:type="spellEnd"/>
          </w:p>
        </w:tc>
        <w:tc>
          <w:tcPr>
            <w:tcW w:w="1984" w:type="dxa"/>
            <w:tcBorders>
              <w:bottom w:val="single" w:sz="4" w:space="0" w:color="auto"/>
            </w:tcBorders>
          </w:tcPr>
          <w:p w:rsidR="00AC0C9B" w:rsidRPr="00AC0C9B" w:rsidRDefault="00AC0C9B" w:rsidP="00FE3F58">
            <w:p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Partes de la CMS que son miembros de las OROP clave o colaboran con ellas</w:t>
            </w:r>
          </w:p>
          <w:p w:rsidR="00AC0C9B" w:rsidRPr="00AC0C9B" w:rsidRDefault="00AC0C9B" w:rsidP="00FE3F58">
            <w:pPr>
              <w:spacing w:before="60" w:after="60"/>
              <w:rPr>
                <w:rFonts w:ascii="Arial" w:hAnsi="Arial" w:cs="Arial"/>
                <w:b/>
                <w:bCs/>
                <w:sz w:val="20"/>
                <w:szCs w:val="20"/>
                <w:lang w:val="es-ES"/>
              </w:rPr>
            </w:pPr>
          </w:p>
        </w:tc>
        <w:tc>
          <w:tcPr>
            <w:tcW w:w="3969" w:type="dxa"/>
            <w:tcBorders>
              <w:bottom w:val="single" w:sz="4" w:space="0" w:color="auto"/>
            </w:tcBorders>
          </w:tcPr>
          <w:p w:rsidR="00AC0C9B" w:rsidRPr="00AC0C9B" w:rsidRDefault="00AC0C9B" w:rsidP="00FE3F58">
            <w:pPr>
              <w:spacing w:before="60" w:after="60"/>
              <w:rPr>
                <w:rFonts w:ascii="Arial" w:hAnsi="Arial" w:cs="Arial"/>
                <w:sz w:val="20"/>
                <w:szCs w:val="20"/>
                <w:lang w:val="es-ES"/>
              </w:rPr>
            </w:pPr>
            <w:r w:rsidRPr="00AC0C9B">
              <w:rPr>
                <w:rFonts w:ascii="Arial" w:hAnsi="Arial" w:cs="Arial"/>
                <w:sz w:val="20"/>
                <w:szCs w:val="20"/>
                <w:lang w:val="es-ES"/>
              </w:rPr>
              <w:t>Las evaluaciones se pueden financiar a través de las OROP u otros presupuestos, o pueden requerir financiación de partes de apoyo según el caso</w:t>
            </w:r>
          </w:p>
        </w:tc>
      </w:tr>
      <w:tr w:rsidR="00AC0C9B" w:rsidRPr="00D23B83" w:rsidTr="00FE3F58">
        <w:trPr>
          <w:gridAfter w:val="1"/>
          <w:wAfter w:w="11" w:type="dxa"/>
        </w:trPr>
        <w:tc>
          <w:tcPr>
            <w:tcW w:w="4531" w:type="dxa"/>
            <w:tcBorders>
              <w:bottom w:val="single" w:sz="4" w:space="0" w:color="auto"/>
            </w:tcBorders>
          </w:tcPr>
          <w:p w:rsidR="00AC0C9B" w:rsidRPr="00AC0C9B" w:rsidRDefault="00AC0C9B" w:rsidP="00AC0C9B">
            <w:pPr>
              <w:numPr>
                <w:ilvl w:val="1"/>
                <w:numId w:val="9"/>
              </w:numPr>
              <w:autoSpaceDE w:val="0"/>
              <w:adjustRightInd w:val="0"/>
              <w:spacing w:before="60" w:after="60"/>
              <w:rPr>
                <w:rFonts w:ascii="Arial" w:hAnsi="Arial" w:cs="Arial"/>
                <w:b/>
                <w:bCs/>
                <w:color w:val="000000"/>
                <w:sz w:val="20"/>
                <w:szCs w:val="20"/>
                <w:lang w:val="es-ES"/>
              </w:rPr>
            </w:pPr>
            <w:r w:rsidRPr="00AC0C9B">
              <w:rPr>
                <w:rFonts w:ascii="Arial" w:hAnsi="Arial" w:cs="Arial"/>
                <w:color w:val="000000"/>
                <w:sz w:val="20"/>
                <w:szCs w:val="20"/>
                <w:lang w:val="es-ES"/>
              </w:rPr>
              <w:t xml:space="preserve">Respaldar la recopilación de datos en pesquerías de alta mar en las que escasea el conocimiento sobre otros tipos de interacciones con aves marinas, incluida la posible utilización de aves marinas como carne de animales salvajes. </w:t>
            </w:r>
          </w:p>
        </w:tc>
        <w:tc>
          <w:tcPr>
            <w:tcW w:w="2977" w:type="dxa"/>
            <w:tcBorders>
              <w:bottom w:val="single" w:sz="4" w:space="0" w:color="auto"/>
            </w:tcBorders>
          </w:tcPr>
          <w:p w:rsidR="00AC0C9B" w:rsidRPr="00AC0C9B" w:rsidRDefault="00AC0C9B" w:rsidP="00FE3F58">
            <w:p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Se comprenden los riesgos que plantean todos los métodos de pesca relevantes</w:t>
            </w:r>
          </w:p>
          <w:p w:rsidR="00AC0C9B" w:rsidRPr="00AC0C9B" w:rsidRDefault="00AC0C9B" w:rsidP="00FE3F58">
            <w:pPr>
              <w:spacing w:before="60" w:after="60"/>
              <w:rPr>
                <w:rFonts w:ascii="Arial" w:hAnsi="Arial" w:cs="Arial"/>
                <w:b/>
                <w:bCs/>
                <w:sz w:val="20"/>
                <w:szCs w:val="20"/>
                <w:lang w:val="es-ES"/>
              </w:rPr>
            </w:pPr>
          </w:p>
        </w:tc>
        <w:tc>
          <w:tcPr>
            <w:tcW w:w="1559" w:type="dxa"/>
            <w:tcBorders>
              <w:bottom w:val="single" w:sz="4" w:space="0" w:color="auto"/>
            </w:tcBorders>
          </w:tcPr>
          <w:p w:rsidR="00AC0C9B" w:rsidRPr="00441F6C" w:rsidRDefault="00AC0C9B" w:rsidP="00FE3F58">
            <w:pPr>
              <w:spacing w:before="60" w:after="60"/>
              <w:rPr>
                <w:rFonts w:ascii="Arial" w:hAnsi="Arial" w:cs="Arial"/>
                <w:sz w:val="20"/>
                <w:szCs w:val="20"/>
              </w:rPr>
            </w:pPr>
            <w:r w:rsidRPr="00441F6C">
              <w:rPr>
                <w:rFonts w:ascii="Arial" w:hAnsi="Arial" w:cs="Arial"/>
                <w:sz w:val="20"/>
                <w:szCs w:val="20"/>
              </w:rPr>
              <w:t>2020-2025</w:t>
            </w:r>
          </w:p>
        </w:tc>
        <w:tc>
          <w:tcPr>
            <w:tcW w:w="1984" w:type="dxa"/>
            <w:tcBorders>
              <w:bottom w:val="single" w:sz="4" w:space="0" w:color="auto"/>
            </w:tcBorders>
          </w:tcPr>
          <w:p w:rsidR="00AC0C9B" w:rsidRPr="00AC0C9B" w:rsidRDefault="00AC0C9B" w:rsidP="00FE3F58">
            <w:p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Partes de la CMS que son miembros de las OROP clave o colaboran con ellas</w:t>
            </w:r>
          </w:p>
          <w:p w:rsidR="00AC0C9B" w:rsidRPr="00AC0C9B" w:rsidRDefault="00AC0C9B" w:rsidP="00FE3F58">
            <w:pPr>
              <w:spacing w:before="60" w:after="60"/>
              <w:rPr>
                <w:rFonts w:ascii="Arial" w:hAnsi="Arial" w:cs="Arial"/>
                <w:b/>
                <w:bCs/>
                <w:sz w:val="20"/>
                <w:szCs w:val="20"/>
                <w:lang w:val="es-ES"/>
              </w:rPr>
            </w:pPr>
          </w:p>
        </w:tc>
        <w:tc>
          <w:tcPr>
            <w:tcW w:w="3969" w:type="dxa"/>
            <w:tcBorders>
              <w:bottom w:val="single" w:sz="4" w:space="0" w:color="auto"/>
            </w:tcBorders>
          </w:tcPr>
          <w:p w:rsidR="00AC0C9B" w:rsidRPr="00AC0C9B" w:rsidRDefault="00AC0C9B" w:rsidP="00FE3F58">
            <w:pPr>
              <w:spacing w:before="60" w:after="60"/>
              <w:rPr>
                <w:rFonts w:ascii="Arial" w:hAnsi="Arial" w:cs="Arial"/>
                <w:sz w:val="20"/>
                <w:szCs w:val="20"/>
                <w:lang w:val="es-ES"/>
              </w:rPr>
            </w:pPr>
            <w:r w:rsidRPr="00AC0C9B">
              <w:rPr>
                <w:rFonts w:ascii="Arial" w:hAnsi="Arial" w:cs="Arial"/>
                <w:sz w:val="20"/>
                <w:szCs w:val="20"/>
                <w:lang w:val="es-ES"/>
              </w:rPr>
              <w:t>Puede obtenerse a través de la reordenación de las prioridades establecidas en torno a las capacidades existentes de las Partes que colaboran con las OROP o mediante el despliegue de capacidades adicionales, lo que requerirá fondos para costear el tiempo y los desplazamientos a reuniones. En caso necesario, las OROP miembros relevantes, como las que operan flotas poteras, deberán aportar fondos para aumentar los niveles de observación</w:t>
            </w:r>
          </w:p>
        </w:tc>
      </w:tr>
      <w:tr w:rsidR="00AC0C9B" w:rsidRPr="00D23B83" w:rsidTr="00FE3F58">
        <w:trPr>
          <w:gridAfter w:val="1"/>
          <w:wAfter w:w="11" w:type="dxa"/>
        </w:trPr>
        <w:tc>
          <w:tcPr>
            <w:tcW w:w="4531" w:type="dxa"/>
            <w:tcBorders>
              <w:top w:val="single" w:sz="4" w:space="0" w:color="auto"/>
              <w:left w:val="nil"/>
              <w:bottom w:val="nil"/>
              <w:right w:val="nil"/>
            </w:tcBorders>
          </w:tcPr>
          <w:p w:rsidR="00AC0C9B" w:rsidRPr="00AC0C9B" w:rsidRDefault="00AC0C9B" w:rsidP="00FE3F58">
            <w:pPr>
              <w:autoSpaceDE w:val="0"/>
              <w:adjustRightInd w:val="0"/>
              <w:spacing w:before="60" w:after="60"/>
              <w:ind w:left="360"/>
              <w:rPr>
                <w:rFonts w:cs="Arial"/>
                <w:color w:val="000000"/>
                <w:sz w:val="20"/>
                <w:szCs w:val="20"/>
                <w:lang w:val="es-ES"/>
              </w:rPr>
            </w:pPr>
          </w:p>
        </w:tc>
        <w:tc>
          <w:tcPr>
            <w:tcW w:w="2977" w:type="dxa"/>
            <w:tcBorders>
              <w:top w:val="single" w:sz="4" w:space="0" w:color="auto"/>
              <w:left w:val="nil"/>
              <w:bottom w:val="nil"/>
              <w:right w:val="nil"/>
            </w:tcBorders>
          </w:tcPr>
          <w:p w:rsidR="00AC0C9B" w:rsidRPr="00AC0C9B" w:rsidRDefault="00AC0C9B" w:rsidP="00FE3F58">
            <w:pPr>
              <w:autoSpaceDE w:val="0"/>
              <w:adjustRightInd w:val="0"/>
              <w:spacing w:before="60" w:after="60"/>
              <w:rPr>
                <w:rFonts w:cs="Arial"/>
                <w:color w:val="000000"/>
                <w:sz w:val="20"/>
                <w:szCs w:val="20"/>
                <w:lang w:val="es-ES"/>
              </w:rPr>
            </w:pPr>
          </w:p>
        </w:tc>
        <w:tc>
          <w:tcPr>
            <w:tcW w:w="1559" w:type="dxa"/>
            <w:tcBorders>
              <w:top w:val="single" w:sz="4" w:space="0" w:color="auto"/>
              <w:left w:val="nil"/>
              <w:bottom w:val="nil"/>
              <w:right w:val="nil"/>
            </w:tcBorders>
          </w:tcPr>
          <w:p w:rsidR="00AC0C9B" w:rsidRPr="00AC0C9B" w:rsidRDefault="00AC0C9B" w:rsidP="00FE3F58">
            <w:pPr>
              <w:spacing w:before="60" w:after="60"/>
              <w:rPr>
                <w:rFonts w:cs="Arial"/>
                <w:sz w:val="20"/>
                <w:szCs w:val="20"/>
                <w:lang w:val="es-ES"/>
              </w:rPr>
            </w:pPr>
          </w:p>
        </w:tc>
        <w:tc>
          <w:tcPr>
            <w:tcW w:w="1984" w:type="dxa"/>
            <w:tcBorders>
              <w:top w:val="single" w:sz="4" w:space="0" w:color="auto"/>
              <w:left w:val="nil"/>
              <w:bottom w:val="nil"/>
              <w:right w:val="nil"/>
            </w:tcBorders>
          </w:tcPr>
          <w:p w:rsidR="00AC0C9B" w:rsidRPr="00AC0C9B" w:rsidRDefault="00AC0C9B" w:rsidP="00FE3F58">
            <w:pPr>
              <w:autoSpaceDE w:val="0"/>
              <w:adjustRightInd w:val="0"/>
              <w:spacing w:before="60" w:after="60"/>
              <w:rPr>
                <w:rFonts w:cs="Arial"/>
                <w:color w:val="000000"/>
                <w:sz w:val="20"/>
                <w:szCs w:val="20"/>
                <w:lang w:val="es-ES"/>
              </w:rPr>
            </w:pPr>
          </w:p>
        </w:tc>
        <w:tc>
          <w:tcPr>
            <w:tcW w:w="3969" w:type="dxa"/>
            <w:tcBorders>
              <w:top w:val="single" w:sz="4" w:space="0" w:color="auto"/>
              <w:left w:val="nil"/>
              <w:bottom w:val="nil"/>
              <w:right w:val="nil"/>
            </w:tcBorders>
          </w:tcPr>
          <w:p w:rsidR="00AC0C9B" w:rsidRPr="00AC0C9B" w:rsidRDefault="00AC0C9B" w:rsidP="00FE3F58">
            <w:pPr>
              <w:spacing w:before="60" w:after="60"/>
              <w:rPr>
                <w:rFonts w:cs="Arial"/>
                <w:sz w:val="20"/>
                <w:szCs w:val="20"/>
                <w:lang w:val="es-ES"/>
              </w:rPr>
            </w:pPr>
          </w:p>
        </w:tc>
      </w:tr>
      <w:tr w:rsidR="00AC0C9B" w:rsidRPr="00D23B83" w:rsidTr="00FE3F58">
        <w:trPr>
          <w:gridAfter w:val="1"/>
          <w:wAfter w:w="11" w:type="dxa"/>
        </w:trPr>
        <w:tc>
          <w:tcPr>
            <w:tcW w:w="4531" w:type="dxa"/>
            <w:tcBorders>
              <w:top w:val="nil"/>
            </w:tcBorders>
          </w:tcPr>
          <w:p w:rsidR="00AC0C9B" w:rsidRPr="00AC0C9B" w:rsidRDefault="00AC0C9B" w:rsidP="00AC0C9B">
            <w:pPr>
              <w:numPr>
                <w:ilvl w:val="1"/>
                <w:numId w:val="9"/>
              </w:num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Desarrollar colaboraciones en torno a las medidas de mitigación de la captura incidental de aves marinas con partes que no son miembros de la CMS y que operan en el área de distribución del albatros de las Antípodas</w:t>
            </w:r>
          </w:p>
        </w:tc>
        <w:tc>
          <w:tcPr>
            <w:tcW w:w="2977" w:type="dxa"/>
            <w:tcBorders>
              <w:top w:val="nil"/>
            </w:tcBorders>
          </w:tcPr>
          <w:p w:rsidR="00AC0C9B" w:rsidRPr="00AC0C9B" w:rsidRDefault="00AC0C9B" w:rsidP="00FE3F58">
            <w:p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Riesgo de captura incidental en pesquerías minimizado mediante la aplicación de medidas eficaces de mitigación de la captura incidental</w:t>
            </w:r>
          </w:p>
        </w:tc>
        <w:tc>
          <w:tcPr>
            <w:tcW w:w="1559" w:type="dxa"/>
            <w:tcBorders>
              <w:top w:val="nil"/>
            </w:tcBorders>
          </w:tcPr>
          <w:p w:rsidR="00AC0C9B" w:rsidRPr="00441F6C" w:rsidRDefault="00AC0C9B" w:rsidP="00FE3F58">
            <w:pPr>
              <w:spacing w:before="60" w:after="60"/>
              <w:rPr>
                <w:rFonts w:ascii="Arial" w:hAnsi="Arial" w:cs="Arial"/>
                <w:sz w:val="20"/>
                <w:szCs w:val="20"/>
              </w:rPr>
            </w:pPr>
            <w:proofErr w:type="spellStart"/>
            <w:r w:rsidRPr="00441F6C">
              <w:rPr>
                <w:rFonts w:ascii="Arial" w:hAnsi="Arial" w:cs="Arial"/>
                <w:sz w:val="20"/>
                <w:szCs w:val="20"/>
              </w:rPr>
              <w:t>En</w:t>
            </w:r>
            <w:proofErr w:type="spellEnd"/>
            <w:r w:rsidRPr="00441F6C">
              <w:rPr>
                <w:rFonts w:ascii="Arial" w:hAnsi="Arial" w:cs="Arial"/>
                <w:sz w:val="20"/>
                <w:szCs w:val="20"/>
              </w:rPr>
              <w:t xml:space="preserve"> </w:t>
            </w:r>
            <w:proofErr w:type="spellStart"/>
            <w:r w:rsidRPr="00441F6C">
              <w:rPr>
                <w:rFonts w:ascii="Arial" w:hAnsi="Arial" w:cs="Arial"/>
                <w:sz w:val="20"/>
                <w:szCs w:val="20"/>
              </w:rPr>
              <w:t>curso</w:t>
            </w:r>
            <w:proofErr w:type="spellEnd"/>
          </w:p>
        </w:tc>
        <w:tc>
          <w:tcPr>
            <w:tcW w:w="1984" w:type="dxa"/>
            <w:tcBorders>
              <w:top w:val="nil"/>
            </w:tcBorders>
          </w:tcPr>
          <w:p w:rsidR="00AC0C9B" w:rsidRPr="00AC0C9B" w:rsidRDefault="00AC0C9B" w:rsidP="00FE3F58">
            <w:p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Los Estados del área de distribución que son Partes de la CMS</w:t>
            </w:r>
          </w:p>
          <w:p w:rsidR="00AC0C9B" w:rsidRPr="00AC0C9B" w:rsidRDefault="00AC0C9B" w:rsidP="00FE3F58">
            <w:pPr>
              <w:spacing w:before="60" w:after="60"/>
              <w:rPr>
                <w:rFonts w:ascii="Arial" w:hAnsi="Arial" w:cs="Arial"/>
                <w:b/>
                <w:bCs/>
                <w:sz w:val="20"/>
                <w:szCs w:val="20"/>
                <w:lang w:val="es-ES"/>
              </w:rPr>
            </w:pPr>
          </w:p>
        </w:tc>
        <w:tc>
          <w:tcPr>
            <w:tcW w:w="3969" w:type="dxa"/>
            <w:tcBorders>
              <w:top w:val="nil"/>
            </w:tcBorders>
          </w:tcPr>
          <w:p w:rsidR="00AC0C9B" w:rsidRPr="00AC0C9B" w:rsidRDefault="00AC0C9B" w:rsidP="00FE3F58">
            <w:pPr>
              <w:spacing w:before="60" w:after="60"/>
              <w:rPr>
                <w:rFonts w:ascii="Arial" w:hAnsi="Arial" w:cs="Arial"/>
                <w:sz w:val="20"/>
                <w:szCs w:val="20"/>
                <w:lang w:val="es-ES"/>
              </w:rPr>
            </w:pPr>
            <w:r w:rsidRPr="00AC0C9B">
              <w:rPr>
                <w:rFonts w:ascii="Arial" w:hAnsi="Arial" w:cs="Arial"/>
                <w:sz w:val="20"/>
                <w:szCs w:val="20"/>
                <w:lang w:val="es-ES"/>
              </w:rPr>
              <w:t>Es posible que las acciones colaborativas requieran fondos adicionales según el caso, aunque muchas acciones se basarán en actividades existentes</w:t>
            </w:r>
          </w:p>
        </w:tc>
      </w:tr>
      <w:tr w:rsidR="00AC0C9B" w:rsidRPr="00441F6C" w:rsidTr="00FE3F58">
        <w:tc>
          <w:tcPr>
            <w:tcW w:w="15031" w:type="dxa"/>
            <w:gridSpan w:val="6"/>
            <w:shd w:val="clear" w:color="auto" w:fill="D9D9D9"/>
          </w:tcPr>
          <w:p w:rsidR="00AC0C9B" w:rsidRPr="00441F6C" w:rsidRDefault="00AC0C9B" w:rsidP="00AC0C9B">
            <w:pPr>
              <w:numPr>
                <w:ilvl w:val="0"/>
                <w:numId w:val="8"/>
              </w:numPr>
              <w:spacing w:before="60" w:after="60"/>
              <w:contextualSpacing/>
              <w:rPr>
                <w:rFonts w:ascii="Arial" w:hAnsi="Arial" w:cs="Arial"/>
                <w:b/>
                <w:bCs/>
                <w:sz w:val="20"/>
                <w:szCs w:val="20"/>
              </w:rPr>
            </w:pPr>
            <w:proofErr w:type="spellStart"/>
            <w:r w:rsidRPr="00441F6C">
              <w:rPr>
                <w:rFonts w:ascii="Arial" w:hAnsi="Arial" w:cs="Arial"/>
                <w:b/>
                <w:bCs/>
                <w:sz w:val="20"/>
                <w:szCs w:val="20"/>
              </w:rPr>
              <w:t>Investigación</w:t>
            </w:r>
            <w:proofErr w:type="spellEnd"/>
          </w:p>
        </w:tc>
      </w:tr>
      <w:tr w:rsidR="00AC0C9B" w:rsidRPr="00D23B83" w:rsidTr="00FE3F58">
        <w:trPr>
          <w:gridAfter w:val="1"/>
          <w:wAfter w:w="11" w:type="dxa"/>
        </w:trPr>
        <w:tc>
          <w:tcPr>
            <w:tcW w:w="4531" w:type="dxa"/>
          </w:tcPr>
          <w:p w:rsidR="00AC0C9B" w:rsidRPr="00AC0C9B" w:rsidRDefault="00AC0C9B" w:rsidP="00AC0C9B">
            <w:pPr>
              <w:numPr>
                <w:ilvl w:val="1"/>
                <w:numId w:val="8"/>
              </w:numPr>
              <w:autoSpaceDE w:val="0"/>
              <w:adjustRightInd w:val="0"/>
              <w:spacing w:before="60" w:after="60"/>
              <w:rPr>
                <w:rFonts w:ascii="Arial" w:hAnsi="Arial" w:cs="Arial"/>
                <w:b/>
                <w:bCs/>
                <w:color w:val="000000"/>
                <w:sz w:val="20"/>
                <w:szCs w:val="20"/>
                <w:lang w:val="es-ES"/>
              </w:rPr>
            </w:pPr>
            <w:r w:rsidRPr="00AC0C9B">
              <w:rPr>
                <w:rFonts w:ascii="Arial" w:hAnsi="Arial" w:cs="Arial"/>
                <w:color w:val="000000"/>
                <w:sz w:val="20"/>
                <w:szCs w:val="20"/>
                <w:lang w:val="es-ES"/>
              </w:rPr>
              <w:t>Continuar un proyecto demográfico plurianual con el fin de proporcionar una plataforma para preguntas clave de investigación (p. ej., el área de búsqueda de alimentos y la dieta) y llevar un seguimiento del progreso a lo largo del tiempo</w:t>
            </w:r>
          </w:p>
        </w:tc>
        <w:tc>
          <w:tcPr>
            <w:tcW w:w="2977" w:type="dxa"/>
          </w:tcPr>
          <w:p w:rsidR="00AC0C9B" w:rsidRPr="00AC0C9B" w:rsidRDefault="00AC0C9B" w:rsidP="00FE3F58">
            <w:pPr>
              <w:autoSpaceDE w:val="0"/>
              <w:adjustRightInd w:val="0"/>
              <w:spacing w:before="60" w:after="60"/>
              <w:rPr>
                <w:rFonts w:ascii="Arial" w:hAnsi="Arial" w:cs="Arial"/>
                <w:b/>
                <w:bCs/>
                <w:color w:val="000000"/>
                <w:sz w:val="20"/>
                <w:szCs w:val="20"/>
                <w:lang w:val="es-ES"/>
              </w:rPr>
            </w:pPr>
            <w:r w:rsidRPr="00AC0C9B">
              <w:rPr>
                <w:rFonts w:ascii="Arial" w:hAnsi="Arial" w:cs="Arial"/>
                <w:color w:val="000000"/>
                <w:sz w:val="20"/>
                <w:szCs w:val="20"/>
                <w:lang w:val="es-ES"/>
              </w:rPr>
              <w:t>Evaluación continua del estado actual de la población y mejor comprensión de los motores de cambio biológicos</w:t>
            </w:r>
          </w:p>
        </w:tc>
        <w:tc>
          <w:tcPr>
            <w:tcW w:w="1559" w:type="dxa"/>
          </w:tcPr>
          <w:p w:rsidR="00AC0C9B" w:rsidRPr="00AC0C9B" w:rsidRDefault="00AC0C9B" w:rsidP="00FE3F58">
            <w:pPr>
              <w:autoSpaceDE w:val="0"/>
              <w:adjustRightInd w:val="0"/>
              <w:spacing w:before="60" w:after="60"/>
              <w:rPr>
                <w:rFonts w:ascii="Arial" w:hAnsi="Arial" w:cs="Arial"/>
                <w:b/>
                <w:bCs/>
                <w:color w:val="000000"/>
                <w:sz w:val="20"/>
                <w:szCs w:val="20"/>
                <w:lang w:val="es-ES"/>
              </w:rPr>
            </w:pPr>
            <w:r w:rsidRPr="00AC0C9B">
              <w:rPr>
                <w:rFonts w:ascii="Arial" w:hAnsi="Arial" w:cs="Arial"/>
                <w:color w:val="000000"/>
                <w:sz w:val="20"/>
                <w:szCs w:val="20"/>
                <w:lang w:val="es-ES"/>
              </w:rPr>
              <w:t>Seguimiento de la población: anual para 2019-2024, después reconsideración</w:t>
            </w:r>
          </w:p>
        </w:tc>
        <w:tc>
          <w:tcPr>
            <w:tcW w:w="1984" w:type="dxa"/>
          </w:tcPr>
          <w:p w:rsidR="00AC0C9B" w:rsidRPr="00AC0C9B" w:rsidRDefault="00AC0C9B" w:rsidP="00FE3F58">
            <w:p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Nueva Zelanda, con la colaboración de otras Partes de la CMS interesadas</w:t>
            </w:r>
          </w:p>
        </w:tc>
        <w:tc>
          <w:tcPr>
            <w:tcW w:w="3969" w:type="dxa"/>
          </w:tcPr>
          <w:p w:rsidR="00AC0C9B" w:rsidRPr="00AC0C9B" w:rsidRDefault="00AC0C9B" w:rsidP="00FE3F58">
            <w:pPr>
              <w:spacing w:before="60" w:after="60"/>
              <w:rPr>
                <w:rFonts w:ascii="Arial" w:hAnsi="Arial" w:cs="Arial"/>
                <w:sz w:val="20"/>
                <w:szCs w:val="20"/>
                <w:lang w:val="es-ES"/>
              </w:rPr>
            </w:pPr>
            <w:r w:rsidRPr="00AC0C9B">
              <w:rPr>
                <w:rFonts w:ascii="Arial" w:hAnsi="Arial" w:cs="Arial"/>
                <w:sz w:val="20"/>
                <w:szCs w:val="20"/>
                <w:lang w:val="es-ES"/>
              </w:rPr>
              <w:t>El Gobierno de Nueva Zelanda ha dedicado fondos a financiar visitas de investigación anuales durante un período de cinco años</w:t>
            </w:r>
          </w:p>
        </w:tc>
      </w:tr>
      <w:tr w:rsidR="00AC0C9B" w:rsidRPr="00D23B83" w:rsidTr="00FE3F58">
        <w:trPr>
          <w:gridAfter w:val="1"/>
          <w:wAfter w:w="11" w:type="dxa"/>
        </w:trPr>
        <w:tc>
          <w:tcPr>
            <w:tcW w:w="4531" w:type="dxa"/>
          </w:tcPr>
          <w:p w:rsidR="00AC0C9B" w:rsidRPr="00AC0C9B" w:rsidRDefault="00AC0C9B" w:rsidP="00AC0C9B">
            <w:pPr>
              <w:numPr>
                <w:ilvl w:val="1"/>
                <w:numId w:val="10"/>
              </w:num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lastRenderedPageBreak/>
              <w:t>Continuar el despliegue de dispositivos de seguimiento para describir mejor las áreas de solapamiento de pesquerías</w:t>
            </w:r>
          </w:p>
          <w:p w:rsidR="00AC0C9B" w:rsidRPr="00AC0C9B" w:rsidRDefault="00AC0C9B" w:rsidP="00FE3F58">
            <w:pPr>
              <w:spacing w:before="60" w:after="60"/>
              <w:rPr>
                <w:rFonts w:ascii="Arial" w:hAnsi="Arial" w:cs="Arial"/>
                <w:b/>
                <w:bCs/>
                <w:sz w:val="20"/>
                <w:szCs w:val="20"/>
                <w:lang w:val="es-ES"/>
              </w:rPr>
            </w:pPr>
          </w:p>
        </w:tc>
        <w:tc>
          <w:tcPr>
            <w:tcW w:w="2977" w:type="dxa"/>
          </w:tcPr>
          <w:p w:rsidR="00AC0C9B" w:rsidRPr="00AC0C9B" w:rsidRDefault="00AC0C9B" w:rsidP="00FE3F58">
            <w:p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Conocimiento profundo del área de búsqueda de alimentos, adecuado para orientar un análisis exhaustivo de solapamiento con una evaluación de los riesgos pesqueros espacialmente explícita y de los esfuerzos pesqueros</w:t>
            </w:r>
          </w:p>
        </w:tc>
        <w:tc>
          <w:tcPr>
            <w:tcW w:w="1559" w:type="dxa"/>
          </w:tcPr>
          <w:p w:rsidR="00AC0C9B" w:rsidRPr="00441F6C" w:rsidRDefault="00AC0C9B" w:rsidP="00FE3F58">
            <w:pPr>
              <w:spacing w:before="60" w:after="60"/>
              <w:rPr>
                <w:rFonts w:ascii="Arial" w:hAnsi="Arial" w:cs="Arial"/>
                <w:sz w:val="20"/>
                <w:szCs w:val="20"/>
              </w:rPr>
            </w:pPr>
            <w:r w:rsidRPr="00441F6C">
              <w:rPr>
                <w:rFonts w:ascii="Arial" w:hAnsi="Arial" w:cs="Arial"/>
                <w:sz w:val="20"/>
                <w:szCs w:val="20"/>
              </w:rPr>
              <w:t>2019-21</w:t>
            </w:r>
          </w:p>
        </w:tc>
        <w:tc>
          <w:tcPr>
            <w:tcW w:w="1984" w:type="dxa"/>
          </w:tcPr>
          <w:p w:rsidR="00AC0C9B" w:rsidRPr="00AC0C9B" w:rsidRDefault="00AC0C9B" w:rsidP="00FE3F58">
            <w:p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Nueva Zelanda, con la colaboración de otras Partes de la CMS interesadas</w:t>
            </w:r>
          </w:p>
          <w:p w:rsidR="00AC0C9B" w:rsidRPr="00AC0C9B" w:rsidRDefault="00AC0C9B" w:rsidP="00FE3F58">
            <w:pPr>
              <w:spacing w:before="60" w:after="60"/>
              <w:rPr>
                <w:rFonts w:ascii="Arial" w:hAnsi="Arial" w:cs="Arial"/>
                <w:b/>
                <w:bCs/>
                <w:sz w:val="20"/>
                <w:szCs w:val="20"/>
                <w:lang w:val="es-ES"/>
              </w:rPr>
            </w:pPr>
          </w:p>
        </w:tc>
        <w:tc>
          <w:tcPr>
            <w:tcW w:w="3969" w:type="dxa"/>
          </w:tcPr>
          <w:p w:rsidR="00AC0C9B" w:rsidRPr="00AC0C9B" w:rsidRDefault="00AC0C9B" w:rsidP="00FE3F58">
            <w:pPr>
              <w:spacing w:before="60" w:after="60"/>
              <w:rPr>
                <w:rFonts w:ascii="Arial" w:hAnsi="Arial" w:cs="Arial"/>
                <w:sz w:val="20"/>
                <w:szCs w:val="20"/>
                <w:lang w:val="es-ES"/>
              </w:rPr>
            </w:pPr>
            <w:r w:rsidRPr="00AC0C9B">
              <w:rPr>
                <w:rFonts w:ascii="Arial" w:hAnsi="Arial" w:cs="Arial"/>
                <w:sz w:val="20"/>
                <w:szCs w:val="20"/>
                <w:lang w:val="es-ES"/>
              </w:rPr>
              <w:t>El Gobierno de Nueva Zelanda ha dedicado fondos a financiar un programa de seguimiento de dos años. La ampliación del programa de seguimiento hasta 2021 requerirá fondos adicionales</w:t>
            </w:r>
          </w:p>
        </w:tc>
      </w:tr>
      <w:tr w:rsidR="00AC0C9B" w:rsidRPr="00D23B83" w:rsidTr="00FE3F58">
        <w:trPr>
          <w:gridAfter w:val="1"/>
          <w:wAfter w:w="11" w:type="dxa"/>
        </w:trPr>
        <w:tc>
          <w:tcPr>
            <w:tcW w:w="4531" w:type="dxa"/>
          </w:tcPr>
          <w:p w:rsidR="00AC0C9B" w:rsidRPr="00AC0C9B" w:rsidRDefault="00AC0C9B" w:rsidP="00AC0C9B">
            <w:pPr>
              <w:numPr>
                <w:ilvl w:val="1"/>
                <w:numId w:val="10"/>
              </w:numPr>
              <w:autoSpaceDE w:val="0"/>
              <w:adjustRightInd w:val="0"/>
              <w:spacing w:before="60" w:after="60"/>
              <w:rPr>
                <w:rFonts w:ascii="Arial" w:hAnsi="Arial" w:cs="Arial"/>
                <w:b/>
                <w:bCs/>
                <w:color w:val="000000"/>
                <w:sz w:val="20"/>
                <w:szCs w:val="20"/>
                <w:lang w:val="es-ES"/>
              </w:rPr>
            </w:pPr>
            <w:r w:rsidRPr="00AC0C9B">
              <w:rPr>
                <w:rFonts w:ascii="Arial" w:hAnsi="Arial" w:cs="Arial"/>
                <w:color w:val="000000"/>
                <w:sz w:val="20"/>
                <w:szCs w:val="20"/>
                <w:lang w:val="es-ES"/>
              </w:rPr>
              <w:t>Continuar la recopilación de muestras relacionadas con la dieta y efectuar análisis para describir la dieta de la especie y los posibles cambios en esta a lo largo del tiempo</w:t>
            </w:r>
          </w:p>
        </w:tc>
        <w:tc>
          <w:tcPr>
            <w:tcW w:w="2977" w:type="dxa"/>
          </w:tcPr>
          <w:p w:rsidR="00AC0C9B" w:rsidRPr="00AC0C9B" w:rsidRDefault="00AC0C9B" w:rsidP="00FE3F58">
            <w:pPr>
              <w:autoSpaceDE w:val="0"/>
              <w:adjustRightInd w:val="0"/>
              <w:spacing w:before="60" w:after="60"/>
              <w:rPr>
                <w:rFonts w:ascii="Arial" w:hAnsi="Arial" w:cs="Arial"/>
                <w:b/>
                <w:bCs/>
                <w:color w:val="000000"/>
                <w:sz w:val="20"/>
                <w:szCs w:val="20"/>
                <w:lang w:val="es-ES"/>
              </w:rPr>
            </w:pPr>
            <w:r w:rsidRPr="00AC0C9B">
              <w:rPr>
                <w:rFonts w:ascii="Arial" w:hAnsi="Arial" w:cs="Arial"/>
                <w:color w:val="000000"/>
                <w:sz w:val="20"/>
                <w:szCs w:val="20"/>
                <w:lang w:val="es-ES"/>
              </w:rPr>
              <w:t>Mejor comprensión de los posibles cambios en la dieta y del modo en que estos repercuten en los parámetros poblacionales</w:t>
            </w:r>
          </w:p>
        </w:tc>
        <w:tc>
          <w:tcPr>
            <w:tcW w:w="1559" w:type="dxa"/>
          </w:tcPr>
          <w:p w:rsidR="00AC0C9B" w:rsidRPr="00441F6C" w:rsidRDefault="00AC0C9B" w:rsidP="00FE3F58">
            <w:pPr>
              <w:spacing w:before="60" w:after="60"/>
              <w:rPr>
                <w:rFonts w:ascii="Arial" w:hAnsi="Arial" w:cs="Arial"/>
                <w:b/>
                <w:bCs/>
                <w:sz w:val="20"/>
                <w:szCs w:val="20"/>
              </w:rPr>
            </w:pPr>
            <w:r w:rsidRPr="00441F6C">
              <w:rPr>
                <w:rFonts w:ascii="Arial" w:hAnsi="Arial" w:cs="Arial"/>
                <w:sz w:val="20"/>
                <w:szCs w:val="20"/>
              </w:rPr>
              <w:t>2019-2024</w:t>
            </w:r>
          </w:p>
        </w:tc>
        <w:tc>
          <w:tcPr>
            <w:tcW w:w="1984" w:type="dxa"/>
          </w:tcPr>
          <w:p w:rsidR="00AC0C9B" w:rsidRPr="00AC0C9B" w:rsidRDefault="00AC0C9B" w:rsidP="00FE3F58">
            <w:pPr>
              <w:autoSpaceDE w:val="0"/>
              <w:adjustRightInd w:val="0"/>
              <w:spacing w:before="60" w:after="60"/>
              <w:rPr>
                <w:rFonts w:ascii="Arial" w:hAnsi="Arial" w:cs="Arial"/>
                <w:b/>
                <w:bCs/>
                <w:color w:val="000000"/>
                <w:sz w:val="20"/>
                <w:szCs w:val="20"/>
                <w:lang w:val="es-ES"/>
              </w:rPr>
            </w:pPr>
            <w:r w:rsidRPr="00AC0C9B">
              <w:rPr>
                <w:rFonts w:ascii="Arial" w:hAnsi="Arial" w:cs="Arial"/>
                <w:color w:val="000000"/>
                <w:sz w:val="20"/>
                <w:szCs w:val="20"/>
                <w:lang w:val="es-ES"/>
              </w:rPr>
              <w:t>Nueva Zelanda, con la colaboración de otras Partes de la CMS interesadas</w:t>
            </w:r>
          </w:p>
        </w:tc>
        <w:tc>
          <w:tcPr>
            <w:tcW w:w="3969" w:type="dxa"/>
          </w:tcPr>
          <w:p w:rsidR="00AC0C9B" w:rsidRPr="00AC0C9B" w:rsidRDefault="00AC0C9B" w:rsidP="00FE3F58">
            <w:pPr>
              <w:spacing w:before="60" w:after="60"/>
              <w:rPr>
                <w:rFonts w:ascii="Arial" w:hAnsi="Arial" w:cs="Arial"/>
                <w:sz w:val="20"/>
                <w:szCs w:val="20"/>
                <w:lang w:val="es-ES"/>
              </w:rPr>
            </w:pPr>
            <w:r w:rsidRPr="00AC0C9B">
              <w:rPr>
                <w:rFonts w:ascii="Arial" w:hAnsi="Arial" w:cs="Arial"/>
                <w:sz w:val="20"/>
                <w:szCs w:val="20"/>
                <w:lang w:val="es-ES"/>
              </w:rPr>
              <w:t>La recopilación de muestras se financia a través del programa descrito en 3.1. Para efectuar análisis adicionales se requerirán más fondos o colaboración</w:t>
            </w:r>
          </w:p>
        </w:tc>
      </w:tr>
      <w:tr w:rsidR="00AC0C9B" w:rsidRPr="00D23B83" w:rsidTr="00FE3F58">
        <w:trPr>
          <w:gridAfter w:val="1"/>
          <w:wAfter w:w="11" w:type="dxa"/>
        </w:trPr>
        <w:tc>
          <w:tcPr>
            <w:tcW w:w="4531" w:type="dxa"/>
          </w:tcPr>
          <w:p w:rsidR="00AC0C9B" w:rsidRPr="00AC0C9B" w:rsidRDefault="00AC0C9B" w:rsidP="00AC0C9B">
            <w:pPr>
              <w:numPr>
                <w:ilvl w:val="1"/>
                <w:numId w:val="10"/>
              </w:num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Evaluar los niveles de ingesta de plástico</w:t>
            </w:r>
          </w:p>
          <w:p w:rsidR="00AC0C9B" w:rsidRPr="00AC0C9B" w:rsidRDefault="00AC0C9B" w:rsidP="00FE3F58">
            <w:pPr>
              <w:spacing w:before="60" w:after="60"/>
              <w:rPr>
                <w:rFonts w:ascii="Arial" w:hAnsi="Arial" w:cs="Arial"/>
                <w:b/>
                <w:bCs/>
                <w:sz w:val="20"/>
                <w:szCs w:val="20"/>
                <w:lang w:val="es-ES"/>
              </w:rPr>
            </w:pPr>
          </w:p>
        </w:tc>
        <w:tc>
          <w:tcPr>
            <w:tcW w:w="2977" w:type="dxa"/>
          </w:tcPr>
          <w:p w:rsidR="00AC0C9B" w:rsidRPr="00AC0C9B" w:rsidRDefault="00AC0C9B" w:rsidP="00FE3F58">
            <w:p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Mejor comprensión del riesgo potencial que plantea la contaminación por plástico</w:t>
            </w:r>
          </w:p>
          <w:p w:rsidR="00AC0C9B" w:rsidRPr="00AC0C9B" w:rsidRDefault="00AC0C9B" w:rsidP="00FE3F58">
            <w:pPr>
              <w:spacing w:before="60" w:after="60"/>
              <w:rPr>
                <w:rFonts w:ascii="Arial" w:hAnsi="Arial" w:cs="Arial"/>
                <w:b/>
                <w:bCs/>
                <w:sz w:val="20"/>
                <w:szCs w:val="20"/>
                <w:lang w:val="es-ES"/>
              </w:rPr>
            </w:pPr>
          </w:p>
        </w:tc>
        <w:tc>
          <w:tcPr>
            <w:tcW w:w="1559" w:type="dxa"/>
          </w:tcPr>
          <w:p w:rsidR="00AC0C9B" w:rsidRPr="00441F6C" w:rsidRDefault="00AC0C9B" w:rsidP="00FE3F58">
            <w:pPr>
              <w:spacing w:before="60" w:after="60"/>
              <w:rPr>
                <w:rFonts w:ascii="Arial" w:hAnsi="Arial" w:cs="Arial"/>
                <w:b/>
                <w:bCs/>
                <w:sz w:val="20"/>
                <w:szCs w:val="20"/>
              </w:rPr>
            </w:pPr>
            <w:r w:rsidRPr="00441F6C">
              <w:rPr>
                <w:rFonts w:ascii="Arial" w:hAnsi="Arial" w:cs="Arial"/>
                <w:sz w:val="20"/>
                <w:szCs w:val="20"/>
              </w:rPr>
              <w:t>2021-2024</w:t>
            </w:r>
          </w:p>
        </w:tc>
        <w:tc>
          <w:tcPr>
            <w:tcW w:w="1984" w:type="dxa"/>
          </w:tcPr>
          <w:p w:rsidR="00AC0C9B" w:rsidRPr="00AC0C9B" w:rsidRDefault="00AC0C9B" w:rsidP="00FE3F58">
            <w:p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Nueva Zelanda, con la colaboración de otras Partes de la CMS interesadas</w:t>
            </w:r>
          </w:p>
        </w:tc>
        <w:tc>
          <w:tcPr>
            <w:tcW w:w="3969" w:type="dxa"/>
          </w:tcPr>
          <w:p w:rsidR="00AC0C9B" w:rsidRPr="00AC0C9B" w:rsidRDefault="00AC0C9B" w:rsidP="00FE3F58">
            <w:pPr>
              <w:spacing w:before="60" w:after="60"/>
              <w:rPr>
                <w:rFonts w:ascii="Arial" w:hAnsi="Arial" w:cs="Arial"/>
                <w:sz w:val="20"/>
                <w:szCs w:val="20"/>
                <w:lang w:val="es-ES"/>
              </w:rPr>
            </w:pPr>
            <w:r w:rsidRPr="00AC0C9B">
              <w:rPr>
                <w:rFonts w:ascii="Arial" w:hAnsi="Arial" w:cs="Arial"/>
                <w:sz w:val="20"/>
                <w:szCs w:val="20"/>
                <w:lang w:val="es-ES"/>
              </w:rPr>
              <w:t>La recopilación de muestras se financia a través del programa descrito en 3.1. Para efectuar análisis adicionales se requerirán más fondos o colaboración</w:t>
            </w:r>
          </w:p>
        </w:tc>
      </w:tr>
      <w:tr w:rsidR="00AC0C9B" w:rsidRPr="00D23B83" w:rsidTr="00FE3F58">
        <w:trPr>
          <w:gridAfter w:val="1"/>
          <w:wAfter w:w="11" w:type="dxa"/>
        </w:trPr>
        <w:tc>
          <w:tcPr>
            <w:tcW w:w="4531" w:type="dxa"/>
            <w:tcBorders>
              <w:bottom w:val="single" w:sz="4" w:space="0" w:color="auto"/>
            </w:tcBorders>
          </w:tcPr>
          <w:p w:rsidR="00AC0C9B" w:rsidRPr="00AC0C9B" w:rsidRDefault="00AC0C9B" w:rsidP="00AC0C9B">
            <w:pPr>
              <w:numPr>
                <w:ilvl w:val="1"/>
                <w:numId w:val="10"/>
              </w:numPr>
              <w:autoSpaceDE w:val="0"/>
              <w:adjustRightInd w:val="0"/>
              <w:spacing w:before="60" w:after="60"/>
              <w:rPr>
                <w:rFonts w:ascii="Arial" w:hAnsi="Arial" w:cs="Arial"/>
                <w:color w:val="000000"/>
                <w:sz w:val="20"/>
                <w:szCs w:val="20"/>
                <w:lang w:val="es-ES"/>
              </w:rPr>
            </w:pPr>
            <w:r w:rsidRPr="00AC0C9B">
              <w:rPr>
                <w:rFonts w:ascii="Arial" w:hAnsi="Arial" w:cs="Arial"/>
                <w:color w:val="000000"/>
                <w:sz w:val="20"/>
                <w:szCs w:val="20"/>
                <w:lang w:val="es-ES"/>
              </w:rPr>
              <w:t>Investigar la naturaleza, el alcance y las causas de los desprendimientos de tierra en las islas Antípodas</w:t>
            </w:r>
          </w:p>
          <w:p w:rsidR="00AC0C9B" w:rsidRPr="00AC0C9B" w:rsidRDefault="00AC0C9B" w:rsidP="00FE3F58">
            <w:pPr>
              <w:spacing w:before="60" w:after="60"/>
              <w:rPr>
                <w:rFonts w:ascii="Arial" w:hAnsi="Arial" w:cs="Arial"/>
                <w:b/>
                <w:bCs/>
                <w:sz w:val="20"/>
                <w:szCs w:val="20"/>
                <w:lang w:val="es-ES"/>
              </w:rPr>
            </w:pPr>
          </w:p>
        </w:tc>
        <w:tc>
          <w:tcPr>
            <w:tcW w:w="2977" w:type="dxa"/>
            <w:tcBorders>
              <w:bottom w:val="single" w:sz="4" w:space="0" w:color="auto"/>
            </w:tcBorders>
          </w:tcPr>
          <w:p w:rsidR="00AC0C9B" w:rsidRPr="00185188" w:rsidRDefault="00AC0C9B" w:rsidP="00FE3F58">
            <w:pPr>
              <w:autoSpaceDE w:val="0"/>
              <w:adjustRightInd w:val="0"/>
              <w:spacing w:before="60" w:after="60"/>
              <w:rPr>
                <w:rFonts w:ascii="Arial" w:hAnsi="Arial" w:cs="Arial"/>
                <w:color w:val="000000"/>
                <w:sz w:val="20"/>
                <w:szCs w:val="20"/>
                <w:lang w:val="es-ES"/>
              </w:rPr>
            </w:pPr>
            <w:r w:rsidRPr="00185188">
              <w:rPr>
                <w:rFonts w:ascii="Arial" w:hAnsi="Arial" w:cs="Arial"/>
                <w:color w:val="000000"/>
                <w:sz w:val="20"/>
                <w:szCs w:val="20"/>
                <w:lang w:val="es-ES"/>
              </w:rPr>
              <w:t>Mejor comprensión de los riesgos potenciales que plantean los desprendimientos de tierra</w:t>
            </w:r>
          </w:p>
          <w:p w:rsidR="00AC0C9B" w:rsidRPr="00185188" w:rsidRDefault="00AC0C9B" w:rsidP="00FE3F58">
            <w:pPr>
              <w:spacing w:before="60" w:after="60"/>
              <w:rPr>
                <w:rFonts w:ascii="Arial" w:hAnsi="Arial" w:cs="Arial"/>
                <w:b/>
                <w:bCs/>
                <w:sz w:val="20"/>
                <w:szCs w:val="20"/>
                <w:lang w:val="es-ES"/>
              </w:rPr>
            </w:pPr>
          </w:p>
        </w:tc>
        <w:tc>
          <w:tcPr>
            <w:tcW w:w="1559" w:type="dxa"/>
            <w:tcBorders>
              <w:bottom w:val="single" w:sz="4" w:space="0" w:color="auto"/>
            </w:tcBorders>
          </w:tcPr>
          <w:p w:rsidR="00AC0C9B" w:rsidRPr="00441F6C" w:rsidRDefault="00AC0C9B" w:rsidP="00FE3F58">
            <w:pPr>
              <w:spacing w:before="60" w:after="60"/>
              <w:rPr>
                <w:rFonts w:ascii="Arial" w:hAnsi="Arial" w:cs="Arial"/>
                <w:b/>
                <w:bCs/>
                <w:sz w:val="20"/>
                <w:szCs w:val="20"/>
              </w:rPr>
            </w:pPr>
            <w:r w:rsidRPr="00441F6C">
              <w:rPr>
                <w:rFonts w:ascii="Arial" w:hAnsi="Arial" w:cs="Arial"/>
                <w:sz w:val="20"/>
                <w:szCs w:val="20"/>
              </w:rPr>
              <w:t>2021-2024</w:t>
            </w:r>
          </w:p>
        </w:tc>
        <w:tc>
          <w:tcPr>
            <w:tcW w:w="1984" w:type="dxa"/>
            <w:tcBorders>
              <w:bottom w:val="single" w:sz="4" w:space="0" w:color="auto"/>
            </w:tcBorders>
          </w:tcPr>
          <w:p w:rsidR="00AC0C9B" w:rsidRPr="00185188" w:rsidRDefault="00AC0C9B" w:rsidP="00FE3F58">
            <w:pPr>
              <w:autoSpaceDE w:val="0"/>
              <w:adjustRightInd w:val="0"/>
              <w:spacing w:before="60" w:after="60"/>
              <w:rPr>
                <w:rFonts w:ascii="Arial" w:hAnsi="Arial" w:cs="Arial"/>
                <w:color w:val="000000"/>
                <w:sz w:val="20"/>
                <w:szCs w:val="20"/>
                <w:lang w:val="es-ES"/>
              </w:rPr>
            </w:pPr>
            <w:r w:rsidRPr="00185188">
              <w:rPr>
                <w:rFonts w:ascii="Arial" w:hAnsi="Arial" w:cs="Arial"/>
                <w:color w:val="000000"/>
                <w:sz w:val="20"/>
                <w:szCs w:val="20"/>
                <w:lang w:val="es-ES"/>
              </w:rPr>
              <w:t>Nueva Zelanda, con la colaboración de otras Partes de la CMS interesadas.</w:t>
            </w:r>
          </w:p>
        </w:tc>
        <w:tc>
          <w:tcPr>
            <w:tcW w:w="3969" w:type="dxa"/>
            <w:tcBorders>
              <w:bottom w:val="single" w:sz="4" w:space="0" w:color="auto"/>
            </w:tcBorders>
          </w:tcPr>
          <w:p w:rsidR="00AC0C9B" w:rsidRPr="00185188" w:rsidRDefault="00AC0C9B" w:rsidP="00FE3F58">
            <w:pPr>
              <w:spacing w:before="60" w:after="60"/>
              <w:rPr>
                <w:rFonts w:ascii="Arial" w:hAnsi="Arial" w:cs="Arial"/>
                <w:sz w:val="20"/>
                <w:szCs w:val="20"/>
                <w:lang w:val="es-ES"/>
              </w:rPr>
            </w:pPr>
            <w:r w:rsidRPr="00185188">
              <w:rPr>
                <w:rFonts w:ascii="Arial" w:hAnsi="Arial" w:cs="Arial"/>
                <w:sz w:val="20"/>
                <w:szCs w:val="20"/>
                <w:lang w:val="es-ES"/>
              </w:rPr>
              <w:t>La recopilación de datos se financia a través del programa descrito en 3.1. Para efectuar análisis adicionales se requerirán más fondos o colaboración</w:t>
            </w:r>
          </w:p>
        </w:tc>
      </w:tr>
      <w:tr w:rsidR="00AC0C9B" w:rsidRPr="00D23B83" w:rsidTr="00FE3F58">
        <w:trPr>
          <w:gridAfter w:val="1"/>
          <w:wAfter w:w="11" w:type="dxa"/>
        </w:trPr>
        <w:tc>
          <w:tcPr>
            <w:tcW w:w="4531" w:type="dxa"/>
            <w:tcBorders>
              <w:bottom w:val="single" w:sz="4" w:space="0" w:color="auto"/>
            </w:tcBorders>
          </w:tcPr>
          <w:p w:rsidR="00AC0C9B" w:rsidRPr="00185188" w:rsidRDefault="00AC0C9B" w:rsidP="00AC0C9B">
            <w:pPr>
              <w:numPr>
                <w:ilvl w:val="1"/>
                <w:numId w:val="10"/>
              </w:numPr>
              <w:autoSpaceDE w:val="0"/>
              <w:adjustRightInd w:val="0"/>
              <w:spacing w:before="60" w:after="60"/>
              <w:rPr>
                <w:rFonts w:ascii="Arial" w:hAnsi="Arial" w:cs="Arial"/>
                <w:b/>
                <w:bCs/>
                <w:color w:val="000000"/>
                <w:sz w:val="20"/>
                <w:szCs w:val="20"/>
                <w:lang w:val="es-ES"/>
              </w:rPr>
            </w:pPr>
            <w:r w:rsidRPr="00185188">
              <w:rPr>
                <w:rFonts w:ascii="Arial" w:hAnsi="Arial" w:cs="Arial"/>
                <w:color w:val="000000"/>
                <w:sz w:val="20"/>
                <w:szCs w:val="20"/>
                <w:lang w:val="es-ES"/>
              </w:rPr>
              <w:t xml:space="preserve">Desarrollar oportunidades para adquirir </w:t>
            </w:r>
            <w:proofErr w:type="spellStart"/>
            <w:r w:rsidRPr="00185188">
              <w:rPr>
                <w:rFonts w:ascii="Arial" w:hAnsi="Arial" w:cs="Arial"/>
                <w:color w:val="000000"/>
                <w:sz w:val="20"/>
                <w:szCs w:val="20"/>
                <w:lang w:val="es-ES"/>
              </w:rPr>
              <w:t>mātauranga</w:t>
            </w:r>
            <w:proofErr w:type="spellEnd"/>
            <w:r w:rsidRPr="00185188">
              <w:rPr>
                <w:rFonts w:ascii="Arial" w:hAnsi="Arial" w:cs="Arial"/>
                <w:color w:val="000000"/>
                <w:sz w:val="20"/>
                <w:szCs w:val="20"/>
                <w:lang w:val="es-ES"/>
              </w:rPr>
              <w:t xml:space="preserve"> </w:t>
            </w:r>
            <w:proofErr w:type="spellStart"/>
            <w:r w:rsidRPr="00185188">
              <w:rPr>
                <w:rFonts w:ascii="Arial" w:hAnsi="Arial" w:cs="Arial"/>
                <w:color w:val="000000"/>
                <w:sz w:val="20"/>
                <w:szCs w:val="20"/>
                <w:lang w:val="es-ES"/>
              </w:rPr>
              <w:t>māori</w:t>
            </w:r>
            <w:proofErr w:type="spellEnd"/>
            <w:r w:rsidRPr="00185188">
              <w:rPr>
                <w:rFonts w:ascii="Arial" w:hAnsi="Arial" w:cs="Arial"/>
                <w:color w:val="000000"/>
                <w:sz w:val="20"/>
                <w:szCs w:val="20"/>
                <w:lang w:val="es-ES"/>
              </w:rPr>
              <w:t xml:space="preserve"> (conocimientos indígenas de Nueva Zelanda) con el fin de orientar la gestión de la especie y contribuir al establecimiento de una conexión más fuerte entre </w:t>
            </w:r>
            <w:proofErr w:type="spellStart"/>
            <w:r w:rsidRPr="00185188">
              <w:rPr>
                <w:rFonts w:ascii="Arial" w:hAnsi="Arial" w:cs="Arial"/>
                <w:color w:val="000000"/>
                <w:sz w:val="20"/>
                <w:szCs w:val="20"/>
                <w:lang w:val="es-ES"/>
              </w:rPr>
              <w:t>Ngāi</w:t>
            </w:r>
            <w:proofErr w:type="spellEnd"/>
            <w:r w:rsidRPr="00185188">
              <w:rPr>
                <w:rFonts w:ascii="Arial" w:hAnsi="Arial" w:cs="Arial"/>
                <w:color w:val="000000"/>
                <w:sz w:val="20"/>
                <w:szCs w:val="20"/>
                <w:lang w:val="es-ES"/>
              </w:rPr>
              <w:t xml:space="preserve"> </w:t>
            </w:r>
            <w:proofErr w:type="spellStart"/>
            <w:r w:rsidRPr="00185188">
              <w:rPr>
                <w:rFonts w:ascii="Arial" w:hAnsi="Arial" w:cs="Arial"/>
                <w:color w:val="000000"/>
                <w:sz w:val="20"/>
                <w:szCs w:val="20"/>
                <w:lang w:val="es-ES"/>
              </w:rPr>
              <w:t>Tahu</w:t>
            </w:r>
            <w:proofErr w:type="spellEnd"/>
            <w:r w:rsidRPr="00185188">
              <w:rPr>
                <w:rFonts w:ascii="Arial" w:hAnsi="Arial" w:cs="Arial"/>
                <w:color w:val="000000"/>
                <w:sz w:val="20"/>
                <w:szCs w:val="20"/>
                <w:lang w:val="es-ES"/>
              </w:rPr>
              <w:t xml:space="preserve"> (la principal tribu indígena de la región meridional de Nueva Zelanda) y la especie </w:t>
            </w:r>
            <w:proofErr w:type="spellStart"/>
            <w:r w:rsidRPr="00185188">
              <w:rPr>
                <w:rFonts w:ascii="Arial" w:hAnsi="Arial" w:cs="Arial"/>
                <w:i/>
                <w:iCs/>
                <w:color w:val="000000"/>
                <w:sz w:val="20"/>
                <w:szCs w:val="20"/>
                <w:lang w:val="es-ES"/>
              </w:rPr>
              <w:t>Diomedea</w:t>
            </w:r>
            <w:proofErr w:type="spellEnd"/>
            <w:r w:rsidRPr="00185188">
              <w:rPr>
                <w:rFonts w:ascii="Arial" w:hAnsi="Arial" w:cs="Arial"/>
                <w:i/>
                <w:iCs/>
                <w:color w:val="000000"/>
                <w:sz w:val="20"/>
                <w:szCs w:val="20"/>
                <w:lang w:val="es-ES"/>
              </w:rPr>
              <w:t xml:space="preserve"> </w:t>
            </w:r>
            <w:proofErr w:type="spellStart"/>
            <w:r w:rsidRPr="00185188">
              <w:rPr>
                <w:rFonts w:ascii="Arial" w:hAnsi="Arial" w:cs="Arial"/>
                <w:i/>
                <w:iCs/>
                <w:color w:val="000000"/>
                <w:sz w:val="20"/>
                <w:szCs w:val="20"/>
                <w:lang w:val="es-ES"/>
              </w:rPr>
              <w:t>antipodensis</w:t>
            </w:r>
            <w:proofErr w:type="spellEnd"/>
          </w:p>
          <w:p w:rsidR="00185188" w:rsidRDefault="00185188" w:rsidP="00185188">
            <w:pPr>
              <w:autoSpaceDE w:val="0"/>
              <w:adjustRightInd w:val="0"/>
              <w:spacing w:before="60" w:after="60"/>
              <w:rPr>
                <w:rFonts w:ascii="Arial" w:hAnsi="Arial" w:cs="Arial"/>
                <w:b/>
                <w:bCs/>
                <w:i/>
                <w:iCs/>
                <w:color w:val="000000"/>
                <w:sz w:val="20"/>
                <w:szCs w:val="20"/>
                <w:lang w:val="es-ES"/>
              </w:rPr>
            </w:pPr>
          </w:p>
          <w:p w:rsidR="00185188" w:rsidRDefault="00185188" w:rsidP="00185188">
            <w:pPr>
              <w:autoSpaceDE w:val="0"/>
              <w:adjustRightInd w:val="0"/>
              <w:spacing w:before="60" w:after="60"/>
              <w:rPr>
                <w:rFonts w:ascii="Arial" w:hAnsi="Arial" w:cs="Arial"/>
                <w:b/>
                <w:bCs/>
                <w:i/>
                <w:iCs/>
                <w:color w:val="000000"/>
                <w:sz w:val="20"/>
                <w:szCs w:val="20"/>
                <w:lang w:val="es-ES"/>
              </w:rPr>
            </w:pPr>
          </w:p>
          <w:p w:rsidR="00185188" w:rsidRPr="00185188" w:rsidRDefault="00185188" w:rsidP="00185188">
            <w:pPr>
              <w:autoSpaceDE w:val="0"/>
              <w:adjustRightInd w:val="0"/>
              <w:spacing w:before="60" w:after="60"/>
              <w:rPr>
                <w:rFonts w:ascii="Arial" w:hAnsi="Arial" w:cs="Arial"/>
                <w:b/>
                <w:bCs/>
                <w:color w:val="000000"/>
                <w:sz w:val="20"/>
                <w:szCs w:val="20"/>
                <w:lang w:val="es-ES"/>
              </w:rPr>
            </w:pPr>
          </w:p>
        </w:tc>
        <w:tc>
          <w:tcPr>
            <w:tcW w:w="2977" w:type="dxa"/>
            <w:tcBorders>
              <w:bottom w:val="single" w:sz="4" w:space="0" w:color="auto"/>
            </w:tcBorders>
          </w:tcPr>
          <w:p w:rsidR="00AC0C9B" w:rsidRPr="00185188" w:rsidRDefault="00AC0C9B" w:rsidP="00FE3F58">
            <w:pPr>
              <w:autoSpaceDE w:val="0"/>
              <w:adjustRightInd w:val="0"/>
              <w:spacing w:before="60" w:after="60"/>
              <w:rPr>
                <w:rFonts w:ascii="Arial" w:hAnsi="Arial" w:cs="Arial"/>
                <w:color w:val="000000"/>
                <w:sz w:val="20"/>
                <w:szCs w:val="20"/>
                <w:lang w:val="es-ES"/>
              </w:rPr>
            </w:pPr>
            <w:proofErr w:type="spellStart"/>
            <w:r w:rsidRPr="00185188">
              <w:rPr>
                <w:rFonts w:ascii="Arial" w:hAnsi="Arial" w:cs="Arial"/>
                <w:color w:val="000000"/>
                <w:sz w:val="20"/>
                <w:szCs w:val="20"/>
                <w:lang w:val="es-ES"/>
              </w:rPr>
              <w:lastRenderedPageBreak/>
              <w:t>Mātauranga</w:t>
            </w:r>
            <w:proofErr w:type="spellEnd"/>
            <w:r w:rsidRPr="00185188">
              <w:rPr>
                <w:rFonts w:ascii="Arial" w:hAnsi="Arial" w:cs="Arial"/>
                <w:color w:val="000000"/>
                <w:sz w:val="20"/>
                <w:szCs w:val="20"/>
                <w:lang w:val="es-ES"/>
              </w:rPr>
              <w:t xml:space="preserve"> </w:t>
            </w:r>
            <w:proofErr w:type="spellStart"/>
            <w:r w:rsidRPr="00185188">
              <w:rPr>
                <w:rFonts w:ascii="Arial" w:hAnsi="Arial" w:cs="Arial"/>
                <w:color w:val="000000"/>
                <w:sz w:val="20"/>
                <w:szCs w:val="20"/>
                <w:lang w:val="es-ES"/>
              </w:rPr>
              <w:t>māori</w:t>
            </w:r>
            <w:proofErr w:type="spellEnd"/>
            <w:r w:rsidRPr="00185188">
              <w:rPr>
                <w:rFonts w:ascii="Arial" w:hAnsi="Arial" w:cs="Arial"/>
                <w:color w:val="000000"/>
                <w:sz w:val="20"/>
                <w:szCs w:val="20"/>
                <w:lang w:val="es-ES"/>
              </w:rPr>
              <w:t xml:space="preserve"> disponible para orientar la gestión y la conservación futuras</w:t>
            </w:r>
          </w:p>
          <w:p w:rsidR="00AC0C9B" w:rsidRPr="00185188" w:rsidRDefault="00AC0C9B" w:rsidP="00FE3F58">
            <w:pPr>
              <w:spacing w:before="60" w:after="60"/>
              <w:rPr>
                <w:rFonts w:ascii="Arial" w:hAnsi="Arial" w:cs="Arial"/>
                <w:b/>
                <w:bCs/>
                <w:sz w:val="20"/>
                <w:szCs w:val="20"/>
                <w:lang w:val="es-ES"/>
              </w:rPr>
            </w:pPr>
          </w:p>
        </w:tc>
        <w:tc>
          <w:tcPr>
            <w:tcW w:w="1559" w:type="dxa"/>
            <w:tcBorders>
              <w:bottom w:val="single" w:sz="4" w:space="0" w:color="auto"/>
            </w:tcBorders>
          </w:tcPr>
          <w:p w:rsidR="00AC0C9B" w:rsidRPr="00441F6C" w:rsidRDefault="00AC0C9B" w:rsidP="00FE3F58">
            <w:pPr>
              <w:spacing w:before="60" w:after="60"/>
              <w:rPr>
                <w:rFonts w:ascii="Arial" w:hAnsi="Arial" w:cs="Arial"/>
                <w:sz w:val="20"/>
                <w:szCs w:val="20"/>
              </w:rPr>
            </w:pPr>
            <w:proofErr w:type="spellStart"/>
            <w:r w:rsidRPr="00441F6C">
              <w:rPr>
                <w:rFonts w:ascii="Arial" w:hAnsi="Arial" w:cs="Arial"/>
                <w:sz w:val="20"/>
                <w:szCs w:val="20"/>
              </w:rPr>
              <w:t>En</w:t>
            </w:r>
            <w:proofErr w:type="spellEnd"/>
            <w:r w:rsidRPr="00441F6C">
              <w:rPr>
                <w:rFonts w:ascii="Arial" w:hAnsi="Arial" w:cs="Arial"/>
                <w:sz w:val="20"/>
                <w:szCs w:val="20"/>
              </w:rPr>
              <w:t xml:space="preserve"> </w:t>
            </w:r>
            <w:proofErr w:type="spellStart"/>
            <w:r w:rsidRPr="00441F6C">
              <w:rPr>
                <w:rFonts w:ascii="Arial" w:hAnsi="Arial" w:cs="Arial"/>
                <w:sz w:val="20"/>
                <w:szCs w:val="20"/>
              </w:rPr>
              <w:t>curso</w:t>
            </w:r>
            <w:proofErr w:type="spellEnd"/>
          </w:p>
        </w:tc>
        <w:tc>
          <w:tcPr>
            <w:tcW w:w="1984" w:type="dxa"/>
            <w:tcBorders>
              <w:bottom w:val="single" w:sz="4" w:space="0" w:color="auto"/>
            </w:tcBorders>
          </w:tcPr>
          <w:p w:rsidR="00AC0C9B" w:rsidRPr="00441F6C" w:rsidRDefault="00AC0C9B" w:rsidP="00FE3F58">
            <w:pPr>
              <w:autoSpaceDE w:val="0"/>
              <w:adjustRightInd w:val="0"/>
              <w:spacing w:before="60" w:after="60"/>
              <w:rPr>
                <w:rFonts w:ascii="Arial" w:hAnsi="Arial" w:cs="Arial"/>
                <w:color w:val="000000"/>
                <w:sz w:val="20"/>
                <w:szCs w:val="20"/>
              </w:rPr>
            </w:pPr>
            <w:r w:rsidRPr="00441F6C">
              <w:rPr>
                <w:rFonts w:ascii="Arial" w:hAnsi="Arial" w:cs="Arial"/>
                <w:color w:val="000000"/>
                <w:sz w:val="20"/>
                <w:szCs w:val="20"/>
              </w:rPr>
              <w:t xml:space="preserve">Nueva </w:t>
            </w:r>
            <w:proofErr w:type="spellStart"/>
            <w:r w:rsidRPr="00441F6C">
              <w:rPr>
                <w:rFonts w:ascii="Arial" w:hAnsi="Arial" w:cs="Arial"/>
                <w:color w:val="000000"/>
                <w:sz w:val="20"/>
                <w:szCs w:val="20"/>
              </w:rPr>
              <w:t>Zelanda</w:t>
            </w:r>
            <w:proofErr w:type="spellEnd"/>
            <w:r w:rsidRPr="00441F6C">
              <w:rPr>
                <w:rFonts w:ascii="Arial" w:hAnsi="Arial" w:cs="Arial"/>
                <w:color w:val="000000"/>
                <w:sz w:val="20"/>
                <w:szCs w:val="20"/>
              </w:rPr>
              <w:t xml:space="preserve"> </w:t>
            </w:r>
          </w:p>
          <w:p w:rsidR="00AC0C9B" w:rsidRPr="00441F6C" w:rsidRDefault="00AC0C9B" w:rsidP="00FE3F58">
            <w:pPr>
              <w:spacing w:before="60" w:after="60"/>
              <w:rPr>
                <w:rFonts w:ascii="Arial" w:hAnsi="Arial" w:cs="Arial"/>
                <w:b/>
                <w:bCs/>
                <w:sz w:val="20"/>
                <w:szCs w:val="20"/>
              </w:rPr>
            </w:pPr>
          </w:p>
        </w:tc>
        <w:tc>
          <w:tcPr>
            <w:tcW w:w="3969" w:type="dxa"/>
            <w:tcBorders>
              <w:bottom w:val="single" w:sz="4" w:space="0" w:color="auto"/>
            </w:tcBorders>
          </w:tcPr>
          <w:p w:rsidR="00AC0C9B" w:rsidRPr="00185188" w:rsidRDefault="00AC0C9B" w:rsidP="00FE3F58">
            <w:pPr>
              <w:spacing w:before="60" w:after="60"/>
              <w:rPr>
                <w:rFonts w:ascii="Arial" w:hAnsi="Arial" w:cs="Arial"/>
                <w:sz w:val="20"/>
                <w:szCs w:val="20"/>
                <w:lang w:val="es-ES"/>
              </w:rPr>
            </w:pPr>
            <w:r w:rsidRPr="00185188">
              <w:rPr>
                <w:rFonts w:ascii="Arial" w:hAnsi="Arial" w:cs="Arial"/>
                <w:sz w:val="20"/>
                <w:szCs w:val="20"/>
                <w:lang w:val="es-ES"/>
              </w:rPr>
              <w:t>Se requerirán fondos adicionales según el caso</w:t>
            </w:r>
          </w:p>
        </w:tc>
      </w:tr>
      <w:tr w:rsidR="00AC0C9B" w:rsidRPr="00D23B83" w:rsidTr="00FE3F58">
        <w:tc>
          <w:tcPr>
            <w:tcW w:w="15031" w:type="dxa"/>
            <w:gridSpan w:val="6"/>
            <w:shd w:val="clear" w:color="auto" w:fill="D9D9D9"/>
          </w:tcPr>
          <w:p w:rsidR="00AC0C9B" w:rsidRPr="00185188" w:rsidRDefault="00AC0C9B" w:rsidP="00AC0C9B">
            <w:pPr>
              <w:numPr>
                <w:ilvl w:val="0"/>
                <w:numId w:val="8"/>
              </w:numPr>
              <w:spacing w:before="60" w:after="60"/>
              <w:contextualSpacing/>
              <w:rPr>
                <w:rFonts w:ascii="Arial" w:hAnsi="Arial" w:cs="Arial"/>
                <w:b/>
                <w:bCs/>
                <w:sz w:val="20"/>
                <w:szCs w:val="20"/>
                <w:lang w:val="es-ES"/>
              </w:rPr>
            </w:pPr>
            <w:r w:rsidRPr="00185188">
              <w:rPr>
                <w:rFonts w:ascii="Arial" w:hAnsi="Arial" w:cs="Arial"/>
                <w:b/>
                <w:bCs/>
                <w:sz w:val="20"/>
                <w:szCs w:val="20"/>
                <w:lang w:val="es-ES"/>
              </w:rPr>
              <w:t>Gestión de las zonas de reproducción</w:t>
            </w:r>
          </w:p>
        </w:tc>
      </w:tr>
      <w:tr w:rsidR="00AC0C9B" w:rsidRPr="00D23B83" w:rsidTr="00FE3F58">
        <w:trPr>
          <w:gridAfter w:val="1"/>
          <w:wAfter w:w="11" w:type="dxa"/>
        </w:trPr>
        <w:tc>
          <w:tcPr>
            <w:tcW w:w="4531" w:type="dxa"/>
          </w:tcPr>
          <w:p w:rsidR="00AC0C9B" w:rsidRPr="00185188" w:rsidRDefault="00AC0C9B" w:rsidP="00AC0C9B">
            <w:pPr>
              <w:numPr>
                <w:ilvl w:val="1"/>
                <w:numId w:val="8"/>
              </w:numPr>
              <w:autoSpaceDE w:val="0"/>
              <w:adjustRightInd w:val="0"/>
              <w:spacing w:before="60" w:after="60"/>
              <w:rPr>
                <w:rFonts w:ascii="Arial" w:hAnsi="Arial" w:cs="Arial"/>
                <w:color w:val="000000"/>
                <w:sz w:val="20"/>
                <w:szCs w:val="20"/>
                <w:lang w:val="es-ES"/>
              </w:rPr>
            </w:pPr>
            <w:r w:rsidRPr="00185188">
              <w:rPr>
                <w:rFonts w:ascii="Arial" w:hAnsi="Arial" w:cs="Arial"/>
                <w:color w:val="000000"/>
                <w:sz w:val="20"/>
                <w:szCs w:val="20"/>
                <w:lang w:val="es-ES"/>
              </w:rPr>
              <w:t>Erradicación de las plagas de mamíferos en la isla Auckland</w:t>
            </w:r>
          </w:p>
        </w:tc>
        <w:tc>
          <w:tcPr>
            <w:tcW w:w="2977" w:type="dxa"/>
          </w:tcPr>
          <w:p w:rsidR="00AC0C9B" w:rsidRPr="00185188" w:rsidRDefault="00AC0C9B" w:rsidP="00FE3F58">
            <w:pPr>
              <w:spacing w:before="60" w:after="60"/>
              <w:rPr>
                <w:rFonts w:ascii="Arial" w:hAnsi="Arial" w:cs="Arial"/>
                <w:b/>
                <w:bCs/>
                <w:sz w:val="20"/>
                <w:szCs w:val="20"/>
                <w:lang w:val="es-ES"/>
              </w:rPr>
            </w:pPr>
            <w:r w:rsidRPr="00185188">
              <w:rPr>
                <w:rFonts w:ascii="Arial" w:hAnsi="Arial" w:cs="Arial"/>
                <w:sz w:val="20"/>
                <w:szCs w:val="20"/>
                <w:lang w:val="es-ES"/>
              </w:rPr>
              <w:t xml:space="preserve">Zonas de reproducción seguras y protegidas sin amenazas </w:t>
            </w:r>
            <w:proofErr w:type="spellStart"/>
            <w:r w:rsidRPr="00185188">
              <w:rPr>
                <w:rFonts w:ascii="Arial" w:hAnsi="Arial" w:cs="Arial"/>
                <w:sz w:val="20"/>
                <w:szCs w:val="20"/>
                <w:lang w:val="es-ES"/>
              </w:rPr>
              <w:t>antropógenas</w:t>
            </w:r>
            <w:proofErr w:type="spellEnd"/>
          </w:p>
        </w:tc>
        <w:tc>
          <w:tcPr>
            <w:tcW w:w="1559" w:type="dxa"/>
          </w:tcPr>
          <w:p w:rsidR="00AC0C9B" w:rsidRPr="00185188" w:rsidRDefault="00AC0C9B" w:rsidP="00FE3F58">
            <w:pPr>
              <w:spacing w:before="60" w:after="60"/>
              <w:rPr>
                <w:rFonts w:ascii="Arial" w:hAnsi="Arial" w:cs="Arial"/>
                <w:b/>
                <w:bCs/>
                <w:sz w:val="20"/>
                <w:szCs w:val="20"/>
                <w:lang w:val="es-ES"/>
              </w:rPr>
            </w:pPr>
            <w:r w:rsidRPr="00185188">
              <w:rPr>
                <w:rFonts w:ascii="Arial" w:hAnsi="Arial" w:cs="Arial"/>
                <w:sz w:val="20"/>
                <w:szCs w:val="20"/>
                <w:lang w:val="es-ES"/>
              </w:rPr>
              <w:t>Programa en desarrollo, con un plazo indicativo de 10 años</w:t>
            </w:r>
          </w:p>
        </w:tc>
        <w:tc>
          <w:tcPr>
            <w:tcW w:w="1984" w:type="dxa"/>
          </w:tcPr>
          <w:p w:rsidR="00AC0C9B" w:rsidRPr="00441F6C" w:rsidRDefault="00AC0C9B" w:rsidP="00FE3F58">
            <w:pPr>
              <w:spacing w:before="60" w:after="60"/>
              <w:rPr>
                <w:rFonts w:ascii="Arial" w:hAnsi="Arial" w:cs="Arial"/>
                <w:b/>
                <w:bCs/>
                <w:sz w:val="20"/>
                <w:szCs w:val="20"/>
              </w:rPr>
            </w:pPr>
            <w:r w:rsidRPr="00441F6C">
              <w:rPr>
                <w:rFonts w:ascii="Arial" w:hAnsi="Arial" w:cs="Arial"/>
                <w:sz w:val="20"/>
                <w:szCs w:val="20"/>
              </w:rPr>
              <w:t xml:space="preserve">Nueva </w:t>
            </w:r>
            <w:proofErr w:type="spellStart"/>
            <w:r w:rsidRPr="00441F6C">
              <w:rPr>
                <w:rFonts w:ascii="Arial" w:hAnsi="Arial" w:cs="Arial"/>
                <w:sz w:val="20"/>
                <w:szCs w:val="20"/>
              </w:rPr>
              <w:t>Zelanda</w:t>
            </w:r>
            <w:proofErr w:type="spellEnd"/>
          </w:p>
        </w:tc>
        <w:tc>
          <w:tcPr>
            <w:tcW w:w="3969" w:type="dxa"/>
          </w:tcPr>
          <w:p w:rsidR="00AC0C9B" w:rsidRPr="00185188" w:rsidRDefault="00AC0C9B" w:rsidP="00FE3F58">
            <w:pPr>
              <w:spacing w:before="60" w:after="60"/>
              <w:rPr>
                <w:rFonts w:ascii="Arial" w:hAnsi="Arial" w:cs="Arial"/>
                <w:sz w:val="20"/>
                <w:szCs w:val="20"/>
                <w:lang w:val="es-ES"/>
              </w:rPr>
            </w:pPr>
            <w:r w:rsidRPr="00185188">
              <w:rPr>
                <w:rFonts w:ascii="Arial" w:hAnsi="Arial" w:cs="Arial"/>
                <w:sz w:val="20"/>
                <w:szCs w:val="20"/>
                <w:lang w:val="es-ES"/>
              </w:rPr>
              <w:t>El Gobierno de Nueva Zelanda ha dedicado 2 millones de dólares neozelandeses, pero se requerirán fondos adicionales para completar el programa</w:t>
            </w:r>
          </w:p>
        </w:tc>
      </w:tr>
      <w:tr w:rsidR="00AC0C9B" w:rsidRPr="00D23B83" w:rsidTr="00FE3F58">
        <w:trPr>
          <w:gridAfter w:val="1"/>
          <w:wAfter w:w="11" w:type="dxa"/>
        </w:trPr>
        <w:tc>
          <w:tcPr>
            <w:tcW w:w="4531" w:type="dxa"/>
          </w:tcPr>
          <w:p w:rsidR="00AC0C9B" w:rsidRPr="00185188" w:rsidRDefault="00AC0C9B" w:rsidP="00AC0C9B">
            <w:pPr>
              <w:numPr>
                <w:ilvl w:val="1"/>
                <w:numId w:val="11"/>
              </w:numPr>
              <w:autoSpaceDE w:val="0"/>
              <w:adjustRightInd w:val="0"/>
              <w:spacing w:before="60" w:after="60"/>
              <w:rPr>
                <w:rFonts w:ascii="Arial" w:hAnsi="Arial" w:cs="Arial"/>
                <w:color w:val="000000"/>
                <w:sz w:val="20"/>
                <w:szCs w:val="20"/>
                <w:lang w:val="es-ES"/>
              </w:rPr>
            </w:pPr>
            <w:r w:rsidRPr="00185188">
              <w:rPr>
                <w:rFonts w:ascii="Arial" w:hAnsi="Arial" w:cs="Arial"/>
                <w:color w:val="000000"/>
                <w:sz w:val="20"/>
                <w:szCs w:val="20"/>
                <w:lang w:val="es-ES"/>
              </w:rPr>
              <w:t>Protección continua y control de bioseguridad en las islas que albergan las principales zonas de reproducción</w:t>
            </w:r>
          </w:p>
          <w:p w:rsidR="00AC0C9B" w:rsidRPr="00185188" w:rsidRDefault="00AC0C9B" w:rsidP="00FE3F58">
            <w:pPr>
              <w:spacing w:before="60" w:after="60"/>
              <w:rPr>
                <w:rFonts w:ascii="Arial" w:hAnsi="Arial" w:cs="Arial"/>
                <w:b/>
                <w:bCs/>
                <w:sz w:val="20"/>
                <w:szCs w:val="20"/>
                <w:lang w:val="es-ES"/>
              </w:rPr>
            </w:pPr>
          </w:p>
        </w:tc>
        <w:tc>
          <w:tcPr>
            <w:tcW w:w="2977" w:type="dxa"/>
          </w:tcPr>
          <w:p w:rsidR="00AC0C9B" w:rsidRPr="00185188" w:rsidRDefault="00AC0C9B" w:rsidP="00FE3F58">
            <w:pPr>
              <w:spacing w:before="60" w:after="60"/>
              <w:rPr>
                <w:rFonts w:ascii="Arial" w:hAnsi="Arial" w:cs="Arial"/>
                <w:b/>
                <w:bCs/>
                <w:sz w:val="20"/>
                <w:szCs w:val="20"/>
                <w:lang w:val="es-ES"/>
              </w:rPr>
            </w:pPr>
            <w:r w:rsidRPr="00185188">
              <w:rPr>
                <w:rFonts w:ascii="Arial" w:hAnsi="Arial" w:cs="Arial"/>
                <w:sz w:val="20"/>
                <w:szCs w:val="20"/>
                <w:lang w:val="es-ES"/>
              </w:rPr>
              <w:t xml:space="preserve">Zonas de reproducción seguras y protegidas sin amenazas </w:t>
            </w:r>
            <w:proofErr w:type="spellStart"/>
            <w:r w:rsidRPr="00185188">
              <w:rPr>
                <w:rFonts w:ascii="Arial" w:hAnsi="Arial" w:cs="Arial"/>
                <w:sz w:val="20"/>
                <w:szCs w:val="20"/>
                <w:lang w:val="es-ES"/>
              </w:rPr>
              <w:t>antropógenas</w:t>
            </w:r>
            <w:proofErr w:type="spellEnd"/>
          </w:p>
        </w:tc>
        <w:tc>
          <w:tcPr>
            <w:tcW w:w="1559" w:type="dxa"/>
          </w:tcPr>
          <w:p w:rsidR="00AC0C9B" w:rsidRPr="00441F6C" w:rsidRDefault="00AC0C9B" w:rsidP="00FE3F58">
            <w:pPr>
              <w:spacing w:before="60" w:after="60"/>
              <w:rPr>
                <w:rFonts w:ascii="Arial" w:hAnsi="Arial" w:cs="Arial"/>
                <w:sz w:val="20"/>
                <w:szCs w:val="20"/>
              </w:rPr>
            </w:pPr>
            <w:proofErr w:type="spellStart"/>
            <w:r w:rsidRPr="00441F6C">
              <w:rPr>
                <w:rFonts w:ascii="Arial" w:hAnsi="Arial" w:cs="Arial"/>
                <w:sz w:val="20"/>
                <w:szCs w:val="20"/>
              </w:rPr>
              <w:t>En</w:t>
            </w:r>
            <w:proofErr w:type="spellEnd"/>
            <w:r w:rsidRPr="00441F6C">
              <w:rPr>
                <w:rFonts w:ascii="Arial" w:hAnsi="Arial" w:cs="Arial"/>
                <w:sz w:val="20"/>
                <w:szCs w:val="20"/>
              </w:rPr>
              <w:t xml:space="preserve"> </w:t>
            </w:r>
            <w:proofErr w:type="spellStart"/>
            <w:r w:rsidRPr="00441F6C">
              <w:rPr>
                <w:rFonts w:ascii="Arial" w:hAnsi="Arial" w:cs="Arial"/>
                <w:sz w:val="20"/>
                <w:szCs w:val="20"/>
              </w:rPr>
              <w:t>curso</w:t>
            </w:r>
            <w:proofErr w:type="spellEnd"/>
          </w:p>
        </w:tc>
        <w:tc>
          <w:tcPr>
            <w:tcW w:w="1984" w:type="dxa"/>
          </w:tcPr>
          <w:p w:rsidR="00AC0C9B" w:rsidRPr="00441F6C" w:rsidRDefault="00AC0C9B" w:rsidP="00FE3F58">
            <w:pPr>
              <w:spacing w:before="60" w:after="60"/>
              <w:rPr>
                <w:rFonts w:ascii="Arial" w:hAnsi="Arial" w:cs="Arial"/>
                <w:b/>
                <w:bCs/>
                <w:sz w:val="20"/>
                <w:szCs w:val="20"/>
              </w:rPr>
            </w:pPr>
            <w:r w:rsidRPr="00441F6C">
              <w:rPr>
                <w:rFonts w:ascii="Arial" w:hAnsi="Arial" w:cs="Arial"/>
                <w:sz w:val="20"/>
                <w:szCs w:val="20"/>
              </w:rPr>
              <w:t xml:space="preserve">Nueva </w:t>
            </w:r>
            <w:proofErr w:type="spellStart"/>
            <w:r w:rsidRPr="00441F6C">
              <w:rPr>
                <w:rFonts w:ascii="Arial" w:hAnsi="Arial" w:cs="Arial"/>
                <w:sz w:val="20"/>
                <w:szCs w:val="20"/>
              </w:rPr>
              <w:t>Zelanda</w:t>
            </w:r>
            <w:proofErr w:type="spellEnd"/>
          </w:p>
        </w:tc>
        <w:tc>
          <w:tcPr>
            <w:tcW w:w="3969" w:type="dxa"/>
          </w:tcPr>
          <w:p w:rsidR="00AC0C9B" w:rsidRPr="00185188" w:rsidRDefault="00AC0C9B" w:rsidP="00FE3F58">
            <w:pPr>
              <w:spacing w:before="60" w:after="60"/>
              <w:rPr>
                <w:rFonts w:ascii="Arial" w:hAnsi="Arial" w:cs="Arial"/>
                <w:sz w:val="20"/>
                <w:szCs w:val="20"/>
                <w:lang w:val="es-ES"/>
              </w:rPr>
            </w:pPr>
            <w:r w:rsidRPr="00185188">
              <w:rPr>
                <w:rFonts w:ascii="Arial" w:hAnsi="Arial" w:cs="Arial"/>
                <w:sz w:val="20"/>
                <w:szCs w:val="20"/>
                <w:lang w:val="es-ES"/>
              </w:rPr>
              <w:t>El Gobierno de Nueva Zelanda ha dedicado fondos a la gestión continua de las zonas</w:t>
            </w:r>
          </w:p>
        </w:tc>
      </w:tr>
    </w:tbl>
    <w:p w:rsidR="00AC0C9B" w:rsidRPr="00185188" w:rsidRDefault="00AC0C9B" w:rsidP="00AC0C9B">
      <w:pPr>
        <w:spacing w:after="0"/>
        <w:ind w:left="540"/>
        <w:jc w:val="both"/>
        <w:rPr>
          <w:lang w:val="es-ES"/>
        </w:rPr>
      </w:pPr>
    </w:p>
    <w:p w:rsidR="00002A97" w:rsidRPr="00002A97" w:rsidRDefault="00002A97" w:rsidP="00AC0C9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lang w:val="es-ES"/>
        </w:rPr>
      </w:pPr>
    </w:p>
    <w:sectPr w:rsidR="00002A97" w:rsidRPr="00002A97" w:rsidSect="00185188">
      <w:headerReference w:type="even" r:id="rId14"/>
      <w:headerReference w:type="default" r:id="rId15"/>
      <w:footerReference w:type="even" r:id="rId16"/>
      <w:footerReference w:type="default" r:id="rId17"/>
      <w:headerReference w:type="first" r:id="rId18"/>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0772" w:rsidRDefault="00070772" w:rsidP="00002A97">
      <w:pPr>
        <w:spacing w:after="0" w:line="240" w:lineRule="auto"/>
      </w:pPr>
      <w:r>
        <w:separator/>
      </w:r>
    </w:p>
  </w:endnote>
  <w:endnote w:type="continuationSeparator" w:id="0">
    <w:p w:rsidR="00070772" w:rsidRDefault="00070772"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5420283"/>
      <w:docPartObj>
        <w:docPartGallery w:val="Page Numbers (Bottom of Page)"/>
        <w:docPartUnique/>
      </w:docPartObj>
    </w:sdtPr>
    <w:sdtEndPr>
      <w:rPr>
        <w:noProof/>
        <w:sz w:val="18"/>
        <w:szCs w:val="18"/>
      </w:rPr>
    </w:sdtEndPr>
    <w:sdtContent>
      <w:p w:rsidR="0082153E" w:rsidRPr="0082153E" w:rsidRDefault="0082153E">
        <w:pPr>
          <w:pStyle w:val="Footer"/>
          <w:jc w:val="center"/>
          <w:rPr>
            <w:sz w:val="18"/>
            <w:szCs w:val="18"/>
          </w:rPr>
        </w:pPr>
        <w:r w:rsidRPr="0082153E">
          <w:rPr>
            <w:sz w:val="18"/>
            <w:szCs w:val="18"/>
          </w:rPr>
          <w:fldChar w:fldCharType="begin"/>
        </w:r>
        <w:r w:rsidRPr="0082153E">
          <w:rPr>
            <w:sz w:val="18"/>
            <w:szCs w:val="18"/>
          </w:rPr>
          <w:instrText xml:space="preserve"> PAGE   \* MERGEFORMAT </w:instrText>
        </w:r>
        <w:r w:rsidRPr="0082153E">
          <w:rPr>
            <w:sz w:val="18"/>
            <w:szCs w:val="18"/>
          </w:rPr>
          <w:fldChar w:fldCharType="separate"/>
        </w:r>
        <w:r w:rsidRPr="0082153E">
          <w:rPr>
            <w:noProof/>
            <w:sz w:val="18"/>
            <w:szCs w:val="18"/>
          </w:rPr>
          <w:t>2</w:t>
        </w:r>
        <w:r w:rsidRPr="0082153E">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9B" w:rsidRDefault="00AC0C9B">
    <w:pPr>
      <w:pStyle w:val="Footer"/>
      <w:ind w:right="-367"/>
      <w:jc w:val="center"/>
    </w:pP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noProof/>
        <w:sz w:val="18"/>
        <w:szCs w:val="18"/>
      </w:rPr>
      <w:t>7</w:t>
    </w:r>
    <w:r>
      <w:rPr>
        <w:rFonts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9B" w:rsidRDefault="00AC0C9B">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AC0C9B">
          <w:rPr>
            <w:noProof/>
            <w:sz w:val="18"/>
            <w:szCs w:val="18"/>
          </w:rPr>
          <w:t>10</w:t>
        </w:r>
        <w:r w:rsidRPr="00002A97">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AC0C9B">
          <w:rPr>
            <w:noProof/>
            <w:sz w:val="18"/>
            <w:szCs w:val="18"/>
          </w:rPr>
          <w:t>11</w:t>
        </w:r>
        <w:r w:rsidRPr="00002A9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0772" w:rsidRDefault="00070772" w:rsidP="00002A97">
      <w:pPr>
        <w:spacing w:after="0" w:line="240" w:lineRule="auto"/>
      </w:pPr>
      <w:r>
        <w:separator/>
      </w:r>
    </w:p>
  </w:footnote>
  <w:footnote w:type="continuationSeparator" w:id="0">
    <w:p w:rsidR="00070772" w:rsidRDefault="00070772"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188" w:rsidRDefault="00185188" w:rsidP="00185188">
    <w:pPr>
      <w:pStyle w:val="Header"/>
      <w:pBdr>
        <w:bottom w:val="single" w:sz="4" w:space="1" w:color="000000"/>
      </w:pBdr>
    </w:pPr>
    <w:r>
      <w:rPr>
        <w:rFonts w:cs="Arial"/>
        <w:i/>
        <w:sz w:val="18"/>
        <w:szCs w:val="18"/>
        <w:lang w:val="de-DE"/>
      </w:rPr>
      <w:t>UNEP/CMS/COP13/Doc.</w:t>
    </w:r>
    <w:r w:rsidRPr="00EA4491">
      <w:rPr>
        <w:rFonts w:cs="Arial"/>
        <w:i/>
        <w:sz w:val="18"/>
        <w:szCs w:val="18"/>
        <w:lang w:val="en-GB"/>
      </w:rPr>
      <w:t>28.2.1</w:t>
    </w:r>
    <w:r>
      <w:rPr>
        <w:rFonts w:cs="Arial"/>
        <w:i/>
        <w:sz w:val="18"/>
        <w:szCs w:val="18"/>
        <w:lang w:val="en-GB"/>
      </w:rPr>
      <w:t>2</w:t>
    </w:r>
  </w:p>
  <w:p w:rsidR="00185188" w:rsidRDefault="001851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188" w:rsidRDefault="00185188" w:rsidP="0082153E">
    <w:pPr>
      <w:pStyle w:val="Header"/>
      <w:pBdr>
        <w:bottom w:val="single" w:sz="4" w:space="1" w:color="000000"/>
      </w:pBdr>
      <w:jc w:val="right"/>
    </w:pPr>
    <w:r>
      <w:rPr>
        <w:rFonts w:cs="Arial"/>
        <w:i/>
        <w:sz w:val="18"/>
        <w:szCs w:val="18"/>
        <w:lang w:val="de-DE"/>
      </w:rPr>
      <w:t>UNEP/CMS/COP13/Doc.</w:t>
    </w:r>
    <w:r w:rsidRPr="00EA4491">
      <w:rPr>
        <w:rFonts w:cs="Arial"/>
        <w:i/>
        <w:sz w:val="18"/>
        <w:szCs w:val="18"/>
        <w:lang w:val="en-GB"/>
      </w:rPr>
      <w:t>28.2.1</w:t>
    </w:r>
    <w:r>
      <w:rPr>
        <w:rFonts w:cs="Arial"/>
        <w:i/>
        <w:sz w:val="18"/>
        <w:szCs w:val="18"/>
        <w:lang w:val="en-GB"/>
      </w:rPr>
      <w:t>2</w:t>
    </w:r>
  </w:p>
  <w:p w:rsidR="00185188" w:rsidRDefault="001851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188" w:rsidRDefault="00185188" w:rsidP="00185188">
    <w:pPr>
      <w:pStyle w:val="Header"/>
      <w:jc w:val="right"/>
    </w:pPr>
    <w:r>
      <w:rPr>
        <w:noProof/>
      </w:rPr>
      <w:drawing>
        <wp:anchor distT="0" distB="0" distL="114300" distR="114300" simplePos="0" relativeHeight="251665408" behindDoc="0" locked="0" layoutInCell="1" allowOverlap="1" wp14:anchorId="63C097FF" wp14:editId="6E9404C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6"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Pr>
        <w:noProof/>
      </w:rPr>
      <w:drawing>
        <wp:anchor distT="0" distB="0" distL="114300" distR="114300" simplePos="0" relativeHeight="251664384" behindDoc="0" locked="0" layoutInCell="1" allowOverlap="1" wp14:anchorId="3F890D48" wp14:editId="07CF50B6">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7"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Pr>
        <w:noProof/>
      </w:rPr>
      <w:drawing>
        <wp:anchor distT="0" distB="0" distL="114300" distR="114300" simplePos="0" relativeHeight="251663360" behindDoc="0" locked="0" layoutInCell="1" allowOverlap="1" wp14:anchorId="37580985" wp14:editId="4771FE05">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8"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AC0C9B" w:rsidRPr="003A350E" w:rsidRDefault="00AC0C9B" w:rsidP="003A350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188" w:rsidRDefault="00185188" w:rsidP="00185188">
    <w:pPr>
      <w:pStyle w:val="Header"/>
      <w:pBdr>
        <w:bottom w:val="single" w:sz="4" w:space="1" w:color="000000"/>
      </w:pBdr>
    </w:pPr>
    <w:r>
      <w:rPr>
        <w:rFonts w:cs="Arial"/>
        <w:i/>
        <w:sz w:val="18"/>
        <w:szCs w:val="18"/>
        <w:lang w:val="de-DE"/>
      </w:rPr>
      <w:t>UNEP/CMS/COP13/Doc.</w:t>
    </w:r>
    <w:r w:rsidRPr="00EA4491">
      <w:rPr>
        <w:rFonts w:cs="Arial"/>
        <w:i/>
        <w:sz w:val="18"/>
        <w:szCs w:val="18"/>
        <w:lang w:val="en-GB"/>
      </w:rPr>
      <w:t>28.2.1</w:t>
    </w:r>
    <w:r>
      <w:rPr>
        <w:rFonts w:cs="Arial"/>
        <w:i/>
        <w:sz w:val="18"/>
        <w:szCs w:val="18"/>
        <w:lang w:val="en-GB"/>
      </w:rPr>
      <w:t>2/Anexo</w:t>
    </w:r>
  </w:p>
  <w:p w:rsidR="00002A97" w:rsidRPr="00185188" w:rsidRDefault="00002A97" w:rsidP="0018518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188" w:rsidRDefault="00185188" w:rsidP="0082153E">
    <w:pPr>
      <w:pStyle w:val="Header"/>
      <w:pBdr>
        <w:bottom w:val="single" w:sz="4" w:space="1" w:color="000000"/>
      </w:pBdr>
      <w:jc w:val="right"/>
    </w:pPr>
    <w:r>
      <w:rPr>
        <w:rFonts w:cs="Arial"/>
        <w:i/>
        <w:sz w:val="18"/>
        <w:szCs w:val="18"/>
        <w:lang w:val="de-DE"/>
      </w:rPr>
      <w:t>UNEP/CMS/COP13/Doc.</w:t>
    </w:r>
    <w:r w:rsidRPr="00EA4491">
      <w:rPr>
        <w:rFonts w:cs="Arial"/>
        <w:i/>
        <w:sz w:val="18"/>
        <w:szCs w:val="18"/>
        <w:lang w:val="en-GB"/>
      </w:rPr>
      <w:t>28.2.1</w:t>
    </w:r>
    <w:r>
      <w:rPr>
        <w:rFonts w:cs="Arial"/>
        <w:i/>
        <w:sz w:val="18"/>
        <w:szCs w:val="18"/>
        <w:lang w:val="en-GB"/>
      </w:rPr>
      <w:t>2/Anexo</w:t>
    </w:r>
  </w:p>
  <w:p w:rsidR="00002A97" w:rsidRPr="00185188" w:rsidRDefault="00002A97" w:rsidP="0018518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188" w:rsidRPr="00185188" w:rsidRDefault="00185188" w:rsidP="00185188">
    <w:pPr>
      <w:pStyle w:val="Header"/>
      <w:pBdr>
        <w:bottom w:val="single" w:sz="4" w:space="1" w:color="000000"/>
      </w:pBdr>
      <w:rPr>
        <w:lang w:val="fr-FR"/>
      </w:rPr>
    </w:pPr>
    <w:r>
      <w:rPr>
        <w:rFonts w:cs="Arial"/>
        <w:i/>
        <w:sz w:val="18"/>
        <w:szCs w:val="18"/>
        <w:lang w:val="de-DE"/>
      </w:rPr>
      <w:t>UNEP/CMS/COP13/Doc.</w:t>
    </w:r>
    <w:r w:rsidRPr="00185188">
      <w:rPr>
        <w:rFonts w:cs="Arial"/>
        <w:i/>
        <w:sz w:val="18"/>
        <w:szCs w:val="18"/>
        <w:lang w:val="fr-FR"/>
      </w:rPr>
      <w:t>28.2.12/</w:t>
    </w:r>
    <w:proofErr w:type="spellStart"/>
    <w:r w:rsidRPr="00185188">
      <w:rPr>
        <w:rFonts w:cs="Arial"/>
        <w:i/>
        <w:sz w:val="18"/>
        <w:szCs w:val="18"/>
        <w:lang w:val="fr-FR"/>
      </w:rPr>
      <w:t>A</w:t>
    </w:r>
    <w:r>
      <w:rPr>
        <w:rFonts w:cs="Arial"/>
        <w:i/>
        <w:sz w:val="18"/>
        <w:szCs w:val="18"/>
        <w:lang w:val="fr-FR"/>
      </w:rPr>
      <w:t>nexo</w:t>
    </w:r>
    <w:proofErr w:type="spellEnd"/>
  </w:p>
  <w:p w:rsidR="00002A97" w:rsidRPr="00185188" w:rsidRDefault="00002A97" w:rsidP="00185188">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A1C4482E"/>
    <w:lvl w:ilvl="0" w:tplc="99C6BF5C">
      <w:start w:val="1"/>
      <w:numFmt w:val="decimal"/>
      <w:pStyle w:val="Firstnumber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C00494"/>
    <w:multiLevelType w:val="multilevel"/>
    <w:tmpl w:val="3B9C5C1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8FB5E28"/>
    <w:multiLevelType w:val="multilevel"/>
    <w:tmpl w:val="C0C0265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DF40F4"/>
    <w:multiLevelType w:val="multilevel"/>
    <w:tmpl w:val="5B8C70A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21608A"/>
    <w:multiLevelType w:val="multilevel"/>
    <w:tmpl w:val="9D206AF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8"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696538"/>
    <w:multiLevelType w:val="multilevel"/>
    <w:tmpl w:val="A73C3C02"/>
    <w:lvl w:ilvl="0">
      <w:start w:val="1"/>
      <w:numFmt w:val="bullet"/>
      <w:lvlText w:val=""/>
      <w:lvlJc w:val="left"/>
      <w:pPr>
        <w:ind w:left="720" w:hanging="360"/>
      </w:pPr>
      <w:rPr>
        <w:rFonts w:ascii="Symbol" w:hAnsi="Symbol"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0421494"/>
    <w:multiLevelType w:val="multilevel"/>
    <w:tmpl w:val="678AA0F8"/>
    <w:lvl w:ilvl="0">
      <w:start w:val="1"/>
      <w:numFmt w:val="decimal"/>
      <w:lvlText w:val="%1."/>
      <w:lvlJc w:val="left"/>
      <w:pPr>
        <w:ind w:left="900" w:hanging="360"/>
      </w:pPr>
      <w:rPr>
        <w:rFonts w:hint="default"/>
        <w:color w:val="auto"/>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num w:numId="1">
    <w:abstractNumId w:val="0"/>
  </w:num>
  <w:num w:numId="2">
    <w:abstractNumId w:val="1"/>
  </w:num>
  <w:num w:numId="3">
    <w:abstractNumId w:val="2"/>
  </w:num>
  <w:num w:numId="4">
    <w:abstractNumId w:val="8"/>
  </w:num>
  <w:num w:numId="5">
    <w:abstractNumId w:val="4"/>
  </w:num>
  <w:num w:numId="6">
    <w:abstractNumId w:val="9"/>
  </w:num>
  <w:num w:numId="7">
    <w:abstractNumId w:val="10"/>
  </w:num>
  <w:num w:numId="8">
    <w:abstractNumId w:val="7"/>
  </w:num>
  <w:num w:numId="9">
    <w:abstractNumId w:val="6"/>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A97"/>
    <w:rsid w:val="00002A97"/>
    <w:rsid w:val="00070772"/>
    <w:rsid w:val="00185188"/>
    <w:rsid w:val="002F7EC2"/>
    <w:rsid w:val="004C7808"/>
    <w:rsid w:val="005330F7"/>
    <w:rsid w:val="00563598"/>
    <w:rsid w:val="0082153E"/>
    <w:rsid w:val="00943D15"/>
    <w:rsid w:val="00AC0C9B"/>
    <w:rsid w:val="00B104EC"/>
    <w:rsid w:val="00BC5707"/>
    <w:rsid w:val="00BF7838"/>
    <w:rsid w:val="00D23B83"/>
    <w:rsid w:val="00E77A9F"/>
    <w:rsid w:val="00E81B4A"/>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B72620"/>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F147ED"/>
    <w:pPr>
      <w:widowControl w:val="0"/>
      <w:numPr>
        <w:numId w:val="1"/>
      </w:numPr>
      <w:suppressAutoHyphens/>
      <w:autoSpaceDE w:val="0"/>
      <w:autoSpaceDN w:val="0"/>
      <w:spacing w:after="0" w:line="240" w:lineRule="auto"/>
      <w:ind w:left="567" w:hanging="567"/>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F147ED"/>
    <w:pPr>
      <w:numPr>
        <w:numId w:val="2"/>
      </w:numPr>
      <w:spacing w:after="0" w:line="240" w:lineRule="auto"/>
      <w:ind w:left="1134" w:hanging="283"/>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F147ED"/>
    <w:rPr>
      <w:rFonts w:eastAsia="Times New Roman" w:cs="Arial"/>
      <w:lang w:val="es-ES" w:eastAsia="es-ES"/>
    </w:rPr>
  </w:style>
  <w:style w:type="character" w:customStyle="1" w:styleId="SecondnumberingaChar">
    <w:name w:val="Second numbering a). Char"/>
    <w:basedOn w:val="ListParagraphChar"/>
    <w:link w:val="Secondnumberinga"/>
    <w:rsid w:val="00F147ED"/>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table" w:customStyle="1" w:styleId="TableGrid1">
    <w:name w:val="Table Grid1"/>
    <w:basedOn w:val="TableNormal"/>
    <w:next w:val="TableGrid"/>
    <w:uiPriority w:val="59"/>
    <w:rsid w:val="00AC0C9B"/>
    <w:pPr>
      <w:spacing w:after="0" w:line="240" w:lineRule="auto"/>
    </w:pPr>
    <w:rPr>
      <w:rFonts w:ascii="Calibri" w:eastAsia="Calibri" w:hAnsi="Calibri" w:cs="Times New Roman"/>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C0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3887</Words>
  <Characters>22158</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2019-10-25T12:10:00Z</dcterms:created>
  <dcterms:modified xsi:type="dcterms:W3CDTF">2019-10-25T12:22:00Z</dcterms:modified>
</cp:coreProperties>
</file>