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3B42AE">
              <w:rPr>
                <w:rFonts w:eastAsia="Arial" w:cs="Arial"/>
                <w:lang w:val="fr-FR"/>
              </w:rPr>
              <w:t>28.1.1</w:t>
            </w:r>
          </w:p>
          <w:p w:rsidR="00EC2A58" w:rsidRPr="00A02506" w:rsidRDefault="003B42AE"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11 octobre</w:t>
            </w:r>
            <w:r w:rsidR="00EC2A58" w:rsidRPr="00A02506">
              <w:rPr>
                <w:rFonts w:eastAsia="Arial" w:cs="Arial"/>
                <w:lang w:val="fr-FR"/>
              </w:rPr>
              <w:t xml:space="preserve"> 2019</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3B42AE">
        <w:rPr>
          <w:rFonts w:eastAsia="Arial" w:cs="Arial"/>
          <w:iCs/>
          <w:lang w:val="fr-FR"/>
        </w:rPr>
        <w:t>28.1</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3B42AE" w:rsidRPr="003B42AE" w:rsidRDefault="003B42AE" w:rsidP="003B42AE">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bookmarkStart w:id="0" w:name="_Hlk22821900"/>
      <w:r w:rsidRPr="003B42AE">
        <w:rPr>
          <w:rFonts w:eastAsia="Times New Roman" w:cs="Arial"/>
          <w:b/>
          <w:lang w:val="fr-FR"/>
        </w:rPr>
        <w:t xml:space="preserve">RAPPORT SUR LA MISE EN ŒUVRE DE </w:t>
      </w:r>
    </w:p>
    <w:p w:rsidR="003B42AE" w:rsidRPr="003B42AE" w:rsidRDefault="003B42AE" w:rsidP="003B42AE">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3B42AE">
        <w:rPr>
          <w:rFonts w:eastAsia="Times New Roman" w:cs="Arial"/>
          <w:b/>
          <w:lang w:val="fr-FR"/>
        </w:rPr>
        <w:t xml:space="preserve">L’ACTION CONCERTÉE </w:t>
      </w:r>
    </w:p>
    <w:p w:rsidR="003B42AE" w:rsidRPr="003B42AE" w:rsidRDefault="003B42AE" w:rsidP="003B42AE">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3B42AE">
        <w:rPr>
          <w:rFonts w:eastAsia="Times New Roman" w:cs="Arial"/>
          <w:b/>
          <w:lang w:val="fr-FR"/>
        </w:rPr>
        <w:t xml:space="preserve">POUR </w:t>
      </w:r>
    </w:p>
    <w:p w:rsidR="00EC2A58" w:rsidRPr="00EC2A58" w:rsidRDefault="003B42AE" w:rsidP="003B42A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eastAsia="Arial" w:cs="Arial"/>
          <w:b/>
          <w:bCs/>
          <w:caps/>
          <w:lang w:val="fr-FR"/>
        </w:rPr>
      </w:pPr>
      <w:r w:rsidRPr="003B42AE">
        <w:rPr>
          <w:rFonts w:cs="Arial"/>
          <w:b/>
          <w:lang w:val="fr-FR"/>
        </w:rPr>
        <w:t>L'ANGUILLE D'EUROPE (</w:t>
      </w:r>
      <w:proofErr w:type="spellStart"/>
      <w:r w:rsidRPr="003B42AE">
        <w:rPr>
          <w:rFonts w:cs="Arial"/>
          <w:b/>
          <w:i/>
          <w:lang w:val="fr-FR"/>
        </w:rPr>
        <w:t>anguilla</w:t>
      </w:r>
      <w:proofErr w:type="spellEnd"/>
      <w:r w:rsidRPr="003B42AE">
        <w:rPr>
          <w:rFonts w:cs="Arial"/>
          <w:b/>
          <w:i/>
          <w:lang w:val="fr-FR"/>
        </w:rPr>
        <w:t xml:space="preserve"> </w:t>
      </w:r>
      <w:proofErr w:type="spellStart"/>
      <w:r w:rsidRPr="003B42AE">
        <w:rPr>
          <w:rFonts w:cs="Arial"/>
          <w:b/>
          <w:i/>
          <w:lang w:val="fr-FR"/>
        </w:rPr>
        <w:t>anguilla</w:t>
      </w:r>
      <w:proofErr w:type="spellEnd"/>
      <w:r>
        <w:rPr>
          <w:rFonts w:eastAsia="Arial" w:cs="Arial"/>
          <w:b/>
          <w:bCs/>
          <w:caps/>
          <w:lang w:val="fr-FR"/>
        </w:rPr>
        <w:t>)</w:t>
      </w:r>
    </w:p>
    <w:bookmarkEnd w:id="0"/>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3B42AE" w:rsidP="00D71837">
      <w:pPr>
        <w:widowControl w:val="0"/>
        <w:suppressAutoHyphens/>
        <w:autoSpaceDE w:val="0"/>
        <w:autoSpaceDN w:val="0"/>
        <w:spacing w:after="0" w:line="240" w:lineRule="auto"/>
        <w:textAlignment w:val="baseline"/>
        <w:rPr>
          <w:rFonts w:eastAsia="Times New Roman" w:cs="Arial"/>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822960</wp:posOffset>
                </wp:positionH>
                <wp:positionV relativeFrom="paragraph">
                  <wp:posOffset>52705</wp:posOffset>
                </wp:positionV>
                <wp:extent cx="4304665" cy="140970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5" cy="1409700"/>
                        </a:xfrm>
                        <a:prstGeom prst="rect">
                          <a:avLst/>
                        </a:prstGeom>
                        <a:solidFill>
                          <a:srgbClr val="FFFFFF"/>
                        </a:solidFill>
                        <a:ln w="3172">
                          <a:solidFill>
                            <a:srgbClr val="000000"/>
                          </a:solidFill>
                          <a:prstDash val="solid"/>
                        </a:ln>
                      </wps:spPr>
                      <wps:txbx>
                        <w:txbxContent>
                          <w:p w:rsidR="00EC2A58" w:rsidRDefault="00EC2A58" w:rsidP="0026594E">
                            <w:pPr>
                              <w:spacing w:after="0" w:line="240" w:lineRule="auto"/>
                            </w:pPr>
                            <w:r>
                              <w:rPr>
                                <w:rFonts w:eastAsia="Arial" w:cs="Arial"/>
                                <w:lang w:val="fr-FR"/>
                              </w:rPr>
                              <w:t>Résumé:</w:t>
                            </w:r>
                          </w:p>
                          <w:p w:rsidR="00EC2A58" w:rsidRPr="003B42AE" w:rsidRDefault="00EC2A58" w:rsidP="003B42AE">
                            <w:pPr>
                              <w:spacing w:after="0" w:line="240" w:lineRule="auto"/>
                              <w:rPr>
                                <w:rFonts w:cs="Arial"/>
                                <w:lang w:val="fr-FR"/>
                              </w:rPr>
                            </w:pPr>
                          </w:p>
                          <w:p w:rsidR="003B42AE" w:rsidRPr="003B42AE" w:rsidRDefault="003B42AE" w:rsidP="003B42AE">
                            <w:pPr>
                              <w:widowControl w:val="0"/>
                              <w:autoSpaceDE w:val="0"/>
                              <w:spacing w:after="0" w:line="240" w:lineRule="auto"/>
                              <w:jc w:val="both"/>
                              <w:rPr>
                                <w:rFonts w:eastAsia="Times New Roman" w:cs="Arial"/>
                                <w:lang w:val="fr-FR"/>
                              </w:rPr>
                            </w:pPr>
                            <w:r w:rsidRPr="003B42AE">
                              <w:rPr>
                                <w:rFonts w:eastAsia="Times New Roman" w:cs="Arial"/>
                                <w:lang w:val="fr-FR"/>
                              </w:rPr>
                              <w:t xml:space="preserve">Le Gouvernement de la Principauté de Monaco en collaboration avec le Secrétariat de la mer des Sargasses (CSS) et le Secrétariat de la CMS ont soumis le rapport ci-joint sur la mise en œuvre de l'Action concertée pour l'anguille d'Europe </w:t>
                            </w:r>
                            <w:r w:rsidRPr="003B42AE">
                              <w:rPr>
                                <w:rFonts w:eastAsia="Times New Roman" w:cs="Arial"/>
                                <w:i/>
                                <w:lang w:val="fr-FR"/>
                              </w:rPr>
                              <w:t xml:space="preserve">(Anguilla </w:t>
                            </w:r>
                            <w:proofErr w:type="spellStart"/>
                            <w:r w:rsidRPr="003B42AE">
                              <w:rPr>
                                <w:rFonts w:eastAsia="Times New Roman" w:cs="Arial"/>
                                <w:i/>
                                <w:lang w:val="fr-FR"/>
                              </w:rPr>
                              <w:t>anguilla</w:t>
                            </w:r>
                            <w:proofErr w:type="spellEnd"/>
                            <w:r w:rsidRPr="003B42AE">
                              <w:rPr>
                                <w:rFonts w:eastAsia="Times New Roman" w:cs="Arial"/>
                                <w:i/>
                                <w:lang w:val="fr-FR"/>
                              </w:rPr>
                              <w:t xml:space="preserve">), </w:t>
                            </w:r>
                            <w:r w:rsidRPr="003B42AE">
                              <w:rPr>
                                <w:rFonts w:eastAsia="Times New Roman" w:cs="Arial"/>
                                <w:lang w:val="fr-FR"/>
                              </w:rPr>
                              <w:t xml:space="preserve">Action concertée 12.1. </w:t>
                            </w:r>
                            <w:r w:rsidRPr="003B42AE">
                              <w:rPr>
                                <w:lang w:val="fr-FR"/>
                              </w:rPr>
                              <w:t xml:space="preserve"> </w:t>
                            </w:r>
                          </w:p>
                          <w:p w:rsidR="003B42AE" w:rsidRPr="003B42AE" w:rsidRDefault="003B42AE" w:rsidP="003B42AE">
                            <w:pPr>
                              <w:spacing w:after="0" w:line="240" w:lineRule="auto"/>
                              <w:rPr>
                                <w:rFonts w:cs="Arial"/>
                                <w:lang w:val="fr-FR"/>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4.8pt;margin-top:4.15pt;width:338.95pt;height:1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" strokeweight=".08811mm">
                <v:textbox>
                  <w:txbxContent>
                    <w:p w:rsidR="00EC2A58" w:rsidRDefault="00EC2A58" w:rsidP="0026594E">
                      <w:pPr>
                        <w:spacing w:after="0" w:line="240" w:lineRule="auto"/>
                      </w:pPr>
                      <w:r>
                        <w:rPr>
                          <w:rFonts w:eastAsia="Arial" w:cs="Arial"/>
                          <w:lang w:val="fr-FR"/>
                        </w:rPr>
                        <w:t>Résumé:</w:t>
                      </w:r>
                    </w:p>
                    <w:p w:rsidR="00EC2A58" w:rsidRPr="003B42AE" w:rsidRDefault="00EC2A58" w:rsidP="003B42AE">
                      <w:pPr>
                        <w:spacing w:after="0" w:line="240" w:lineRule="auto"/>
                        <w:rPr>
                          <w:rFonts w:cs="Arial"/>
                          <w:lang w:val="fr-FR"/>
                        </w:rPr>
                      </w:pPr>
                    </w:p>
                    <w:p w:rsidR="003B42AE" w:rsidRPr="003B42AE" w:rsidRDefault="003B42AE" w:rsidP="003B42AE">
                      <w:pPr>
                        <w:widowControl w:val="0"/>
                        <w:autoSpaceDE w:val="0"/>
                        <w:spacing w:after="0" w:line="240" w:lineRule="auto"/>
                        <w:jc w:val="both"/>
                        <w:rPr>
                          <w:rFonts w:eastAsia="Times New Roman" w:cs="Arial"/>
                          <w:lang w:val="fr-FR"/>
                        </w:rPr>
                      </w:pPr>
                      <w:r w:rsidRPr="003B42AE">
                        <w:rPr>
                          <w:rFonts w:eastAsia="Times New Roman" w:cs="Arial"/>
                          <w:lang w:val="fr-FR"/>
                        </w:rPr>
                        <w:t xml:space="preserve">Le Gouvernement de la Principauté de Monaco en collaboration avec le Secrétariat de la mer des Sargasses (CSS) et le Secrétariat de la CMS ont soumis le rapport ci-joint sur la mise en œuvre de l'Action concertée pour l'anguille d'Europe </w:t>
                      </w:r>
                      <w:r w:rsidRPr="003B42AE">
                        <w:rPr>
                          <w:rFonts w:eastAsia="Times New Roman" w:cs="Arial"/>
                          <w:i/>
                          <w:lang w:val="fr-FR"/>
                        </w:rPr>
                        <w:t xml:space="preserve">(Anguilla </w:t>
                      </w:r>
                      <w:proofErr w:type="spellStart"/>
                      <w:r w:rsidRPr="003B42AE">
                        <w:rPr>
                          <w:rFonts w:eastAsia="Times New Roman" w:cs="Arial"/>
                          <w:i/>
                          <w:lang w:val="fr-FR"/>
                        </w:rPr>
                        <w:t>anguilla</w:t>
                      </w:r>
                      <w:proofErr w:type="spellEnd"/>
                      <w:r w:rsidRPr="003B42AE">
                        <w:rPr>
                          <w:rFonts w:eastAsia="Times New Roman" w:cs="Arial"/>
                          <w:i/>
                          <w:lang w:val="fr-FR"/>
                        </w:rPr>
                        <w:t xml:space="preserve">), </w:t>
                      </w:r>
                      <w:r w:rsidRPr="003B42AE">
                        <w:rPr>
                          <w:rFonts w:eastAsia="Times New Roman" w:cs="Arial"/>
                          <w:lang w:val="fr-FR"/>
                        </w:rPr>
                        <w:t xml:space="preserve">Action concertée 12.1. </w:t>
                      </w:r>
                      <w:r w:rsidRPr="003B42AE">
                        <w:rPr>
                          <w:lang w:val="fr-FR"/>
                        </w:rPr>
                        <w:t xml:space="preserve"> </w:t>
                      </w:r>
                    </w:p>
                    <w:p w:rsidR="003B42AE" w:rsidRPr="003B42AE" w:rsidRDefault="003B42AE" w:rsidP="003B42AE">
                      <w:pPr>
                        <w:spacing w:after="0" w:line="240" w:lineRule="auto"/>
                        <w:rPr>
                          <w:rFonts w:cs="Arial"/>
                          <w:lang w:val="fr-FR"/>
                        </w:rPr>
                      </w:pP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3B42AE" w:rsidRDefault="003B42AE" w:rsidP="00D71837">
      <w:pPr>
        <w:spacing w:after="0" w:line="240" w:lineRule="auto"/>
        <w:rPr>
          <w:lang w:val="fr-FR"/>
        </w:rPr>
      </w:pPr>
    </w:p>
    <w:p w:rsidR="004D2819" w:rsidRDefault="004D2819" w:rsidP="00D71837">
      <w:pPr>
        <w:spacing w:after="0" w:line="240" w:lineRule="auto"/>
        <w:rPr>
          <w:lang w:val="fr-FR"/>
        </w:rPr>
      </w:pPr>
    </w:p>
    <w:p w:rsidR="00D71837" w:rsidRDefault="003B42AE" w:rsidP="00D71837">
      <w:pPr>
        <w:spacing w:after="0" w:line="240" w:lineRule="auto"/>
        <w:rPr>
          <w:lang w:val="fr-FR"/>
        </w:rPr>
      </w:pPr>
      <w:r>
        <w:rPr>
          <w:rFonts w:eastAsia="Times New Roman" w:cs="Arial"/>
          <w:sz w:val="18"/>
          <w:szCs w:val="24"/>
          <w:lang w:val="fr-FR"/>
        </w:rPr>
        <w:t>* Les appellations géographiques utilisées dans ce document n'impliquent d'aucune manière l'opinion de la part du Secrétariat de la CMS (ou du Programme des Nations Unies pour l'Environnement) concernant le statut juridique de tout pays, territoire ou zone ou concernant la délimitation de ses frontières ou limites. La responsabilité du contenu du document repose exclusivement sur son auteur</w:t>
      </w:r>
    </w:p>
    <w:p w:rsidR="00D71837" w:rsidRPr="00EC2A58" w:rsidRDefault="00D71837" w:rsidP="00D71837">
      <w:pPr>
        <w:spacing w:after="0" w:line="240" w:lineRule="auto"/>
        <w:rPr>
          <w:lang w:val="fr-FR"/>
        </w:rPr>
      </w:pPr>
    </w:p>
    <w:p w:rsidR="004D2819" w:rsidRDefault="004D2819" w:rsidP="00D71837">
      <w:pPr>
        <w:pStyle w:val="Title1"/>
        <w:jc w:val="left"/>
      </w:pPr>
    </w:p>
    <w:p w:rsidR="003B42AE" w:rsidRPr="003B42AE" w:rsidRDefault="003B42AE" w:rsidP="003B42AE">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3B42AE">
        <w:rPr>
          <w:rFonts w:eastAsia="Times New Roman" w:cs="Arial"/>
          <w:b/>
          <w:lang w:val="fr-FR"/>
        </w:rPr>
        <w:t xml:space="preserve">RAPPORT SUR LA MISE EN ŒUVRE DE </w:t>
      </w:r>
    </w:p>
    <w:p w:rsidR="003B42AE" w:rsidRPr="003B42AE" w:rsidRDefault="003B42AE" w:rsidP="003B42AE">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3B42AE">
        <w:rPr>
          <w:rFonts w:eastAsia="Times New Roman" w:cs="Arial"/>
          <w:b/>
          <w:lang w:val="fr-FR"/>
        </w:rPr>
        <w:t xml:space="preserve">L’ACTION CONCERTÉE </w:t>
      </w:r>
    </w:p>
    <w:p w:rsidR="003B42AE" w:rsidRPr="003B42AE" w:rsidRDefault="003B42AE" w:rsidP="003B42AE">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3B42AE">
        <w:rPr>
          <w:rFonts w:eastAsia="Times New Roman" w:cs="Arial"/>
          <w:b/>
          <w:lang w:val="fr-FR"/>
        </w:rPr>
        <w:t xml:space="preserve">POUR </w:t>
      </w:r>
    </w:p>
    <w:p w:rsidR="003B42AE" w:rsidRPr="00EC2A58" w:rsidRDefault="003B42AE" w:rsidP="003B42A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eastAsia="Arial" w:cs="Arial"/>
          <w:b/>
          <w:bCs/>
          <w:caps/>
          <w:lang w:val="fr-FR"/>
        </w:rPr>
      </w:pPr>
      <w:r w:rsidRPr="003B42AE">
        <w:rPr>
          <w:rFonts w:cs="Arial"/>
          <w:b/>
          <w:lang w:val="fr-FR"/>
        </w:rPr>
        <w:t>L'ANGUILLE D'EUROPE (</w:t>
      </w:r>
      <w:proofErr w:type="spellStart"/>
      <w:r w:rsidRPr="003B42AE">
        <w:rPr>
          <w:rFonts w:cs="Arial"/>
          <w:b/>
          <w:i/>
          <w:lang w:val="fr-FR"/>
        </w:rPr>
        <w:t>anguilla</w:t>
      </w:r>
      <w:proofErr w:type="spellEnd"/>
      <w:r w:rsidRPr="003B42AE">
        <w:rPr>
          <w:rFonts w:cs="Arial"/>
          <w:b/>
          <w:i/>
          <w:lang w:val="fr-FR"/>
        </w:rPr>
        <w:t xml:space="preserve"> </w:t>
      </w:r>
      <w:proofErr w:type="spellStart"/>
      <w:r w:rsidRPr="003B42AE">
        <w:rPr>
          <w:rFonts w:cs="Arial"/>
          <w:b/>
          <w:i/>
          <w:lang w:val="fr-FR"/>
        </w:rPr>
        <w:t>anguilla</w:t>
      </w:r>
      <w:proofErr w:type="spellEnd"/>
      <w:r>
        <w:rPr>
          <w:rFonts w:eastAsia="Arial" w:cs="Arial"/>
          <w:b/>
          <w:bCs/>
          <w:caps/>
          <w:lang w:val="fr-FR"/>
        </w:rPr>
        <w:t>)</w:t>
      </w:r>
    </w:p>
    <w:p w:rsidR="00896FBB" w:rsidRDefault="00896FBB" w:rsidP="00D71837">
      <w:pPr>
        <w:widowControl w:val="0"/>
        <w:suppressAutoHyphens/>
        <w:autoSpaceDE w:val="0"/>
        <w:autoSpaceDN w:val="0"/>
        <w:spacing w:after="0" w:line="240" w:lineRule="auto"/>
        <w:jc w:val="both"/>
        <w:textAlignment w:val="baseline"/>
        <w:rPr>
          <w:rFonts w:eastAsia="Times New Roman" w:cs="Times New Roman"/>
          <w:b/>
          <w:shd w:val="clear" w:color="auto" w:fill="FFFF00"/>
          <w:lang w:val="fr-FR"/>
        </w:rPr>
      </w:pPr>
    </w:p>
    <w:p w:rsidR="003B42AE" w:rsidRPr="00254541" w:rsidRDefault="003B42AE" w:rsidP="003B42AE">
      <w:pPr>
        <w:spacing w:after="120"/>
        <w:jc w:val="center"/>
        <w:rPr>
          <w:rFonts w:cs="Arial"/>
        </w:rPr>
      </w:pPr>
      <w:r w:rsidRPr="00254541">
        <w:rPr>
          <w:rFonts w:cs="Arial"/>
        </w:rPr>
        <w:t>ACTION CONCERTÉE 12.1</w:t>
      </w:r>
    </w:p>
    <w:p w:rsidR="003B42AE" w:rsidRPr="00254541" w:rsidRDefault="003B42AE" w:rsidP="003B42AE">
      <w:pPr>
        <w:spacing w:after="0"/>
        <w:rPr>
          <w:rFonts w:cs="Arial"/>
        </w:rPr>
      </w:pPr>
    </w:p>
    <w:p w:rsidR="003B42AE" w:rsidRPr="00254541" w:rsidRDefault="003B42AE" w:rsidP="003B42AE">
      <w:pPr>
        <w:spacing w:after="0"/>
        <w:rPr>
          <w:rFonts w:cs="Arial"/>
        </w:rPr>
      </w:pPr>
    </w:p>
    <w:p w:rsidR="003B42AE" w:rsidRPr="00254541" w:rsidRDefault="003B42AE" w:rsidP="003B42AE">
      <w:pPr>
        <w:pStyle w:val="ListParagraph"/>
        <w:numPr>
          <w:ilvl w:val="0"/>
          <w:numId w:val="8"/>
        </w:numPr>
        <w:spacing w:after="120" w:line="240" w:lineRule="auto"/>
        <w:ind w:left="540" w:hanging="540"/>
        <w:contextualSpacing w:val="0"/>
        <w:rPr>
          <w:rFonts w:cs="Arial"/>
        </w:rPr>
      </w:pPr>
      <w:r w:rsidRPr="00254541">
        <w:rPr>
          <w:rFonts w:cs="Arial"/>
        </w:rPr>
        <w:t xml:space="preserve">L’ACTION CONCERTÉE </w:t>
      </w:r>
    </w:p>
    <w:p w:rsidR="003B42AE" w:rsidRPr="003B42AE" w:rsidRDefault="003B42AE" w:rsidP="003B42AE">
      <w:pPr>
        <w:spacing w:after="120"/>
        <w:ind w:left="567"/>
        <w:rPr>
          <w:rFonts w:cs="Arial"/>
          <w:lang w:val="fr-FR"/>
        </w:rPr>
      </w:pPr>
      <w:r w:rsidRPr="003B42AE">
        <w:rPr>
          <w:rFonts w:cs="Arial"/>
          <w:lang w:val="fr-FR"/>
        </w:rPr>
        <w:t>Titre : Action concertée sur l'anguille d'Europe (</w:t>
      </w:r>
      <w:r w:rsidRPr="003B42AE">
        <w:rPr>
          <w:rFonts w:cs="Arial"/>
          <w:i/>
          <w:lang w:val="fr-FR"/>
        </w:rPr>
        <w:t xml:space="preserve">Anguilla </w:t>
      </w:r>
      <w:proofErr w:type="spellStart"/>
      <w:r w:rsidRPr="003B42AE">
        <w:rPr>
          <w:rFonts w:cs="Arial"/>
          <w:i/>
          <w:lang w:val="fr-FR"/>
        </w:rPr>
        <w:t>anguilla</w:t>
      </w:r>
      <w:proofErr w:type="spellEnd"/>
      <w:r w:rsidRPr="003B42AE">
        <w:rPr>
          <w:rFonts w:cs="Arial"/>
          <w:lang w:val="fr-FR"/>
        </w:rPr>
        <w:t>)</w:t>
      </w:r>
    </w:p>
    <w:p w:rsidR="003B42AE" w:rsidRPr="003B42AE" w:rsidRDefault="003B42AE" w:rsidP="003B42AE">
      <w:pPr>
        <w:spacing w:after="0"/>
        <w:ind w:left="567"/>
        <w:rPr>
          <w:rStyle w:val="Hyperlink"/>
          <w:rFonts w:cs="Arial"/>
          <w:lang w:val="fr-FR"/>
        </w:rPr>
      </w:pPr>
      <w:r w:rsidRPr="003B42AE">
        <w:rPr>
          <w:rFonts w:cs="Arial"/>
          <w:lang w:val="fr-FR"/>
        </w:rPr>
        <w:t>Identification du document :</w:t>
      </w:r>
      <w:r w:rsidRPr="003B42AE">
        <w:rPr>
          <w:rFonts w:cs="Arial"/>
          <w:i/>
          <w:lang w:val="fr-FR"/>
        </w:rPr>
        <w:t xml:space="preserve"> </w:t>
      </w:r>
      <w:hyperlink r:id="rId8" w:history="1">
        <w:r w:rsidRPr="003B42AE">
          <w:rPr>
            <w:rStyle w:val="Hyperlink"/>
            <w:rFonts w:cs="Arial"/>
            <w:lang w:val="fr-FR"/>
          </w:rPr>
          <w:t>UNEP/CMS/ Action concertée 12.1</w:t>
        </w:r>
      </w:hyperlink>
      <w:r w:rsidRPr="003B42AE">
        <w:rPr>
          <w:rFonts w:cs="Arial"/>
          <w:lang w:val="fr-FR"/>
        </w:rPr>
        <w:t xml:space="preserve"> </w:t>
      </w:r>
    </w:p>
    <w:p w:rsidR="003B42AE" w:rsidRPr="003B42AE" w:rsidRDefault="003B42AE" w:rsidP="003B42AE">
      <w:pPr>
        <w:spacing w:after="0"/>
        <w:rPr>
          <w:rFonts w:cs="Arial"/>
          <w:lang w:val="fr-FR"/>
        </w:rPr>
      </w:pPr>
    </w:p>
    <w:p w:rsidR="003B42AE" w:rsidRPr="00254541" w:rsidRDefault="003B42AE" w:rsidP="003B42AE">
      <w:pPr>
        <w:pStyle w:val="ListParagraph"/>
        <w:numPr>
          <w:ilvl w:val="0"/>
          <w:numId w:val="8"/>
        </w:numPr>
        <w:spacing w:after="120" w:line="240" w:lineRule="auto"/>
        <w:ind w:left="540" w:hanging="540"/>
        <w:contextualSpacing w:val="0"/>
        <w:rPr>
          <w:rFonts w:cs="Arial"/>
        </w:rPr>
      </w:pPr>
      <w:r w:rsidRPr="00254541">
        <w:rPr>
          <w:rFonts w:cs="Arial"/>
        </w:rPr>
        <w:t>AUTEUR DE LA PROPOSITION</w:t>
      </w:r>
    </w:p>
    <w:p w:rsidR="003B42AE" w:rsidRPr="003B42AE" w:rsidRDefault="003B42AE" w:rsidP="003B42AE">
      <w:pPr>
        <w:tabs>
          <w:tab w:val="left" w:pos="5040"/>
          <w:tab w:val="left" w:pos="5760"/>
          <w:tab w:val="left" w:pos="6008"/>
          <w:tab w:val="left" w:pos="6480"/>
          <w:tab w:val="left" w:pos="7200"/>
          <w:tab w:val="left" w:pos="7920"/>
          <w:tab w:val="left" w:pos="8640"/>
        </w:tabs>
        <w:spacing w:after="0"/>
        <w:ind w:left="567"/>
        <w:jc w:val="both"/>
        <w:rPr>
          <w:rFonts w:cs="Arial"/>
          <w:lang w:val="fr-FR"/>
        </w:rPr>
      </w:pPr>
      <w:r w:rsidRPr="003B42AE">
        <w:rPr>
          <w:rFonts w:cs="Arial"/>
          <w:lang w:val="fr-FR"/>
        </w:rPr>
        <w:t>Le gouvernement de la Principauté de Monaco en collaboration avec le Secrétariat de la mer des Sargasses (SSC) et le Secrétariat de la CMS.</w:t>
      </w: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lang w:val="fr-FR"/>
        </w:rPr>
      </w:pPr>
    </w:p>
    <w:p w:rsidR="003B42AE" w:rsidRPr="00254541" w:rsidRDefault="003B42AE" w:rsidP="003B42AE">
      <w:pPr>
        <w:pStyle w:val="ListParagraph"/>
        <w:numPr>
          <w:ilvl w:val="0"/>
          <w:numId w:val="8"/>
        </w:numPr>
        <w:spacing w:after="120" w:line="240" w:lineRule="auto"/>
        <w:ind w:left="540" w:hanging="540"/>
        <w:contextualSpacing w:val="0"/>
        <w:rPr>
          <w:rFonts w:cs="Arial"/>
        </w:rPr>
      </w:pPr>
      <w:r w:rsidRPr="00254541">
        <w:rPr>
          <w:rFonts w:cs="Arial"/>
        </w:rPr>
        <w:t>ESPÈCES CIBLES</w:t>
      </w:r>
    </w:p>
    <w:p w:rsidR="003B42AE" w:rsidRPr="00254541" w:rsidRDefault="003B42AE" w:rsidP="003B42AE">
      <w:pPr>
        <w:spacing w:after="0"/>
        <w:ind w:left="567"/>
        <w:rPr>
          <w:rFonts w:cs="Arial"/>
        </w:rPr>
      </w:pPr>
      <w:proofErr w:type="spellStart"/>
      <w:proofErr w:type="gramStart"/>
      <w:r w:rsidRPr="00254541">
        <w:rPr>
          <w:rFonts w:cs="Arial"/>
        </w:rPr>
        <w:t>Classe</w:t>
      </w:r>
      <w:proofErr w:type="spellEnd"/>
      <w:r w:rsidRPr="00254541">
        <w:rPr>
          <w:rFonts w:cs="Arial"/>
        </w:rPr>
        <w:t xml:space="preserve"> :</w:t>
      </w:r>
      <w:proofErr w:type="gramEnd"/>
      <w:r w:rsidRPr="00254541">
        <w:t xml:space="preserve"> </w:t>
      </w:r>
      <w:r w:rsidRPr="00254541">
        <w:tab/>
      </w:r>
      <w:r w:rsidRPr="00254541">
        <w:tab/>
      </w:r>
      <w:r w:rsidRPr="00254541">
        <w:rPr>
          <w:rFonts w:cs="Arial"/>
        </w:rPr>
        <w:t>Actinopterygii</w:t>
      </w:r>
      <w:r w:rsidRPr="00254541">
        <w:t xml:space="preserve"> </w:t>
      </w:r>
    </w:p>
    <w:p w:rsidR="003B42AE" w:rsidRPr="00254541" w:rsidRDefault="003B42AE" w:rsidP="003B42AE">
      <w:pPr>
        <w:spacing w:after="0"/>
        <w:ind w:left="567"/>
        <w:rPr>
          <w:rFonts w:cs="Arial"/>
        </w:rPr>
      </w:pPr>
      <w:proofErr w:type="spellStart"/>
      <w:proofErr w:type="gramStart"/>
      <w:r w:rsidRPr="00254541">
        <w:rPr>
          <w:rFonts w:cs="Arial"/>
        </w:rPr>
        <w:t>Famille</w:t>
      </w:r>
      <w:proofErr w:type="spellEnd"/>
      <w:r w:rsidRPr="00254541">
        <w:rPr>
          <w:rFonts w:cs="Arial"/>
        </w:rPr>
        <w:t xml:space="preserve"> :</w:t>
      </w:r>
      <w:proofErr w:type="gramEnd"/>
      <w:r w:rsidRPr="00254541">
        <w:t xml:space="preserve"> </w:t>
      </w:r>
      <w:r w:rsidRPr="00254541">
        <w:tab/>
      </w:r>
      <w:proofErr w:type="spellStart"/>
      <w:r w:rsidRPr="00254541">
        <w:rPr>
          <w:rFonts w:cs="Arial"/>
        </w:rPr>
        <w:t>Anguillidae</w:t>
      </w:r>
      <w:proofErr w:type="spellEnd"/>
      <w:r w:rsidRPr="00254541">
        <w:t xml:space="preserve"> </w:t>
      </w:r>
    </w:p>
    <w:p w:rsidR="003B42AE" w:rsidRPr="00254541" w:rsidRDefault="003B42AE" w:rsidP="003B42AE">
      <w:pPr>
        <w:spacing w:after="0"/>
        <w:ind w:left="567"/>
        <w:rPr>
          <w:rFonts w:cs="Arial"/>
        </w:rPr>
      </w:pPr>
      <w:proofErr w:type="gramStart"/>
      <w:r w:rsidRPr="00254541">
        <w:rPr>
          <w:rFonts w:cs="Arial"/>
        </w:rPr>
        <w:t>Ordre :</w:t>
      </w:r>
      <w:proofErr w:type="gramEnd"/>
      <w:r w:rsidRPr="00254541">
        <w:t xml:space="preserve"> </w:t>
      </w:r>
      <w:r w:rsidRPr="00254541">
        <w:tab/>
      </w:r>
      <w:r w:rsidRPr="00254541">
        <w:tab/>
      </w:r>
      <w:r w:rsidRPr="00254541">
        <w:rPr>
          <w:rFonts w:cs="Arial"/>
        </w:rPr>
        <w:t>Anguilliformes</w:t>
      </w:r>
      <w:r w:rsidRPr="00254541">
        <w:t xml:space="preserve"> </w:t>
      </w:r>
    </w:p>
    <w:p w:rsidR="003B42AE" w:rsidRPr="00254541" w:rsidRDefault="003B42AE" w:rsidP="003B42AE">
      <w:pPr>
        <w:spacing w:after="0"/>
        <w:ind w:left="567"/>
        <w:rPr>
          <w:rFonts w:cs="Arial"/>
        </w:rPr>
      </w:pPr>
      <w:proofErr w:type="spellStart"/>
      <w:proofErr w:type="gramStart"/>
      <w:r w:rsidRPr="00254541">
        <w:rPr>
          <w:rFonts w:cs="Arial"/>
        </w:rPr>
        <w:t>Espèce</w:t>
      </w:r>
      <w:proofErr w:type="spellEnd"/>
      <w:r w:rsidRPr="00254541">
        <w:rPr>
          <w:rFonts w:cs="Arial"/>
        </w:rPr>
        <w:t xml:space="preserve"> :</w:t>
      </w:r>
      <w:proofErr w:type="gramEnd"/>
      <w:r w:rsidRPr="00254541">
        <w:t xml:space="preserve"> </w:t>
      </w:r>
      <w:r w:rsidRPr="00254541">
        <w:tab/>
      </w:r>
      <w:r w:rsidRPr="00254541">
        <w:rPr>
          <w:rFonts w:cs="Arial"/>
          <w:i/>
        </w:rPr>
        <w:t xml:space="preserve">Anguilla </w:t>
      </w:r>
      <w:proofErr w:type="spellStart"/>
      <w:r w:rsidRPr="00254541">
        <w:rPr>
          <w:rFonts w:cs="Arial"/>
          <w:i/>
        </w:rPr>
        <w:t>anguilla</w:t>
      </w:r>
      <w:proofErr w:type="spellEnd"/>
      <w:r w:rsidRPr="00254541">
        <w:t xml:space="preserve"> </w:t>
      </w:r>
    </w:p>
    <w:p w:rsidR="003B42AE" w:rsidRPr="00254541" w:rsidRDefault="003B42AE" w:rsidP="003B42AE">
      <w:pPr>
        <w:tabs>
          <w:tab w:val="left" w:pos="5040"/>
          <w:tab w:val="left" w:pos="5760"/>
          <w:tab w:val="left" w:pos="6008"/>
          <w:tab w:val="left" w:pos="6480"/>
          <w:tab w:val="left" w:pos="7200"/>
          <w:tab w:val="left" w:pos="7920"/>
          <w:tab w:val="left" w:pos="8640"/>
        </w:tabs>
        <w:spacing w:after="0"/>
        <w:rPr>
          <w:rFonts w:cs="Arial"/>
        </w:rPr>
      </w:pPr>
    </w:p>
    <w:p w:rsidR="003B42AE" w:rsidRPr="00254541" w:rsidRDefault="003B42AE" w:rsidP="003B42AE">
      <w:pPr>
        <w:pStyle w:val="ListParagraph"/>
        <w:numPr>
          <w:ilvl w:val="0"/>
          <w:numId w:val="8"/>
        </w:numPr>
        <w:spacing w:after="120" w:line="240" w:lineRule="auto"/>
        <w:ind w:left="540" w:hanging="540"/>
        <w:contextualSpacing w:val="0"/>
        <w:rPr>
          <w:rFonts w:cs="Arial"/>
        </w:rPr>
      </w:pPr>
      <w:r w:rsidRPr="00254541">
        <w:rPr>
          <w:rFonts w:cs="Arial"/>
        </w:rPr>
        <w:t xml:space="preserve"> PROGRÈS RÉALISÉS DANS LES ACTIVITÉS </w:t>
      </w:r>
    </w:p>
    <w:p w:rsidR="003B42AE" w:rsidRPr="003B42AE" w:rsidRDefault="003B42AE" w:rsidP="003B42AE">
      <w:pPr>
        <w:tabs>
          <w:tab w:val="left" w:pos="5040"/>
          <w:tab w:val="left" w:pos="5760"/>
          <w:tab w:val="left" w:pos="6008"/>
          <w:tab w:val="left" w:pos="6480"/>
          <w:tab w:val="left" w:pos="7200"/>
          <w:tab w:val="left" w:pos="7920"/>
          <w:tab w:val="left" w:pos="8640"/>
        </w:tabs>
        <w:spacing w:after="0"/>
        <w:ind w:left="567"/>
        <w:jc w:val="both"/>
        <w:rPr>
          <w:rFonts w:cs="Arial"/>
          <w:lang w:val="fr-FR"/>
        </w:rPr>
      </w:pPr>
      <w:r w:rsidRPr="003B42AE">
        <w:rPr>
          <w:rFonts w:cs="Arial"/>
          <w:lang w:val="fr-FR"/>
        </w:rPr>
        <w:t>L’activité principale de l’action concertée et du premier atelier consistait à convoquer une deuxième réunion sur la politique à suivre par les États de l’aire de répartition</w:t>
      </w:r>
      <w:r w:rsidRPr="003B42AE">
        <w:rPr>
          <w:rFonts w:cs="Arial"/>
          <w:b/>
          <w:lang w:val="fr-FR"/>
        </w:rPr>
        <w:t xml:space="preserve">. </w:t>
      </w:r>
      <w:r w:rsidRPr="003B42AE">
        <w:rPr>
          <w:rFonts w:cs="Arial"/>
          <w:lang w:val="fr-FR"/>
        </w:rPr>
        <w:t xml:space="preserve"> L'objectif de la réunion était d'explorer toutes les options pouvant renforcer les efforts de conservation de l'anguille d'Europe. La réunion s'est concentrée sur l'exploration des synergies entre les instruments existants, la consolidation du rôle de la CMS et des mécanismes de mise en œuvre associés, dans les efforts de conservation en cours.</w:t>
      </w: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lang w:val="fr-FR"/>
        </w:rPr>
      </w:pP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u w:val="single"/>
          <w:lang w:val="fr-FR"/>
        </w:rPr>
      </w:pPr>
      <w:r w:rsidRPr="003B42AE">
        <w:rPr>
          <w:rFonts w:cs="Arial"/>
          <w:u w:val="single"/>
          <w:lang w:val="fr-FR"/>
        </w:rPr>
        <w:t>Deuxième réunion des États de l'aire de répartition, 2018</w:t>
      </w: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lang w:val="fr-FR"/>
        </w:rPr>
      </w:pP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lang w:val="fr-FR"/>
        </w:rPr>
      </w:pPr>
      <w:r w:rsidRPr="003B42AE">
        <w:rPr>
          <w:rFonts w:cs="Arial"/>
          <w:lang w:val="fr-FR"/>
        </w:rPr>
        <w:t xml:space="preserve">La deuxième réunion des États de l'aire de répartition pour l'anguille d'Europe s'est tenue à Malmö (Suède) les 15 et 16 mai 2018. La réunion a examiné des informations sur les activités liées à l'évaluation, la conservation et la gestion de l'anguille d'Europe à l'intérieur et à l'extérieur de l'UE.  Après plusieurs présentations d'experts, de représentants de pays, d'organisations intergouvernementales et d'organisations non gouvernementales impliquées dans la conservation de l'anguille, les délégués ont identifié certaines lacunes et opportunités, ainsi que des avantages dans le renforcement de la coopération internationale pour la conservation de l'anguille d'Europe. </w:t>
      </w: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lang w:val="fr-FR"/>
        </w:rPr>
      </w:pP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lang w:val="fr-FR"/>
        </w:rPr>
      </w:pPr>
      <w:r w:rsidRPr="003B42AE">
        <w:rPr>
          <w:rFonts w:cs="Arial"/>
          <w:lang w:val="fr-FR"/>
        </w:rPr>
        <w:t xml:space="preserve">L'enquête auprès des États de l'aire de répartition a été entreprise pour identifier les lacunes dans la conservation et la gestion de l'espèce. Elle permet de fournir une base de préparation pour les discussions de la deuxième réunion. Les résultats de cette enquête figurent dans le </w:t>
      </w:r>
      <w:hyperlink r:id="rId9" w:history="1">
        <w:r w:rsidRPr="003B42AE">
          <w:rPr>
            <w:rStyle w:val="Hyperlink"/>
            <w:rFonts w:cs="Arial"/>
            <w:lang w:val="fr-FR"/>
          </w:rPr>
          <w:t>rapport de la réunion</w:t>
        </w:r>
      </w:hyperlink>
      <w:r w:rsidRPr="003B42AE">
        <w:rPr>
          <w:rFonts w:cs="Arial"/>
          <w:lang w:val="fr-FR"/>
        </w:rPr>
        <w:t xml:space="preserve">.  </w:t>
      </w: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lang w:val="fr-FR"/>
        </w:rPr>
      </w:pP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lang w:val="fr-FR"/>
        </w:rPr>
      </w:pPr>
      <w:r w:rsidRPr="003B42AE">
        <w:rPr>
          <w:rFonts w:cs="Arial"/>
          <w:lang w:val="fr-FR"/>
        </w:rPr>
        <w:t xml:space="preserve">Des actions complémentaires à la décision de la COP17 de la CITES de 2016 et à la résolution de 2016 du Conseil mondial de la nature de l'UICN concernant les anguillidés ont été identifiées. </w:t>
      </w: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lang w:val="fr-FR"/>
        </w:rPr>
      </w:pP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lang w:val="fr-FR"/>
        </w:rPr>
      </w:pPr>
      <w:r w:rsidRPr="003B42AE">
        <w:rPr>
          <w:rFonts w:cs="Arial"/>
          <w:lang w:val="fr-FR"/>
        </w:rPr>
        <w:t xml:space="preserve">Enfin, la réunion a réuni des parties prenantes n'appartenant pas aux États de l'aire de répartition, notamment la Commission générale des pêches pour la Méditerranée (CGPM). </w:t>
      </w: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lang w:val="fr-FR"/>
        </w:rPr>
      </w:pP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lang w:val="fr-FR"/>
        </w:rPr>
      </w:pPr>
      <w:r w:rsidRPr="003B42AE">
        <w:rPr>
          <w:rFonts w:cs="Arial"/>
          <w:lang w:val="fr-FR"/>
        </w:rPr>
        <w:t xml:space="preserve">La réunion a souligné la nécessité de prendre en compte toutes les menaces pesant sur les anguilles tout au long de leur cycle de vie et dans leur aire de répartition, y compris en haute mer. Le groupe a identifié plusieurs axes susceptibles d'apporter une valeur ajoutée et de compléter les efforts en cours, et a reconnu la nécessité d'inclure tous les États de l'aire de répartition et les pays importateurs. </w:t>
      </w: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lang w:val="fr-FR"/>
        </w:rPr>
      </w:pP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lang w:val="fr-FR"/>
        </w:rPr>
      </w:pPr>
      <w:r w:rsidRPr="003B42AE">
        <w:rPr>
          <w:rFonts w:cs="Arial"/>
          <w:lang w:val="fr-FR"/>
        </w:rPr>
        <w:t xml:space="preserve">La réunion a conclu que : </w:t>
      </w: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lang w:val="fr-FR"/>
        </w:rPr>
      </w:pP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i/>
          <w:sz w:val="20"/>
          <w:lang w:val="fr-FR"/>
        </w:rPr>
      </w:pPr>
      <w:r w:rsidRPr="003B42AE">
        <w:rPr>
          <w:rFonts w:cs="Arial"/>
          <w:i/>
          <w:sz w:val="20"/>
          <w:lang w:val="fr-FR"/>
        </w:rPr>
        <w:t>« La coopération internationale peut permettre de remédier aux lacunes et aux problèmes en matière de conservation de l'anguille d'Europe. Dans ce contexte, la CMS, en tant que mécanisme mondial, peut résoudre bon nombre de ces problèmes. Sur la base des modalités ci-dessus, la CMS pourrait entamer des consultations sur la mise en place d'un tel mécanisme pour une conservation plus coordonnée et plus complète de l'anguille d'Europe. Un processus de négociation visant à renforcer la coopération internationale devrait prendre en compte les révisions en cours des politiques sur l'anguille d'Europe, y compris celles en cours dans l'UE, la CGPM, la CITES, l'UICN et le CIEM. Il convient également de prendre en compte la nécessité de renforcer l'action dans les meilleurs délais compte tenu du statut de conservation de l'espèce en danger de disparition. »</w:t>
      </w:r>
      <w:r w:rsidRPr="00254541">
        <w:rPr>
          <w:rFonts w:cs="Arial"/>
          <w:i/>
          <w:sz w:val="20"/>
        </w:rPr>
        <w:footnoteReference w:id="1"/>
      </w: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lang w:val="fr-FR"/>
        </w:rPr>
      </w:pP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u w:val="single"/>
          <w:lang w:val="fr-FR"/>
        </w:rPr>
      </w:pPr>
      <w:r w:rsidRPr="003B42AE">
        <w:rPr>
          <w:rFonts w:cs="Arial"/>
          <w:u w:val="single"/>
          <w:lang w:val="fr-FR"/>
        </w:rPr>
        <w:t>Troisième réunion des États de l'aire de répartition, 2019</w:t>
      </w: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lang w:val="fr-FR"/>
        </w:rPr>
      </w:pP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lang w:val="fr-FR"/>
        </w:rPr>
      </w:pPr>
      <w:r w:rsidRPr="003B42AE">
        <w:rPr>
          <w:rFonts w:cs="Arial"/>
          <w:lang w:val="fr-FR"/>
        </w:rPr>
        <w:t xml:space="preserve">Une troisième réunion des États de l'aire de répartition s'est tenue à Malmö (Suède) en juin 2019. Il a été conclu qu’il serait prématuré d’examiner un projet d’accord juridique pour </w:t>
      </w:r>
      <w:r w:rsidRPr="003B42AE">
        <w:rPr>
          <w:rFonts w:cs="Arial"/>
          <w:i/>
          <w:lang w:val="fr-FR"/>
        </w:rPr>
        <w:t xml:space="preserve">Anguilla </w:t>
      </w:r>
      <w:proofErr w:type="spellStart"/>
      <w:r w:rsidRPr="003B42AE">
        <w:rPr>
          <w:rFonts w:cs="Arial"/>
          <w:i/>
          <w:lang w:val="fr-FR"/>
        </w:rPr>
        <w:t>anguilla</w:t>
      </w:r>
      <w:proofErr w:type="spellEnd"/>
      <w:r w:rsidRPr="003B42AE">
        <w:rPr>
          <w:rFonts w:cs="Arial"/>
          <w:lang w:val="fr-FR"/>
        </w:rPr>
        <w:t>. Un plan d’action par espèce est envisagé comme une alternative possible.  Il a été décidé que, pour permettre un examen et une consultation appropriés, un projet de document serait soumis à la COP13 de la CMS pour adoption.</w:t>
      </w: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lang w:val="fr-FR"/>
        </w:rPr>
      </w:pP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lang w:val="fr-FR"/>
        </w:rPr>
      </w:pPr>
      <w:r w:rsidRPr="003B42AE">
        <w:rPr>
          <w:rFonts w:cs="Arial"/>
          <w:lang w:val="fr-FR"/>
        </w:rPr>
        <w:t xml:space="preserve">Voir l’annexe pour un résumé des activités entreprises.  </w:t>
      </w:r>
    </w:p>
    <w:p w:rsidR="003B42AE" w:rsidRPr="003B42AE" w:rsidRDefault="003B42AE" w:rsidP="003B42AE">
      <w:pPr>
        <w:spacing w:after="0"/>
        <w:rPr>
          <w:rFonts w:cs="Arial"/>
          <w:lang w:val="fr-FR"/>
        </w:rPr>
      </w:pPr>
    </w:p>
    <w:p w:rsidR="003B42AE" w:rsidRPr="003B42AE" w:rsidRDefault="003B42AE" w:rsidP="003B42AE">
      <w:pPr>
        <w:pStyle w:val="ListParagraph"/>
        <w:numPr>
          <w:ilvl w:val="0"/>
          <w:numId w:val="8"/>
        </w:numPr>
        <w:spacing w:after="120" w:line="240" w:lineRule="auto"/>
        <w:ind w:left="540" w:hanging="540"/>
        <w:contextualSpacing w:val="0"/>
        <w:rPr>
          <w:rFonts w:cs="Arial"/>
          <w:lang w:val="fr-FR"/>
        </w:rPr>
      </w:pPr>
      <w:r w:rsidRPr="003B42AE">
        <w:rPr>
          <w:rFonts w:cs="Arial"/>
          <w:lang w:val="fr-FR"/>
        </w:rPr>
        <w:t>MODIFICATIONS APPORTÉES À LA VERSION INITIALE DE L’ACTION CONCERTÉE (LE CAS ÉCHÉANT)</w:t>
      </w: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lang w:val="fr-FR"/>
        </w:rPr>
      </w:pPr>
      <w:r w:rsidRPr="003B42AE">
        <w:rPr>
          <w:rFonts w:cs="Arial"/>
          <w:lang w:val="fr-FR"/>
        </w:rPr>
        <w:t>L'action concertée d'origine n'a pas été modifiée et elle a été complétée. Pour les actions futures, voir le document de travail UNEP / CMS / Doc.26.2.9.</w:t>
      </w:r>
    </w:p>
    <w:p w:rsidR="003B42AE" w:rsidRPr="003B42AE" w:rsidRDefault="003B42AE" w:rsidP="003B42AE">
      <w:pPr>
        <w:spacing w:after="0"/>
        <w:rPr>
          <w:rFonts w:cs="Arial"/>
          <w:lang w:val="fr-FR"/>
        </w:rPr>
      </w:pPr>
    </w:p>
    <w:p w:rsidR="003B42AE" w:rsidRPr="00254541" w:rsidRDefault="003B42AE" w:rsidP="003B42AE">
      <w:pPr>
        <w:pStyle w:val="ListParagraph"/>
        <w:numPr>
          <w:ilvl w:val="0"/>
          <w:numId w:val="8"/>
        </w:numPr>
        <w:spacing w:after="120" w:line="240" w:lineRule="auto"/>
        <w:ind w:left="540" w:hanging="540"/>
        <w:contextualSpacing w:val="0"/>
        <w:rPr>
          <w:rFonts w:cs="Arial"/>
        </w:rPr>
      </w:pPr>
      <w:r w:rsidRPr="00254541">
        <w:rPr>
          <w:rFonts w:cs="Arial"/>
        </w:rPr>
        <w:t xml:space="preserve">RÉFÉRENCES </w:t>
      </w: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lang w:val="fr-FR"/>
        </w:rPr>
      </w:pPr>
      <w:r w:rsidRPr="003B42AE">
        <w:rPr>
          <w:rFonts w:cs="Arial"/>
          <w:lang w:val="fr-FR"/>
        </w:rPr>
        <w:t>1</w:t>
      </w:r>
      <w:r w:rsidRPr="003B42AE">
        <w:rPr>
          <w:rFonts w:cs="Arial"/>
          <w:vertAlign w:val="superscript"/>
          <w:lang w:val="fr-FR"/>
        </w:rPr>
        <w:t>er</w:t>
      </w:r>
      <w:r w:rsidRPr="003B42AE">
        <w:rPr>
          <w:rFonts w:cs="Arial"/>
          <w:lang w:val="fr-FR"/>
        </w:rPr>
        <w:t xml:space="preserve"> atelier des États de l'aire de répartition sur l'anguille d'Europe </w:t>
      </w: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lang w:val="fr-FR"/>
        </w:rPr>
      </w:pPr>
      <w:hyperlink r:id="rId10" w:history="1">
        <w:r w:rsidRPr="003B42AE">
          <w:rPr>
            <w:rStyle w:val="Hyperlink"/>
            <w:rFonts w:cs="Arial"/>
            <w:lang w:val="fr-FR"/>
          </w:rPr>
          <w:t>UNEP/CMS/</w:t>
        </w:r>
        <w:proofErr w:type="spellStart"/>
        <w:r w:rsidRPr="003B42AE">
          <w:rPr>
            <w:rStyle w:val="Hyperlink"/>
            <w:rFonts w:cs="Arial"/>
            <w:lang w:val="fr-FR"/>
          </w:rPr>
          <w:t>Eels</w:t>
        </w:r>
        <w:proofErr w:type="spellEnd"/>
        <w:r w:rsidRPr="003B42AE">
          <w:rPr>
            <w:rStyle w:val="Hyperlink"/>
            <w:rFonts w:cs="Arial"/>
            <w:lang w:val="fr-FR"/>
          </w:rPr>
          <w:t xml:space="preserve"> WS1/Rapport</w:t>
        </w:r>
      </w:hyperlink>
      <w:r w:rsidRPr="003B42AE">
        <w:rPr>
          <w:rStyle w:val="Hyperlink"/>
          <w:rFonts w:cs="Arial"/>
          <w:lang w:val="fr-FR"/>
        </w:rPr>
        <w:t xml:space="preserve">  </w:t>
      </w: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lang w:val="fr-FR"/>
        </w:rPr>
      </w:pP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lang w:val="fr-FR"/>
        </w:rPr>
      </w:pPr>
      <w:r w:rsidRPr="003B42AE">
        <w:rPr>
          <w:rFonts w:cs="Arial"/>
          <w:lang w:val="fr-FR"/>
        </w:rPr>
        <w:t>Inclusion de l'anguille d'Europe dans l'Annexe II de la CMS : Proposition et adoption à la COP11 de la CMS</w:t>
      </w:r>
    </w:p>
    <w:p w:rsidR="003B42AE" w:rsidRPr="00254541" w:rsidRDefault="003B42AE" w:rsidP="003B42AE">
      <w:pPr>
        <w:tabs>
          <w:tab w:val="left" w:pos="5040"/>
          <w:tab w:val="left" w:pos="5760"/>
          <w:tab w:val="left" w:pos="6008"/>
          <w:tab w:val="left" w:pos="6480"/>
          <w:tab w:val="left" w:pos="7200"/>
          <w:tab w:val="left" w:pos="7920"/>
          <w:tab w:val="left" w:pos="8640"/>
        </w:tabs>
        <w:spacing w:after="0"/>
        <w:jc w:val="both"/>
        <w:rPr>
          <w:rFonts w:cs="Arial"/>
        </w:rPr>
      </w:pPr>
      <w:hyperlink r:id="rId11" w:history="1">
        <w:r w:rsidRPr="00254541">
          <w:rPr>
            <w:rStyle w:val="Hyperlink"/>
            <w:rFonts w:cs="Arial"/>
          </w:rPr>
          <w:t>UNEP/CMS/Eels WS1/Doc.5</w:t>
        </w:r>
      </w:hyperlink>
    </w:p>
    <w:p w:rsidR="003B42AE" w:rsidRPr="00254541" w:rsidRDefault="003B42AE" w:rsidP="003B42AE">
      <w:pPr>
        <w:tabs>
          <w:tab w:val="left" w:pos="5040"/>
          <w:tab w:val="left" w:pos="5760"/>
          <w:tab w:val="left" w:pos="6008"/>
          <w:tab w:val="left" w:pos="6480"/>
          <w:tab w:val="left" w:pos="7200"/>
          <w:tab w:val="left" w:pos="7920"/>
          <w:tab w:val="left" w:pos="8640"/>
        </w:tabs>
        <w:spacing w:after="0"/>
        <w:jc w:val="both"/>
        <w:rPr>
          <w:rFonts w:cs="Arial"/>
          <w:b/>
        </w:rPr>
      </w:pP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lang w:val="fr-FR"/>
        </w:rPr>
      </w:pPr>
      <w:r w:rsidRPr="003B42AE">
        <w:rPr>
          <w:rFonts w:cs="Arial"/>
          <w:lang w:val="fr-FR"/>
        </w:rPr>
        <w:t>2</w:t>
      </w:r>
      <w:r w:rsidRPr="003B42AE">
        <w:rPr>
          <w:rFonts w:cs="Arial"/>
          <w:vertAlign w:val="superscript"/>
          <w:lang w:val="fr-FR"/>
        </w:rPr>
        <w:t>ème</w:t>
      </w:r>
      <w:r w:rsidRPr="003B42AE">
        <w:rPr>
          <w:rFonts w:cs="Arial"/>
          <w:lang w:val="fr-FR"/>
        </w:rPr>
        <w:t xml:space="preserve"> réunion des États de l'aire de répartition pour l'anguille d'Europe </w:t>
      </w: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lang w:val="fr-FR"/>
        </w:rPr>
      </w:pPr>
      <w:hyperlink r:id="rId12" w:history="1">
        <w:r w:rsidRPr="003B42AE">
          <w:rPr>
            <w:rStyle w:val="Hyperlink"/>
            <w:rFonts w:cs="Arial"/>
            <w:lang w:val="fr-FR"/>
          </w:rPr>
          <w:t>UNEP/CMS/Eels2/Rapport</w:t>
        </w:r>
      </w:hyperlink>
    </w:p>
    <w:p w:rsidR="003B42AE" w:rsidRPr="003B42AE" w:rsidRDefault="003B42AE" w:rsidP="003B42AE">
      <w:pPr>
        <w:tabs>
          <w:tab w:val="left" w:pos="5040"/>
          <w:tab w:val="left" w:pos="5760"/>
          <w:tab w:val="left" w:pos="6008"/>
          <w:tab w:val="left" w:pos="6480"/>
          <w:tab w:val="left" w:pos="7200"/>
          <w:tab w:val="left" w:pos="7920"/>
          <w:tab w:val="left" w:pos="8640"/>
        </w:tabs>
        <w:spacing w:after="0"/>
        <w:ind w:left="720"/>
        <w:jc w:val="both"/>
        <w:rPr>
          <w:rFonts w:cs="Arial"/>
          <w:lang w:val="fr-FR"/>
        </w:rPr>
      </w:pP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lang w:val="fr-FR"/>
        </w:rPr>
      </w:pPr>
      <w:r w:rsidRPr="003B42AE">
        <w:rPr>
          <w:rFonts w:cs="Arial"/>
          <w:lang w:val="fr-FR"/>
        </w:rPr>
        <w:t>Résultats de la deuxième réunion des États de l'aire de répartition pour l'anguille d'Europe (Eels2)</w:t>
      </w: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Style w:val="Hyperlink"/>
          <w:rFonts w:cs="Arial"/>
          <w:lang w:val="fr-FR"/>
        </w:rPr>
      </w:pPr>
      <w:hyperlink r:id="rId13" w:history="1">
        <w:r w:rsidRPr="003B42AE">
          <w:rPr>
            <w:rStyle w:val="Hyperlink"/>
            <w:rFonts w:cs="Arial"/>
            <w:lang w:val="fr-FR"/>
          </w:rPr>
          <w:t>UNEP/CMS/Eels2/Résultat</w:t>
        </w:r>
      </w:hyperlink>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lang w:val="fr-FR"/>
        </w:rPr>
      </w:pP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lang w:val="fr-FR"/>
        </w:rPr>
      </w:pPr>
      <w:r w:rsidRPr="003B42AE">
        <w:rPr>
          <w:lang w:val="fr-FR"/>
        </w:rPr>
        <w:t>3</w:t>
      </w:r>
      <w:r w:rsidRPr="003B42AE">
        <w:rPr>
          <w:vertAlign w:val="superscript"/>
          <w:lang w:val="fr-FR"/>
        </w:rPr>
        <w:t>ème</w:t>
      </w:r>
      <w:r w:rsidRPr="003B42AE">
        <w:rPr>
          <w:lang w:val="fr-FR"/>
        </w:rPr>
        <w:t xml:space="preserve"> réunion des États de l'aire de répartition pour l'anguille d'Europe </w:t>
      </w:r>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Style w:val="Hyperlink"/>
          <w:rFonts w:cs="Arial"/>
          <w:lang w:val="fr-FR"/>
        </w:rPr>
      </w:pPr>
      <w:hyperlink r:id="rId14" w:history="1">
        <w:r w:rsidRPr="003B42AE">
          <w:rPr>
            <w:rStyle w:val="Hyperlink"/>
            <w:rFonts w:cs="Arial"/>
            <w:lang w:val="fr-FR"/>
          </w:rPr>
          <w:t>UNEP/CMS/Eels3/Rapport</w:t>
        </w:r>
      </w:hyperlink>
    </w:p>
    <w:p w:rsidR="003B42AE" w:rsidRPr="003B42AE" w:rsidRDefault="003B42AE" w:rsidP="003B42AE">
      <w:pPr>
        <w:tabs>
          <w:tab w:val="left" w:pos="5040"/>
          <w:tab w:val="left" w:pos="5760"/>
          <w:tab w:val="left" w:pos="6008"/>
          <w:tab w:val="left" w:pos="6480"/>
          <w:tab w:val="left" w:pos="7200"/>
          <w:tab w:val="left" w:pos="7920"/>
          <w:tab w:val="left" w:pos="8640"/>
        </w:tabs>
        <w:spacing w:after="0"/>
        <w:jc w:val="both"/>
        <w:rPr>
          <w:rFonts w:cs="Arial"/>
          <w:lang w:val="fr-FR"/>
        </w:rPr>
      </w:pPr>
    </w:p>
    <w:p w:rsidR="003B42AE" w:rsidRPr="003B42AE" w:rsidRDefault="003B42AE" w:rsidP="003B42AE">
      <w:pPr>
        <w:spacing w:after="0"/>
        <w:rPr>
          <w:rFonts w:cs="Arial"/>
          <w:lang w:val="fr-FR"/>
        </w:rPr>
      </w:pPr>
      <w:r w:rsidRPr="003B42AE">
        <w:rPr>
          <w:rFonts w:cs="Arial"/>
          <w:lang w:val="fr-FR"/>
        </w:rPr>
        <w:t>Projet d'accord juridique annoté pour la conservation et la gestion de l'anguille d'Europe (</w:t>
      </w:r>
      <w:r w:rsidRPr="003B42AE">
        <w:rPr>
          <w:rFonts w:cs="Arial"/>
          <w:i/>
          <w:lang w:val="fr-FR"/>
        </w:rPr>
        <w:t xml:space="preserve">Anguilla </w:t>
      </w:r>
      <w:proofErr w:type="spellStart"/>
      <w:r w:rsidRPr="003B42AE">
        <w:rPr>
          <w:rFonts w:cs="Arial"/>
          <w:i/>
          <w:lang w:val="fr-FR"/>
        </w:rPr>
        <w:t>anguilla</w:t>
      </w:r>
      <w:proofErr w:type="spellEnd"/>
      <w:r w:rsidRPr="003B42AE">
        <w:rPr>
          <w:rFonts w:cs="Arial"/>
          <w:lang w:val="fr-FR"/>
        </w:rPr>
        <w:t>)</w:t>
      </w:r>
    </w:p>
    <w:p w:rsidR="003B42AE" w:rsidRPr="00254541" w:rsidRDefault="003B42AE" w:rsidP="003B42AE">
      <w:pPr>
        <w:spacing w:after="0"/>
        <w:rPr>
          <w:rFonts w:cs="Arial"/>
        </w:rPr>
      </w:pPr>
      <w:hyperlink r:id="rId15" w:history="1">
        <w:r w:rsidRPr="00254541">
          <w:rPr>
            <w:rStyle w:val="Hyperlink"/>
            <w:rFonts w:cs="Arial"/>
          </w:rPr>
          <w:t>UNEP/CMS/Eels3/Doc.2</w:t>
        </w:r>
      </w:hyperlink>
      <w:r w:rsidRPr="00254541">
        <w:rPr>
          <w:rFonts w:cs="Arial"/>
        </w:rPr>
        <w:tab/>
      </w:r>
    </w:p>
    <w:p w:rsidR="003B42AE" w:rsidRPr="00254541" w:rsidRDefault="003B42AE" w:rsidP="003B42AE">
      <w:pPr>
        <w:spacing w:after="0"/>
        <w:rPr>
          <w:rFonts w:cs="Arial"/>
        </w:rPr>
      </w:pPr>
    </w:p>
    <w:p w:rsidR="003B42AE" w:rsidRPr="00254541" w:rsidRDefault="003B42AE" w:rsidP="003B42AE">
      <w:pPr>
        <w:pStyle w:val="ListParagraph"/>
        <w:numPr>
          <w:ilvl w:val="0"/>
          <w:numId w:val="8"/>
        </w:numPr>
        <w:spacing w:after="120" w:line="240" w:lineRule="auto"/>
        <w:ind w:left="706" w:hanging="706"/>
        <w:contextualSpacing w:val="0"/>
        <w:rPr>
          <w:rFonts w:cs="Arial"/>
        </w:rPr>
      </w:pPr>
      <w:r w:rsidRPr="00254541">
        <w:rPr>
          <w:rFonts w:cs="Arial"/>
        </w:rPr>
        <w:t>ACTION</w:t>
      </w:r>
    </w:p>
    <w:p w:rsidR="003B42AE" w:rsidRDefault="003B42AE" w:rsidP="003B42AE">
      <w:pPr>
        <w:widowControl w:val="0"/>
        <w:suppressAutoHyphens/>
        <w:autoSpaceDE w:val="0"/>
        <w:autoSpaceDN w:val="0"/>
        <w:spacing w:after="0" w:line="240" w:lineRule="auto"/>
        <w:jc w:val="both"/>
        <w:textAlignment w:val="baseline"/>
      </w:pPr>
      <w:r w:rsidRPr="003B42AE">
        <w:rPr>
          <w:lang w:val="fr-FR"/>
        </w:rPr>
        <w:t>L'action concertée sur l'anguille d'Europe (</w:t>
      </w:r>
      <w:r w:rsidRPr="003B42AE">
        <w:rPr>
          <w:i/>
          <w:lang w:val="fr-FR"/>
        </w:rPr>
        <w:t xml:space="preserve">Anguilla </w:t>
      </w:r>
      <w:proofErr w:type="spellStart"/>
      <w:r w:rsidRPr="003B42AE">
        <w:rPr>
          <w:i/>
          <w:lang w:val="fr-FR"/>
        </w:rPr>
        <w:t>anguilla</w:t>
      </w:r>
      <w:proofErr w:type="spellEnd"/>
      <w:r w:rsidRPr="003B42AE">
        <w:rPr>
          <w:lang w:val="fr-FR"/>
        </w:rPr>
        <w:t xml:space="preserve">) est terminée. Lors de la troisième réunion des États de l'aire de répartition, tenue à Malmö (Suède) en juin 2019, les États de l'aire de répartition souhaitaient examiner un document de la COP (voir UNEP / CMS / COP13 / Doc.26.2.9).  Ce document propose une voie à suivre et sera examiné pour adoption à la COP13 de la CMS en février. </w:t>
      </w:r>
      <w:r w:rsidRPr="00254541">
        <w:t>2020</w:t>
      </w:r>
      <w:r>
        <w:t>.</w:t>
      </w:r>
    </w:p>
    <w:p w:rsidR="003B42AE" w:rsidRDefault="003B42AE" w:rsidP="003B42AE">
      <w:pPr>
        <w:widowControl w:val="0"/>
        <w:suppressAutoHyphens/>
        <w:autoSpaceDE w:val="0"/>
        <w:autoSpaceDN w:val="0"/>
        <w:spacing w:after="0" w:line="240" w:lineRule="auto"/>
        <w:jc w:val="both"/>
        <w:textAlignment w:val="baseline"/>
      </w:pPr>
    </w:p>
    <w:p w:rsidR="003B42AE" w:rsidRDefault="003B42AE" w:rsidP="003B42AE">
      <w:pPr>
        <w:widowControl w:val="0"/>
        <w:suppressAutoHyphens/>
        <w:autoSpaceDE w:val="0"/>
        <w:autoSpaceDN w:val="0"/>
        <w:spacing w:after="0" w:line="240" w:lineRule="auto"/>
        <w:jc w:val="both"/>
        <w:textAlignment w:val="baseline"/>
        <w:rPr>
          <w:rFonts w:eastAsia="Times New Roman" w:cs="Times New Roman"/>
          <w:b/>
          <w:shd w:val="clear" w:color="auto" w:fill="FFFF00"/>
          <w:lang w:val="fr-FR"/>
        </w:rPr>
        <w:sectPr w:rsidR="003B42AE" w:rsidSect="00D71837">
          <w:headerReference w:type="even" r:id="rId16"/>
          <w:headerReference w:type="default" r:id="rId17"/>
          <w:footerReference w:type="even" r:id="rId18"/>
          <w:footerReference w:type="default" r:id="rId19"/>
          <w:headerReference w:type="first" r:id="rId20"/>
          <w:pgSz w:w="11906" w:h="16838" w:code="9"/>
          <w:pgMar w:top="1134" w:right="1134" w:bottom="1134" w:left="1134" w:header="720" w:footer="720" w:gutter="0"/>
          <w:cols w:space="720"/>
          <w:titlePg/>
          <w:docGrid w:linePitch="360"/>
        </w:sectPr>
      </w:pPr>
    </w:p>
    <w:p w:rsidR="003B42AE" w:rsidRPr="003B42AE" w:rsidRDefault="003B42AE" w:rsidP="003B42AE">
      <w:pPr>
        <w:rPr>
          <w:rFonts w:cs="Arial"/>
          <w:b/>
          <w:lang w:val="fr-FR"/>
        </w:rPr>
      </w:pPr>
      <w:r w:rsidRPr="003B42AE">
        <w:rPr>
          <w:rFonts w:cs="Arial"/>
          <w:b/>
          <w:lang w:val="fr-FR"/>
        </w:rPr>
        <w:lastRenderedPageBreak/>
        <w:t>ANNEXE : MISE EN OEUVRE DES ACTIVITÉS</w:t>
      </w:r>
    </w:p>
    <w:tbl>
      <w:tblPr>
        <w:tblStyle w:val="TableGrid"/>
        <w:tblW w:w="5000" w:type="pct"/>
        <w:tblLook w:val="04A0" w:firstRow="1" w:lastRow="0" w:firstColumn="1" w:lastColumn="0" w:noHBand="0" w:noVBand="1"/>
      </w:tblPr>
      <w:tblGrid>
        <w:gridCol w:w="2912"/>
        <w:gridCol w:w="2912"/>
        <w:gridCol w:w="2912"/>
        <w:gridCol w:w="2912"/>
        <w:gridCol w:w="2912"/>
      </w:tblGrid>
      <w:tr w:rsidR="003B42AE" w:rsidRPr="00254541" w:rsidTr="003B42AE">
        <w:trPr>
          <w:tblHeader/>
        </w:trPr>
        <w:tc>
          <w:tcPr>
            <w:tcW w:w="1000" w:type="pct"/>
          </w:tcPr>
          <w:p w:rsidR="003B42AE" w:rsidRPr="00254541" w:rsidRDefault="003B42AE" w:rsidP="002630F6">
            <w:pPr>
              <w:spacing w:before="120" w:after="120"/>
              <w:jc w:val="center"/>
              <w:rPr>
                <w:rFonts w:ascii="Arial" w:hAnsi="Arial" w:cs="Arial"/>
                <w:b/>
                <w:sz w:val="20"/>
              </w:rPr>
            </w:pPr>
            <w:r w:rsidRPr="00254541">
              <w:rPr>
                <w:rFonts w:ascii="Arial" w:hAnsi="Arial" w:cs="Arial"/>
                <w:b/>
                <w:sz w:val="20"/>
              </w:rPr>
              <w:t>Activité</w:t>
            </w:r>
          </w:p>
        </w:tc>
        <w:tc>
          <w:tcPr>
            <w:tcW w:w="1000" w:type="pct"/>
          </w:tcPr>
          <w:p w:rsidR="003B42AE" w:rsidRPr="00254541" w:rsidRDefault="003B42AE" w:rsidP="002630F6">
            <w:pPr>
              <w:spacing w:before="120" w:after="120"/>
              <w:jc w:val="center"/>
              <w:rPr>
                <w:rFonts w:ascii="Arial" w:hAnsi="Arial" w:cs="Arial"/>
                <w:b/>
                <w:sz w:val="20"/>
              </w:rPr>
            </w:pPr>
            <w:r w:rsidRPr="00254541">
              <w:rPr>
                <w:rFonts w:ascii="Arial" w:hAnsi="Arial" w:cs="Arial"/>
                <w:b/>
                <w:sz w:val="20"/>
              </w:rPr>
              <w:t>Résultats attendus</w:t>
            </w:r>
          </w:p>
        </w:tc>
        <w:tc>
          <w:tcPr>
            <w:tcW w:w="1000" w:type="pct"/>
          </w:tcPr>
          <w:p w:rsidR="003B42AE" w:rsidRPr="00254541" w:rsidRDefault="003B42AE" w:rsidP="002630F6">
            <w:pPr>
              <w:spacing w:before="120" w:after="120"/>
              <w:jc w:val="center"/>
              <w:rPr>
                <w:rFonts w:ascii="Arial" w:hAnsi="Arial" w:cs="Arial"/>
                <w:b/>
                <w:sz w:val="20"/>
              </w:rPr>
            </w:pPr>
            <w:r w:rsidRPr="00254541">
              <w:rPr>
                <w:rFonts w:ascii="Arial" w:hAnsi="Arial" w:cs="Arial"/>
                <w:b/>
                <w:sz w:val="20"/>
              </w:rPr>
              <w:t>Chronologie initiale</w:t>
            </w:r>
          </w:p>
        </w:tc>
        <w:tc>
          <w:tcPr>
            <w:tcW w:w="1000" w:type="pct"/>
          </w:tcPr>
          <w:p w:rsidR="003B42AE" w:rsidRPr="00254541" w:rsidRDefault="003B42AE" w:rsidP="002630F6">
            <w:pPr>
              <w:spacing w:before="120" w:after="120"/>
              <w:jc w:val="center"/>
              <w:rPr>
                <w:rFonts w:ascii="Arial" w:hAnsi="Arial" w:cs="Arial"/>
                <w:b/>
                <w:sz w:val="20"/>
              </w:rPr>
            </w:pPr>
            <w:r w:rsidRPr="00254541">
              <w:rPr>
                <w:rFonts w:ascii="Arial" w:hAnsi="Arial" w:cs="Arial"/>
                <w:b/>
                <w:sz w:val="20"/>
              </w:rPr>
              <w:t>En cours</w:t>
            </w:r>
          </w:p>
        </w:tc>
        <w:tc>
          <w:tcPr>
            <w:tcW w:w="1000" w:type="pct"/>
          </w:tcPr>
          <w:p w:rsidR="003B42AE" w:rsidRPr="00254541" w:rsidRDefault="003B42AE" w:rsidP="002630F6">
            <w:pPr>
              <w:spacing w:before="120" w:after="120"/>
              <w:jc w:val="center"/>
              <w:rPr>
                <w:rFonts w:ascii="Arial" w:hAnsi="Arial" w:cs="Arial"/>
                <w:b/>
                <w:sz w:val="20"/>
              </w:rPr>
            </w:pPr>
            <w:r w:rsidRPr="00254541">
              <w:rPr>
                <w:rFonts w:ascii="Arial" w:hAnsi="Arial" w:cs="Arial"/>
                <w:b/>
                <w:sz w:val="20"/>
              </w:rPr>
              <w:t>Changements ou solutions</w:t>
            </w:r>
          </w:p>
        </w:tc>
      </w:tr>
      <w:tr w:rsidR="003B42AE" w:rsidRPr="00254541" w:rsidTr="003B42AE">
        <w:tc>
          <w:tcPr>
            <w:tcW w:w="1000" w:type="pct"/>
          </w:tcPr>
          <w:p w:rsidR="003B42AE" w:rsidRPr="00254541" w:rsidRDefault="003B42AE" w:rsidP="002630F6">
            <w:pPr>
              <w:rPr>
                <w:rFonts w:ascii="Arial" w:hAnsi="Arial" w:cs="Arial"/>
                <w:sz w:val="20"/>
              </w:rPr>
            </w:pPr>
            <w:r w:rsidRPr="00254541">
              <w:rPr>
                <w:rFonts w:ascii="Arial" w:hAnsi="Arial" w:cs="Arial"/>
                <w:sz w:val="20"/>
              </w:rPr>
              <w:t>1. Convoquer une deuxième réunion de politique générale des États de l'aire de répartition</w:t>
            </w:r>
          </w:p>
        </w:tc>
        <w:tc>
          <w:tcPr>
            <w:tcW w:w="1000" w:type="pct"/>
          </w:tcPr>
          <w:p w:rsidR="003B42AE" w:rsidRPr="00254541" w:rsidRDefault="003B42AE" w:rsidP="002630F6">
            <w:pPr>
              <w:rPr>
                <w:rFonts w:ascii="Arial" w:hAnsi="Arial" w:cs="Arial"/>
                <w:sz w:val="20"/>
              </w:rPr>
            </w:pPr>
            <w:r w:rsidRPr="00254541">
              <w:rPr>
                <w:rFonts w:ascii="Arial" w:hAnsi="Arial" w:cs="Arial"/>
                <w:sz w:val="20"/>
              </w:rPr>
              <w:t>Explorer toutes les options susceptibles de contribuer au renforcement des efforts de conservation de l'anguille d'Europe. L'accent devrait être mis sur l'exploration des synergies entre les instruments existants afin de renforcer le rôle de la CMS et le mécanisme de mise en œuvre associé dans les efforts de conservation en cours.</w:t>
            </w:r>
          </w:p>
        </w:tc>
        <w:tc>
          <w:tcPr>
            <w:tcW w:w="1000" w:type="pct"/>
          </w:tcPr>
          <w:p w:rsidR="003B42AE" w:rsidRPr="00254541" w:rsidRDefault="003B42AE" w:rsidP="002630F6">
            <w:pPr>
              <w:rPr>
                <w:rFonts w:ascii="Arial" w:hAnsi="Arial" w:cs="Arial"/>
                <w:sz w:val="20"/>
              </w:rPr>
            </w:pPr>
            <w:r w:rsidRPr="00254541">
              <w:rPr>
                <w:rFonts w:ascii="Arial" w:hAnsi="Arial" w:cs="Arial"/>
                <w:sz w:val="20"/>
              </w:rPr>
              <w:t>La deuxième réunion des États de l'aire de répartition aura lieu au cours du premier semestre de 2018, si possible.</w:t>
            </w:r>
          </w:p>
        </w:tc>
        <w:tc>
          <w:tcPr>
            <w:tcW w:w="1000" w:type="pct"/>
          </w:tcPr>
          <w:p w:rsidR="003B42AE" w:rsidRPr="00254541" w:rsidRDefault="003B42AE" w:rsidP="002630F6">
            <w:pPr>
              <w:rPr>
                <w:rFonts w:ascii="Arial" w:hAnsi="Arial" w:cs="Arial"/>
                <w:sz w:val="20"/>
              </w:rPr>
            </w:pPr>
            <w:r w:rsidRPr="00254541">
              <w:rPr>
                <w:rFonts w:ascii="Arial" w:hAnsi="Arial" w:cs="Arial"/>
                <w:sz w:val="20"/>
              </w:rPr>
              <w:t>Achevé.</w:t>
            </w:r>
          </w:p>
          <w:p w:rsidR="003B42AE" w:rsidRPr="00254541" w:rsidRDefault="003B42AE" w:rsidP="002630F6">
            <w:pPr>
              <w:rPr>
                <w:rFonts w:ascii="Arial" w:hAnsi="Arial" w:cs="Arial"/>
                <w:sz w:val="20"/>
              </w:rPr>
            </w:pPr>
          </w:p>
          <w:p w:rsidR="003B42AE" w:rsidRPr="00254541" w:rsidRDefault="003B42AE" w:rsidP="002630F6">
            <w:pPr>
              <w:rPr>
                <w:rFonts w:ascii="Arial" w:hAnsi="Arial" w:cs="Arial"/>
                <w:sz w:val="20"/>
              </w:rPr>
            </w:pPr>
            <w:r w:rsidRPr="00254541">
              <w:rPr>
                <w:rFonts w:ascii="Arial" w:hAnsi="Arial" w:cs="Arial"/>
                <w:sz w:val="20"/>
              </w:rPr>
              <w:t>Rapport de la Réunion</w:t>
            </w:r>
          </w:p>
          <w:p w:rsidR="003B42AE" w:rsidRPr="00254541" w:rsidRDefault="003B42AE" w:rsidP="002630F6">
            <w:pPr>
              <w:rPr>
                <w:rFonts w:ascii="Arial" w:hAnsi="Arial" w:cs="Arial"/>
                <w:sz w:val="20"/>
              </w:rPr>
            </w:pPr>
            <w:hyperlink r:id="rId21" w:history="1">
              <w:r w:rsidRPr="00254541">
                <w:rPr>
                  <w:rStyle w:val="Hyperlink"/>
                  <w:rFonts w:ascii="Arial" w:hAnsi="Arial" w:cs="Arial"/>
                  <w:sz w:val="20"/>
                </w:rPr>
                <w:t>UNEP/CMS/Eels2/Rapport</w:t>
              </w:r>
            </w:hyperlink>
          </w:p>
          <w:p w:rsidR="003B42AE" w:rsidRPr="00254541" w:rsidRDefault="003B42AE" w:rsidP="002630F6">
            <w:pPr>
              <w:rPr>
                <w:rFonts w:ascii="Arial" w:hAnsi="Arial" w:cs="Arial"/>
                <w:sz w:val="20"/>
              </w:rPr>
            </w:pPr>
          </w:p>
          <w:p w:rsidR="003B42AE" w:rsidRPr="00254541" w:rsidRDefault="003B42AE" w:rsidP="002630F6">
            <w:pPr>
              <w:rPr>
                <w:rFonts w:ascii="Arial" w:hAnsi="Arial" w:cs="Arial"/>
                <w:sz w:val="20"/>
              </w:rPr>
            </w:pPr>
            <w:r w:rsidRPr="00254541">
              <w:rPr>
                <w:rFonts w:ascii="Arial" w:hAnsi="Arial" w:cs="Arial"/>
                <w:sz w:val="20"/>
              </w:rPr>
              <w:t>Résultats de la deuxième réunion des États de l'aire de répartition pour l'anguille d'Europe (Eels2)</w:t>
            </w:r>
          </w:p>
          <w:p w:rsidR="003B42AE" w:rsidRPr="00254541" w:rsidRDefault="003B42AE" w:rsidP="002630F6">
            <w:pPr>
              <w:rPr>
                <w:rFonts w:ascii="Arial" w:hAnsi="Arial" w:cs="Arial"/>
                <w:sz w:val="20"/>
              </w:rPr>
            </w:pPr>
            <w:hyperlink r:id="rId22" w:history="1">
              <w:r w:rsidRPr="00254541">
                <w:rPr>
                  <w:rStyle w:val="Hyperlink"/>
                  <w:rFonts w:ascii="Arial" w:hAnsi="Arial" w:cs="Arial"/>
                  <w:sz w:val="20"/>
                </w:rPr>
                <w:t>UNEP/CMS/Eels2/Résultat</w:t>
              </w:r>
            </w:hyperlink>
          </w:p>
          <w:p w:rsidR="003B42AE" w:rsidRPr="00254541" w:rsidRDefault="003B42AE" w:rsidP="002630F6">
            <w:pPr>
              <w:rPr>
                <w:rFonts w:ascii="Arial" w:hAnsi="Arial" w:cs="Arial"/>
                <w:sz w:val="20"/>
                <w:u w:val="single"/>
              </w:rPr>
            </w:pPr>
          </w:p>
          <w:p w:rsidR="003B42AE" w:rsidRPr="00254541" w:rsidRDefault="003B42AE" w:rsidP="002630F6">
            <w:pPr>
              <w:rPr>
                <w:rFonts w:ascii="Arial" w:hAnsi="Arial" w:cs="Arial"/>
                <w:sz w:val="20"/>
              </w:rPr>
            </w:pPr>
            <w:r w:rsidRPr="00254541">
              <w:rPr>
                <w:rFonts w:ascii="Arial" w:hAnsi="Arial" w:cs="Arial"/>
                <w:sz w:val="20"/>
              </w:rPr>
              <w:t xml:space="preserve">Voir </w:t>
            </w:r>
            <w:proofErr w:type="spellStart"/>
            <w:r w:rsidRPr="00254541">
              <w:rPr>
                <w:rFonts w:ascii="Arial" w:hAnsi="Arial" w:cs="Arial"/>
                <w:sz w:val="20"/>
              </w:rPr>
              <w:t>Eels</w:t>
            </w:r>
            <w:proofErr w:type="spellEnd"/>
            <w:r w:rsidRPr="00254541">
              <w:rPr>
                <w:rFonts w:ascii="Arial" w:hAnsi="Arial" w:cs="Arial"/>
                <w:sz w:val="20"/>
              </w:rPr>
              <w:t xml:space="preserve"> 3 Rapport de la réunion</w:t>
            </w:r>
          </w:p>
          <w:p w:rsidR="003B42AE" w:rsidRPr="00254541" w:rsidRDefault="003B42AE" w:rsidP="003B42AE">
            <w:pPr>
              <w:spacing w:after="80"/>
              <w:rPr>
                <w:rFonts w:ascii="Arial" w:hAnsi="Arial" w:cs="Arial"/>
                <w:sz w:val="20"/>
              </w:rPr>
            </w:pPr>
            <w:hyperlink r:id="rId23" w:history="1">
              <w:r w:rsidRPr="00254541">
                <w:rPr>
                  <w:rStyle w:val="Hyperlink"/>
                  <w:rFonts w:ascii="Arial" w:hAnsi="Arial" w:cs="Arial"/>
                  <w:sz w:val="20"/>
                </w:rPr>
                <w:t>UNEP/CMS/Eels3/Rapport</w:t>
              </w:r>
            </w:hyperlink>
          </w:p>
        </w:tc>
        <w:tc>
          <w:tcPr>
            <w:tcW w:w="1000" w:type="pct"/>
          </w:tcPr>
          <w:p w:rsidR="003B42AE" w:rsidRPr="00254541" w:rsidRDefault="003B42AE" w:rsidP="002630F6">
            <w:pPr>
              <w:rPr>
                <w:rFonts w:cs="Arial"/>
                <w:sz w:val="20"/>
              </w:rPr>
            </w:pPr>
            <w:r w:rsidRPr="00254541">
              <w:rPr>
                <w:rFonts w:ascii="Arial" w:hAnsi="Arial" w:cs="Arial"/>
                <w:sz w:val="20"/>
              </w:rPr>
              <w:t>N/A</w:t>
            </w:r>
          </w:p>
        </w:tc>
      </w:tr>
      <w:tr w:rsidR="003B42AE" w:rsidRPr="00254541" w:rsidTr="003B42AE">
        <w:tc>
          <w:tcPr>
            <w:tcW w:w="1000" w:type="pct"/>
          </w:tcPr>
          <w:p w:rsidR="003B42AE" w:rsidRPr="00254541" w:rsidRDefault="003B42AE" w:rsidP="002630F6">
            <w:pPr>
              <w:rPr>
                <w:rFonts w:ascii="Arial" w:hAnsi="Arial" w:cs="Arial"/>
                <w:sz w:val="20"/>
              </w:rPr>
            </w:pPr>
            <w:r w:rsidRPr="00254541">
              <w:rPr>
                <w:rFonts w:ascii="Arial" w:hAnsi="Arial" w:cs="Arial"/>
                <w:sz w:val="20"/>
              </w:rPr>
              <w:t>2. Entreprendre une enquête sur les États de l'aire de répartition</w:t>
            </w:r>
          </w:p>
        </w:tc>
        <w:tc>
          <w:tcPr>
            <w:tcW w:w="1000" w:type="pct"/>
          </w:tcPr>
          <w:p w:rsidR="003B42AE" w:rsidRPr="00254541" w:rsidRDefault="003B42AE" w:rsidP="002630F6">
            <w:pPr>
              <w:rPr>
                <w:rFonts w:ascii="Arial" w:hAnsi="Arial" w:cs="Arial"/>
                <w:sz w:val="20"/>
              </w:rPr>
            </w:pPr>
            <w:r w:rsidRPr="00254541">
              <w:rPr>
                <w:rFonts w:ascii="Arial" w:hAnsi="Arial" w:cs="Arial"/>
                <w:sz w:val="20"/>
              </w:rPr>
              <w:t>Identifier les lacunes dans la conservation et la gestion des espèces.</w:t>
            </w:r>
          </w:p>
        </w:tc>
        <w:tc>
          <w:tcPr>
            <w:tcW w:w="1000" w:type="pct"/>
          </w:tcPr>
          <w:p w:rsidR="003B42AE" w:rsidRPr="00254541" w:rsidRDefault="003B42AE" w:rsidP="002630F6">
            <w:pPr>
              <w:rPr>
                <w:rFonts w:ascii="Arial" w:hAnsi="Arial" w:cs="Arial"/>
                <w:sz w:val="20"/>
              </w:rPr>
            </w:pPr>
            <w:r w:rsidRPr="00254541">
              <w:rPr>
                <w:rFonts w:ascii="Arial" w:hAnsi="Arial" w:cs="Arial"/>
                <w:sz w:val="20"/>
              </w:rPr>
              <w:t>En cours jusqu'à la COP 13</w:t>
            </w:r>
          </w:p>
        </w:tc>
        <w:tc>
          <w:tcPr>
            <w:tcW w:w="1000" w:type="pct"/>
          </w:tcPr>
          <w:p w:rsidR="003B42AE" w:rsidRPr="00254541" w:rsidRDefault="003B42AE" w:rsidP="002630F6">
            <w:pPr>
              <w:rPr>
                <w:rFonts w:ascii="Arial" w:hAnsi="Arial" w:cs="Arial"/>
                <w:sz w:val="20"/>
              </w:rPr>
            </w:pPr>
            <w:r w:rsidRPr="00254541">
              <w:rPr>
                <w:rFonts w:ascii="Arial" w:hAnsi="Arial" w:cs="Arial"/>
                <w:sz w:val="20"/>
              </w:rPr>
              <w:t xml:space="preserve">Achevé. </w:t>
            </w:r>
          </w:p>
          <w:p w:rsidR="003B42AE" w:rsidRPr="00254541" w:rsidRDefault="003B42AE" w:rsidP="002630F6">
            <w:pPr>
              <w:rPr>
                <w:rFonts w:ascii="Arial" w:hAnsi="Arial" w:cs="Arial"/>
                <w:sz w:val="20"/>
              </w:rPr>
            </w:pPr>
          </w:p>
          <w:p w:rsidR="003B42AE" w:rsidRPr="00254541" w:rsidRDefault="003B42AE" w:rsidP="002630F6">
            <w:pPr>
              <w:rPr>
                <w:rFonts w:ascii="Arial" w:hAnsi="Arial" w:cs="Arial"/>
                <w:sz w:val="20"/>
              </w:rPr>
            </w:pPr>
            <w:r w:rsidRPr="00254541">
              <w:rPr>
                <w:rFonts w:ascii="Arial" w:hAnsi="Arial" w:cs="Arial"/>
                <w:sz w:val="20"/>
              </w:rPr>
              <w:t xml:space="preserve">Anguilles d'Europe dans la CMS </w:t>
            </w:r>
          </w:p>
          <w:p w:rsidR="003B42AE" w:rsidRPr="00254541" w:rsidRDefault="003B42AE" w:rsidP="002630F6">
            <w:pPr>
              <w:rPr>
                <w:rFonts w:ascii="Arial" w:hAnsi="Arial" w:cs="Arial"/>
                <w:sz w:val="20"/>
              </w:rPr>
            </w:pPr>
            <w:hyperlink r:id="rId24" w:history="1">
              <w:r w:rsidRPr="00254541">
                <w:rPr>
                  <w:rStyle w:val="Hyperlink"/>
                  <w:rFonts w:ascii="Arial" w:hAnsi="Arial" w:cs="Arial"/>
                  <w:sz w:val="20"/>
                </w:rPr>
                <w:t>Résultats d'enquête</w:t>
              </w:r>
            </w:hyperlink>
          </w:p>
          <w:p w:rsidR="003B42AE" w:rsidRPr="00254541" w:rsidRDefault="003B42AE" w:rsidP="002630F6">
            <w:pPr>
              <w:rPr>
                <w:rFonts w:ascii="Arial" w:hAnsi="Arial" w:cs="Arial"/>
                <w:sz w:val="20"/>
              </w:rPr>
            </w:pPr>
          </w:p>
          <w:p w:rsidR="003B42AE" w:rsidRPr="00254541" w:rsidRDefault="003B42AE" w:rsidP="002630F6">
            <w:pPr>
              <w:rPr>
                <w:rFonts w:ascii="Arial" w:hAnsi="Arial" w:cs="Arial"/>
                <w:sz w:val="20"/>
              </w:rPr>
            </w:pPr>
            <w:r w:rsidRPr="00254541">
              <w:rPr>
                <w:rFonts w:ascii="Arial" w:hAnsi="Arial" w:cs="Arial"/>
                <w:sz w:val="20"/>
              </w:rPr>
              <w:t xml:space="preserve">Voir </w:t>
            </w:r>
            <w:proofErr w:type="spellStart"/>
            <w:r w:rsidRPr="00254541">
              <w:rPr>
                <w:rFonts w:ascii="Arial" w:hAnsi="Arial" w:cs="Arial"/>
                <w:sz w:val="20"/>
              </w:rPr>
              <w:t>Eels</w:t>
            </w:r>
            <w:proofErr w:type="spellEnd"/>
            <w:r w:rsidRPr="00254541">
              <w:rPr>
                <w:rFonts w:ascii="Arial" w:hAnsi="Arial" w:cs="Arial"/>
                <w:sz w:val="20"/>
              </w:rPr>
              <w:t xml:space="preserve"> 2 Rapport de la réunion</w:t>
            </w:r>
          </w:p>
          <w:p w:rsidR="003B42AE" w:rsidRPr="00254541" w:rsidRDefault="003B42AE" w:rsidP="003B42AE">
            <w:pPr>
              <w:spacing w:after="80"/>
              <w:rPr>
                <w:rFonts w:ascii="Arial" w:hAnsi="Arial" w:cs="Arial"/>
                <w:sz w:val="20"/>
              </w:rPr>
            </w:pPr>
            <w:hyperlink r:id="rId25" w:history="1">
              <w:r w:rsidRPr="00254541">
                <w:rPr>
                  <w:rStyle w:val="Hyperlink"/>
                  <w:rFonts w:ascii="Arial" w:hAnsi="Arial" w:cs="Arial"/>
                  <w:sz w:val="20"/>
                </w:rPr>
                <w:t>UNEP/CMS/Eels2/Rapport</w:t>
              </w:r>
            </w:hyperlink>
          </w:p>
        </w:tc>
        <w:tc>
          <w:tcPr>
            <w:tcW w:w="1000" w:type="pct"/>
          </w:tcPr>
          <w:p w:rsidR="003B42AE" w:rsidRPr="00254541" w:rsidRDefault="003B42AE" w:rsidP="002630F6">
            <w:pPr>
              <w:rPr>
                <w:rFonts w:cs="Arial"/>
                <w:sz w:val="20"/>
              </w:rPr>
            </w:pPr>
            <w:r w:rsidRPr="00254541">
              <w:rPr>
                <w:rFonts w:ascii="Arial" w:hAnsi="Arial" w:cs="Arial"/>
                <w:sz w:val="20"/>
              </w:rPr>
              <w:t>N/A</w:t>
            </w:r>
          </w:p>
        </w:tc>
      </w:tr>
      <w:tr w:rsidR="003B42AE" w:rsidRPr="00254541" w:rsidTr="003B42AE">
        <w:tc>
          <w:tcPr>
            <w:tcW w:w="1000" w:type="pct"/>
          </w:tcPr>
          <w:p w:rsidR="003B42AE" w:rsidRPr="00254541" w:rsidRDefault="003B42AE" w:rsidP="002630F6">
            <w:pPr>
              <w:rPr>
                <w:rFonts w:ascii="Arial" w:hAnsi="Arial" w:cs="Arial"/>
                <w:sz w:val="20"/>
              </w:rPr>
            </w:pPr>
            <w:r w:rsidRPr="00254541">
              <w:rPr>
                <w:rFonts w:ascii="Arial" w:hAnsi="Arial" w:cs="Arial"/>
                <w:sz w:val="20"/>
              </w:rPr>
              <w:t>3. Identifier des actions complémentaires à la décision de la COP17 de la CITES de 2016 et à la résolution de 2016 du Conseil mondial de la nature de l'UICN concernant les anguillidés</w:t>
            </w:r>
          </w:p>
        </w:tc>
        <w:tc>
          <w:tcPr>
            <w:tcW w:w="1000" w:type="pct"/>
          </w:tcPr>
          <w:p w:rsidR="003B42AE" w:rsidRPr="00254541" w:rsidRDefault="003B42AE" w:rsidP="002630F6">
            <w:pPr>
              <w:rPr>
                <w:rFonts w:ascii="Arial" w:hAnsi="Arial" w:cs="Arial"/>
                <w:sz w:val="20"/>
              </w:rPr>
            </w:pPr>
          </w:p>
        </w:tc>
        <w:tc>
          <w:tcPr>
            <w:tcW w:w="1000" w:type="pct"/>
          </w:tcPr>
          <w:p w:rsidR="003B42AE" w:rsidRPr="00254541" w:rsidRDefault="003B42AE" w:rsidP="002630F6">
            <w:pPr>
              <w:rPr>
                <w:rFonts w:ascii="Arial" w:hAnsi="Arial" w:cs="Arial"/>
                <w:sz w:val="20"/>
              </w:rPr>
            </w:pPr>
            <w:r w:rsidRPr="00254541">
              <w:rPr>
                <w:rFonts w:ascii="Arial" w:hAnsi="Arial" w:cs="Arial"/>
                <w:sz w:val="20"/>
              </w:rPr>
              <w:t>En cours jusqu'à la COP 13</w:t>
            </w:r>
          </w:p>
        </w:tc>
        <w:tc>
          <w:tcPr>
            <w:tcW w:w="1000" w:type="pct"/>
          </w:tcPr>
          <w:p w:rsidR="003B42AE" w:rsidRPr="00254541" w:rsidRDefault="003B42AE" w:rsidP="002630F6">
            <w:pPr>
              <w:tabs>
                <w:tab w:val="left" w:pos="5040"/>
                <w:tab w:val="left" w:pos="5760"/>
                <w:tab w:val="left" w:pos="6008"/>
                <w:tab w:val="left" w:pos="6480"/>
                <w:tab w:val="left" w:pos="7200"/>
                <w:tab w:val="left" w:pos="7920"/>
                <w:tab w:val="left" w:pos="8640"/>
              </w:tabs>
              <w:rPr>
                <w:rFonts w:ascii="Arial" w:hAnsi="Arial" w:cs="Arial"/>
                <w:sz w:val="20"/>
              </w:rPr>
            </w:pPr>
            <w:r w:rsidRPr="00254541">
              <w:rPr>
                <w:rFonts w:ascii="Arial" w:hAnsi="Arial" w:cs="Arial"/>
                <w:sz w:val="20"/>
              </w:rPr>
              <w:t>Achevé.</w:t>
            </w:r>
          </w:p>
          <w:p w:rsidR="003B42AE" w:rsidRPr="00254541" w:rsidRDefault="003B42AE" w:rsidP="002630F6">
            <w:pPr>
              <w:tabs>
                <w:tab w:val="left" w:pos="5040"/>
                <w:tab w:val="left" w:pos="5760"/>
                <w:tab w:val="left" w:pos="6008"/>
                <w:tab w:val="left" w:pos="6480"/>
                <w:tab w:val="left" w:pos="7200"/>
                <w:tab w:val="left" w:pos="7920"/>
                <w:tab w:val="left" w:pos="8640"/>
              </w:tabs>
              <w:rPr>
                <w:rFonts w:ascii="Arial" w:hAnsi="Arial" w:cs="Arial"/>
                <w:sz w:val="20"/>
              </w:rPr>
            </w:pPr>
          </w:p>
          <w:p w:rsidR="003B42AE" w:rsidRPr="00254541" w:rsidRDefault="003B42AE" w:rsidP="002630F6">
            <w:pPr>
              <w:tabs>
                <w:tab w:val="left" w:pos="5040"/>
                <w:tab w:val="left" w:pos="5760"/>
                <w:tab w:val="left" w:pos="6008"/>
                <w:tab w:val="left" w:pos="6480"/>
                <w:tab w:val="left" w:pos="7200"/>
                <w:tab w:val="left" w:pos="7920"/>
                <w:tab w:val="left" w:pos="8640"/>
              </w:tabs>
              <w:rPr>
                <w:rFonts w:ascii="Arial" w:hAnsi="Arial" w:cs="Arial"/>
                <w:sz w:val="20"/>
              </w:rPr>
            </w:pPr>
            <w:hyperlink r:id="rId26" w:history="1">
              <w:r w:rsidRPr="00254541">
                <w:rPr>
                  <w:rStyle w:val="Hyperlink"/>
                  <w:rFonts w:ascii="Arial" w:hAnsi="Arial" w:cs="Arial"/>
                  <w:sz w:val="20"/>
                </w:rPr>
                <w:t>CITES et anguilles</w:t>
              </w:r>
            </w:hyperlink>
          </w:p>
          <w:p w:rsidR="003B42AE" w:rsidRPr="00254541" w:rsidRDefault="003B42AE" w:rsidP="002630F6">
            <w:pPr>
              <w:rPr>
                <w:rFonts w:ascii="Arial" w:hAnsi="Arial" w:cs="Arial"/>
                <w:sz w:val="20"/>
              </w:rPr>
            </w:pPr>
          </w:p>
          <w:p w:rsidR="003B42AE" w:rsidRPr="00254541" w:rsidRDefault="003B42AE" w:rsidP="002630F6">
            <w:pPr>
              <w:rPr>
                <w:rFonts w:ascii="Arial" w:hAnsi="Arial" w:cs="Arial"/>
                <w:sz w:val="20"/>
              </w:rPr>
            </w:pPr>
            <w:r w:rsidRPr="00254541">
              <w:rPr>
                <w:rFonts w:ascii="Arial" w:hAnsi="Arial" w:cs="Arial"/>
                <w:sz w:val="20"/>
              </w:rPr>
              <w:t xml:space="preserve">Voir </w:t>
            </w:r>
            <w:proofErr w:type="spellStart"/>
            <w:r w:rsidRPr="00254541">
              <w:rPr>
                <w:rFonts w:ascii="Arial" w:hAnsi="Arial" w:cs="Arial"/>
                <w:sz w:val="20"/>
              </w:rPr>
              <w:t>Eels</w:t>
            </w:r>
            <w:proofErr w:type="spellEnd"/>
            <w:r w:rsidRPr="00254541">
              <w:rPr>
                <w:rFonts w:ascii="Arial" w:hAnsi="Arial" w:cs="Arial"/>
                <w:sz w:val="20"/>
              </w:rPr>
              <w:t xml:space="preserve"> 2 Rapport de la réunion</w:t>
            </w:r>
          </w:p>
          <w:p w:rsidR="003B42AE" w:rsidRPr="00254541" w:rsidRDefault="003B42AE" w:rsidP="003B42AE">
            <w:pPr>
              <w:spacing w:after="80"/>
              <w:rPr>
                <w:rFonts w:ascii="Arial" w:hAnsi="Arial" w:cs="Arial"/>
                <w:sz w:val="20"/>
              </w:rPr>
            </w:pPr>
            <w:hyperlink r:id="rId27" w:history="1">
              <w:r w:rsidRPr="00254541">
                <w:rPr>
                  <w:rStyle w:val="Hyperlink"/>
                  <w:rFonts w:ascii="Arial" w:hAnsi="Arial" w:cs="Arial"/>
                  <w:sz w:val="20"/>
                </w:rPr>
                <w:t>UNEP/CMS/Eels2/Rapport</w:t>
              </w:r>
            </w:hyperlink>
          </w:p>
        </w:tc>
        <w:tc>
          <w:tcPr>
            <w:tcW w:w="1000" w:type="pct"/>
          </w:tcPr>
          <w:p w:rsidR="003B42AE" w:rsidRPr="00254541" w:rsidRDefault="003B42AE" w:rsidP="002630F6">
            <w:pPr>
              <w:rPr>
                <w:rFonts w:cs="Arial"/>
                <w:sz w:val="20"/>
              </w:rPr>
            </w:pPr>
            <w:r w:rsidRPr="00254541">
              <w:rPr>
                <w:rFonts w:ascii="Arial" w:hAnsi="Arial" w:cs="Arial"/>
                <w:sz w:val="20"/>
              </w:rPr>
              <w:t>N/A</w:t>
            </w:r>
          </w:p>
        </w:tc>
      </w:tr>
      <w:tr w:rsidR="003B42AE" w:rsidRPr="00254541" w:rsidTr="003B42AE">
        <w:tc>
          <w:tcPr>
            <w:tcW w:w="1000" w:type="pct"/>
          </w:tcPr>
          <w:p w:rsidR="003B42AE" w:rsidRPr="00254541" w:rsidRDefault="003B42AE" w:rsidP="002630F6">
            <w:pPr>
              <w:rPr>
                <w:rFonts w:ascii="Arial" w:hAnsi="Arial" w:cs="Arial"/>
                <w:sz w:val="20"/>
              </w:rPr>
            </w:pPr>
            <w:r w:rsidRPr="00254541">
              <w:rPr>
                <w:rFonts w:ascii="Arial" w:hAnsi="Arial" w:cs="Arial"/>
                <w:sz w:val="20"/>
              </w:rPr>
              <w:t>4. Encourager l'amélioration du flux / de la collecte de données vers le CIEM pour les rapports annuels et l'évaluation de l'AESG pour la liste rouge en 2018.</w:t>
            </w:r>
          </w:p>
        </w:tc>
        <w:tc>
          <w:tcPr>
            <w:tcW w:w="1000" w:type="pct"/>
          </w:tcPr>
          <w:p w:rsidR="003B42AE" w:rsidRPr="00254541" w:rsidRDefault="003B42AE" w:rsidP="002630F6">
            <w:pPr>
              <w:rPr>
                <w:rFonts w:ascii="Arial" w:hAnsi="Arial" w:cs="Arial"/>
                <w:sz w:val="20"/>
              </w:rPr>
            </w:pPr>
          </w:p>
        </w:tc>
        <w:tc>
          <w:tcPr>
            <w:tcW w:w="1000" w:type="pct"/>
          </w:tcPr>
          <w:p w:rsidR="003B42AE" w:rsidRPr="00254541" w:rsidRDefault="003B42AE" w:rsidP="002630F6">
            <w:pPr>
              <w:rPr>
                <w:rFonts w:ascii="Arial" w:hAnsi="Arial" w:cs="Arial"/>
                <w:sz w:val="20"/>
              </w:rPr>
            </w:pPr>
            <w:r w:rsidRPr="00254541">
              <w:rPr>
                <w:rFonts w:ascii="Arial" w:hAnsi="Arial" w:cs="Arial"/>
                <w:sz w:val="20"/>
              </w:rPr>
              <w:t>En cours jusqu'à la COP 13</w:t>
            </w:r>
          </w:p>
        </w:tc>
        <w:tc>
          <w:tcPr>
            <w:tcW w:w="1000" w:type="pct"/>
          </w:tcPr>
          <w:p w:rsidR="003B42AE" w:rsidRPr="00254541" w:rsidRDefault="003B42AE" w:rsidP="002630F6">
            <w:pPr>
              <w:rPr>
                <w:rFonts w:ascii="Arial" w:hAnsi="Arial" w:cs="Arial"/>
                <w:sz w:val="20"/>
              </w:rPr>
            </w:pPr>
            <w:r w:rsidRPr="00254541">
              <w:rPr>
                <w:rFonts w:ascii="Arial" w:hAnsi="Arial" w:cs="Arial"/>
                <w:sz w:val="20"/>
              </w:rPr>
              <w:t>En cours.</w:t>
            </w:r>
          </w:p>
          <w:p w:rsidR="003B42AE" w:rsidRPr="00254541" w:rsidRDefault="003B42AE" w:rsidP="002630F6">
            <w:pPr>
              <w:rPr>
                <w:rFonts w:ascii="Arial" w:hAnsi="Arial" w:cs="Arial"/>
                <w:sz w:val="20"/>
              </w:rPr>
            </w:pPr>
            <w:r w:rsidRPr="00254541">
              <w:rPr>
                <w:rFonts w:ascii="Arial" w:hAnsi="Arial" w:cs="Arial"/>
                <w:sz w:val="20"/>
              </w:rPr>
              <w:t xml:space="preserve">Voir </w:t>
            </w:r>
            <w:proofErr w:type="spellStart"/>
            <w:r w:rsidRPr="00254541">
              <w:rPr>
                <w:rFonts w:ascii="Arial" w:hAnsi="Arial" w:cs="Arial"/>
                <w:sz w:val="20"/>
              </w:rPr>
              <w:t>Eels</w:t>
            </w:r>
            <w:proofErr w:type="spellEnd"/>
            <w:r w:rsidRPr="00254541">
              <w:rPr>
                <w:rFonts w:ascii="Arial" w:hAnsi="Arial" w:cs="Arial"/>
                <w:sz w:val="20"/>
              </w:rPr>
              <w:t xml:space="preserve"> 2 Rapport de la réunion</w:t>
            </w:r>
          </w:p>
          <w:p w:rsidR="003B42AE" w:rsidRPr="00254541" w:rsidRDefault="003B42AE" w:rsidP="003B42AE">
            <w:pPr>
              <w:rPr>
                <w:rFonts w:ascii="Arial" w:hAnsi="Arial" w:cs="Arial"/>
                <w:sz w:val="20"/>
              </w:rPr>
            </w:pPr>
            <w:hyperlink r:id="rId28" w:history="1">
              <w:r w:rsidRPr="00254541">
                <w:rPr>
                  <w:rStyle w:val="Hyperlink"/>
                  <w:rFonts w:ascii="Arial" w:hAnsi="Arial" w:cs="Arial"/>
                  <w:sz w:val="20"/>
                </w:rPr>
                <w:t>UNEP/CMS/Eels2/Rapport</w:t>
              </w:r>
            </w:hyperlink>
          </w:p>
        </w:tc>
        <w:tc>
          <w:tcPr>
            <w:tcW w:w="1000" w:type="pct"/>
          </w:tcPr>
          <w:p w:rsidR="003B42AE" w:rsidRPr="00254541" w:rsidRDefault="003B42AE" w:rsidP="002630F6">
            <w:pPr>
              <w:rPr>
                <w:rFonts w:cs="Arial"/>
                <w:sz w:val="20"/>
              </w:rPr>
            </w:pPr>
            <w:r w:rsidRPr="00254541">
              <w:rPr>
                <w:rFonts w:ascii="Arial" w:hAnsi="Arial" w:cs="Arial"/>
                <w:sz w:val="20"/>
              </w:rPr>
              <w:t>N/A</w:t>
            </w:r>
          </w:p>
        </w:tc>
      </w:tr>
      <w:tr w:rsidR="003B42AE" w:rsidRPr="00254541" w:rsidTr="003B42AE">
        <w:tc>
          <w:tcPr>
            <w:tcW w:w="1000" w:type="pct"/>
          </w:tcPr>
          <w:p w:rsidR="003B42AE" w:rsidRPr="00254541" w:rsidRDefault="003B42AE" w:rsidP="002630F6">
            <w:pPr>
              <w:rPr>
                <w:rFonts w:ascii="Arial" w:hAnsi="Arial" w:cs="Arial"/>
                <w:sz w:val="20"/>
              </w:rPr>
            </w:pPr>
            <w:r w:rsidRPr="00254541">
              <w:rPr>
                <w:rFonts w:ascii="Arial" w:hAnsi="Arial" w:cs="Arial"/>
                <w:sz w:val="20"/>
              </w:rPr>
              <w:lastRenderedPageBreak/>
              <w:t>5. Collaborer avec des parties prenantes n'appartenant pas à l'Etat de l'aire de répartition, par exemple des organismes de pêche régionaux compétents, en particulier la Commission générale des pêches pour la Méditerranée (CGPM). Les parties prenantes identifieront les sources de financement pertinentes si nécessaire.</w:t>
            </w:r>
          </w:p>
        </w:tc>
        <w:tc>
          <w:tcPr>
            <w:tcW w:w="1000" w:type="pct"/>
          </w:tcPr>
          <w:p w:rsidR="003B42AE" w:rsidRPr="00254541" w:rsidRDefault="003B42AE" w:rsidP="002630F6">
            <w:pPr>
              <w:rPr>
                <w:rFonts w:ascii="Arial" w:hAnsi="Arial" w:cs="Arial"/>
                <w:sz w:val="20"/>
              </w:rPr>
            </w:pPr>
          </w:p>
        </w:tc>
        <w:tc>
          <w:tcPr>
            <w:tcW w:w="1000" w:type="pct"/>
          </w:tcPr>
          <w:p w:rsidR="003B42AE" w:rsidRPr="00254541" w:rsidRDefault="003B42AE" w:rsidP="002630F6">
            <w:pPr>
              <w:rPr>
                <w:rFonts w:ascii="Arial" w:hAnsi="Arial" w:cs="Arial"/>
                <w:sz w:val="20"/>
              </w:rPr>
            </w:pPr>
            <w:r w:rsidRPr="00254541">
              <w:rPr>
                <w:rFonts w:ascii="Arial" w:hAnsi="Arial" w:cs="Arial"/>
                <w:sz w:val="20"/>
              </w:rPr>
              <w:t>En cours jusqu'à la COP 13</w:t>
            </w:r>
          </w:p>
        </w:tc>
        <w:tc>
          <w:tcPr>
            <w:tcW w:w="1000" w:type="pct"/>
          </w:tcPr>
          <w:p w:rsidR="003B42AE" w:rsidRPr="00254541" w:rsidRDefault="003B42AE" w:rsidP="002630F6">
            <w:pPr>
              <w:rPr>
                <w:rFonts w:ascii="Arial" w:hAnsi="Arial" w:cs="Arial"/>
                <w:sz w:val="20"/>
              </w:rPr>
            </w:pPr>
            <w:r w:rsidRPr="00254541">
              <w:rPr>
                <w:rFonts w:ascii="Arial" w:hAnsi="Arial" w:cs="Arial"/>
                <w:sz w:val="20"/>
              </w:rPr>
              <w:t>Achevé.</w:t>
            </w:r>
          </w:p>
          <w:p w:rsidR="003B42AE" w:rsidRPr="00254541" w:rsidRDefault="003B42AE" w:rsidP="002630F6">
            <w:pPr>
              <w:rPr>
                <w:rFonts w:ascii="Arial" w:hAnsi="Arial" w:cs="Arial"/>
                <w:sz w:val="20"/>
              </w:rPr>
            </w:pPr>
          </w:p>
          <w:p w:rsidR="003B42AE" w:rsidRPr="00254541" w:rsidRDefault="003B42AE" w:rsidP="002630F6">
            <w:pPr>
              <w:rPr>
                <w:rFonts w:ascii="Arial" w:hAnsi="Arial" w:cs="Arial"/>
                <w:sz w:val="20"/>
              </w:rPr>
            </w:pPr>
            <w:r w:rsidRPr="00254541">
              <w:rPr>
                <w:rFonts w:ascii="Arial" w:hAnsi="Arial" w:cs="Arial"/>
                <w:sz w:val="20"/>
              </w:rPr>
              <w:t xml:space="preserve">GFCM Engagée voir </w:t>
            </w:r>
            <w:proofErr w:type="spellStart"/>
            <w:r w:rsidRPr="00254541">
              <w:rPr>
                <w:rFonts w:ascii="Arial" w:hAnsi="Arial" w:cs="Arial"/>
                <w:sz w:val="20"/>
              </w:rPr>
              <w:t>Eels</w:t>
            </w:r>
            <w:proofErr w:type="spellEnd"/>
            <w:r w:rsidRPr="00254541">
              <w:rPr>
                <w:rFonts w:ascii="Arial" w:hAnsi="Arial" w:cs="Arial"/>
                <w:sz w:val="20"/>
              </w:rPr>
              <w:t xml:space="preserve"> 3 Rapport de la réunion</w:t>
            </w:r>
          </w:p>
          <w:p w:rsidR="003B42AE" w:rsidRPr="00254541" w:rsidRDefault="003B42AE" w:rsidP="002630F6">
            <w:pPr>
              <w:rPr>
                <w:rFonts w:ascii="Arial" w:hAnsi="Arial" w:cs="Arial"/>
                <w:sz w:val="20"/>
                <w:u w:val="single"/>
              </w:rPr>
            </w:pPr>
            <w:hyperlink r:id="rId29" w:history="1">
              <w:r w:rsidRPr="00254541">
                <w:rPr>
                  <w:rStyle w:val="Hyperlink"/>
                  <w:rFonts w:ascii="Arial" w:hAnsi="Arial" w:cs="Arial"/>
                  <w:sz w:val="20"/>
                </w:rPr>
                <w:t>UNEP/CMS/Eels3/Rapport</w:t>
              </w:r>
            </w:hyperlink>
          </w:p>
          <w:p w:rsidR="003B42AE" w:rsidRPr="00254541" w:rsidRDefault="003B42AE" w:rsidP="002630F6">
            <w:pPr>
              <w:rPr>
                <w:rFonts w:ascii="Arial" w:hAnsi="Arial" w:cs="Arial"/>
                <w:sz w:val="20"/>
              </w:rPr>
            </w:pPr>
          </w:p>
        </w:tc>
        <w:tc>
          <w:tcPr>
            <w:tcW w:w="1000" w:type="pct"/>
          </w:tcPr>
          <w:p w:rsidR="003B42AE" w:rsidRPr="00254541" w:rsidRDefault="003B42AE" w:rsidP="002630F6">
            <w:pPr>
              <w:rPr>
                <w:rFonts w:ascii="Arial" w:hAnsi="Arial" w:cs="Arial"/>
                <w:sz w:val="20"/>
              </w:rPr>
            </w:pPr>
          </w:p>
        </w:tc>
      </w:tr>
    </w:tbl>
    <w:p w:rsidR="003B42AE" w:rsidRPr="00896FBB" w:rsidRDefault="003B42AE" w:rsidP="003B42AE">
      <w:pPr>
        <w:widowControl w:val="0"/>
        <w:suppressAutoHyphens/>
        <w:autoSpaceDE w:val="0"/>
        <w:autoSpaceDN w:val="0"/>
        <w:spacing w:after="0" w:line="240" w:lineRule="auto"/>
        <w:jc w:val="both"/>
        <w:textAlignment w:val="baseline"/>
        <w:rPr>
          <w:rFonts w:eastAsia="Times New Roman" w:cs="Times New Roman"/>
          <w:b/>
          <w:shd w:val="clear" w:color="auto" w:fill="FFFF00"/>
          <w:lang w:val="fr-FR"/>
        </w:rPr>
      </w:pPr>
      <w:bookmarkStart w:id="1" w:name="_GoBack"/>
      <w:bookmarkEnd w:id="1"/>
    </w:p>
    <w:sectPr w:rsidR="003B42AE" w:rsidRPr="00896FBB" w:rsidSect="003B42AE">
      <w:headerReference w:type="first" r:id="rId30"/>
      <w:footerReference w:type="first" r:id="rId31"/>
      <w:pgSz w:w="16838" w:h="11906" w:orient="landscape"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663773"/>
      <w:docPartObj>
        <w:docPartGallery w:val="Page Numbers (Bottom of Page)"/>
        <w:docPartUnique/>
      </w:docPartObj>
    </w:sdtPr>
    <w:sdtEndPr>
      <w:rPr>
        <w:noProof/>
        <w:sz w:val="18"/>
        <w:szCs w:val="18"/>
      </w:rPr>
    </w:sdtEndPr>
    <w:sdtContent>
      <w:p w:rsidR="003B42AE" w:rsidRPr="003B42AE" w:rsidRDefault="003B42AE">
        <w:pPr>
          <w:pStyle w:val="Footer"/>
          <w:jc w:val="center"/>
          <w:rPr>
            <w:sz w:val="18"/>
            <w:szCs w:val="18"/>
          </w:rPr>
        </w:pPr>
        <w:r w:rsidRPr="003B42AE">
          <w:rPr>
            <w:sz w:val="18"/>
            <w:szCs w:val="18"/>
          </w:rPr>
          <w:fldChar w:fldCharType="begin"/>
        </w:r>
        <w:r w:rsidRPr="003B42AE">
          <w:rPr>
            <w:sz w:val="18"/>
            <w:szCs w:val="18"/>
          </w:rPr>
          <w:instrText xml:space="preserve"> PAGE   \* MERGEFORMAT </w:instrText>
        </w:r>
        <w:r w:rsidRPr="003B42AE">
          <w:rPr>
            <w:sz w:val="18"/>
            <w:szCs w:val="18"/>
          </w:rPr>
          <w:fldChar w:fldCharType="separate"/>
        </w:r>
        <w:r w:rsidRPr="003B42AE">
          <w:rPr>
            <w:noProof/>
            <w:sz w:val="18"/>
            <w:szCs w:val="18"/>
          </w:rPr>
          <w:t>2</w:t>
        </w:r>
        <w:r w:rsidRPr="003B42A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 w:id="1">
    <w:p w:rsidR="003B42AE" w:rsidRPr="00254541" w:rsidRDefault="003B42AE" w:rsidP="003B42AE">
      <w:pPr>
        <w:pStyle w:val="FootnoteText"/>
        <w:rPr>
          <w:rFonts w:cs="Arial"/>
          <w:sz w:val="16"/>
        </w:rPr>
      </w:pPr>
      <w:r w:rsidRPr="00254541">
        <w:rPr>
          <w:rStyle w:val="FootnoteReference"/>
          <w:rFonts w:cs="Arial"/>
          <w:sz w:val="16"/>
        </w:rPr>
        <w:footnoteRef/>
      </w:r>
      <w:r w:rsidRPr="00254541">
        <w:rPr>
          <w:rFonts w:cs="Arial"/>
          <w:sz w:val="16"/>
        </w:rPr>
        <w:t xml:space="preserve"> https://www.cms.int/en/document/outcomes-meeting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sidR="003B42AE">
      <w:rPr>
        <w:rFonts w:eastAsia="Arial" w:cs="Arial"/>
        <w:i/>
        <w:sz w:val="18"/>
        <w:szCs w:val="18"/>
        <w:lang w:val="fr-FR"/>
      </w:rPr>
      <w:t>.28.1.1</w:t>
    </w:r>
  </w:p>
  <w:p w:rsidR="00000000" w:rsidRDefault="00F256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sidR="003B42AE">
      <w:rPr>
        <w:rFonts w:eastAsia="Arial" w:cs="Arial"/>
        <w:i/>
        <w:sz w:val="18"/>
        <w:szCs w:val="18"/>
        <w:lang w:val="fr-FR"/>
      </w:rPr>
      <w:t>28.1.1</w:t>
    </w:r>
  </w:p>
  <w:p w:rsidR="00000000" w:rsidRDefault="00F256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2AE" w:rsidRPr="00EC2A58" w:rsidRDefault="003B42AE" w:rsidP="003B42AE">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Pr>
        <w:rFonts w:eastAsia="Arial" w:cs="Arial"/>
        <w:i/>
        <w:sz w:val="18"/>
        <w:szCs w:val="18"/>
        <w:lang w:val="fr-FR"/>
      </w:rPr>
      <w:t>28.1.1</w:t>
    </w:r>
  </w:p>
  <w:p w:rsidR="003B42AE" w:rsidRDefault="003B4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4"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605849C4"/>
    <w:multiLevelType w:val="hybridMultilevel"/>
    <w:tmpl w:val="5EF6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C0768"/>
    <w:multiLevelType w:val="hybridMultilevel"/>
    <w:tmpl w:val="368AD0B2"/>
    <w:lvl w:ilvl="0" w:tplc="2000000F">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8"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3"/>
  </w:num>
  <w:num w:numId="5">
    <w:abstractNumId w:val="0"/>
  </w:num>
  <w:num w:numId="6">
    <w:abstractNumId w:val="8"/>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F2EB4"/>
    <w:rsid w:val="0012615F"/>
    <w:rsid w:val="0026594E"/>
    <w:rsid w:val="00293B2E"/>
    <w:rsid w:val="003B42AE"/>
    <w:rsid w:val="004D2819"/>
    <w:rsid w:val="005330F7"/>
    <w:rsid w:val="00563598"/>
    <w:rsid w:val="00705C1D"/>
    <w:rsid w:val="00853DCA"/>
    <w:rsid w:val="00870459"/>
    <w:rsid w:val="00882CD0"/>
    <w:rsid w:val="00896FBB"/>
    <w:rsid w:val="008C067D"/>
    <w:rsid w:val="00A02506"/>
    <w:rsid w:val="00AB773C"/>
    <w:rsid w:val="00C771C2"/>
    <w:rsid w:val="00C87CA3"/>
    <w:rsid w:val="00D67AF1"/>
    <w:rsid w:val="00D71837"/>
    <w:rsid w:val="00EC2A5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EF71"/>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styleId="Hyperlink">
    <w:name w:val="Hyperlink"/>
    <w:basedOn w:val="DefaultParagraphFont"/>
    <w:rsid w:val="003B42AE"/>
    <w:rPr>
      <w:color w:val="0563C1"/>
      <w:u w:val="single"/>
    </w:rPr>
  </w:style>
  <w:style w:type="paragraph" w:styleId="FootnoteText">
    <w:name w:val="footnote text"/>
    <w:basedOn w:val="Normal"/>
    <w:link w:val="FootnoteTextChar"/>
    <w:uiPriority w:val="99"/>
    <w:semiHidden/>
    <w:unhideWhenUsed/>
    <w:rsid w:val="003B42AE"/>
    <w:pPr>
      <w:suppressAutoHyphens/>
      <w:autoSpaceDN w:val="0"/>
      <w:spacing w:after="0" w:line="240" w:lineRule="auto"/>
      <w:textAlignment w:val="baseline"/>
    </w:pPr>
    <w:rPr>
      <w:rFonts w:eastAsia="Calibri" w:cs="Times New Roman"/>
      <w:sz w:val="20"/>
      <w:szCs w:val="20"/>
      <w:lang w:val="fr-FR"/>
    </w:rPr>
  </w:style>
  <w:style w:type="character" w:customStyle="1" w:styleId="FootnoteTextChar">
    <w:name w:val="Footnote Text Char"/>
    <w:basedOn w:val="DefaultParagraphFont"/>
    <w:link w:val="FootnoteText"/>
    <w:uiPriority w:val="99"/>
    <w:semiHidden/>
    <w:rsid w:val="003B42AE"/>
    <w:rPr>
      <w:rFonts w:eastAsia="Calibri" w:cs="Times New Roman"/>
      <w:sz w:val="20"/>
      <w:szCs w:val="20"/>
      <w:lang w:val="fr-FR"/>
    </w:rPr>
  </w:style>
  <w:style w:type="character" w:styleId="FootnoteReference">
    <w:name w:val="footnote reference"/>
    <w:basedOn w:val="DefaultParagraphFont"/>
    <w:uiPriority w:val="99"/>
    <w:semiHidden/>
    <w:unhideWhenUsed/>
    <w:rsid w:val="003B42AE"/>
    <w:rPr>
      <w:vertAlign w:val="superscript"/>
    </w:rPr>
  </w:style>
  <w:style w:type="table" w:styleId="TableGrid">
    <w:name w:val="Table Grid"/>
    <w:basedOn w:val="TableNormal"/>
    <w:uiPriority w:val="39"/>
    <w:rsid w:val="003B42AE"/>
    <w:pPr>
      <w:spacing w:after="0" w:line="240" w:lineRule="auto"/>
    </w:pPr>
    <w:rPr>
      <w:rFonts w:asciiTheme="minorHAnsi" w:hAnsiTheme="minorHAns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sites/default/files/document/cms_eels2_outcome_e.pdf" TargetMode="External"/><Relationship Id="rId18" Type="http://schemas.openxmlformats.org/officeDocument/2006/relationships/footer" Target="footer1.xml"/><Relationship Id="rId26" Type="http://schemas.openxmlformats.org/officeDocument/2006/relationships/hyperlink" Target="https://www.cms.int/sites/default/files/document/CITES%20and%20Eels%20-%20Gaynor.pdf" TargetMode="External"/><Relationship Id="rId3" Type="http://schemas.openxmlformats.org/officeDocument/2006/relationships/settings" Target="settings.xml"/><Relationship Id="rId21" Type="http://schemas.openxmlformats.org/officeDocument/2006/relationships/hyperlink" Target="https://www.cms.int/sites/default/files/document/cms_eels2_report-complete_e.pdf" TargetMode="External"/><Relationship Id="rId7" Type="http://schemas.openxmlformats.org/officeDocument/2006/relationships/image" Target="media/image1.wmf"/><Relationship Id="rId12" Type="http://schemas.openxmlformats.org/officeDocument/2006/relationships/hyperlink" Target="https://www.cms.int/sites/default/files/document/cms_eels2_report-complete_e.pdf" TargetMode="External"/><Relationship Id="rId17" Type="http://schemas.openxmlformats.org/officeDocument/2006/relationships/header" Target="header2.xml"/><Relationship Id="rId25" Type="http://schemas.openxmlformats.org/officeDocument/2006/relationships/hyperlink" Target="https://www.cms.int/sites/default/files/document/cms_eels2_report-complete_e.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cms.int/sites/default/files/document/cms_eels3_meeting-report_e_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int/sites/default/files/document/cms_eels-ws1_doc-5_cop11-listing-proposal_e.pdf" TargetMode="External"/><Relationship Id="rId24" Type="http://schemas.openxmlformats.org/officeDocument/2006/relationships/hyperlink" Target="https://www.cms.int/en/document/european-eels-under-cms-virtu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ms.int/sites/default/files/document/cms_eels3_doc.2_draft-agreement_e.pdf" TargetMode="External"/><Relationship Id="rId23" Type="http://schemas.openxmlformats.org/officeDocument/2006/relationships/hyperlink" Target="https://www.cms.int/sites/default/files/document/cms_eels3_meeting-report_e_0.pdf" TargetMode="External"/><Relationship Id="rId28" Type="http://schemas.openxmlformats.org/officeDocument/2006/relationships/hyperlink" Target="https://www.cms.int/sites/default/files/document/cms_eels2_report-complete_e.pdf" TargetMode="External"/><Relationship Id="rId10" Type="http://schemas.openxmlformats.org/officeDocument/2006/relationships/hyperlink" Target="https://www.cms.int/sites/default/files/document/Report%20with%20outcome%20and%20participants%20list.pdf" TargetMode="External"/><Relationship Id="rId19" Type="http://schemas.openxmlformats.org/officeDocument/2006/relationships/footer" Target="footer2.xm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ms.int/sites/default/files/document/Report%20with%20outcome%20and%20participants%20list.pdf" TargetMode="External"/><Relationship Id="rId14" Type="http://schemas.openxmlformats.org/officeDocument/2006/relationships/hyperlink" Target="https://www.cms.int/sites/default/files/document/cms_eels3_meeting-report_e_0.pdf" TargetMode="External"/><Relationship Id="rId22" Type="http://schemas.openxmlformats.org/officeDocument/2006/relationships/hyperlink" Target="https://www.cms.int/sites/default/files/document/cms_eels2_outcome_e.pdf" TargetMode="External"/><Relationship Id="rId27" Type="http://schemas.openxmlformats.org/officeDocument/2006/relationships/hyperlink" Target="https://www.cms.int/sites/default/files/document/cms_eels2_report-complete_e.pdf" TargetMode="External"/><Relationship Id="rId30" Type="http://schemas.openxmlformats.org/officeDocument/2006/relationships/header" Target="header4.xml"/><Relationship Id="rId8" Type="http://schemas.openxmlformats.org/officeDocument/2006/relationships/hyperlink" Target="https://www.cms.int/en/document/concerted-action-european-eel-anguilla-anguilla"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1584</Words>
  <Characters>8813</Characters>
  <Application>Microsoft Office Word</Application>
  <DocSecurity>0</DocSecurity>
  <Lines>352</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2019-10-24T13:15:00Z</dcterms:created>
  <dcterms:modified xsi:type="dcterms:W3CDTF">2019-10-24T13:15:00Z</dcterms:modified>
</cp:coreProperties>
</file>