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rsidTr="00063C5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063C5C"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063C5C">
              <w:rPr>
                <w:rFonts w:eastAsia="Arial" w:cs="Arial"/>
                <w:lang w:val="en-GB"/>
              </w:rPr>
              <w:t>UNEP/CMS/COP13/Doc.</w:t>
            </w:r>
            <w:r w:rsidR="00C455B4" w:rsidRPr="00063C5C">
              <w:rPr>
                <w:rFonts w:eastAsia="Arial" w:cs="Arial"/>
                <w:lang w:val="en-GB"/>
              </w:rPr>
              <w:t>26.2.1</w:t>
            </w:r>
            <w:r w:rsidR="00063C5C" w:rsidRPr="00063C5C">
              <w:rPr>
                <w:rFonts w:eastAsia="Arial" w:cs="Arial"/>
                <w:lang w:val="en-GB"/>
              </w:rPr>
              <w:t>/Rev.1</w:t>
            </w:r>
          </w:p>
          <w:p w:rsidR="00EC2A58" w:rsidRPr="00A02506" w:rsidRDefault="00063C5C"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19 novembre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C455B4">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C455B4" w:rsidRPr="00063C5C" w:rsidRDefault="00C455B4" w:rsidP="00C455B4">
      <w:pPr>
        <w:widowControl w:val="0"/>
        <w:suppressAutoHyphens/>
        <w:autoSpaceDE w:val="0"/>
        <w:autoSpaceDN w:val="0"/>
        <w:spacing w:after="0" w:line="240" w:lineRule="auto"/>
        <w:textAlignment w:val="baseline"/>
        <w:rPr>
          <w:rFonts w:eastAsia="Times New Roman" w:cs="Arial"/>
          <w:lang w:val="fr-FR"/>
        </w:rPr>
      </w:pPr>
    </w:p>
    <w:p w:rsidR="00C455B4" w:rsidRPr="00C455B4" w:rsidRDefault="00C455B4" w:rsidP="00C455B4">
      <w:pPr>
        <w:spacing w:after="120" w:line="240" w:lineRule="auto"/>
        <w:jc w:val="center"/>
        <w:rPr>
          <w:rFonts w:cs="Arial"/>
          <w:b/>
          <w:noProof/>
          <w:lang w:val="fr-FR"/>
        </w:rPr>
      </w:pPr>
      <w:r w:rsidRPr="00C455B4">
        <w:rPr>
          <w:rFonts w:cs="Arial"/>
          <w:b/>
          <w:lang w:val="fr-FR"/>
        </w:rPr>
        <w:t xml:space="preserve">MESURES DE CONSERVATION PERTINENTES POUR LES ESPÈCES INSCRITES </w:t>
      </w:r>
      <w:r>
        <w:rPr>
          <w:rFonts w:cs="Arial"/>
          <w:b/>
          <w:lang w:val="fr-FR"/>
        </w:rPr>
        <w:t xml:space="preserve">AUX ANNEXES DE LA </w:t>
      </w:r>
      <w:r w:rsidRPr="00C455B4">
        <w:rPr>
          <w:rFonts w:cs="Arial"/>
          <w:b/>
          <w:lang w:val="fr-FR"/>
        </w:rPr>
        <w:t>CMS QUI RESSORTENT DE L'IDENTIFICATION DE ZONES IMPORTANTES POUR LES MAMMIFÈRES MARINS (</w:t>
      </w:r>
      <w:r w:rsidR="00DC60CA">
        <w:rPr>
          <w:rFonts w:cs="Arial"/>
          <w:b/>
          <w:lang w:val="fr-FR"/>
        </w:rPr>
        <w:t>AIMM</w:t>
      </w:r>
      <w:r w:rsidRPr="00C455B4">
        <w:rPr>
          <w:rFonts w:cs="Arial"/>
          <w:b/>
          <w:lang w:val="fr-FR"/>
        </w:rPr>
        <w:t>)</w:t>
      </w:r>
    </w:p>
    <w:p w:rsidR="00C455B4" w:rsidRPr="00C455B4" w:rsidRDefault="00C455B4" w:rsidP="00C455B4">
      <w:pPr>
        <w:widowControl w:val="0"/>
        <w:suppressAutoHyphens/>
        <w:autoSpaceDE w:val="0"/>
        <w:autoSpaceDN w:val="0"/>
        <w:spacing w:after="0" w:line="240" w:lineRule="auto"/>
        <w:jc w:val="center"/>
        <w:textAlignment w:val="baseline"/>
        <w:rPr>
          <w:rFonts w:eastAsia="Times New Roman" w:cs="Arial"/>
          <w:i/>
          <w:lang w:val="fr-FR"/>
        </w:rPr>
      </w:pPr>
      <w:r w:rsidRPr="00C455B4">
        <w:rPr>
          <w:rFonts w:eastAsia="Times New Roman" w:cs="Arial"/>
          <w:i/>
          <w:lang w:val="fr-FR"/>
        </w:rPr>
        <w:t xml:space="preserve">(Préparé par le </w:t>
      </w:r>
      <w:r w:rsidRPr="00C455B4">
        <w:rPr>
          <w:rFonts w:cs="Arial"/>
          <w:i/>
          <w:iCs/>
          <w:lang w:val="fr-FR"/>
        </w:rPr>
        <w:t>Conseil scientifique</w:t>
      </w:r>
      <w:r w:rsidRPr="00C455B4">
        <w:rPr>
          <w:rFonts w:eastAsia="Times New Roman" w:cs="Arial"/>
          <w:i/>
          <w:lang w:val="fr-FR"/>
        </w:rPr>
        <w:t>)</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32282B" w:rsidRDefault="0032282B"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32282B" w:rsidRDefault="0032282B"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148590</wp:posOffset>
                </wp:positionV>
                <wp:extent cx="4304666" cy="20669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066925"/>
                        </a:xfrm>
                        <a:prstGeom prst="rect">
                          <a:avLst/>
                        </a:prstGeom>
                        <a:solidFill>
                          <a:srgbClr val="FFFFFF"/>
                        </a:solidFill>
                        <a:ln w="3172">
                          <a:solidFill>
                            <a:srgbClr val="000000"/>
                          </a:solidFill>
                          <a:prstDash val="solid"/>
                        </a:ln>
                      </wps:spPr>
                      <wps:txbx>
                        <w:txbxContent>
                          <w:p w:rsidR="00EC2A58" w:rsidRPr="00063C5C"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C455B4" w:rsidRPr="00C455B4" w:rsidRDefault="00C455B4" w:rsidP="00C455B4">
                            <w:pPr>
                              <w:spacing w:after="0" w:line="240" w:lineRule="auto"/>
                              <w:jc w:val="both"/>
                              <w:rPr>
                                <w:rFonts w:cs="Arial"/>
                                <w:lang w:val="fr-FR"/>
                              </w:rPr>
                            </w:pPr>
                            <w:r w:rsidRPr="00C455B4">
                              <w:rPr>
                                <w:rFonts w:cs="Arial"/>
                                <w:lang w:val="fr-FR"/>
                              </w:rPr>
                              <w:t xml:space="preserve">Le présent document </w:t>
                            </w:r>
                            <w:r>
                              <w:rPr>
                                <w:rFonts w:cs="Arial"/>
                                <w:lang w:val="fr-FR"/>
                              </w:rPr>
                              <w:t>rend compte des</w:t>
                            </w:r>
                            <w:r w:rsidRPr="00C455B4">
                              <w:rPr>
                                <w:rFonts w:cs="Arial"/>
                                <w:lang w:val="fr-FR"/>
                              </w:rPr>
                              <w:t xml:space="preserve"> progrès </w:t>
                            </w:r>
                            <w:r>
                              <w:rPr>
                                <w:rFonts w:cs="Arial"/>
                                <w:lang w:val="fr-FR"/>
                              </w:rPr>
                              <w:t>accomplis</w:t>
                            </w:r>
                            <w:r w:rsidRPr="00C455B4">
                              <w:rPr>
                                <w:rFonts w:cs="Arial"/>
                                <w:lang w:val="fr-FR"/>
                              </w:rPr>
                              <w:t xml:space="preserve"> dans la mise en œuvre des </w:t>
                            </w:r>
                            <w:r>
                              <w:rPr>
                                <w:rFonts w:cs="Arial"/>
                                <w:lang w:val="fr-FR"/>
                              </w:rPr>
                              <w:t>D</w:t>
                            </w:r>
                            <w:r w:rsidRPr="00C455B4">
                              <w:rPr>
                                <w:rFonts w:cs="Arial"/>
                                <w:lang w:val="fr-FR"/>
                              </w:rPr>
                              <w:t xml:space="preserve">écisions 12.40 et 12.41 </w:t>
                            </w:r>
                            <w:r w:rsidRPr="00C455B4">
                              <w:rPr>
                                <w:rFonts w:cs="Arial"/>
                                <w:i/>
                                <w:lang w:val="fr-FR"/>
                              </w:rPr>
                              <w:t>Aires importantes pour les mammifères marins (</w:t>
                            </w:r>
                            <w:r>
                              <w:rPr>
                                <w:rFonts w:cs="Arial"/>
                                <w:i/>
                                <w:lang w:val="fr-FR"/>
                              </w:rPr>
                              <w:t>AIMM</w:t>
                            </w:r>
                            <w:r w:rsidRPr="00C455B4">
                              <w:rPr>
                                <w:rFonts w:cs="Arial"/>
                                <w:lang w:val="fr-FR"/>
                              </w:rPr>
                              <w:t xml:space="preserve">). Il contient un rapport du Groupe de travail de l'UICN sur les aires marines protégées pour les mammifères marins sur les activités relatives à l'identification des </w:t>
                            </w:r>
                            <w:r w:rsidR="0032282B">
                              <w:rPr>
                                <w:rFonts w:cs="Arial"/>
                                <w:lang w:val="fr-FR"/>
                              </w:rPr>
                              <w:t>AIMM</w:t>
                            </w:r>
                            <w:r w:rsidRPr="00C455B4">
                              <w:rPr>
                                <w:rFonts w:cs="Arial"/>
                                <w:lang w:val="fr-FR"/>
                              </w:rPr>
                              <w:t xml:space="preserve"> entreprises depuis la COP12 de la CMS et </w:t>
                            </w:r>
                            <w:r w:rsidR="0032282B">
                              <w:rPr>
                                <w:rFonts w:cs="Arial"/>
                                <w:lang w:val="fr-FR"/>
                              </w:rPr>
                              <w:t>un</w:t>
                            </w:r>
                            <w:r w:rsidRPr="00C455B4">
                              <w:rPr>
                                <w:rFonts w:cs="Arial"/>
                                <w:lang w:val="fr-FR"/>
                              </w:rPr>
                              <w:t xml:space="preserve"> projet de </w:t>
                            </w:r>
                            <w:r w:rsidR="0032282B">
                              <w:rPr>
                                <w:rFonts w:cs="Arial"/>
                                <w:lang w:val="fr-FR"/>
                              </w:rPr>
                              <w:t>D</w:t>
                            </w:r>
                            <w:r w:rsidRPr="00C455B4">
                              <w:rPr>
                                <w:rFonts w:cs="Arial"/>
                                <w:lang w:val="fr-FR"/>
                              </w:rPr>
                              <w:t>écisions pour adoption.</w:t>
                            </w:r>
                            <w:r w:rsidR="00063C5C">
                              <w:rPr>
                                <w:rFonts w:cs="Arial"/>
                                <w:lang w:val="fr-FR"/>
                              </w:rPr>
                              <w:t xml:space="preserve"> </w:t>
                            </w:r>
                            <w:r w:rsidR="00063C5C" w:rsidRPr="002167B4">
                              <w:rPr>
                                <w:rFonts w:cs="Arial"/>
                                <w:lang w:val="fr-FR"/>
                              </w:rPr>
                              <w:t>.</w:t>
                            </w:r>
                            <w:r w:rsidR="00063C5C">
                              <w:rPr>
                                <w:rFonts w:cs="Arial"/>
                                <w:lang w:val="fr-FR"/>
                              </w:rPr>
                              <w:t xml:space="preserve"> </w:t>
                            </w:r>
                            <w:r w:rsidR="00063C5C" w:rsidRPr="0079541D">
                              <w:rPr>
                                <w:rFonts w:cs="Arial"/>
                                <w:lang w:val="fr-FR"/>
                              </w:rPr>
                              <w:t>Il a été révisé par le Comité de session du Conseil scientifique à sa 4</w:t>
                            </w:r>
                            <w:r w:rsidR="00063C5C" w:rsidRPr="0079541D">
                              <w:rPr>
                                <w:rFonts w:cs="Arial"/>
                                <w:vertAlign w:val="superscript"/>
                                <w:lang w:val="fr-FR"/>
                              </w:rPr>
                              <w:t>e</w:t>
                            </w:r>
                            <w:r w:rsidR="00063C5C" w:rsidRPr="0079541D">
                              <w:rPr>
                                <w:rFonts w:cs="Arial"/>
                                <w:lang w:val="fr-FR"/>
                              </w:rPr>
                              <w:t xml:space="preserve"> session en novembre 2019</w:t>
                            </w:r>
                            <w:r w:rsidR="00063C5C">
                              <w:rPr>
                                <w:rFonts w:cs="Arial"/>
                                <w:lang w:val="fr-FR"/>
                              </w:rPr>
                              <w:t>, voir deux additions de texte dans les Décisions page 8.</w:t>
                            </w:r>
                          </w:p>
                          <w:p w:rsidR="00C455B4" w:rsidRDefault="00C455B4" w:rsidP="00C455B4">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7pt;width:338.95pt;height:16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" strokeweight=".08811mm">
                <v:textbox>
                  <w:txbxContent>
                    <w:p w:rsidR="00EC2A58" w:rsidRPr="00063C5C"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C455B4" w:rsidRPr="00C455B4" w:rsidRDefault="00C455B4" w:rsidP="00C455B4">
                      <w:pPr>
                        <w:spacing w:after="0" w:line="240" w:lineRule="auto"/>
                        <w:jc w:val="both"/>
                        <w:rPr>
                          <w:rFonts w:cs="Arial"/>
                          <w:lang w:val="fr-FR"/>
                        </w:rPr>
                      </w:pPr>
                      <w:r w:rsidRPr="00C455B4">
                        <w:rPr>
                          <w:rFonts w:cs="Arial"/>
                          <w:lang w:val="fr-FR"/>
                        </w:rPr>
                        <w:t xml:space="preserve">Le présent document </w:t>
                      </w:r>
                      <w:r>
                        <w:rPr>
                          <w:rFonts w:cs="Arial"/>
                          <w:lang w:val="fr-FR"/>
                        </w:rPr>
                        <w:t>rend compte des</w:t>
                      </w:r>
                      <w:r w:rsidRPr="00C455B4">
                        <w:rPr>
                          <w:rFonts w:cs="Arial"/>
                          <w:lang w:val="fr-FR"/>
                        </w:rPr>
                        <w:t xml:space="preserve"> progrès </w:t>
                      </w:r>
                      <w:r>
                        <w:rPr>
                          <w:rFonts w:cs="Arial"/>
                          <w:lang w:val="fr-FR"/>
                        </w:rPr>
                        <w:t>accomplis</w:t>
                      </w:r>
                      <w:r w:rsidRPr="00C455B4">
                        <w:rPr>
                          <w:rFonts w:cs="Arial"/>
                          <w:lang w:val="fr-FR"/>
                        </w:rPr>
                        <w:t xml:space="preserve"> dans la mise en œuvre des </w:t>
                      </w:r>
                      <w:r>
                        <w:rPr>
                          <w:rFonts w:cs="Arial"/>
                          <w:lang w:val="fr-FR"/>
                        </w:rPr>
                        <w:t>D</w:t>
                      </w:r>
                      <w:r w:rsidRPr="00C455B4">
                        <w:rPr>
                          <w:rFonts w:cs="Arial"/>
                          <w:lang w:val="fr-FR"/>
                        </w:rPr>
                        <w:t xml:space="preserve">écisions 12.40 et 12.41 </w:t>
                      </w:r>
                      <w:r w:rsidRPr="00C455B4">
                        <w:rPr>
                          <w:rFonts w:cs="Arial"/>
                          <w:i/>
                          <w:lang w:val="fr-FR"/>
                        </w:rPr>
                        <w:t>Aires importantes pour les mammifères marins (</w:t>
                      </w:r>
                      <w:r>
                        <w:rPr>
                          <w:rFonts w:cs="Arial"/>
                          <w:i/>
                          <w:lang w:val="fr-FR"/>
                        </w:rPr>
                        <w:t>AIMM</w:t>
                      </w:r>
                      <w:r w:rsidRPr="00C455B4">
                        <w:rPr>
                          <w:rFonts w:cs="Arial"/>
                          <w:lang w:val="fr-FR"/>
                        </w:rPr>
                        <w:t xml:space="preserve">). Il contient un rapport du Groupe de travail de l'UICN sur les aires marines protégées pour les mammifères marins sur les activités relatives à l'identification des </w:t>
                      </w:r>
                      <w:r w:rsidR="0032282B">
                        <w:rPr>
                          <w:rFonts w:cs="Arial"/>
                          <w:lang w:val="fr-FR"/>
                        </w:rPr>
                        <w:t>AIMM</w:t>
                      </w:r>
                      <w:r w:rsidRPr="00C455B4">
                        <w:rPr>
                          <w:rFonts w:cs="Arial"/>
                          <w:lang w:val="fr-FR"/>
                        </w:rPr>
                        <w:t xml:space="preserve"> entreprises depuis la COP12 de la CMS et </w:t>
                      </w:r>
                      <w:r w:rsidR="0032282B">
                        <w:rPr>
                          <w:rFonts w:cs="Arial"/>
                          <w:lang w:val="fr-FR"/>
                        </w:rPr>
                        <w:t>un</w:t>
                      </w:r>
                      <w:r w:rsidRPr="00C455B4">
                        <w:rPr>
                          <w:rFonts w:cs="Arial"/>
                          <w:lang w:val="fr-FR"/>
                        </w:rPr>
                        <w:t xml:space="preserve"> projet de </w:t>
                      </w:r>
                      <w:r w:rsidR="0032282B">
                        <w:rPr>
                          <w:rFonts w:cs="Arial"/>
                          <w:lang w:val="fr-FR"/>
                        </w:rPr>
                        <w:t>D</w:t>
                      </w:r>
                      <w:r w:rsidRPr="00C455B4">
                        <w:rPr>
                          <w:rFonts w:cs="Arial"/>
                          <w:lang w:val="fr-FR"/>
                        </w:rPr>
                        <w:t>écisions pour adoption.</w:t>
                      </w:r>
                      <w:r w:rsidR="00063C5C">
                        <w:rPr>
                          <w:rFonts w:cs="Arial"/>
                          <w:lang w:val="fr-FR"/>
                        </w:rPr>
                        <w:t xml:space="preserve"> </w:t>
                      </w:r>
                      <w:r w:rsidR="00063C5C" w:rsidRPr="002167B4">
                        <w:rPr>
                          <w:rFonts w:cs="Arial"/>
                          <w:lang w:val="fr-FR"/>
                        </w:rPr>
                        <w:t>.</w:t>
                      </w:r>
                      <w:r w:rsidR="00063C5C">
                        <w:rPr>
                          <w:rFonts w:cs="Arial"/>
                          <w:lang w:val="fr-FR"/>
                        </w:rPr>
                        <w:t xml:space="preserve"> </w:t>
                      </w:r>
                      <w:r w:rsidR="00063C5C" w:rsidRPr="0079541D">
                        <w:rPr>
                          <w:rFonts w:cs="Arial"/>
                          <w:lang w:val="fr-FR"/>
                        </w:rPr>
                        <w:t>Il a été révisé par le Comité de session du Conseil scientifique à sa 4</w:t>
                      </w:r>
                      <w:r w:rsidR="00063C5C" w:rsidRPr="0079541D">
                        <w:rPr>
                          <w:rFonts w:cs="Arial"/>
                          <w:vertAlign w:val="superscript"/>
                          <w:lang w:val="fr-FR"/>
                        </w:rPr>
                        <w:t>e</w:t>
                      </w:r>
                      <w:r w:rsidR="00063C5C" w:rsidRPr="0079541D">
                        <w:rPr>
                          <w:rFonts w:cs="Arial"/>
                          <w:lang w:val="fr-FR"/>
                        </w:rPr>
                        <w:t xml:space="preserve"> session en novembre 2019</w:t>
                      </w:r>
                      <w:r w:rsidR="00063C5C">
                        <w:rPr>
                          <w:rFonts w:cs="Arial"/>
                          <w:lang w:val="fr-FR"/>
                        </w:rPr>
                        <w:t>, voir deux additions de texte dans les Décisions page 8.</w:t>
                      </w:r>
                    </w:p>
                    <w:p w:rsidR="00C455B4" w:rsidRDefault="00C455B4" w:rsidP="00C455B4">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C455B4" w:rsidRPr="00C455B4" w:rsidRDefault="00C455B4" w:rsidP="00C455B4">
      <w:pPr>
        <w:spacing w:after="0" w:line="240" w:lineRule="auto"/>
        <w:jc w:val="center"/>
        <w:rPr>
          <w:rFonts w:cs="Arial"/>
          <w:b/>
          <w:noProof/>
          <w:lang w:val="fr-FR"/>
        </w:rPr>
      </w:pPr>
      <w:r w:rsidRPr="00C455B4">
        <w:rPr>
          <w:rFonts w:cs="Arial"/>
          <w:b/>
          <w:lang w:val="fr-FR"/>
        </w:rPr>
        <w:lastRenderedPageBreak/>
        <w:t xml:space="preserve">MESURES DE CONSERVATION PERTINENTES POUR LES ESPÈCES INSCRITES </w:t>
      </w:r>
      <w:r>
        <w:rPr>
          <w:rFonts w:cs="Arial"/>
          <w:b/>
          <w:lang w:val="fr-FR"/>
        </w:rPr>
        <w:t xml:space="preserve">AUX ANNEXES DE LA </w:t>
      </w:r>
      <w:r w:rsidRPr="00C455B4">
        <w:rPr>
          <w:rFonts w:cs="Arial"/>
          <w:b/>
          <w:lang w:val="fr-FR"/>
        </w:rPr>
        <w:t>CMS QUI RESSORTENT DE L'IDENTIFICATION DE ZONES IMPORTANTES POUR LES MAMMIFÈRES MARINS (</w:t>
      </w:r>
      <w:r w:rsidR="00DC60CA">
        <w:rPr>
          <w:rFonts w:cs="Arial"/>
          <w:b/>
          <w:lang w:val="fr-FR"/>
        </w:rPr>
        <w:t>AIMM</w:t>
      </w:r>
      <w:r w:rsidRPr="00C455B4">
        <w:rPr>
          <w:rFonts w:cs="Arial"/>
          <w:b/>
          <w:lang w:val="fr-FR"/>
        </w:rPr>
        <w:t>)</w:t>
      </w:r>
    </w:p>
    <w:p w:rsidR="00C455B4" w:rsidRPr="00C455B4" w:rsidRDefault="00C455B4" w:rsidP="00C455B4">
      <w:pPr>
        <w:suppressAutoHyphens/>
        <w:autoSpaceDN w:val="0"/>
        <w:spacing w:after="0" w:line="240" w:lineRule="auto"/>
        <w:textAlignment w:val="baseline"/>
        <w:rPr>
          <w:rFonts w:eastAsia="Calibri" w:cs="Arial"/>
          <w:lang w:val="fr-FR"/>
        </w:rPr>
      </w:pPr>
    </w:p>
    <w:p w:rsidR="00C455B4" w:rsidRPr="00C455B4" w:rsidRDefault="00C455B4" w:rsidP="00C455B4">
      <w:pPr>
        <w:suppressAutoHyphens/>
        <w:autoSpaceDN w:val="0"/>
        <w:spacing w:after="0" w:line="240" w:lineRule="auto"/>
        <w:textAlignment w:val="baseline"/>
        <w:rPr>
          <w:rFonts w:eastAsia="Calibri" w:cs="Arial"/>
          <w:lang w:val="fr-FR"/>
        </w:rPr>
      </w:pPr>
    </w:p>
    <w:p w:rsidR="00C455B4" w:rsidRPr="00F90283" w:rsidRDefault="00C455B4" w:rsidP="0032282B">
      <w:pPr>
        <w:suppressAutoHyphens/>
        <w:autoSpaceDN w:val="0"/>
        <w:spacing w:after="0" w:line="240" w:lineRule="auto"/>
        <w:textAlignment w:val="baseline"/>
        <w:rPr>
          <w:rFonts w:eastAsia="Calibri" w:cs="Arial"/>
          <w:u w:val="single"/>
        </w:rPr>
      </w:pPr>
      <w:proofErr w:type="spellStart"/>
      <w:r w:rsidRPr="00F90283">
        <w:rPr>
          <w:rFonts w:eastAsia="Calibri" w:cs="Arial"/>
          <w:u w:val="single"/>
        </w:rPr>
        <w:t>Contexte</w:t>
      </w:r>
      <w:proofErr w:type="spellEnd"/>
    </w:p>
    <w:p w:rsidR="00C455B4" w:rsidRPr="00F90283" w:rsidRDefault="00C455B4" w:rsidP="0032282B">
      <w:pPr>
        <w:pStyle w:val="ListParagraph"/>
        <w:spacing w:after="0" w:line="240" w:lineRule="auto"/>
        <w:ind w:left="540"/>
        <w:contextualSpacing w:val="0"/>
      </w:pPr>
    </w:p>
    <w:p w:rsidR="00C455B4" w:rsidRPr="00C455B4" w:rsidRDefault="00C455B4" w:rsidP="0032282B">
      <w:pPr>
        <w:pStyle w:val="ListParagraph"/>
        <w:numPr>
          <w:ilvl w:val="0"/>
          <w:numId w:val="8"/>
        </w:numPr>
        <w:spacing w:after="0" w:line="240" w:lineRule="auto"/>
        <w:ind w:left="567" w:hanging="567"/>
        <w:contextualSpacing w:val="0"/>
        <w:jc w:val="both"/>
        <w:rPr>
          <w:lang w:val="fr-FR"/>
        </w:rPr>
      </w:pPr>
      <w:r w:rsidRPr="00C455B4">
        <w:rPr>
          <w:lang w:val="fr-FR"/>
        </w:rPr>
        <w:t>Lors de sa 12</w:t>
      </w:r>
      <w:r w:rsidRPr="00C455B4">
        <w:rPr>
          <w:vertAlign w:val="superscript"/>
          <w:lang w:val="fr-FR"/>
        </w:rPr>
        <w:t>e</w:t>
      </w:r>
      <w:r w:rsidRPr="00C455B4">
        <w:rPr>
          <w:lang w:val="fr-FR"/>
        </w:rPr>
        <w:t xml:space="preserve"> réunion (COP12, Manille, 2017), la Conférence des Parties a adopté les Décisions 12.40 à 12.41 relatives aux zones importantes pour les mammifères marins (</w:t>
      </w:r>
      <w:r w:rsidR="0032282B">
        <w:rPr>
          <w:lang w:val="fr-FR"/>
        </w:rPr>
        <w:t>AIMM</w:t>
      </w:r>
      <w:r w:rsidRPr="00C455B4">
        <w:rPr>
          <w:lang w:val="fr-FR"/>
        </w:rPr>
        <w:t xml:space="preserve">) comme suit: </w:t>
      </w:r>
    </w:p>
    <w:p w:rsidR="00C455B4" w:rsidRPr="00C455B4" w:rsidRDefault="00C455B4" w:rsidP="0032282B">
      <w:pPr>
        <w:pStyle w:val="ListParagraph"/>
        <w:spacing w:after="0" w:line="240" w:lineRule="auto"/>
        <w:ind w:left="540"/>
        <w:contextualSpacing w:val="0"/>
        <w:rPr>
          <w:lang w:val="fr-FR"/>
        </w:rPr>
      </w:pPr>
    </w:p>
    <w:p w:rsidR="00C455B4" w:rsidRPr="00C455B4" w:rsidRDefault="00C455B4" w:rsidP="0032282B">
      <w:pPr>
        <w:pStyle w:val="ListParagraph"/>
        <w:spacing w:after="0" w:line="240" w:lineRule="auto"/>
        <w:ind w:left="540"/>
        <w:contextualSpacing w:val="0"/>
        <w:rPr>
          <w:b/>
          <w:i/>
          <w:sz w:val="20"/>
          <w:lang w:val="fr-FR"/>
        </w:rPr>
      </w:pPr>
      <w:r w:rsidRPr="00C455B4">
        <w:rPr>
          <w:b/>
          <w:i/>
          <w:sz w:val="20"/>
          <w:lang w:val="fr-FR"/>
        </w:rPr>
        <w:t>12.40</w:t>
      </w:r>
      <w:r w:rsidRPr="00C455B4">
        <w:rPr>
          <w:b/>
          <w:i/>
          <w:sz w:val="20"/>
          <w:lang w:val="fr-FR"/>
        </w:rPr>
        <w:tab/>
        <w:t xml:space="preserve">À l’adresse du Conseil scientifique </w:t>
      </w:r>
    </w:p>
    <w:p w:rsidR="00C455B4" w:rsidRPr="00C455B4" w:rsidRDefault="00C455B4" w:rsidP="0032282B">
      <w:pPr>
        <w:pStyle w:val="ListParagraph"/>
        <w:spacing w:after="0" w:line="240" w:lineRule="auto"/>
        <w:ind w:left="540"/>
        <w:contextualSpacing w:val="0"/>
        <w:rPr>
          <w:i/>
          <w:sz w:val="20"/>
          <w:lang w:val="fr-FR"/>
        </w:rPr>
      </w:pPr>
    </w:p>
    <w:p w:rsidR="00C455B4" w:rsidRDefault="00C455B4" w:rsidP="0032282B">
      <w:pPr>
        <w:spacing w:after="0" w:line="240" w:lineRule="auto"/>
        <w:ind w:left="720" w:firstLine="720"/>
        <w:rPr>
          <w:rFonts w:eastAsia="Times New Roman" w:cs="Arial"/>
          <w:i/>
          <w:sz w:val="20"/>
          <w:lang w:val="fr-FR"/>
        </w:rPr>
      </w:pPr>
      <w:r w:rsidRPr="00C455B4">
        <w:rPr>
          <w:rFonts w:eastAsia="Times New Roman" w:cs="Arial"/>
          <w:i/>
          <w:sz w:val="20"/>
          <w:lang w:val="fr-FR"/>
        </w:rPr>
        <w:t>Le Conseil scientifique devrait:</w:t>
      </w:r>
    </w:p>
    <w:p w:rsidR="0032282B" w:rsidRPr="00C455B4" w:rsidRDefault="0032282B" w:rsidP="0032282B">
      <w:pPr>
        <w:spacing w:after="0" w:line="240" w:lineRule="auto"/>
        <w:ind w:left="720" w:firstLine="720"/>
        <w:rPr>
          <w:rFonts w:eastAsia="Times New Roman" w:cs="Arial"/>
          <w:i/>
          <w:sz w:val="20"/>
          <w:lang w:val="fr-FR"/>
        </w:rPr>
      </w:pPr>
    </w:p>
    <w:p w:rsidR="00C455B4" w:rsidRPr="0032282B" w:rsidRDefault="0032282B" w:rsidP="0032282B">
      <w:pPr>
        <w:pStyle w:val="ListParagraph"/>
        <w:numPr>
          <w:ilvl w:val="0"/>
          <w:numId w:val="11"/>
        </w:numPr>
        <w:spacing w:after="0" w:line="240" w:lineRule="auto"/>
        <w:contextualSpacing w:val="0"/>
        <w:jc w:val="both"/>
        <w:rPr>
          <w:rFonts w:eastAsia="Times New Roman" w:cs="Arial"/>
          <w:i/>
          <w:sz w:val="20"/>
          <w:szCs w:val="20"/>
          <w:lang w:val="fr-FR"/>
        </w:rPr>
      </w:pPr>
      <w:r w:rsidRPr="0032282B">
        <w:rPr>
          <w:rFonts w:cs="Arial"/>
          <w:i/>
          <w:iCs/>
          <w:sz w:val="20"/>
          <w:szCs w:val="20"/>
          <w:lang w:val="fr-FR"/>
        </w:rPr>
        <w:t>Collaborer avec l’Équipe de travail conjointe de l’UICN Commission de survie des espèces /Commission mondiale sur les aires protégées (SSC/WPCA) sur les aires protégées pour les mammifères marins afin d’inclure des données sur les pinnipèdes, siréniens, loutres, ours polaires et cétacés inscrits aux annexes de la CMS dans l’identification des AIMM ;</w:t>
      </w:r>
    </w:p>
    <w:p w:rsidR="0032282B" w:rsidRPr="0032282B" w:rsidRDefault="0032282B" w:rsidP="0032282B">
      <w:pPr>
        <w:pStyle w:val="ListParagraph"/>
        <w:spacing w:after="0" w:line="240" w:lineRule="auto"/>
        <w:ind w:left="1800"/>
        <w:contextualSpacing w:val="0"/>
        <w:jc w:val="both"/>
        <w:rPr>
          <w:rFonts w:eastAsia="Times New Roman" w:cs="Arial"/>
          <w:i/>
          <w:sz w:val="20"/>
          <w:szCs w:val="20"/>
          <w:lang w:val="fr-FR"/>
        </w:rPr>
      </w:pPr>
    </w:p>
    <w:p w:rsidR="00C455B4" w:rsidRPr="0032282B" w:rsidRDefault="0032282B" w:rsidP="0032282B">
      <w:pPr>
        <w:pStyle w:val="ListParagraph"/>
        <w:numPr>
          <w:ilvl w:val="0"/>
          <w:numId w:val="11"/>
        </w:numPr>
        <w:spacing w:after="0" w:line="240" w:lineRule="auto"/>
        <w:contextualSpacing w:val="0"/>
        <w:jc w:val="both"/>
        <w:rPr>
          <w:rFonts w:eastAsia="Times New Roman" w:cs="Arial"/>
          <w:i/>
          <w:sz w:val="20"/>
          <w:szCs w:val="20"/>
          <w:lang w:val="fr-FR"/>
        </w:rPr>
      </w:pPr>
      <w:r w:rsidRPr="0032282B">
        <w:rPr>
          <w:rFonts w:eastAsia="Calibri" w:cs="Arial"/>
          <w:i/>
          <w:iCs/>
          <w:sz w:val="20"/>
          <w:szCs w:val="20"/>
          <w:lang w:val="fr-FR"/>
        </w:rPr>
        <w:t>Sur réception des recommandations du Groupe de travail conjoint UICN SSC/WPCA sur les aires marines protégées concernant les AIMM nouvellement identifiées, examiner leur pertinence pour les espèces inscrites à la CMS, examiner les contributions reçues des Parties et fournir des conseils sur les mesures de conservation</w:t>
      </w:r>
      <w:r w:rsidR="00C455B4" w:rsidRPr="0032282B">
        <w:rPr>
          <w:rFonts w:eastAsia="Times New Roman" w:cs="Arial"/>
          <w:i/>
          <w:sz w:val="20"/>
          <w:szCs w:val="20"/>
          <w:lang w:val="fr-FR"/>
        </w:rPr>
        <w:t>.</w:t>
      </w:r>
    </w:p>
    <w:p w:rsidR="00C455B4" w:rsidRPr="00C455B4" w:rsidRDefault="00C455B4" w:rsidP="0032282B">
      <w:pPr>
        <w:pStyle w:val="ListParagraph"/>
        <w:spacing w:after="0" w:line="240" w:lineRule="auto"/>
        <w:ind w:left="540"/>
        <w:contextualSpacing w:val="0"/>
        <w:rPr>
          <w:i/>
          <w:sz w:val="20"/>
          <w:lang w:val="fr-FR"/>
        </w:rPr>
      </w:pPr>
    </w:p>
    <w:p w:rsidR="00C455B4" w:rsidRDefault="00C455B4" w:rsidP="0032282B">
      <w:pPr>
        <w:pStyle w:val="ListParagraph"/>
        <w:spacing w:after="0" w:line="240" w:lineRule="auto"/>
        <w:ind w:left="540"/>
        <w:contextualSpacing w:val="0"/>
        <w:rPr>
          <w:b/>
          <w:i/>
          <w:sz w:val="20"/>
          <w:lang w:val="fr-FR"/>
        </w:rPr>
      </w:pPr>
      <w:bookmarkStart w:id="0" w:name="_Hlk18749441"/>
      <w:r w:rsidRPr="00C455B4">
        <w:rPr>
          <w:b/>
          <w:i/>
          <w:sz w:val="20"/>
          <w:lang w:val="fr-FR"/>
        </w:rPr>
        <w:t>12.41</w:t>
      </w:r>
      <w:r w:rsidRPr="00C455B4">
        <w:rPr>
          <w:b/>
          <w:i/>
          <w:sz w:val="20"/>
          <w:lang w:val="fr-FR"/>
        </w:rPr>
        <w:tab/>
        <w:t>À l’adresse du Secrétariat</w:t>
      </w:r>
    </w:p>
    <w:p w:rsidR="0032282B" w:rsidRPr="00C455B4" w:rsidRDefault="0032282B" w:rsidP="0032282B">
      <w:pPr>
        <w:pStyle w:val="ListParagraph"/>
        <w:spacing w:after="0" w:line="240" w:lineRule="auto"/>
        <w:ind w:left="540"/>
        <w:contextualSpacing w:val="0"/>
        <w:rPr>
          <w:b/>
          <w:i/>
          <w:sz w:val="20"/>
          <w:lang w:val="fr-FR"/>
        </w:rPr>
      </w:pPr>
    </w:p>
    <w:p w:rsidR="00C455B4" w:rsidRDefault="00C455B4" w:rsidP="0032282B">
      <w:pPr>
        <w:spacing w:after="0" w:line="240" w:lineRule="auto"/>
        <w:ind w:firstLine="540"/>
        <w:rPr>
          <w:rFonts w:eastAsia="Times New Roman" w:cs="Arial"/>
          <w:i/>
          <w:sz w:val="20"/>
          <w:lang w:val="fr-FR"/>
        </w:rPr>
      </w:pPr>
      <w:r w:rsidRPr="00C455B4">
        <w:rPr>
          <w:rFonts w:eastAsia="Times New Roman" w:cs="Arial"/>
          <w:i/>
          <w:sz w:val="20"/>
          <w:lang w:val="fr-FR"/>
        </w:rPr>
        <w:tab/>
      </w:r>
      <w:r w:rsidRPr="00C455B4">
        <w:rPr>
          <w:rFonts w:eastAsia="Times New Roman" w:cs="Arial"/>
          <w:i/>
          <w:sz w:val="20"/>
          <w:lang w:val="fr-FR"/>
        </w:rPr>
        <w:tab/>
        <w:t>Le Secrétariat devrait:</w:t>
      </w:r>
    </w:p>
    <w:p w:rsidR="0032282B" w:rsidRPr="00C455B4" w:rsidRDefault="0032282B" w:rsidP="0032282B">
      <w:pPr>
        <w:spacing w:after="0" w:line="240" w:lineRule="auto"/>
        <w:ind w:firstLine="540"/>
        <w:rPr>
          <w:rFonts w:eastAsia="Times New Roman" w:cs="Arial"/>
          <w:i/>
          <w:sz w:val="20"/>
          <w:lang w:val="fr-FR"/>
        </w:rPr>
      </w:pPr>
    </w:p>
    <w:p w:rsidR="00C455B4" w:rsidRDefault="0032282B" w:rsidP="0032282B">
      <w:pPr>
        <w:pStyle w:val="ListParagraph"/>
        <w:numPr>
          <w:ilvl w:val="0"/>
          <w:numId w:val="12"/>
        </w:numPr>
        <w:spacing w:after="0" w:line="240" w:lineRule="auto"/>
        <w:contextualSpacing w:val="0"/>
        <w:jc w:val="both"/>
        <w:rPr>
          <w:rFonts w:eastAsia="Times New Roman" w:cs="Arial"/>
          <w:i/>
          <w:sz w:val="20"/>
          <w:lang w:val="fr-FR"/>
        </w:rPr>
      </w:pPr>
      <w:bookmarkStart w:id="1" w:name="_Hlk19366149"/>
      <w:r w:rsidRPr="0032282B">
        <w:rPr>
          <w:rFonts w:cs="Arial"/>
          <w:i/>
          <w:iCs/>
          <w:sz w:val="20"/>
          <w:szCs w:val="20"/>
          <w:lang w:val="fr-FR"/>
        </w:rPr>
        <w:t>Collaborer avec l’Équipe de travail conjointe SSC/WPCA de l’UICN sur les aires protégées pour les mammifères marins afin de promouvoir la valeur des AIMM pour la conservation des mammifères aquatiques inscrits aux annexes de la CMS</w:t>
      </w:r>
      <w:r>
        <w:rPr>
          <w:rFonts w:cs="Arial"/>
          <w:iCs/>
          <w:sz w:val="18"/>
          <w:szCs w:val="18"/>
          <w:lang w:val="fr-FR"/>
        </w:rPr>
        <w:t> </w:t>
      </w:r>
      <w:r w:rsidR="00C455B4" w:rsidRPr="00C455B4">
        <w:rPr>
          <w:rFonts w:eastAsia="Times New Roman" w:cs="Arial"/>
          <w:i/>
          <w:sz w:val="20"/>
          <w:lang w:val="fr-FR"/>
        </w:rPr>
        <w:t>;</w:t>
      </w:r>
    </w:p>
    <w:p w:rsidR="0032282B" w:rsidRPr="00C455B4" w:rsidRDefault="0032282B" w:rsidP="0032282B">
      <w:pPr>
        <w:pStyle w:val="ListParagraph"/>
        <w:spacing w:after="0" w:line="240" w:lineRule="auto"/>
        <w:ind w:left="1800"/>
        <w:contextualSpacing w:val="0"/>
        <w:jc w:val="both"/>
        <w:rPr>
          <w:rFonts w:eastAsia="Times New Roman" w:cs="Arial"/>
          <w:i/>
          <w:sz w:val="20"/>
          <w:lang w:val="fr-FR"/>
        </w:rPr>
      </w:pPr>
    </w:p>
    <w:p w:rsidR="00C455B4" w:rsidRPr="0032282B" w:rsidRDefault="0032282B" w:rsidP="0032282B">
      <w:pPr>
        <w:pStyle w:val="ListParagraph"/>
        <w:numPr>
          <w:ilvl w:val="0"/>
          <w:numId w:val="12"/>
        </w:numPr>
        <w:spacing w:after="0" w:line="240" w:lineRule="auto"/>
        <w:contextualSpacing w:val="0"/>
        <w:jc w:val="both"/>
        <w:rPr>
          <w:rFonts w:eastAsia="Times New Roman" w:cs="Arial"/>
          <w:i/>
          <w:sz w:val="20"/>
          <w:szCs w:val="20"/>
          <w:lang w:val="fr-FR"/>
        </w:rPr>
      </w:pPr>
      <w:r w:rsidRPr="0032282B">
        <w:rPr>
          <w:rFonts w:cs="Arial"/>
          <w:i/>
          <w:iCs/>
          <w:sz w:val="20"/>
          <w:szCs w:val="20"/>
          <w:lang w:val="fr-FR"/>
        </w:rPr>
        <w:t>Transférer les informations sur les AIMM nouvellement identifiées reçues du Groupe de travail conjoint SSC/WPCA sur les aires marines protégées de l'UICN, au Conseil scientifique et aux Parties et inviter les Parties et les Etats de l'aire de répartition à contribuer </w:t>
      </w:r>
      <w:r w:rsidR="00C455B4" w:rsidRPr="0032282B">
        <w:rPr>
          <w:rFonts w:eastAsia="Times New Roman" w:cs="Arial"/>
          <w:i/>
          <w:sz w:val="20"/>
          <w:szCs w:val="20"/>
          <w:lang w:val="fr-FR"/>
        </w:rPr>
        <w:t>;</w:t>
      </w:r>
    </w:p>
    <w:p w:rsidR="0032282B" w:rsidRPr="00C455B4" w:rsidRDefault="0032282B" w:rsidP="0032282B">
      <w:pPr>
        <w:pStyle w:val="ListParagraph"/>
        <w:spacing w:after="0" w:line="240" w:lineRule="auto"/>
        <w:ind w:left="1800"/>
        <w:contextualSpacing w:val="0"/>
        <w:jc w:val="both"/>
        <w:rPr>
          <w:rFonts w:eastAsia="Times New Roman" w:cs="Arial"/>
          <w:i/>
          <w:sz w:val="20"/>
          <w:lang w:val="fr-FR"/>
        </w:rPr>
      </w:pPr>
    </w:p>
    <w:bookmarkEnd w:id="1"/>
    <w:p w:rsidR="00C455B4" w:rsidRPr="00C455B4" w:rsidRDefault="0032282B" w:rsidP="0032282B">
      <w:pPr>
        <w:pStyle w:val="ListParagraph"/>
        <w:numPr>
          <w:ilvl w:val="0"/>
          <w:numId w:val="12"/>
        </w:numPr>
        <w:spacing w:after="0" w:line="240" w:lineRule="auto"/>
        <w:contextualSpacing w:val="0"/>
        <w:jc w:val="both"/>
        <w:rPr>
          <w:rFonts w:eastAsia="Times New Roman" w:cs="Arial"/>
          <w:i/>
          <w:sz w:val="20"/>
          <w:lang w:val="fr-FR"/>
        </w:rPr>
      </w:pPr>
      <w:r w:rsidRPr="0032282B">
        <w:rPr>
          <w:rFonts w:cs="Arial"/>
          <w:i/>
          <w:iCs/>
          <w:sz w:val="20"/>
          <w:szCs w:val="20"/>
          <w:lang w:val="fr-FR"/>
        </w:rPr>
        <w:t>Faire rapport au Comité permanent à ses 48</w:t>
      </w:r>
      <w:r w:rsidRPr="0032282B">
        <w:rPr>
          <w:rFonts w:cs="Arial"/>
          <w:i/>
          <w:iCs/>
          <w:sz w:val="20"/>
          <w:szCs w:val="20"/>
          <w:vertAlign w:val="superscript"/>
          <w:lang w:val="fr-FR"/>
        </w:rPr>
        <w:t>e</w:t>
      </w:r>
      <w:r w:rsidRPr="0032282B">
        <w:rPr>
          <w:rFonts w:cs="Arial"/>
          <w:i/>
          <w:iCs/>
          <w:sz w:val="20"/>
          <w:szCs w:val="20"/>
          <w:lang w:val="fr-FR"/>
        </w:rPr>
        <w:t xml:space="preserve"> et 49</w:t>
      </w:r>
      <w:r w:rsidRPr="0032282B">
        <w:rPr>
          <w:rFonts w:cs="Arial"/>
          <w:i/>
          <w:iCs/>
          <w:sz w:val="20"/>
          <w:szCs w:val="20"/>
          <w:vertAlign w:val="superscript"/>
          <w:lang w:val="fr-FR"/>
        </w:rPr>
        <w:t>e</w:t>
      </w:r>
      <w:r w:rsidRPr="0032282B">
        <w:rPr>
          <w:rFonts w:cs="Arial"/>
          <w:i/>
          <w:iCs/>
          <w:sz w:val="20"/>
          <w:szCs w:val="20"/>
          <w:lang w:val="fr-FR"/>
        </w:rPr>
        <w:t xml:space="preserve"> Réunions sur les progrès réalisés dans la mise en œuvre de cette Décision</w:t>
      </w:r>
      <w:r w:rsidR="00C455B4" w:rsidRPr="00C455B4">
        <w:rPr>
          <w:rFonts w:eastAsia="Times New Roman" w:cs="Arial"/>
          <w:i/>
          <w:sz w:val="20"/>
          <w:lang w:val="fr-FR"/>
        </w:rPr>
        <w:t>.</w:t>
      </w:r>
    </w:p>
    <w:p w:rsidR="00C455B4" w:rsidRPr="00C455B4" w:rsidRDefault="00C455B4" w:rsidP="0032282B">
      <w:pPr>
        <w:spacing w:after="0" w:line="240" w:lineRule="auto"/>
        <w:rPr>
          <w:rFonts w:eastAsia="Times New Roman" w:cs="Arial"/>
          <w:lang w:val="fr-FR"/>
        </w:rPr>
      </w:pPr>
    </w:p>
    <w:p w:rsidR="00C455B4" w:rsidRPr="00C455B4" w:rsidRDefault="00C455B4" w:rsidP="0032282B">
      <w:pPr>
        <w:spacing w:after="0" w:line="240" w:lineRule="auto"/>
        <w:rPr>
          <w:rFonts w:eastAsia="Times New Roman" w:cs="Arial"/>
          <w:u w:val="single"/>
          <w:lang w:val="fr-FR"/>
        </w:rPr>
      </w:pPr>
      <w:r w:rsidRPr="00C455B4">
        <w:rPr>
          <w:rFonts w:eastAsia="Times New Roman" w:cs="Arial"/>
          <w:u w:val="single"/>
          <w:lang w:val="fr-FR"/>
        </w:rPr>
        <w:t xml:space="preserve">Activités </w:t>
      </w:r>
      <w:r w:rsidR="0032282B">
        <w:rPr>
          <w:rFonts w:eastAsia="Times New Roman" w:cs="Arial"/>
          <w:u w:val="single"/>
          <w:lang w:val="fr-FR"/>
        </w:rPr>
        <w:t xml:space="preserve">de </w:t>
      </w:r>
      <w:r w:rsidRPr="00C455B4">
        <w:rPr>
          <w:rFonts w:eastAsia="Times New Roman" w:cs="Arial"/>
          <w:u w:val="single"/>
          <w:lang w:val="fr-FR"/>
        </w:rPr>
        <w:t xml:space="preserve">mise en œuvre de la Décision 12.40  </w:t>
      </w:r>
    </w:p>
    <w:p w:rsidR="00C455B4" w:rsidRPr="00C455B4" w:rsidRDefault="00C455B4" w:rsidP="0032282B">
      <w:pPr>
        <w:pStyle w:val="ListParagraph"/>
        <w:spacing w:after="0" w:line="240" w:lineRule="auto"/>
        <w:ind w:left="540"/>
        <w:contextualSpacing w:val="0"/>
        <w:rPr>
          <w:lang w:val="fr-FR"/>
        </w:rPr>
      </w:pPr>
    </w:p>
    <w:bookmarkEnd w:id="0"/>
    <w:p w:rsidR="00C455B4" w:rsidRPr="00C455B4" w:rsidRDefault="00C455B4" w:rsidP="0032282B">
      <w:pPr>
        <w:pStyle w:val="ListParagraph"/>
        <w:numPr>
          <w:ilvl w:val="0"/>
          <w:numId w:val="8"/>
        </w:numPr>
        <w:spacing w:after="0" w:line="240" w:lineRule="auto"/>
        <w:ind w:left="567" w:hanging="567"/>
        <w:contextualSpacing w:val="0"/>
        <w:jc w:val="both"/>
        <w:rPr>
          <w:lang w:val="fr-FR"/>
        </w:rPr>
      </w:pPr>
      <w:r w:rsidRPr="00C455B4">
        <w:rPr>
          <w:lang w:val="fr-FR"/>
        </w:rPr>
        <w:t xml:space="preserve">Le président du Groupe de travail sur les mammifères aquatiques a présenté le rapport suivant sur ses travaux. </w:t>
      </w:r>
    </w:p>
    <w:p w:rsidR="00DC60CA" w:rsidRDefault="00DC60CA" w:rsidP="00DC60CA">
      <w:pPr>
        <w:pStyle w:val="ListParagraph"/>
        <w:spacing w:after="0" w:line="240" w:lineRule="auto"/>
        <w:ind w:left="567"/>
        <w:contextualSpacing w:val="0"/>
        <w:jc w:val="both"/>
        <w:rPr>
          <w:lang w:val="fr-FR"/>
        </w:rPr>
      </w:pPr>
    </w:p>
    <w:p w:rsidR="00C455B4" w:rsidRPr="00C455B4" w:rsidRDefault="00C455B4" w:rsidP="00DC60CA">
      <w:pPr>
        <w:pStyle w:val="ListParagraph"/>
        <w:numPr>
          <w:ilvl w:val="0"/>
          <w:numId w:val="17"/>
        </w:numPr>
        <w:spacing w:after="0" w:line="240" w:lineRule="auto"/>
        <w:ind w:left="567" w:hanging="567"/>
        <w:contextualSpacing w:val="0"/>
        <w:jc w:val="both"/>
        <w:rPr>
          <w:lang w:val="fr-FR"/>
        </w:rPr>
      </w:pPr>
      <w:r w:rsidRPr="00C455B4">
        <w:rPr>
          <w:lang w:val="fr-FR"/>
        </w:rPr>
        <w:t xml:space="preserve">La collaboration entre la CMS et le processus </w:t>
      </w:r>
      <w:r w:rsidR="00DC60CA">
        <w:rPr>
          <w:lang w:val="fr-FR"/>
        </w:rPr>
        <w:t>AIMM</w:t>
      </w:r>
      <w:r w:rsidRPr="00C455B4">
        <w:rPr>
          <w:lang w:val="fr-FR"/>
        </w:rPr>
        <w:t xml:space="preserve"> a fonctionné de manière organique grâce à l'implication du président du Groupe de travail sur les mammifères aquatiques, ainsi que par les recoupements considérables entre les experts du groupe de travail sur les mammifères aquatiques et grâce aux participants aux ateliers et visites des mises en œuvre des </w:t>
      </w:r>
      <w:r w:rsidR="00DC60CA">
        <w:rPr>
          <w:lang w:val="fr-FR"/>
        </w:rPr>
        <w:t>AIMM</w:t>
      </w:r>
      <w:r w:rsidRPr="00C455B4">
        <w:rPr>
          <w:lang w:val="fr-FR"/>
        </w:rPr>
        <w:t xml:space="preserve"> suivants: </w:t>
      </w:r>
    </w:p>
    <w:p w:rsidR="00C455B4" w:rsidRPr="00C455B4" w:rsidRDefault="00C455B4" w:rsidP="0032282B">
      <w:pPr>
        <w:pStyle w:val="ListParagraph"/>
        <w:spacing w:after="0" w:line="240" w:lineRule="auto"/>
        <w:ind w:left="540"/>
        <w:contextualSpacing w:val="0"/>
        <w:rPr>
          <w:lang w:val="fr-FR"/>
        </w:rPr>
      </w:pPr>
    </w:p>
    <w:p w:rsidR="00C455B4" w:rsidRDefault="00C455B4" w:rsidP="00DC60CA">
      <w:pPr>
        <w:pStyle w:val="ListParagraph"/>
        <w:numPr>
          <w:ilvl w:val="1"/>
          <w:numId w:val="10"/>
        </w:numPr>
        <w:spacing w:after="0" w:line="240" w:lineRule="auto"/>
        <w:contextualSpacing w:val="0"/>
        <w:jc w:val="both"/>
        <w:rPr>
          <w:rFonts w:cs="Arial"/>
          <w:noProof/>
          <w:lang w:val="fr-FR"/>
        </w:rPr>
      </w:pPr>
      <w:r w:rsidRPr="00C455B4">
        <w:rPr>
          <w:rFonts w:cs="Arial"/>
          <w:lang w:val="fr-FR"/>
        </w:rPr>
        <w:t>Première démonstration de mise en œuvre d’</w:t>
      </w:r>
      <w:r w:rsidR="00DC60CA">
        <w:rPr>
          <w:rFonts w:cs="Arial"/>
          <w:lang w:val="fr-FR"/>
        </w:rPr>
        <w:t>AIMM</w:t>
      </w:r>
      <w:r w:rsidRPr="00C455B4">
        <w:rPr>
          <w:rFonts w:cs="Arial"/>
          <w:lang w:val="fr-FR"/>
        </w:rPr>
        <w:t>, Palaos, Micronésie (octobre/novembre 2017)</w:t>
      </w:r>
    </w:p>
    <w:p w:rsidR="00DC60CA" w:rsidRPr="00C455B4" w:rsidRDefault="00DC60CA" w:rsidP="00DC60CA">
      <w:pPr>
        <w:pStyle w:val="ListParagraph"/>
        <w:spacing w:after="0" w:line="240" w:lineRule="auto"/>
        <w:ind w:left="1440"/>
        <w:contextualSpacing w:val="0"/>
        <w:jc w:val="both"/>
        <w:rPr>
          <w:rFonts w:cs="Arial"/>
          <w:noProof/>
          <w:lang w:val="fr-FR"/>
        </w:rPr>
      </w:pPr>
    </w:p>
    <w:p w:rsidR="00C455B4" w:rsidRDefault="00C455B4" w:rsidP="00DC60CA">
      <w:pPr>
        <w:pStyle w:val="ListParagraph"/>
        <w:numPr>
          <w:ilvl w:val="1"/>
          <w:numId w:val="10"/>
        </w:numPr>
        <w:spacing w:after="0" w:line="240" w:lineRule="auto"/>
        <w:contextualSpacing w:val="0"/>
        <w:jc w:val="both"/>
        <w:rPr>
          <w:rFonts w:cs="Arial"/>
          <w:noProof/>
          <w:lang w:val="fr-FR"/>
        </w:rPr>
      </w:pPr>
      <w:r w:rsidRPr="00C455B4">
        <w:rPr>
          <w:rFonts w:cs="Arial"/>
          <w:lang w:val="fr-FR"/>
        </w:rPr>
        <w:t xml:space="preserve">Atelier régional sur les </w:t>
      </w:r>
      <w:r w:rsidR="00DC60CA">
        <w:rPr>
          <w:rFonts w:cs="Arial"/>
          <w:lang w:val="fr-FR"/>
        </w:rPr>
        <w:t>AIMM</w:t>
      </w:r>
      <w:r w:rsidRPr="00C455B4">
        <w:rPr>
          <w:rFonts w:cs="Arial"/>
          <w:lang w:val="fr-FR"/>
        </w:rPr>
        <w:t xml:space="preserve"> du nord-est de l’océan Indien et des mers d’Asie du Sud-Est (Kota Kinabalu, Malaisie, mars 2018)</w:t>
      </w:r>
    </w:p>
    <w:p w:rsidR="00DC60CA" w:rsidRDefault="00DC60CA" w:rsidP="00DC60CA">
      <w:pPr>
        <w:pStyle w:val="ListParagraph"/>
        <w:spacing w:after="0" w:line="240" w:lineRule="auto"/>
        <w:ind w:left="1440"/>
        <w:contextualSpacing w:val="0"/>
        <w:jc w:val="both"/>
        <w:rPr>
          <w:rFonts w:cs="Arial"/>
          <w:noProof/>
          <w:lang w:val="fr-FR"/>
        </w:rPr>
      </w:pPr>
    </w:p>
    <w:p w:rsidR="00DC60CA" w:rsidRDefault="00DC60CA" w:rsidP="00DC60CA">
      <w:pPr>
        <w:pStyle w:val="ListParagraph"/>
        <w:spacing w:after="0" w:line="240" w:lineRule="auto"/>
        <w:ind w:left="1440"/>
        <w:contextualSpacing w:val="0"/>
        <w:jc w:val="both"/>
        <w:rPr>
          <w:rFonts w:cs="Arial"/>
          <w:noProof/>
          <w:lang w:val="fr-FR"/>
        </w:rPr>
      </w:pPr>
    </w:p>
    <w:p w:rsidR="00DC60CA" w:rsidRPr="00C455B4" w:rsidRDefault="00DC60CA" w:rsidP="00DC60CA">
      <w:pPr>
        <w:pStyle w:val="ListParagraph"/>
        <w:spacing w:after="0" w:line="240" w:lineRule="auto"/>
        <w:ind w:left="1440"/>
        <w:contextualSpacing w:val="0"/>
        <w:jc w:val="both"/>
        <w:rPr>
          <w:rFonts w:cs="Arial"/>
          <w:noProof/>
          <w:lang w:val="fr-FR"/>
        </w:rPr>
      </w:pPr>
    </w:p>
    <w:p w:rsidR="00C455B4" w:rsidRDefault="00C455B4" w:rsidP="00DC60CA">
      <w:pPr>
        <w:pStyle w:val="ListParagraph"/>
        <w:numPr>
          <w:ilvl w:val="1"/>
          <w:numId w:val="10"/>
        </w:numPr>
        <w:spacing w:after="0" w:line="240" w:lineRule="auto"/>
        <w:contextualSpacing w:val="0"/>
        <w:jc w:val="both"/>
        <w:rPr>
          <w:rFonts w:cs="Arial"/>
          <w:noProof/>
          <w:lang w:val="fr-FR"/>
        </w:rPr>
      </w:pPr>
      <w:r w:rsidRPr="00C455B4">
        <w:rPr>
          <w:rFonts w:cs="Arial"/>
          <w:lang w:val="fr-FR"/>
        </w:rPr>
        <w:lastRenderedPageBreak/>
        <w:t xml:space="preserve">Atelier extraordinaire sur le phoque moine de Méditerranée (La </w:t>
      </w:r>
      <w:proofErr w:type="spellStart"/>
      <w:r w:rsidRPr="00C455B4">
        <w:rPr>
          <w:rFonts w:cs="Arial"/>
          <w:lang w:val="fr-FR"/>
        </w:rPr>
        <w:t>Spezia</w:t>
      </w:r>
      <w:proofErr w:type="spellEnd"/>
      <w:r w:rsidRPr="00C455B4">
        <w:rPr>
          <w:rFonts w:cs="Arial"/>
          <w:lang w:val="fr-FR"/>
        </w:rPr>
        <w:t>, Italie, avril 2018)</w:t>
      </w:r>
    </w:p>
    <w:p w:rsidR="00DC60CA" w:rsidRPr="00C455B4" w:rsidRDefault="00DC60CA" w:rsidP="00DC60CA">
      <w:pPr>
        <w:pStyle w:val="ListParagraph"/>
        <w:spacing w:after="0" w:line="240" w:lineRule="auto"/>
        <w:ind w:left="1440"/>
        <w:contextualSpacing w:val="0"/>
        <w:jc w:val="both"/>
        <w:rPr>
          <w:rFonts w:cs="Arial"/>
          <w:noProof/>
          <w:lang w:val="fr-FR"/>
        </w:rPr>
      </w:pPr>
    </w:p>
    <w:p w:rsidR="00C455B4" w:rsidRDefault="00C455B4" w:rsidP="00DC60CA">
      <w:pPr>
        <w:pStyle w:val="ListParagraph"/>
        <w:numPr>
          <w:ilvl w:val="1"/>
          <w:numId w:val="10"/>
        </w:numPr>
        <w:spacing w:after="0" w:line="240" w:lineRule="auto"/>
        <w:contextualSpacing w:val="0"/>
        <w:jc w:val="both"/>
        <w:rPr>
          <w:rFonts w:cs="Arial"/>
          <w:noProof/>
          <w:lang w:val="fr-FR"/>
        </w:rPr>
      </w:pPr>
      <w:r w:rsidRPr="00C455B4">
        <w:rPr>
          <w:rFonts w:cs="Arial"/>
          <w:lang w:val="fr-FR"/>
        </w:rPr>
        <w:t>Atelier régional sur l’</w:t>
      </w:r>
      <w:r w:rsidR="00DC60CA">
        <w:rPr>
          <w:rFonts w:cs="Arial"/>
          <w:lang w:val="fr-FR"/>
        </w:rPr>
        <w:t>AIMM</w:t>
      </w:r>
      <w:r w:rsidRPr="00C455B4">
        <w:rPr>
          <w:rFonts w:cs="Arial"/>
          <w:lang w:val="fr-FR"/>
        </w:rPr>
        <w:t xml:space="preserve"> élargie de la région de l’océan Austral (Brest, France, octobre 2018)</w:t>
      </w:r>
    </w:p>
    <w:p w:rsidR="00DC60CA" w:rsidRPr="00C455B4" w:rsidRDefault="00DC60CA" w:rsidP="00DC60CA">
      <w:pPr>
        <w:pStyle w:val="ListParagraph"/>
        <w:spacing w:after="0" w:line="240" w:lineRule="auto"/>
        <w:ind w:left="1440"/>
        <w:contextualSpacing w:val="0"/>
        <w:jc w:val="both"/>
        <w:rPr>
          <w:rFonts w:cs="Arial"/>
          <w:noProof/>
          <w:lang w:val="fr-FR"/>
        </w:rPr>
      </w:pPr>
    </w:p>
    <w:p w:rsidR="00C455B4" w:rsidRDefault="00C455B4" w:rsidP="00DC60CA">
      <w:pPr>
        <w:pStyle w:val="ListParagraph"/>
        <w:numPr>
          <w:ilvl w:val="1"/>
          <w:numId w:val="10"/>
        </w:numPr>
        <w:spacing w:after="0" w:line="240" w:lineRule="auto"/>
        <w:contextualSpacing w:val="0"/>
        <w:jc w:val="both"/>
        <w:rPr>
          <w:rFonts w:cs="Arial"/>
          <w:noProof/>
          <w:lang w:val="fr-FR"/>
        </w:rPr>
      </w:pPr>
      <w:r w:rsidRPr="00C455B4">
        <w:rPr>
          <w:rFonts w:cs="Arial"/>
          <w:lang w:val="fr-FR"/>
        </w:rPr>
        <w:t>Deuxième démonstration de mise en œuvre d’</w:t>
      </w:r>
      <w:r w:rsidR="00DC60CA">
        <w:rPr>
          <w:rFonts w:cs="Arial"/>
          <w:lang w:val="fr-FR"/>
        </w:rPr>
        <w:t>AIMM</w:t>
      </w:r>
      <w:r w:rsidRPr="00C455B4">
        <w:rPr>
          <w:rFonts w:cs="Arial"/>
          <w:lang w:val="fr-FR"/>
        </w:rPr>
        <w:t>, îles Andaman, Inde (novembre 2018)</w:t>
      </w:r>
    </w:p>
    <w:p w:rsidR="00DC60CA" w:rsidRPr="00C455B4" w:rsidRDefault="00DC60CA" w:rsidP="00DC60CA">
      <w:pPr>
        <w:pStyle w:val="ListParagraph"/>
        <w:spacing w:after="0" w:line="240" w:lineRule="auto"/>
        <w:ind w:left="1440"/>
        <w:contextualSpacing w:val="0"/>
        <w:jc w:val="both"/>
        <w:rPr>
          <w:rFonts w:cs="Arial"/>
          <w:noProof/>
          <w:lang w:val="fr-FR"/>
        </w:rPr>
      </w:pPr>
    </w:p>
    <w:p w:rsidR="00C455B4" w:rsidRDefault="00C455B4" w:rsidP="00DC60CA">
      <w:pPr>
        <w:pStyle w:val="ListParagraph"/>
        <w:numPr>
          <w:ilvl w:val="1"/>
          <w:numId w:val="10"/>
        </w:numPr>
        <w:spacing w:after="0" w:line="240" w:lineRule="auto"/>
        <w:contextualSpacing w:val="0"/>
        <w:jc w:val="both"/>
        <w:rPr>
          <w:rFonts w:cs="Arial"/>
          <w:noProof/>
          <w:lang w:val="fr-FR"/>
        </w:rPr>
      </w:pPr>
      <w:r w:rsidRPr="00C455B4">
        <w:rPr>
          <w:rFonts w:cs="Arial"/>
          <w:lang w:val="fr-FR"/>
        </w:rPr>
        <w:t>Atelier régional sur l’</w:t>
      </w:r>
      <w:r w:rsidR="00DC60CA">
        <w:rPr>
          <w:rFonts w:cs="Arial"/>
          <w:lang w:val="fr-FR"/>
        </w:rPr>
        <w:t>AIMM</w:t>
      </w:r>
      <w:r w:rsidRPr="00C455B4">
        <w:rPr>
          <w:rFonts w:cs="Arial"/>
          <w:lang w:val="fr-FR"/>
        </w:rPr>
        <w:t xml:space="preserve"> de l’océan Indien occidental et les mers Arabiques (</w:t>
      </w:r>
      <w:proofErr w:type="spellStart"/>
      <w:r w:rsidRPr="00C455B4">
        <w:rPr>
          <w:rFonts w:cs="Arial"/>
          <w:lang w:val="fr-FR"/>
        </w:rPr>
        <w:t>Salalah</w:t>
      </w:r>
      <w:proofErr w:type="spellEnd"/>
      <w:r w:rsidRPr="00C455B4">
        <w:rPr>
          <w:rFonts w:cs="Arial"/>
          <w:lang w:val="fr-FR"/>
        </w:rPr>
        <w:t>, Oman, mars 2019)</w:t>
      </w:r>
    </w:p>
    <w:p w:rsidR="00DC60CA" w:rsidRPr="00C455B4" w:rsidRDefault="00DC60CA" w:rsidP="00DC60CA">
      <w:pPr>
        <w:pStyle w:val="ListParagraph"/>
        <w:spacing w:after="0" w:line="240" w:lineRule="auto"/>
        <w:ind w:left="1440"/>
        <w:contextualSpacing w:val="0"/>
        <w:jc w:val="both"/>
        <w:rPr>
          <w:rFonts w:cs="Arial"/>
          <w:noProof/>
          <w:lang w:val="fr-FR"/>
        </w:rPr>
      </w:pPr>
    </w:p>
    <w:p w:rsidR="00C455B4" w:rsidRPr="00C455B4" w:rsidRDefault="00C455B4" w:rsidP="00DC60CA">
      <w:pPr>
        <w:pStyle w:val="ListParagraph"/>
        <w:numPr>
          <w:ilvl w:val="1"/>
          <w:numId w:val="10"/>
        </w:numPr>
        <w:spacing w:after="0" w:line="240" w:lineRule="auto"/>
        <w:contextualSpacing w:val="0"/>
        <w:jc w:val="both"/>
        <w:rPr>
          <w:rFonts w:cs="Arial"/>
          <w:noProof/>
          <w:lang w:val="fr-FR"/>
        </w:rPr>
      </w:pPr>
      <w:r w:rsidRPr="00C455B4">
        <w:rPr>
          <w:rFonts w:cs="Arial"/>
          <w:lang w:val="fr-FR"/>
        </w:rPr>
        <w:t>Commission Baleinière Internationale (CBI) - Groupe de travail de l’UICN sur les aires marines protégées pour les mammifères marins - Atelier de l’ACCOBAMS sur les collisions avec les navires (</w:t>
      </w:r>
      <w:r w:rsidRPr="00C455B4">
        <w:rPr>
          <w:lang w:val="fr-FR"/>
        </w:rPr>
        <w:t xml:space="preserve">Messines, Grèce, </w:t>
      </w:r>
      <w:r w:rsidRPr="00C455B4">
        <w:rPr>
          <w:rFonts w:cs="Arial"/>
          <w:lang w:val="fr-FR"/>
        </w:rPr>
        <w:t>avril 2019).</w:t>
      </w:r>
    </w:p>
    <w:p w:rsidR="00C455B4" w:rsidRPr="00C455B4" w:rsidRDefault="00C455B4" w:rsidP="0032282B">
      <w:pPr>
        <w:pStyle w:val="ListParagraph"/>
        <w:spacing w:after="0" w:line="240" w:lineRule="auto"/>
        <w:ind w:left="1440"/>
        <w:contextualSpacing w:val="0"/>
        <w:rPr>
          <w:rFonts w:cs="Arial"/>
          <w:noProof/>
          <w:lang w:val="fr-FR"/>
        </w:rPr>
      </w:pPr>
    </w:p>
    <w:p w:rsidR="00C455B4" w:rsidRPr="00C455B4" w:rsidRDefault="00C455B4" w:rsidP="00DC60CA">
      <w:pPr>
        <w:pStyle w:val="ListParagraph"/>
        <w:numPr>
          <w:ilvl w:val="0"/>
          <w:numId w:val="17"/>
        </w:numPr>
        <w:spacing w:after="0" w:line="240" w:lineRule="auto"/>
        <w:ind w:left="567" w:hanging="567"/>
        <w:contextualSpacing w:val="0"/>
        <w:rPr>
          <w:lang w:val="fr-FR"/>
        </w:rPr>
      </w:pPr>
      <w:r w:rsidRPr="00C455B4">
        <w:rPr>
          <w:lang w:val="fr-FR"/>
        </w:rPr>
        <w:t xml:space="preserve">Un rapport du </w:t>
      </w:r>
      <w:r w:rsidRPr="00C455B4">
        <w:rPr>
          <w:rFonts w:cs="Arial"/>
          <w:lang w:val="fr-FR"/>
        </w:rPr>
        <w:t>Groupe de travail de l’UICN sur les aires protégées pour les mammifères marins relatif aux activités liées à l’identification de zones importantes pour les mammifères marins (</w:t>
      </w:r>
      <w:r w:rsidR="00DC60CA">
        <w:rPr>
          <w:rFonts w:cs="Arial"/>
          <w:lang w:val="fr-FR"/>
        </w:rPr>
        <w:t>AIMM</w:t>
      </w:r>
      <w:r w:rsidRPr="00C455B4">
        <w:rPr>
          <w:rFonts w:cs="Arial"/>
          <w:lang w:val="fr-FR"/>
        </w:rPr>
        <w:t xml:space="preserve">) entreprises depuis la COP12 de la CMS est joint à l’annexe 1. Ce rapport contient des liens vers chacun des ateliers ci-dessus.  </w:t>
      </w:r>
    </w:p>
    <w:p w:rsidR="00C455B4" w:rsidRPr="00C455B4" w:rsidRDefault="00C455B4" w:rsidP="0032282B">
      <w:pPr>
        <w:spacing w:after="0" w:line="240" w:lineRule="auto"/>
        <w:rPr>
          <w:lang w:val="fr-FR"/>
        </w:rPr>
      </w:pPr>
    </w:p>
    <w:p w:rsidR="00C455B4" w:rsidRPr="00C455B4" w:rsidRDefault="00C455B4" w:rsidP="00DC60CA">
      <w:pPr>
        <w:pStyle w:val="ListParagraph"/>
        <w:numPr>
          <w:ilvl w:val="0"/>
          <w:numId w:val="17"/>
        </w:numPr>
        <w:spacing w:after="0" w:line="240" w:lineRule="auto"/>
        <w:ind w:left="567" w:hanging="567"/>
        <w:contextualSpacing w:val="0"/>
        <w:rPr>
          <w:lang w:val="fr-FR"/>
        </w:rPr>
      </w:pPr>
      <w:r w:rsidRPr="00C455B4">
        <w:rPr>
          <w:lang w:val="fr-FR"/>
        </w:rPr>
        <w:t xml:space="preserve">À ce jour, les </w:t>
      </w:r>
      <w:r w:rsidR="00DC60CA">
        <w:rPr>
          <w:lang w:val="fr-FR"/>
        </w:rPr>
        <w:t>AIMM</w:t>
      </w:r>
      <w:r w:rsidRPr="00C455B4">
        <w:rPr>
          <w:lang w:val="fr-FR"/>
        </w:rPr>
        <w:t xml:space="preserve"> ont été développés pour 18 espèces inscrites </w:t>
      </w:r>
      <w:r w:rsidR="00DC60CA">
        <w:rPr>
          <w:lang w:val="fr-FR"/>
        </w:rPr>
        <w:t xml:space="preserve">aux Annexes de </w:t>
      </w:r>
      <w:r w:rsidRPr="00C455B4">
        <w:rPr>
          <w:lang w:val="fr-FR"/>
        </w:rPr>
        <w:t>la CMS:</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 xml:space="preserve">Petit rorqual antarctique/Baleine de </w:t>
      </w:r>
      <w:proofErr w:type="spellStart"/>
      <w:r w:rsidRPr="00C455B4">
        <w:rPr>
          <w:rFonts w:cs="Arial"/>
          <w:lang w:val="fr-FR"/>
        </w:rPr>
        <w:t>Minke</w:t>
      </w:r>
      <w:proofErr w:type="spellEnd"/>
      <w:r w:rsidRPr="00C455B4">
        <w:rPr>
          <w:rFonts w:cs="Arial"/>
          <w:lang w:val="fr-FR"/>
        </w:rPr>
        <w:t xml:space="preserve"> (</w:t>
      </w:r>
      <w:proofErr w:type="spellStart"/>
      <w:r w:rsidRPr="00C455B4">
        <w:rPr>
          <w:rFonts w:cs="Arial"/>
          <w:i/>
          <w:iCs/>
          <w:lang w:val="fr-FR"/>
        </w:rPr>
        <w:t>Balaenoptera</w:t>
      </w:r>
      <w:proofErr w:type="spellEnd"/>
      <w:r w:rsidRPr="00C455B4">
        <w:rPr>
          <w:rFonts w:cs="Arial"/>
          <w:i/>
          <w:iCs/>
          <w:lang w:val="fr-FR"/>
        </w:rPr>
        <w:t xml:space="preserve"> </w:t>
      </w:r>
      <w:proofErr w:type="spellStart"/>
      <w:r w:rsidRPr="00C455B4">
        <w:rPr>
          <w:rFonts w:cs="Arial"/>
          <w:i/>
          <w:iCs/>
          <w:lang w:val="fr-FR"/>
        </w:rPr>
        <w:t>bonaerensis</w:t>
      </w:r>
      <w:proofErr w:type="spellEnd"/>
      <w:r w:rsidRPr="00C455B4">
        <w:rPr>
          <w:rFonts w:cs="Arial"/>
          <w:lang w:val="fr-FR"/>
        </w:rPr>
        <w:t xml:space="preserve">, Ann. </w:t>
      </w:r>
      <w:r w:rsidRPr="00F90283">
        <w:rPr>
          <w:rFonts w:cs="Arial"/>
        </w:rPr>
        <w:t xml:space="preserve">II), </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 xml:space="preserve">Baleine de </w:t>
      </w:r>
      <w:proofErr w:type="spellStart"/>
      <w:r w:rsidRPr="00C455B4">
        <w:rPr>
          <w:rFonts w:cs="Arial"/>
          <w:lang w:val="fr-FR"/>
        </w:rPr>
        <w:t>Bryde</w:t>
      </w:r>
      <w:proofErr w:type="spellEnd"/>
      <w:r w:rsidRPr="00C455B4">
        <w:rPr>
          <w:rFonts w:cs="Arial"/>
          <w:lang w:val="fr-FR"/>
        </w:rPr>
        <w:t xml:space="preserve"> (</w:t>
      </w:r>
      <w:proofErr w:type="spellStart"/>
      <w:r w:rsidRPr="00C455B4">
        <w:rPr>
          <w:rFonts w:cs="Arial"/>
          <w:i/>
          <w:iCs/>
          <w:lang w:val="fr-FR"/>
        </w:rPr>
        <w:t>Balaenoptera</w:t>
      </w:r>
      <w:proofErr w:type="spellEnd"/>
      <w:r w:rsidRPr="00C455B4">
        <w:rPr>
          <w:rFonts w:cs="Arial"/>
          <w:i/>
          <w:iCs/>
          <w:lang w:val="fr-FR"/>
        </w:rPr>
        <w:t xml:space="preserve"> </w:t>
      </w:r>
      <w:proofErr w:type="spellStart"/>
      <w:r w:rsidRPr="00C455B4">
        <w:rPr>
          <w:rFonts w:cs="Arial"/>
          <w:i/>
          <w:iCs/>
          <w:lang w:val="fr-FR"/>
        </w:rPr>
        <w:t>edeni</w:t>
      </w:r>
      <w:proofErr w:type="spellEnd"/>
      <w:r w:rsidRPr="00C455B4">
        <w:rPr>
          <w:rFonts w:cs="Arial"/>
          <w:i/>
          <w:iCs/>
          <w:lang w:val="fr-FR"/>
        </w:rPr>
        <w:t>,</w:t>
      </w:r>
      <w:r w:rsidRPr="00C455B4">
        <w:rPr>
          <w:rFonts w:cs="Arial"/>
          <w:lang w:val="fr-FR"/>
        </w:rPr>
        <w:t xml:space="preserve"> Ann. </w:t>
      </w:r>
      <w:r w:rsidRPr="00F90283">
        <w:rPr>
          <w:rFonts w:cs="Arial"/>
        </w:rPr>
        <w:t xml:space="preserve">II), </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Baleine bleue (</w:t>
      </w:r>
      <w:proofErr w:type="spellStart"/>
      <w:r w:rsidRPr="00C455B4">
        <w:rPr>
          <w:rFonts w:cs="Arial"/>
          <w:i/>
          <w:iCs/>
          <w:lang w:val="fr-FR"/>
        </w:rPr>
        <w:t>Balaenoptera</w:t>
      </w:r>
      <w:proofErr w:type="spellEnd"/>
      <w:r w:rsidRPr="00C455B4">
        <w:rPr>
          <w:rFonts w:cs="Arial"/>
          <w:i/>
          <w:iCs/>
          <w:lang w:val="fr-FR"/>
        </w:rPr>
        <w:t xml:space="preserve"> </w:t>
      </w:r>
      <w:proofErr w:type="spellStart"/>
      <w:r w:rsidRPr="00C455B4">
        <w:rPr>
          <w:rFonts w:cs="Arial"/>
          <w:i/>
          <w:iCs/>
          <w:lang w:val="fr-FR"/>
        </w:rPr>
        <w:t>musculus</w:t>
      </w:r>
      <w:proofErr w:type="spellEnd"/>
      <w:r w:rsidRPr="00C455B4">
        <w:rPr>
          <w:rFonts w:cs="Arial"/>
          <w:lang w:val="fr-FR"/>
        </w:rPr>
        <w:t xml:space="preserve">, Ann. </w:t>
      </w:r>
      <w:r w:rsidRPr="00F90283">
        <w:rPr>
          <w:rFonts w:cs="Arial"/>
        </w:rPr>
        <w:t xml:space="preserve">I), </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 xml:space="preserve">Dauphin de </w:t>
      </w:r>
      <w:proofErr w:type="spellStart"/>
      <w:r w:rsidRPr="00C455B4">
        <w:rPr>
          <w:rFonts w:cs="Arial"/>
          <w:lang w:val="fr-FR"/>
        </w:rPr>
        <w:t>Commerson</w:t>
      </w:r>
      <w:proofErr w:type="spellEnd"/>
      <w:r w:rsidRPr="00C455B4">
        <w:rPr>
          <w:rFonts w:cs="Arial"/>
          <w:lang w:val="fr-FR"/>
        </w:rPr>
        <w:t xml:space="preserve"> (</w:t>
      </w:r>
      <w:proofErr w:type="spellStart"/>
      <w:r w:rsidRPr="00C455B4">
        <w:rPr>
          <w:rFonts w:cs="Arial"/>
          <w:i/>
          <w:iCs/>
          <w:lang w:val="fr-FR"/>
        </w:rPr>
        <w:t>Cephalorhynchus</w:t>
      </w:r>
      <w:proofErr w:type="spellEnd"/>
      <w:r w:rsidRPr="00C455B4">
        <w:rPr>
          <w:rFonts w:cs="Arial"/>
          <w:i/>
          <w:iCs/>
          <w:lang w:val="fr-FR"/>
        </w:rPr>
        <w:t xml:space="preserve"> </w:t>
      </w:r>
      <w:proofErr w:type="spellStart"/>
      <w:r w:rsidRPr="00C455B4">
        <w:rPr>
          <w:rFonts w:cs="Arial"/>
          <w:i/>
          <w:iCs/>
          <w:lang w:val="fr-FR"/>
        </w:rPr>
        <w:t>commersonii</w:t>
      </w:r>
      <w:proofErr w:type="spellEnd"/>
      <w:r w:rsidRPr="00C455B4">
        <w:rPr>
          <w:rFonts w:cs="Arial"/>
          <w:lang w:val="fr-FR"/>
        </w:rPr>
        <w:t xml:space="preserve">, Ann. </w:t>
      </w:r>
      <w:r w:rsidRPr="00F90283">
        <w:rPr>
          <w:rFonts w:cs="Arial"/>
        </w:rPr>
        <w:t>II)</w:t>
      </w:r>
    </w:p>
    <w:p w:rsidR="00C455B4" w:rsidRPr="00F90283" w:rsidRDefault="00C455B4" w:rsidP="0032282B">
      <w:pPr>
        <w:pStyle w:val="ListParagraph"/>
        <w:numPr>
          <w:ilvl w:val="1"/>
          <w:numId w:val="9"/>
        </w:numPr>
        <w:spacing w:after="0" w:line="240" w:lineRule="auto"/>
        <w:contextualSpacing w:val="0"/>
        <w:rPr>
          <w:rFonts w:cs="Arial"/>
          <w:noProof/>
          <w:lang w:val="de-DE"/>
        </w:rPr>
      </w:pPr>
      <w:r w:rsidRPr="00F90283">
        <w:rPr>
          <w:rFonts w:cs="Arial"/>
          <w:lang w:val="de-DE"/>
        </w:rPr>
        <w:t>Dugong (</w:t>
      </w:r>
      <w:r w:rsidRPr="00F90283">
        <w:rPr>
          <w:rFonts w:cs="Arial"/>
          <w:i/>
          <w:iCs/>
          <w:lang w:val="de-DE"/>
        </w:rPr>
        <w:t>Dugong dugon</w:t>
      </w:r>
      <w:r w:rsidRPr="00F90283">
        <w:rPr>
          <w:rFonts w:cs="Arial"/>
          <w:lang w:val="de-DE"/>
        </w:rPr>
        <w:t>, Ann. II),</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Rorqual commun (</w:t>
      </w:r>
      <w:proofErr w:type="spellStart"/>
      <w:r w:rsidRPr="00C455B4">
        <w:rPr>
          <w:rFonts w:cs="Arial"/>
          <w:i/>
          <w:iCs/>
          <w:lang w:val="fr-FR"/>
        </w:rPr>
        <w:t>Balaenoptera</w:t>
      </w:r>
      <w:proofErr w:type="spellEnd"/>
      <w:r w:rsidRPr="00C455B4">
        <w:rPr>
          <w:rFonts w:cs="Arial"/>
          <w:i/>
          <w:iCs/>
          <w:lang w:val="fr-FR"/>
        </w:rPr>
        <w:t xml:space="preserve"> </w:t>
      </w:r>
      <w:proofErr w:type="spellStart"/>
      <w:r w:rsidRPr="00C455B4">
        <w:rPr>
          <w:rFonts w:cs="Arial"/>
          <w:i/>
          <w:iCs/>
          <w:lang w:val="fr-FR"/>
        </w:rPr>
        <w:t>physalus</w:t>
      </w:r>
      <w:proofErr w:type="spellEnd"/>
      <w:r w:rsidRPr="00C455B4">
        <w:rPr>
          <w:rFonts w:cs="Arial"/>
          <w:lang w:val="fr-FR"/>
        </w:rPr>
        <w:t xml:space="preserve">, Ann. </w:t>
      </w:r>
      <w:r w:rsidRPr="00F90283">
        <w:rPr>
          <w:rFonts w:cs="Arial"/>
        </w:rPr>
        <w:t xml:space="preserve">I et II), </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 xml:space="preserve">Marsouin </w:t>
      </w:r>
      <w:proofErr w:type="spellStart"/>
      <w:r w:rsidRPr="00C455B4">
        <w:rPr>
          <w:rFonts w:cs="Arial"/>
          <w:lang w:val="fr-FR"/>
        </w:rPr>
        <w:t>indo-pacifique</w:t>
      </w:r>
      <w:proofErr w:type="spellEnd"/>
      <w:r w:rsidRPr="00C455B4">
        <w:rPr>
          <w:rFonts w:cs="Arial"/>
          <w:lang w:val="fr-FR"/>
        </w:rPr>
        <w:t xml:space="preserve"> (</w:t>
      </w:r>
      <w:proofErr w:type="spellStart"/>
      <w:r w:rsidRPr="00C455B4">
        <w:rPr>
          <w:rFonts w:cs="Arial"/>
          <w:i/>
          <w:iCs/>
          <w:lang w:val="fr-FR"/>
        </w:rPr>
        <w:t>Neophocaena</w:t>
      </w:r>
      <w:proofErr w:type="spellEnd"/>
      <w:r w:rsidRPr="00C455B4">
        <w:rPr>
          <w:rFonts w:cs="Arial"/>
          <w:i/>
          <w:iCs/>
          <w:lang w:val="fr-FR"/>
        </w:rPr>
        <w:t xml:space="preserve"> </w:t>
      </w:r>
      <w:proofErr w:type="spellStart"/>
      <w:r w:rsidRPr="00C455B4">
        <w:rPr>
          <w:rFonts w:cs="Arial"/>
          <w:i/>
          <w:iCs/>
          <w:lang w:val="fr-FR"/>
        </w:rPr>
        <w:t>phocaenoides</w:t>
      </w:r>
      <w:proofErr w:type="spellEnd"/>
      <w:r w:rsidRPr="00C455B4">
        <w:rPr>
          <w:rFonts w:cs="Arial"/>
          <w:lang w:val="fr-FR"/>
        </w:rPr>
        <w:t xml:space="preserve">, Ann. </w:t>
      </w:r>
      <w:r w:rsidRPr="00F90283">
        <w:rPr>
          <w:rFonts w:cs="Arial"/>
        </w:rPr>
        <w:t xml:space="preserve">II), </w:t>
      </w:r>
    </w:p>
    <w:p w:rsidR="00C455B4" w:rsidRPr="00F90283" w:rsidRDefault="00C455B4" w:rsidP="0032282B">
      <w:pPr>
        <w:pStyle w:val="ListParagraph"/>
        <w:numPr>
          <w:ilvl w:val="1"/>
          <w:numId w:val="9"/>
        </w:numPr>
        <w:spacing w:after="0" w:line="240" w:lineRule="auto"/>
        <w:contextualSpacing w:val="0"/>
        <w:rPr>
          <w:rFonts w:cs="Arial"/>
          <w:noProof/>
        </w:rPr>
      </w:pPr>
      <w:r w:rsidRPr="00F90283">
        <w:rPr>
          <w:rFonts w:cs="Arial"/>
          <w:lang w:val="de-DE"/>
        </w:rPr>
        <w:t>Dauphin de Fraser (</w:t>
      </w:r>
      <w:r w:rsidRPr="00F90283">
        <w:rPr>
          <w:rFonts w:cs="Arial"/>
          <w:i/>
          <w:iCs/>
          <w:lang w:val="de-DE"/>
        </w:rPr>
        <w:t>Lagenodelphis hosei</w:t>
      </w:r>
      <w:r w:rsidRPr="00F90283">
        <w:rPr>
          <w:rFonts w:cs="Arial"/>
          <w:lang w:val="de-DE"/>
        </w:rPr>
        <w:t xml:space="preserve">, Ann. </w:t>
      </w:r>
      <w:r w:rsidRPr="00F90283">
        <w:rPr>
          <w:rFonts w:cs="Arial"/>
        </w:rPr>
        <w:t xml:space="preserve">II), </w:t>
      </w:r>
    </w:p>
    <w:p w:rsidR="00C455B4" w:rsidRPr="00F90283" w:rsidRDefault="00C455B4" w:rsidP="0032282B">
      <w:pPr>
        <w:pStyle w:val="ListParagraph"/>
        <w:numPr>
          <w:ilvl w:val="1"/>
          <w:numId w:val="9"/>
        </w:numPr>
        <w:spacing w:after="0" w:line="240" w:lineRule="auto"/>
        <w:contextualSpacing w:val="0"/>
        <w:rPr>
          <w:rFonts w:cs="Arial"/>
          <w:noProof/>
        </w:rPr>
      </w:pPr>
      <w:r w:rsidRPr="00F90283">
        <w:rPr>
          <w:rFonts w:cs="Arial"/>
        </w:rPr>
        <w:t xml:space="preserve">Dauphin du </w:t>
      </w:r>
      <w:proofErr w:type="spellStart"/>
      <w:r w:rsidRPr="00F90283">
        <w:rPr>
          <w:rFonts w:cs="Arial"/>
        </w:rPr>
        <w:t>Gange</w:t>
      </w:r>
      <w:proofErr w:type="spellEnd"/>
      <w:r w:rsidRPr="00F90283">
        <w:rPr>
          <w:rFonts w:cs="Arial"/>
        </w:rPr>
        <w:t xml:space="preserve"> (</w:t>
      </w:r>
      <w:r w:rsidRPr="00F90283">
        <w:rPr>
          <w:rFonts w:cs="Arial"/>
          <w:i/>
          <w:iCs/>
        </w:rPr>
        <w:t xml:space="preserve">Platanista </w:t>
      </w:r>
      <w:proofErr w:type="spellStart"/>
      <w:r w:rsidRPr="00F90283">
        <w:rPr>
          <w:rFonts w:cs="Arial"/>
          <w:i/>
          <w:iCs/>
        </w:rPr>
        <w:t>gangetica</w:t>
      </w:r>
      <w:proofErr w:type="spellEnd"/>
      <w:r w:rsidRPr="00F90283">
        <w:rPr>
          <w:rFonts w:cs="Arial"/>
        </w:rPr>
        <w:t xml:space="preserve">, Ann. I et II), </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Baleine à bosse (</w:t>
      </w:r>
      <w:proofErr w:type="spellStart"/>
      <w:r w:rsidRPr="00C455B4">
        <w:rPr>
          <w:rFonts w:cs="Arial"/>
          <w:i/>
          <w:iCs/>
          <w:lang w:val="fr-FR"/>
        </w:rPr>
        <w:t>Megaptera</w:t>
      </w:r>
      <w:proofErr w:type="spellEnd"/>
      <w:r w:rsidRPr="00C455B4">
        <w:rPr>
          <w:rFonts w:cs="Arial"/>
          <w:i/>
          <w:iCs/>
          <w:lang w:val="fr-FR"/>
        </w:rPr>
        <w:t xml:space="preserve"> </w:t>
      </w:r>
      <w:proofErr w:type="spellStart"/>
      <w:r w:rsidRPr="00C455B4">
        <w:rPr>
          <w:rFonts w:cs="Arial"/>
          <w:i/>
          <w:iCs/>
          <w:lang w:val="fr-FR"/>
        </w:rPr>
        <w:t>novaeangliae</w:t>
      </w:r>
      <w:proofErr w:type="spellEnd"/>
      <w:r w:rsidRPr="00C455B4">
        <w:rPr>
          <w:rFonts w:cs="Arial"/>
          <w:lang w:val="fr-FR"/>
        </w:rPr>
        <w:t xml:space="preserve">, Ann. </w:t>
      </w:r>
      <w:r w:rsidRPr="00F90283">
        <w:rPr>
          <w:rFonts w:cs="Arial"/>
        </w:rPr>
        <w:t xml:space="preserve">I), </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Grand dauphin de l'</w:t>
      </w:r>
      <w:proofErr w:type="spellStart"/>
      <w:r w:rsidRPr="00C455B4">
        <w:rPr>
          <w:rFonts w:cs="Arial"/>
          <w:lang w:val="fr-FR"/>
        </w:rPr>
        <w:t>indo-pacifique</w:t>
      </w:r>
      <w:proofErr w:type="spellEnd"/>
      <w:r w:rsidRPr="00C455B4">
        <w:rPr>
          <w:rFonts w:cs="Arial"/>
          <w:lang w:val="fr-FR"/>
        </w:rPr>
        <w:t xml:space="preserve"> (</w:t>
      </w:r>
      <w:proofErr w:type="spellStart"/>
      <w:r w:rsidRPr="00C455B4">
        <w:rPr>
          <w:rFonts w:cs="Arial"/>
          <w:i/>
          <w:iCs/>
          <w:lang w:val="fr-FR"/>
        </w:rPr>
        <w:t>Tursiops</w:t>
      </w:r>
      <w:proofErr w:type="spellEnd"/>
      <w:r w:rsidRPr="00C455B4">
        <w:rPr>
          <w:rFonts w:cs="Arial"/>
          <w:i/>
          <w:iCs/>
          <w:lang w:val="fr-FR"/>
        </w:rPr>
        <w:t xml:space="preserve"> </w:t>
      </w:r>
      <w:proofErr w:type="spellStart"/>
      <w:r w:rsidRPr="00C455B4">
        <w:rPr>
          <w:rFonts w:cs="Arial"/>
          <w:i/>
          <w:iCs/>
          <w:lang w:val="fr-FR"/>
        </w:rPr>
        <w:t>aduncus</w:t>
      </w:r>
      <w:proofErr w:type="spellEnd"/>
      <w:r w:rsidRPr="00C455B4">
        <w:rPr>
          <w:rFonts w:cs="Arial"/>
          <w:lang w:val="fr-FR"/>
        </w:rPr>
        <w:t xml:space="preserve">, Ann. </w:t>
      </w:r>
      <w:r w:rsidRPr="00F90283">
        <w:rPr>
          <w:rFonts w:cs="Arial"/>
        </w:rPr>
        <w:t xml:space="preserve">II), </w:t>
      </w:r>
    </w:p>
    <w:p w:rsidR="00C455B4" w:rsidRPr="00F90283" w:rsidRDefault="00C455B4" w:rsidP="0032282B">
      <w:pPr>
        <w:pStyle w:val="ListParagraph"/>
        <w:numPr>
          <w:ilvl w:val="1"/>
          <w:numId w:val="9"/>
        </w:numPr>
        <w:spacing w:after="0" w:line="240" w:lineRule="auto"/>
        <w:contextualSpacing w:val="0"/>
        <w:rPr>
          <w:rFonts w:cs="Arial"/>
          <w:noProof/>
        </w:rPr>
      </w:pPr>
      <w:r w:rsidRPr="00F90283">
        <w:rPr>
          <w:rFonts w:cs="Arial"/>
        </w:rPr>
        <w:t xml:space="preserve">Dauphin </w:t>
      </w:r>
      <w:proofErr w:type="spellStart"/>
      <w:r w:rsidRPr="00F90283">
        <w:rPr>
          <w:rFonts w:cs="Arial"/>
        </w:rPr>
        <w:t>d’Irrawaddy</w:t>
      </w:r>
      <w:proofErr w:type="spellEnd"/>
      <w:r w:rsidRPr="00F90283">
        <w:rPr>
          <w:rFonts w:cs="Arial"/>
        </w:rPr>
        <w:t xml:space="preserve"> (</w:t>
      </w:r>
      <w:proofErr w:type="spellStart"/>
      <w:r w:rsidRPr="00F90283">
        <w:rPr>
          <w:rFonts w:cs="Arial"/>
          <w:i/>
          <w:iCs/>
        </w:rPr>
        <w:t>Orcaella</w:t>
      </w:r>
      <w:proofErr w:type="spellEnd"/>
      <w:r w:rsidRPr="00F90283">
        <w:rPr>
          <w:rFonts w:cs="Arial"/>
          <w:i/>
          <w:iCs/>
        </w:rPr>
        <w:t xml:space="preserve"> </w:t>
      </w:r>
      <w:proofErr w:type="spellStart"/>
      <w:r w:rsidRPr="00F90283">
        <w:rPr>
          <w:rFonts w:cs="Arial"/>
          <w:i/>
          <w:iCs/>
        </w:rPr>
        <w:t>brevirostris</w:t>
      </w:r>
      <w:proofErr w:type="spellEnd"/>
      <w:r w:rsidRPr="00F90283">
        <w:rPr>
          <w:rFonts w:cs="Arial"/>
        </w:rPr>
        <w:t xml:space="preserve">, Ann. I et II), </w:t>
      </w:r>
    </w:p>
    <w:p w:rsidR="00C455B4" w:rsidRPr="00F90283" w:rsidRDefault="00C455B4" w:rsidP="0032282B">
      <w:pPr>
        <w:pStyle w:val="ListParagraph"/>
        <w:numPr>
          <w:ilvl w:val="1"/>
          <w:numId w:val="9"/>
        </w:numPr>
        <w:spacing w:after="0" w:line="240" w:lineRule="auto"/>
        <w:contextualSpacing w:val="0"/>
        <w:rPr>
          <w:rFonts w:cs="Arial"/>
          <w:noProof/>
        </w:rPr>
      </w:pPr>
      <w:proofErr w:type="spellStart"/>
      <w:r w:rsidRPr="00F90283">
        <w:rPr>
          <w:rFonts w:cs="Arial"/>
        </w:rPr>
        <w:t>Orque</w:t>
      </w:r>
      <w:proofErr w:type="spellEnd"/>
      <w:r w:rsidRPr="00F90283">
        <w:rPr>
          <w:rFonts w:cs="Arial"/>
        </w:rPr>
        <w:t xml:space="preserve"> (</w:t>
      </w:r>
      <w:r w:rsidRPr="00F90283">
        <w:rPr>
          <w:rFonts w:cs="Arial"/>
          <w:i/>
          <w:iCs/>
        </w:rPr>
        <w:t>Orcinus orca</w:t>
      </w:r>
      <w:r w:rsidRPr="00F90283">
        <w:rPr>
          <w:rFonts w:cs="Arial"/>
        </w:rPr>
        <w:t xml:space="preserve">, Ann. II), </w:t>
      </w:r>
    </w:p>
    <w:p w:rsidR="00C455B4" w:rsidRPr="00F90283" w:rsidRDefault="00C455B4" w:rsidP="0032282B">
      <w:pPr>
        <w:pStyle w:val="ListParagraph"/>
        <w:numPr>
          <w:ilvl w:val="1"/>
          <w:numId w:val="9"/>
        </w:numPr>
        <w:spacing w:after="0" w:line="240" w:lineRule="auto"/>
        <w:contextualSpacing w:val="0"/>
        <w:rPr>
          <w:rFonts w:cs="Arial"/>
          <w:noProof/>
        </w:rPr>
      </w:pPr>
      <w:r w:rsidRPr="00C455B4">
        <w:rPr>
          <w:rFonts w:cs="Arial"/>
          <w:lang w:val="fr-FR"/>
        </w:rPr>
        <w:t>Phoque moine de Méditerranée</w:t>
      </w:r>
      <w:r w:rsidRPr="00C455B4">
        <w:rPr>
          <w:rFonts w:cs="Arial"/>
          <w:i/>
          <w:iCs/>
          <w:lang w:val="fr-FR"/>
        </w:rPr>
        <w:t>(</w:t>
      </w:r>
      <w:proofErr w:type="spellStart"/>
      <w:r w:rsidRPr="00C455B4">
        <w:rPr>
          <w:rFonts w:cs="Arial"/>
          <w:i/>
          <w:iCs/>
          <w:lang w:val="fr-FR"/>
        </w:rPr>
        <w:t>Monachus</w:t>
      </w:r>
      <w:proofErr w:type="spellEnd"/>
      <w:r w:rsidRPr="00C455B4">
        <w:rPr>
          <w:rFonts w:cs="Arial"/>
          <w:i/>
          <w:iCs/>
          <w:lang w:val="fr-FR"/>
        </w:rPr>
        <w:t xml:space="preserve"> </w:t>
      </w:r>
      <w:proofErr w:type="spellStart"/>
      <w:r w:rsidRPr="00C455B4">
        <w:rPr>
          <w:rFonts w:cs="Arial"/>
          <w:i/>
          <w:iCs/>
          <w:lang w:val="fr-FR"/>
        </w:rPr>
        <w:t>monachus</w:t>
      </w:r>
      <w:proofErr w:type="spellEnd"/>
      <w:r w:rsidRPr="00C455B4">
        <w:rPr>
          <w:rFonts w:cs="Arial"/>
          <w:lang w:val="fr-FR"/>
        </w:rPr>
        <w:t xml:space="preserve">, Ann. </w:t>
      </w:r>
      <w:r w:rsidRPr="00F90283">
        <w:rPr>
          <w:rFonts w:cs="Arial"/>
        </w:rPr>
        <w:t>I et II)</w:t>
      </w:r>
    </w:p>
    <w:p w:rsidR="00C455B4" w:rsidRPr="00F90283" w:rsidRDefault="00C455B4" w:rsidP="0032282B">
      <w:pPr>
        <w:pStyle w:val="ListParagraph"/>
        <w:numPr>
          <w:ilvl w:val="1"/>
          <w:numId w:val="9"/>
        </w:numPr>
        <w:spacing w:after="0" w:line="240" w:lineRule="auto"/>
        <w:contextualSpacing w:val="0"/>
        <w:rPr>
          <w:rFonts w:cs="Arial"/>
          <w:noProof/>
        </w:rPr>
      </w:pPr>
      <w:r w:rsidRPr="00F90283">
        <w:rPr>
          <w:rFonts w:cs="Arial"/>
        </w:rPr>
        <w:t xml:space="preserve">Rorqual </w:t>
      </w:r>
      <w:proofErr w:type="spellStart"/>
      <w:r w:rsidRPr="00F90283">
        <w:rPr>
          <w:rFonts w:cs="Arial"/>
        </w:rPr>
        <w:t>boréal</w:t>
      </w:r>
      <w:proofErr w:type="spellEnd"/>
      <w:r w:rsidRPr="00F90283">
        <w:rPr>
          <w:rFonts w:cs="Arial"/>
        </w:rPr>
        <w:t xml:space="preserve"> (</w:t>
      </w:r>
      <w:r w:rsidRPr="00F90283">
        <w:rPr>
          <w:rFonts w:cs="Arial"/>
          <w:i/>
          <w:iCs/>
        </w:rPr>
        <w:t>Balaenoptera borealis</w:t>
      </w:r>
      <w:r w:rsidRPr="00F90283">
        <w:rPr>
          <w:rFonts w:cs="Arial"/>
        </w:rPr>
        <w:t xml:space="preserve">, Ann. I et II), </w:t>
      </w:r>
    </w:p>
    <w:p w:rsidR="00C455B4" w:rsidRPr="00F90283" w:rsidRDefault="00C455B4" w:rsidP="0032282B">
      <w:pPr>
        <w:pStyle w:val="ListParagraph"/>
        <w:numPr>
          <w:ilvl w:val="1"/>
          <w:numId w:val="9"/>
        </w:numPr>
        <w:spacing w:after="0" w:line="240" w:lineRule="auto"/>
        <w:contextualSpacing w:val="0"/>
        <w:rPr>
          <w:rFonts w:cs="Arial"/>
          <w:noProof/>
        </w:rPr>
      </w:pPr>
      <w:proofErr w:type="spellStart"/>
      <w:r w:rsidRPr="00F90283">
        <w:rPr>
          <w:rFonts w:cs="Arial"/>
        </w:rPr>
        <w:t>Baleine</w:t>
      </w:r>
      <w:proofErr w:type="spellEnd"/>
      <w:r w:rsidRPr="00F90283">
        <w:rPr>
          <w:rFonts w:cs="Arial"/>
        </w:rPr>
        <w:t xml:space="preserve"> </w:t>
      </w:r>
      <w:proofErr w:type="spellStart"/>
      <w:r w:rsidRPr="00F90283">
        <w:rPr>
          <w:rFonts w:cs="Arial"/>
        </w:rPr>
        <w:t>franche</w:t>
      </w:r>
      <w:proofErr w:type="spellEnd"/>
      <w:r w:rsidRPr="00F90283">
        <w:rPr>
          <w:rFonts w:cs="Arial"/>
        </w:rPr>
        <w:t xml:space="preserve"> </w:t>
      </w:r>
      <w:proofErr w:type="spellStart"/>
      <w:r w:rsidRPr="00F90283">
        <w:rPr>
          <w:rFonts w:cs="Arial"/>
        </w:rPr>
        <w:t>australe</w:t>
      </w:r>
      <w:proofErr w:type="spellEnd"/>
      <w:r w:rsidRPr="00F90283">
        <w:rPr>
          <w:rFonts w:cs="Arial"/>
        </w:rPr>
        <w:t xml:space="preserve"> (</w:t>
      </w:r>
      <w:proofErr w:type="spellStart"/>
      <w:r w:rsidRPr="00F90283">
        <w:rPr>
          <w:rFonts w:cs="Arial"/>
          <w:i/>
          <w:iCs/>
        </w:rPr>
        <w:t>Eubalaena</w:t>
      </w:r>
      <w:proofErr w:type="spellEnd"/>
      <w:r w:rsidRPr="00F90283">
        <w:rPr>
          <w:rFonts w:cs="Arial"/>
          <w:i/>
          <w:iCs/>
        </w:rPr>
        <w:t xml:space="preserve"> </w:t>
      </w:r>
      <w:proofErr w:type="spellStart"/>
      <w:r w:rsidRPr="00F90283">
        <w:rPr>
          <w:rFonts w:cs="Arial"/>
          <w:i/>
          <w:iCs/>
        </w:rPr>
        <w:t>australis</w:t>
      </w:r>
      <w:proofErr w:type="spellEnd"/>
      <w:r w:rsidRPr="00F90283">
        <w:rPr>
          <w:rFonts w:cs="Arial"/>
          <w:i/>
          <w:iCs/>
        </w:rPr>
        <w:t>,</w:t>
      </w:r>
      <w:r w:rsidRPr="00F90283">
        <w:rPr>
          <w:rFonts w:cs="Arial"/>
        </w:rPr>
        <w:t xml:space="preserve"> Ann. I), </w:t>
      </w:r>
    </w:p>
    <w:p w:rsidR="00C455B4" w:rsidRPr="00F90283" w:rsidRDefault="00C455B4" w:rsidP="0032282B">
      <w:pPr>
        <w:pStyle w:val="ListParagraph"/>
        <w:numPr>
          <w:ilvl w:val="1"/>
          <w:numId w:val="9"/>
        </w:numPr>
        <w:spacing w:after="0" w:line="240" w:lineRule="auto"/>
        <w:contextualSpacing w:val="0"/>
        <w:rPr>
          <w:rFonts w:cs="Arial"/>
          <w:noProof/>
        </w:rPr>
      </w:pPr>
      <w:r w:rsidRPr="00F90283">
        <w:rPr>
          <w:rFonts w:cs="Arial"/>
        </w:rPr>
        <w:t>Cachalot (</w:t>
      </w:r>
      <w:r w:rsidRPr="00F90283">
        <w:rPr>
          <w:rFonts w:cs="Arial"/>
          <w:i/>
          <w:iCs/>
        </w:rPr>
        <w:t>Physeter macrocephalus</w:t>
      </w:r>
      <w:r w:rsidRPr="00F90283">
        <w:rPr>
          <w:rFonts w:cs="Arial"/>
        </w:rPr>
        <w:t>, Ann. I et II),</w:t>
      </w:r>
    </w:p>
    <w:p w:rsidR="00C455B4" w:rsidRPr="00F90283" w:rsidRDefault="00C455B4" w:rsidP="0032282B">
      <w:pPr>
        <w:pStyle w:val="ListParagraph"/>
        <w:numPr>
          <w:ilvl w:val="1"/>
          <w:numId w:val="9"/>
        </w:numPr>
        <w:spacing w:after="0"/>
        <w:contextualSpacing w:val="0"/>
        <w:rPr>
          <w:rFonts w:eastAsia="Times New Roman"/>
          <w:u w:val="single"/>
        </w:rPr>
      </w:pPr>
      <w:r w:rsidRPr="00C455B4">
        <w:rPr>
          <w:rFonts w:cs="Arial"/>
          <w:lang w:val="fr-FR"/>
        </w:rPr>
        <w:t>Dauphin à long bec (</w:t>
      </w:r>
      <w:proofErr w:type="spellStart"/>
      <w:r w:rsidRPr="00C455B4">
        <w:rPr>
          <w:rFonts w:cs="Arial"/>
          <w:i/>
          <w:iCs/>
          <w:lang w:val="fr-FR"/>
        </w:rPr>
        <w:t>Stenella</w:t>
      </w:r>
      <w:proofErr w:type="spellEnd"/>
      <w:r w:rsidRPr="00C455B4">
        <w:rPr>
          <w:rFonts w:cs="Arial"/>
          <w:i/>
          <w:iCs/>
          <w:lang w:val="fr-FR"/>
        </w:rPr>
        <w:t xml:space="preserve"> </w:t>
      </w:r>
      <w:proofErr w:type="spellStart"/>
      <w:r w:rsidRPr="00C455B4">
        <w:rPr>
          <w:rFonts w:cs="Arial"/>
          <w:i/>
          <w:iCs/>
          <w:lang w:val="fr-FR"/>
        </w:rPr>
        <w:t>longirostris</w:t>
      </w:r>
      <w:proofErr w:type="spellEnd"/>
      <w:r w:rsidRPr="00C455B4">
        <w:rPr>
          <w:rFonts w:cs="Arial"/>
          <w:lang w:val="fr-FR"/>
        </w:rPr>
        <w:t xml:space="preserve">, Ann. </w:t>
      </w:r>
      <w:r w:rsidRPr="00F90283">
        <w:rPr>
          <w:rFonts w:cs="Arial"/>
        </w:rPr>
        <w:t xml:space="preserve">II). </w:t>
      </w:r>
    </w:p>
    <w:p w:rsidR="00C455B4" w:rsidRPr="00F90283" w:rsidRDefault="00C455B4" w:rsidP="0032282B">
      <w:pPr>
        <w:pStyle w:val="ListParagraph"/>
        <w:spacing w:after="0"/>
        <w:ind w:left="1440"/>
        <w:contextualSpacing w:val="0"/>
        <w:rPr>
          <w:rFonts w:eastAsia="Times New Roman"/>
          <w:u w:val="single"/>
        </w:rPr>
      </w:pPr>
    </w:p>
    <w:p w:rsidR="00C455B4" w:rsidRPr="00C455B4" w:rsidRDefault="00C455B4" w:rsidP="00DC60CA">
      <w:pPr>
        <w:pStyle w:val="ListParagraph"/>
        <w:numPr>
          <w:ilvl w:val="0"/>
          <w:numId w:val="17"/>
        </w:numPr>
        <w:spacing w:after="0" w:line="240" w:lineRule="auto"/>
        <w:contextualSpacing w:val="0"/>
        <w:rPr>
          <w:lang w:val="fr-FR"/>
        </w:rPr>
      </w:pPr>
      <w:r w:rsidRPr="00C455B4">
        <w:rPr>
          <w:lang w:val="fr-FR"/>
        </w:rPr>
        <w:t xml:space="preserve">Chaque rapport d’atelier et </w:t>
      </w:r>
      <w:hyperlink r:id="rId8" w:history="1">
        <w:r w:rsidRPr="00C455B4">
          <w:rPr>
            <w:rStyle w:val="Hyperlink"/>
            <w:lang w:val="fr-FR"/>
          </w:rPr>
          <w:t xml:space="preserve">l’e-Atlas des </w:t>
        </w:r>
        <w:r w:rsidR="00DC60CA">
          <w:rPr>
            <w:rStyle w:val="Hyperlink"/>
            <w:lang w:val="fr-FR"/>
          </w:rPr>
          <w:t>AIMM</w:t>
        </w:r>
      </w:hyperlink>
      <w:r w:rsidRPr="00C455B4">
        <w:rPr>
          <w:lang w:val="fr-FR"/>
        </w:rPr>
        <w:t xml:space="preserve"> représentent une mine d’informations utiles pour les efforts de la CMS pour la conservation de ces espèces. </w:t>
      </w:r>
    </w:p>
    <w:p w:rsidR="00DC60CA" w:rsidRPr="00C455B4" w:rsidRDefault="00DC60CA" w:rsidP="0032282B">
      <w:pPr>
        <w:pStyle w:val="ListParagraph"/>
        <w:spacing w:after="0" w:line="240" w:lineRule="auto"/>
        <w:contextualSpacing w:val="0"/>
        <w:rPr>
          <w:lang w:val="fr-FR"/>
        </w:rPr>
      </w:pPr>
    </w:p>
    <w:p w:rsidR="00C455B4" w:rsidRPr="00C455B4" w:rsidRDefault="00C455B4" w:rsidP="00DC60CA">
      <w:pPr>
        <w:pStyle w:val="ListParagraph"/>
        <w:numPr>
          <w:ilvl w:val="0"/>
          <w:numId w:val="17"/>
        </w:numPr>
        <w:spacing w:after="0" w:line="240" w:lineRule="auto"/>
        <w:ind w:left="567" w:hanging="567"/>
        <w:contextualSpacing w:val="0"/>
        <w:jc w:val="both"/>
        <w:rPr>
          <w:lang w:val="fr-FR"/>
        </w:rPr>
      </w:pPr>
      <w:r w:rsidRPr="00C455B4">
        <w:rPr>
          <w:lang w:val="fr-FR"/>
        </w:rPr>
        <w:t xml:space="preserve">L’un des domaines des travaux futurs que le Groupe de travail a identifié dans le cadre du processus </w:t>
      </w:r>
      <w:r w:rsidR="00DC60CA">
        <w:rPr>
          <w:lang w:val="fr-FR"/>
        </w:rPr>
        <w:t>AIMM</w:t>
      </w:r>
      <w:r w:rsidRPr="00C455B4">
        <w:rPr>
          <w:lang w:val="fr-FR"/>
        </w:rPr>
        <w:t xml:space="preserve"> est de combler le manque de données sur les populations de mammifères marins en haute mer, dans les zones situées à l’extérieur des zones économiques exclusives (ZEE) nationales. </w:t>
      </w:r>
    </w:p>
    <w:p w:rsidR="00C455B4" w:rsidRPr="00C455B4" w:rsidRDefault="00C455B4" w:rsidP="00DC60CA">
      <w:pPr>
        <w:pStyle w:val="ListParagraph"/>
        <w:spacing w:after="0"/>
        <w:ind w:left="567" w:hanging="567"/>
        <w:contextualSpacing w:val="0"/>
        <w:jc w:val="both"/>
        <w:rPr>
          <w:lang w:val="fr-FR"/>
        </w:rPr>
      </w:pPr>
    </w:p>
    <w:p w:rsidR="00C455B4" w:rsidRPr="00C455B4" w:rsidRDefault="00C455B4" w:rsidP="00DC60CA">
      <w:pPr>
        <w:pStyle w:val="ListParagraph"/>
        <w:numPr>
          <w:ilvl w:val="0"/>
          <w:numId w:val="17"/>
        </w:numPr>
        <w:spacing w:after="0" w:line="240" w:lineRule="auto"/>
        <w:ind w:left="567" w:hanging="567"/>
        <w:contextualSpacing w:val="0"/>
        <w:jc w:val="both"/>
        <w:rPr>
          <w:lang w:val="fr-FR"/>
        </w:rPr>
      </w:pPr>
      <w:r w:rsidRPr="00C455B4">
        <w:rPr>
          <w:lang w:val="fr-FR"/>
        </w:rPr>
        <w:t xml:space="preserve">En décembre 2019, le Groupe de travail coordonnera une série de discussions sur «l’obtention de données en haute mer» lors de la Conférence mondiale sur les mammifères marins à Barcelone, en Espagne. Des conférences seront données par des scientifiques spécialistes de l’ADN environnemental (ADN-e) et de la technologie satellite pour identifier les espèces de mammifères marins, ainsi que des véhicules et drones télécommandés, la surveillance acoustique et d’autres techniques. Les Secrétariats de la CMS et de l’ASCOBANS seront également présents. </w:t>
      </w:r>
    </w:p>
    <w:p w:rsidR="00C455B4" w:rsidRPr="00C455B4" w:rsidRDefault="00C455B4" w:rsidP="00DC60CA">
      <w:pPr>
        <w:pStyle w:val="ListParagraph"/>
        <w:spacing w:after="0" w:line="240" w:lineRule="auto"/>
        <w:ind w:left="567" w:hanging="567"/>
        <w:contextualSpacing w:val="0"/>
        <w:jc w:val="both"/>
        <w:rPr>
          <w:lang w:val="fr-FR"/>
        </w:rPr>
      </w:pPr>
    </w:p>
    <w:p w:rsidR="00C455B4" w:rsidRPr="00C455B4" w:rsidRDefault="00C455B4" w:rsidP="00DC60CA">
      <w:pPr>
        <w:pStyle w:val="ListParagraph"/>
        <w:numPr>
          <w:ilvl w:val="0"/>
          <w:numId w:val="17"/>
        </w:numPr>
        <w:spacing w:after="0" w:line="240" w:lineRule="auto"/>
        <w:ind w:left="567" w:hanging="567"/>
        <w:contextualSpacing w:val="0"/>
        <w:jc w:val="both"/>
        <w:rPr>
          <w:lang w:val="fr-FR"/>
        </w:rPr>
      </w:pPr>
      <w:r w:rsidRPr="00C455B4">
        <w:rPr>
          <w:lang w:val="fr-FR"/>
        </w:rPr>
        <w:lastRenderedPageBreak/>
        <w:t>Le Groupe de travail sur les mammifères aquatiques estime qu’il serait utile que le Secrétariat de la CMS et les Parties contribuent à mobiliser le soutien national pour une nouvelle décennie de recherche scientifique visant à obtenir des données substantielles sur les habitats des mammifères marins et d’autres espèces migratrices dans la plus grande partie des océans du monde: la haute mer. Cela nécessitera un engagement des gouvernements, des scientifiques et des institutions scientifiques, ainsi que des organismes de financement capables de financer une initiative de cette envergure. À titre de comparaison, le Recensement de la vie marine (2000-2010)</w:t>
      </w:r>
      <w:r w:rsidRPr="00F90283">
        <w:rPr>
          <w:rStyle w:val="FootnoteReference"/>
        </w:rPr>
        <w:footnoteReference w:id="1"/>
      </w:r>
      <w:r w:rsidRPr="00C455B4">
        <w:rPr>
          <w:lang w:val="fr-FR"/>
        </w:rPr>
        <w:t xml:space="preserve"> a lancé 540 expéditions avec un financement de 650 millions de dollars américains, recueillant des données auprès de 30 millions d’échantillons ; l’initiative proposée exigerait un engagement similaire. </w:t>
      </w:r>
    </w:p>
    <w:p w:rsidR="00C455B4" w:rsidRPr="00C455B4" w:rsidRDefault="00C455B4" w:rsidP="00DC60CA">
      <w:pPr>
        <w:spacing w:after="0" w:line="240" w:lineRule="auto"/>
        <w:ind w:left="567" w:hanging="567"/>
        <w:jc w:val="both"/>
        <w:rPr>
          <w:lang w:val="fr-FR"/>
        </w:rPr>
      </w:pPr>
    </w:p>
    <w:p w:rsidR="00C455B4" w:rsidRPr="00C455B4" w:rsidRDefault="00C455B4" w:rsidP="00DC60CA">
      <w:pPr>
        <w:pStyle w:val="ListParagraph"/>
        <w:numPr>
          <w:ilvl w:val="0"/>
          <w:numId w:val="17"/>
        </w:numPr>
        <w:spacing w:after="0" w:line="240" w:lineRule="auto"/>
        <w:ind w:left="567" w:hanging="567"/>
        <w:contextualSpacing w:val="0"/>
        <w:jc w:val="both"/>
        <w:rPr>
          <w:lang w:val="fr-FR"/>
        </w:rPr>
      </w:pPr>
      <w:r w:rsidRPr="00C455B4">
        <w:rPr>
          <w:lang w:val="fr-FR"/>
        </w:rPr>
        <w:t xml:space="preserve">L’AMWG soutient la conclusion à laquelle est parvenue le Groupe de travail, à savoir qu’un argument solide pourrait être avancé en faveur de l’inscription du Dugong </w:t>
      </w:r>
      <w:r w:rsidRPr="00C455B4">
        <w:rPr>
          <w:i/>
          <w:lang w:val="fr-FR"/>
        </w:rPr>
        <w:t>(Dugong dugon)</w:t>
      </w:r>
      <w:r w:rsidRPr="00C455B4">
        <w:rPr>
          <w:lang w:val="fr-FR"/>
        </w:rPr>
        <w:t xml:space="preserve"> à l’Annexe I, soit à l’échelle régionale ou mondiale, en plus de son inscription actuelle à l’Annexe II. Il se fonde sur l’expérience des Palaos et des îles Andaman, ainsi que de divers autres endroits de l’océan Indien. La Liste rouge de l’UICN classe le dugong comme Vulnérable et en diminution, mais le Groupe de travail a reçu des informations de première main </w:t>
      </w:r>
      <w:r w:rsidRPr="00F90283">
        <w:rPr>
          <w:rStyle w:val="FootnoteReference"/>
        </w:rPr>
        <w:footnoteReference w:id="2"/>
      </w:r>
      <w:r w:rsidRPr="00C455B4">
        <w:rPr>
          <w:lang w:val="fr-FR"/>
        </w:rPr>
        <w:t xml:space="preserve"> sur la fragmentation des habitats et des évaluations d’experts de certaines populations considérées En danger. </w:t>
      </w:r>
    </w:p>
    <w:p w:rsidR="00C455B4" w:rsidRPr="00C455B4" w:rsidRDefault="00C455B4" w:rsidP="00DC60CA">
      <w:pPr>
        <w:spacing w:after="0" w:line="240" w:lineRule="auto"/>
        <w:ind w:left="567" w:hanging="567"/>
        <w:jc w:val="both"/>
        <w:rPr>
          <w:lang w:val="fr-FR"/>
        </w:rPr>
      </w:pPr>
    </w:p>
    <w:p w:rsidR="00C455B4" w:rsidRPr="00C455B4" w:rsidRDefault="00C455B4" w:rsidP="0032282B">
      <w:pPr>
        <w:spacing w:after="0" w:line="240" w:lineRule="auto"/>
        <w:rPr>
          <w:rFonts w:eastAsia="Times New Roman" w:cs="Arial"/>
          <w:u w:val="single"/>
          <w:lang w:val="fr-FR"/>
        </w:rPr>
      </w:pPr>
      <w:r w:rsidRPr="00C455B4">
        <w:rPr>
          <w:rFonts w:eastAsia="Times New Roman" w:cs="Arial"/>
          <w:u w:val="single"/>
          <w:lang w:val="fr-FR"/>
        </w:rPr>
        <w:t>Activités</w:t>
      </w:r>
      <w:r w:rsidR="00DC60CA">
        <w:rPr>
          <w:rFonts w:eastAsia="Times New Roman" w:cs="Arial"/>
          <w:u w:val="single"/>
          <w:lang w:val="fr-FR"/>
        </w:rPr>
        <w:t xml:space="preserve"> de </w:t>
      </w:r>
      <w:r w:rsidRPr="00C455B4">
        <w:rPr>
          <w:rFonts w:eastAsia="Times New Roman" w:cs="Arial"/>
          <w:u w:val="single"/>
          <w:lang w:val="fr-FR"/>
        </w:rPr>
        <w:t xml:space="preserve">mise en œuvre de la Décision 12.41  </w:t>
      </w:r>
    </w:p>
    <w:p w:rsidR="00C455B4" w:rsidRPr="00C455B4" w:rsidRDefault="00C455B4" w:rsidP="0032282B">
      <w:pPr>
        <w:spacing w:after="0" w:line="240" w:lineRule="auto"/>
        <w:rPr>
          <w:lang w:val="fr-FR"/>
        </w:rPr>
      </w:pPr>
    </w:p>
    <w:p w:rsidR="00C455B4" w:rsidRPr="00C455B4" w:rsidRDefault="00C455B4" w:rsidP="00DC60CA">
      <w:pPr>
        <w:pStyle w:val="ListParagraph"/>
        <w:numPr>
          <w:ilvl w:val="0"/>
          <w:numId w:val="17"/>
        </w:numPr>
        <w:spacing w:after="0" w:line="240" w:lineRule="auto"/>
        <w:ind w:left="567" w:hanging="567"/>
        <w:contextualSpacing w:val="0"/>
        <w:jc w:val="both"/>
        <w:rPr>
          <w:lang w:val="fr-FR"/>
        </w:rPr>
      </w:pPr>
      <w:r w:rsidRPr="00C455B4">
        <w:rPr>
          <w:lang w:val="fr-FR"/>
        </w:rPr>
        <w:t xml:space="preserve">Le Secrétariat s’est activement impliqué dans le processus </w:t>
      </w:r>
      <w:r w:rsidR="00DC60CA">
        <w:rPr>
          <w:lang w:val="fr-FR"/>
        </w:rPr>
        <w:t>AIMM</w:t>
      </w:r>
      <w:r w:rsidRPr="00C455B4">
        <w:rPr>
          <w:lang w:val="fr-FR"/>
        </w:rPr>
        <w:t xml:space="preserve"> en participant à presque toutes les réunions et en aidant à promouvoir les </w:t>
      </w:r>
      <w:r w:rsidR="00DC60CA">
        <w:rPr>
          <w:lang w:val="fr-FR"/>
        </w:rPr>
        <w:t>AIMM</w:t>
      </w:r>
      <w:r w:rsidRPr="00C455B4">
        <w:rPr>
          <w:lang w:val="fr-FR"/>
        </w:rPr>
        <w:t xml:space="preserve">, notamment par l’intermédiaire du bureau de la CMS à Abou Dhabi, dans les Émirats arabes unis. Il a également fait la promotion des </w:t>
      </w:r>
      <w:r w:rsidR="00DC60CA">
        <w:rPr>
          <w:lang w:val="fr-FR"/>
        </w:rPr>
        <w:t>AIMM</w:t>
      </w:r>
      <w:r w:rsidRPr="00C455B4">
        <w:rPr>
          <w:lang w:val="fr-FR"/>
        </w:rPr>
        <w:t xml:space="preserve"> lors d’événements parallèles organisés dans d’autres forums, tels que le processus de négociation sur la biodiversité au-delà des juridictions nationales (BBNJ).    </w:t>
      </w:r>
    </w:p>
    <w:p w:rsidR="00C455B4" w:rsidRPr="00C455B4" w:rsidRDefault="00C455B4" w:rsidP="0032282B">
      <w:pPr>
        <w:spacing w:after="0" w:line="240" w:lineRule="auto"/>
        <w:rPr>
          <w:lang w:val="fr-FR"/>
        </w:rPr>
      </w:pPr>
    </w:p>
    <w:p w:rsidR="00C455B4" w:rsidRPr="00DC60CA" w:rsidRDefault="00C455B4" w:rsidP="0032282B">
      <w:pPr>
        <w:spacing w:after="0"/>
        <w:rPr>
          <w:rFonts w:cs="Arial"/>
          <w:noProof/>
          <w:u w:val="single"/>
        </w:rPr>
      </w:pPr>
      <w:r w:rsidRPr="00DC60CA">
        <w:rPr>
          <w:rFonts w:cs="Arial"/>
          <w:u w:val="single"/>
        </w:rPr>
        <w:t xml:space="preserve">Actions </w:t>
      </w:r>
      <w:proofErr w:type="spellStart"/>
      <w:r w:rsidR="00DC60CA">
        <w:rPr>
          <w:rFonts w:cs="Arial"/>
          <w:u w:val="single"/>
        </w:rPr>
        <w:t>recommandées</w:t>
      </w:r>
      <w:proofErr w:type="spellEnd"/>
    </w:p>
    <w:p w:rsidR="00C455B4" w:rsidRPr="00F90283" w:rsidRDefault="00C455B4" w:rsidP="0032282B">
      <w:pPr>
        <w:pStyle w:val="ListParagraph"/>
        <w:spacing w:after="0" w:line="240" w:lineRule="auto"/>
        <w:ind w:left="1440"/>
        <w:contextualSpacing w:val="0"/>
        <w:rPr>
          <w:rFonts w:cs="Arial"/>
          <w:noProof/>
        </w:rPr>
      </w:pPr>
    </w:p>
    <w:p w:rsidR="00DC60CA" w:rsidRPr="00DC60CA" w:rsidRDefault="00C455B4" w:rsidP="00DC60CA">
      <w:pPr>
        <w:pStyle w:val="ListParagraph"/>
        <w:numPr>
          <w:ilvl w:val="0"/>
          <w:numId w:val="17"/>
        </w:numPr>
        <w:spacing w:after="0"/>
        <w:ind w:left="567" w:hanging="567"/>
        <w:contextualSpacing w:val="0"/>
        <w:rPr>
          <w:rFonts w:cs="Arial"/>
          <w:noProof/>
          <w:lang w:val="fr-FR"/>
        </w:rPr>
      </w:pPr>
      <w:r w:rsidRPr="00C455B4">
        <w:rPr>
          <w:rFonts w:cs="Arial"/>
          <w:lang w:val="fr-FR"/>
        </w:rPr>
        <w:t>Il</w:t>
      </w:r>
      <w:r w:rsidR="00DC60CA">
        <w:rPr>
          <w:rFonts w:cs="Arial"/>
          <w:lang w:val="fr-FR"/>
        </w:rPr>
        <w:t xml:space="preserve"> </w:t>
      </w:r>
      <w:r w:rsidRPr="00C455B4">
        <w:rPr>
          <w:lang w:val="fr-FR"/>
        </w:rPr>
        <w:t>est recommandé de la Conférence des Parties de:</w:t>
      </w:r>
    </w:p>
    <w:p w:rsidR="00DC60CA" w:rsidRPr="00DC60CA" w:rsidRDefault="00DC60CA" w:rsidP="00DC60CA">
      <w:pPr>
        <w:pStyle w:val="ListParagraph"/>
        <w:spacing w:after="0"/>
        <w:ind w:left="567"/>
        <w:contextualSpacing w:val="0"/>
        <w:rPr>
          <w:rFonts w:cs="Arial"/>
          <w:noProof/>
          <w:lang w:val="fr-FR"/>
        </w:rPr>
      </w:pPr>
    </w:p>
    <w:p w:rsidR="00C455B4" w:rsidRDefault="00C455B4" w:rsidP="00DC60CA">
      <w:pPr>
        <w:pStyle w:val="ListParagraph"/>
        <w:numPr>
          <w:ilvl w:val="1"/>
          <w:numId w:val="17"/>
        </w:numPr>
        <w:spacing w:after="0" w:line="240" w:lineRule="auto"/>
        <w:ind w:left="1134" w:hanging="567"/>
        <w:contextualSpacing w:val="0"/>
        <w:rPr>
          <w:rFonts w:cs="Arial"/>
          <w:noProof/>
          <w:lang w:val="fr-FR"/>
        </w:rPr>
      </w:pPr>
      <w:r w:rsidRPr="00C455B4">
        <w:rPr>
          <w:rFonts w:cs="Arial"/>
          <w:lang w:val="fr-FR"/>
        </w:rPr>
        <w:t xml:space="preserve">prendre note de ce document et du rapport du Groupe de travail de l’UICN sur les zones protégées pour les mammifères marins relatif à l’état d’avancement du processus </w:t>
      </w:r>
      <w:r w:rsidR="00DC60CA">
        <w:rPr>
          <w:rFonts w:cs="Arial"/>
          <w:lang w:val="fr-FR"/>
        </w:rPr>
        <w:t>AIMM</w:t>
      </w:r>
      <w:r w:rsidRPr="00C455B4">
        <w:rPr>
          <w:rFonts w:cs="Arial"/>
          <w:lang w:val="fr-FR"/>
        </w:rPr>
        <w:t>, figurant à l’</w:t>
      </w:r>
      <w:r w:rsidR="00DC60CA">
        <w:rPr>
          <w:rFonts w:cs="Arial"/>
          <w:lang w:val="fr-FR"/>
        </w:rPr>
        <w:t>A</w:t>
      </w:r>
      <w:r w:rsidRPr="00C455B4">
        <w:rPr>
          <w:rFonts w:cs="Arial"/>
          <w:lang w:val="fr-FR"/>
        </w:rPr>
        <w:t>nnexe 1 ;</w:t>
      </w:r>
    </w:p>
    <w:p w:rsidR="00DC60CA" w:rsidRPr="00C455B4" w:rsidRDefault="00DC60CA" w:rsidP="00DC60CA">
      <w:pPr>
        <w:pStyle w:val="ListParagraph"/>
        <w:spacing w:after="0" w:line="240" w:lineRule="auto"/>
        <w:ind w:left="1134"/>
        <w:contextualSpacing w:val="0"/>
        <w:rPr>
          <w:rFonts w:cs="Arial"/>
          <w:noProof/>
          <w:lang w:val="fr-FR"/>
        </w:rPr>
      </w:pPr>
    </w:p>
    <w:p w:rsidR="00C455B4" w:rsidRDefault="00C455B4" w:rsidP="00DC60CA">
      <w:pPr>
        <w:pStyle w:val="ListParagraph"/>
        <w:numPr>
          <w:ilvl w:val="1"/>
          <w:numId w:val="17"/>
        </w:numPr>
        <w:spacing w:after="0" w:line="240" w:lineRule="auto"/>
        <w:ind w:left="1134" w:hanging="567"/>
        <w:contextualSpacing w:val="0"/>
        <w:rPr>
          <w:rFonts w:cs="Arial"/>
          <w:noProof/>
          <w:lang w:val="fr-FR"/>
        </w:rPr>
      </w:pPr>
      <w:r w:rsidRPr="00C455B4">
        <w:rPr>
          <w:rFonts w:cs="Arial"/>
          <w:lang w:val="fr-FR"/>
        </w:rPr>
        <w:t xml:space="preserve">prendre note de l’avis du Conseil scientifique selon lequel </w:t>
      </w:r>
      <w:proofErr w:type="spellStart"/>
      <w:r w:rsidRPr="00C455B4">
        <w:rPr>
          <w:rFonts w:cs="Arial"/>
          <w:lang w:val="fr-FR"/>
        </w:rPr>
        <w:t>le</w:t>
      </w:r>
      <w:r w:rsidRPr="00C455B4">
        <w:rPr>
          <w:rFonts w:cs="Arial"/>
          <w:i/>
          <w:lang w:val="fr-FR"/>
        </w:rPr>
        <w:t>Dugong</w:t>
      </w:r>
      <w:proofErr w:type="spellEnd"/>
      <w:r w:rsidRPr="00C455B4">
        <w:rPr>
          <w:rFonts w:cs="Arial"/>
          <w:i/>
          <w:lang w:val="fr-FR"/>
        </w:rPr>
        <w:t xml:space="preserve"> dugon</w:t>
      </w:r>
      <w:r w:rsidRPr="00C455B4">
        <w:rPr>
          <w:rFonts w:cs="Arial"/>
          <w:lang w:val="fr-FR"/>
        </w:rPr>
        <w:t xml:space="preserve"> gagnerait à figurer à l’Annexe I ; </w:t>
      </w:r>
    </w:p>
    <w:p w:rsidR="00DC60CA" w:rsidRPr="00C455B4" w:rsidRDefault="00DC60CA" w:rsidP="00DC60CA">
      <w:pPr>
        <w:pStyle w:val="ListParagraph"/>
        <w:spacing w:after="0" w:line="240" w:lineRule="auto"/>
        <w:ind w:left="1134"/>
        <w:contextualSpacing w:val="0"/>
        <w:rPr>
          <w:rFonts w:cs="Arial"/>
          <w:noProof/>
          <w:lang w:val="fr-FR"/>
        </w:rPr>
      </w:pPr>
    </w:p>
    <w:p w:rsidR="00C455B4" w:rsidRDefault="00C455B4" w:rsidP="00DC60CA">
      <w:pPr>
        <w:pStyle w:val="ListParagraph"/>
        <w:numPr>
          <w:ilvl w:val="1"/>
          <w:numId w:val="17"/>
        </w:numPr>
        <w:spacing w:after="0" w:line="240" w:lineRule="auto"/>
        <w:ind w:left="1134" w:hanging="567"/>
        <w:contextualSpacing w:val="0"/>
        <w:rPr>
          <w:rFonts w:cs="Arial"/>
          <w:noProof/>
          <w:lang w:val="fr-FR"/>
        </w:rPr>
      </w:pPr>
      <w:r w:rsidRPr="00C455B4">
        <w:rPr>
          <w:rFonts w:cs="Arial"/>
          <w:lang w:val="fr-FR"/>
        </w:rPr>
        <w:t xml:space="preserve">adopter les Décisions figurant à l’Annexe 2 ; </w:t>
      </w:r>
    </w:p>
    <w:p w:rsidR="00DC60CA" w:rsidRPr="00C455B4" w:rsidRDefault="00DC60CA" w:rsidP="00DC60CA">
      <w:pPr>
        <w:pStyle w:val="ListParagraph"/>
        <w:spacing w:after="0" w:line="240" w:lineRule="auto"/>
        <w:ind w:left="1134"/>
        <w:contextualSpacing w:val="0"/>
        <w:rPr>
          <w:rFonts w:cs="Arial"/>
          <w:noProof/>
          <w:lang w:val="fr-FR"/>
        </w:rPr>
      </w:pPr>
    </w:p>
    <w:p w:rsidR="00293B2E" w:rsidRPr="00DC60CA" w:rsidRDefault="00C455B4" w:rsidP="00DC60CA">
      <w:pPr>
        <w:pStyle w:val="ListParagraph"/>
        <w:numPr>
          <w:ilvl w:val="1"/>
          <w:numId w:val="17"/>
        </w:numPr>
        <w:spacing w:after="0" w:line="240" w:lineRule="auto"/>
        <w:ind w:left="1134" w:hanging="567"/>
        <w:contextualSpacing w:val="0"/>
        <w:rPr>
          <w:rFonts w:cs="Arial"/>
          <w:noProof/>
        </w:rPr>
      </w:pPr>
      <w:proofErr w:type="spellStart"/>
      <w:r w:rsidRPr="00F90283">
        <w:rPr>
          <w:rFonts w:cs="Arial"/>
        </w:rPr>
        <w:t>supprimer</w:t>
      </w:r>
      <w:proofErr w:type="spellEnd"/>
      <w:r w:rsidRPr="00F90283">
        <w:rPr>
          <w:rFonts w:cs="Arial"/>
        </w:rPr>
        <w:t xml:space="preserve"> les </w:t>
      </w:r>
      <w:proofErr w:type="spellStart"/>
      <w:r w:rsidRPr="00F90283">
        <w:rPr>
          <w:rFonts w:cs="Arial"/>
        </w:rPr>
        <w:t>Décisions</w:t>
      </w:r>
      <w:proofErr w:type="spellEnd"/>
      <w:r w:rsidRPr="00F90283">
        <w:rPr>
          <w:rFonts w:cs="Arial"/>
        </w:rPr>
        <w:t xml:space="preserve"> 12.40 et 12.41.</w:t>
      </w:r>
    </w:p>
    <w:p w:rsidR="00C455B4" w:rsidRDefault="00C455B4" w:rsidP="00EF7FC8">
      <w:pPr>
        <w:pStyle w:val="FourthnumberingA"/>
        <w:numPr>
          <w:ilvl w:val="0"/>
          <w:numId w:val="0"/>
        </w:numPr>
        <w:sectPr w:rsidR="00C455B4"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C455B4" w:rsidRPr="00DC60CA" w:rsidRDefault="00C455B4" w:rsidP="00C455B4">
      <w:pPr>
        <w:spacing w:after="0"/>
        <w:jc w:val="right"/>
        <w:rPr>
          <w:rFonts w:cs="Arial"/>
          <w:b/>
          <w:noProof/>
        </w:rPr>
      </w:pPr>
      <w:r w:rsidRPr="00DC60CA">
        <w:rPr>
          <w:rFonts w:cs="Arial"/>
          <w:b/>
        </w:rPr>
        <w:lastRenderedPageBreak/>
        <w:t>A</w:t>
      </w:r>
      <w:r w:rsidR="00DC60CA" w:rsidRPr="00DC60CA">
        <w:rPr>
          <w:rFonts w:cs="Arial"/>
          <w:b/>
        </w:rPr>
        <w:t>NNEXE 1</w:t>
      </w:r>
    </w:p>
    <w:p w:rsidR="00C455B4" w:rsidRPr="00F90283" w:rsidRDefault="00C455B4" w:rsidP="00C455B4">
      <w:pPr>
        <w:ind w:left="2127"/>
        <w:rPr>
          <w:rFonts w:cs="Arial"/>
          <w:noProof/>
        </w:rPr>
      </w:pPr>
      <w:r w:rsidRPr="00F90283">
        <w:rPr>
          <w:rFonts w:cs="Arial"/>
          <w:noProof/>
          <w:lang w:val="en-GB" w:eastAsia="en-GB"/>
        </w:rPr>
        <w:drawing>
          <wp:inline distT="0" distB="0" distL="0" distR="0" wp14:anchorId="1AF8DCAF" wp14:editId="5836E93C">
            <wp:extent cx="3579541" cy="1367227"/>
            <wp:effectExtent l="0" t="0" r="1905" b="4445"/>
            <wp:docPr id="6" name="Immagine 1" descr="Macintosh HD:Users:giuseppe:Documents:IN CORSO:Lavoro:MMPAs Task Force:03. Logo and letterhead:Logos:TF logo:T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seppe:Documents:IN CORSO:Lavoro:MMPAs Task Force:03. Logo and letterhead:Logos:TF logo:TF 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9541" cy="1367227"/>
                    </a:xfrm>
                    <a:prstGeom prst="rect">
                      <a:avLst/>
                    </a:prstGeom>
                    <a:noFill/>
                    <a:ln>
                      <a:noFill/>
                    </a:ln>
                  </pic:spPr>
                </pic:pic>
              </a:graphicData>
            </a:graphic>
          </wp:inline>
        </w:drawing>
      </w:r>
    </w:p>
    <w:p w:rsidR="00C455B4" w:rsidRPr="00F90283" w:rsidRDefault="00C455B4" w:rsidP="00C455B4">
      <w:pPr>
        <w:rPr>
          <w:rFonts w:cs="Arial"/>
          <w:noProof/>
        </w:rPr>
      </w:pPr>
    </w:p>
    <w:p w:rsidR="00C455B4" w:rsidRPr="00C455B4" w:rsidRDefault="00C455B4" w:rsidP="00C455B4">
      <w:pPr>
        <w:jc w:val="center"/>
        <w:rPr>
          <w:rFonts w:cs="Arial"/>
          <w:b/>
          <w:noProof/>
          <w:lang w:val="fr-FR"/>
        </w:rPr>
      </w:pPr>
      <w:r w:rsidRPr="00C455B4">
        <w:rPr>
          <w:rFonts w:cs="Arial"/>
          <w:b/>
          <w:lang w:val="fr-FR"/>
        </w:rPr>
        <w:t xml:space="preserve">Note d’information sur les activités liées à </w:t>
      </w:r>
    </w:p>
    <w:p w:rsidR="00C455B4" w:rsidRPr="00C455B4" w:rsidRDefault="00C455B4" w:rsidP="00C455B4">
      <w:pPr>
        <w:jc w:val="center"/>
        <w:rPr>
          <w:rFonts w:cs="Arial"/>
          <w:b/>
          <w:noProof/>
          <w:lang w:val="fr-FR"/>
        </w:rPr>
      </w:pPr>
      <w:r w:rsidRPr="00C455B4">
        <w:rPr>
          <w:rFonts w:cs="Arial"/>
          <w:b/>
          <w:lang w:val="fr-FR"/>
        </w:rPr>
        <w:t>l’identification des zones importantes pour les mammifères marins (</w:t>
      </w:r>
      <w:r w:rsidR="00DC60CA">
        <w:rPr>
          <w:rFonts w:cs="Arial"/>
          <w:b/>
          <w:lang w:val="fr-FR"/>
        </w:rPr>
        <w:t>AIMM</w:t>
      </w:r>
      <w:r w:rsidRPr="00C455B4">
        <w:rPr>
          <w:rFonts w:cs="Arial"/>
          <w:b/>
          <w:lang w:val="fr-FR"/>
        </w:rPr>
        <w:t xml:space="preserve">) </w:t>
      </w:r>
    </w:p>
    <w:p w:rsidR="00C455B4" w:rsidRPr="00C455B4" w:rsidRDefault="00C455B4" w:rsidP="00C455B4">
      <w:pPr>
        <w:jc w:val="center"/>
        <w:rPr>
          <w:rFonts w:cs="Arial"/>
          <w:b/>
          <w:noProof/>
          <w:lang w:val="fr-FR"/>
        </w:rPr>
      </w:pPr>
      <w:r w:rsidRPr="00C455B4">
        <w:rPr>
          <w:rFonts w:cs="Arial"/>
          <w:b/>
          <w:lang w:val="fr-FR"/>
        </w:rPr>
        <w:t>menée depuis la COP12 de la CMS (octobre 2017)</w:t>
      </w:r>
    </w:p>
    <w:p w:rsidR="00C455B4" w:rsidRPr="00C455B4" w:rsidRDefault="00C455B4" w:rsidP="00C455B4">
      <w:pPr>
        <w:jc w:val="center"/>
        <w:rPr>
          <w:rFonts w:cs="Arial"/>
          <w:noProof/>
          <w:lang w:val="fr-FR"/>
        </w:rPr>
      </w:pPr>
    </w:p>
    <w:p w:rsidR="00C455B4" w:rsidRPr="00C455B4" w:rsidRDefault="00C455B4" w:rsidP="00C455B4">
      <w:pPr>
        <w:jc w:val="center"/>
        <w:rPr>
          <w:rFonts w:cs="Arial"/>
          <w:noProof/>
          <w:lang w:val="fr-FR"/>
        </w:rPr>
      </w:pPr>
      <w:r w:rsidRPr="00C455B4">
        <w:rPr>
          <w:rFonts w:cs="Arial"/>
          <w:lang w:val="fr-FR"/>
        </w:rPr>
        <w:t xml:space="preserve">Erich </w:t>
      </w:r>
      <w:proofErr w:type="spellStart"/>
      <w:r w:rsidRPr="00C455B4">
        <w:rPr>
          <w:rFonts w:cs="Arial"/>
          <w:lang w:val="fr-FR"/>
        </w:rPr>
        <w:t>Hoyt</w:t>
      </w:r>
      <w:proofErr w:type="spellEnd"/>
      <w:r w:rsidRPr="00C455B4">
        <w:rPr>
          <w:rFonts w:cs="Arial"/>
          <w:lang w:val="fr-FR"/>
        </w:rPr>
        <w:t>, coprésident du Groupe de travail</w:t>
      </w:r>
    </w:p>
    <w:p w:rsidR="00C455B4" w:rsidRPr="00C455B4" w:rsidRDefault="00C455B4" w:rsidP="00C455B4">
      <w:pPr>
        <w:jc w:val="center"/>
        <w:rPr>
          <w:rFonts w:cs="Arial"/>
          <w:noProof/>
          <w:lang w:val="fr-FR"/>
        </w:rPr>
      </w:pPr>
    </w:p>
    <w:p w:rsidR="00C455B4" w:rsidRPr="00C455B4" w:rsidRDefault="00C455B4" w:rsidP="00C455B4">
      <w:pPr>
        <w:jc w:val="center"/>
        <w:rPr>
          <w:rFonts w:cs="Arial"/>
          <w:noProof/>
          <w:lang w:val="fr-FR"/>
        </w:rPr>
      </w:pPr>
      <w:r w:rsidRPr="00C455B4">
        <w:rPr>
          <w:rFonts w:cs="Arial"/>
          <w:lang w:val="fr-FR"/>
        </w:rPr>
        <w:t>30 juin 2019</w:t>
      </w:r>
    </w:p>
    <w:p w:rsidR="00C455B4" w:rsidRPr="00C455B4" w:rsidRDefault="00C455B4" w:rsidP="00C455B4">
      <w:pPr>
        <w:rPr>
          <w:rFonts w:cs="Arial"/>
          <w:noProof/>
          <w:lang w:val="fr-FR"/>
        </w:rPr>
      </w:pPr>
    </w:p>
    <w:p w:rsidR="00C455B4" w:rsidRPr="00C455B4" w:rsidRDefault="00C455B4" w:rsidP="00C455B4">
      <w:pPr>
        <w:rPr>
          <w:rFonts w:cs="Arial"/>
          <w:noProof/>
          <w:lang w:val="fr-FR"/>
        </w:rPr>
      </w:pPr>
      <w:r w:rsidRPr="00C455B4">
        <w:rPr>
          <w:rFonts w:cs="Arial"/>
          <w:lang w:val="fr-FR"/>
        </w:rPr>
        <w:t xml:space="preserve">Depuis la clôture de la COP12 de la CMS (27 octobre 2017), le Groupe de travail de l’UICN sur les zones protégées de mammifères marins s’est engagé dans les activités suivantes en soutien de à programme </w:t>
      </w:r>
      <w:r w:rsidR="00DC60CA">
        <w:rPr>
          <w:rFonts w:cs="Arial"/>
          <w:lang w:val="fr-FR"/>
        </w:rPr>
        <w:t>AIMM</w:t>
      </w:r>
      <w:r w:rsidRPr="00C455B4">
        <w:rPr>
          <w:rFonts w:cs="Arial"/>
          <w:lang w:val="fr-FR"/>
        </w:rPr>
        <w:t xml:space="preserve">: </w:t>
      </w:r>
    </w:p>
    <w:p w:rsidR="00C455B4" w:rsidRPr="00C455B4" w:rsidRDefault="00C455B4" w:rsidP="00C455B4">
      <w:pPr>
        <w:rPr>
          <w:rFonts w:cs="Arial"/>
          <w:noProof/>
          <w:lang w:val="fr-FR"/>
        </w:rPr>
      </w:pPr>
    </w:p>
    <w:p w:rsidR="00C455B4" w:rsidRPr="00C455B4" w:rsidRDefault="00C455B4" w:rsidP="00C455B4">
      <w:pPr>
        <w:rPr>
          <w:rFonts w:cs="Arial"/>
          <w:b/>
          <w:noProof/>
          <w:lang w:val="fr-FR"/>
        </w:rPr>
      </w:pPr>
      <w:r w:rsidRPr="00C455B4">
        <w:rPr>
          <w:rFonts w:cs="Arial"/>
          <w:b/>
          <w:lang w:val="fr-FR"/>
        </w:rPr>
        <w:t>1. Première démonstration de mise en œuvre d’</w:t>
      </w:r>
      <w:r w:rsidR="00DC60CA">
        <w:rPr>
          <w:rFonts w:cs="Arial"/>
          <w:b/>
          <w:lang w:val="fr-FR"/>
        </w:rPr>
        <w:t>AIMM</w:t>
      </w:r>
      <w:r w:rsidRPr="00C455B4">
        <w:rPr>
          <w:rFonts w:cs="Arial"/>
          <w:b/>
          <w:lang w:val="fr-FR"/>
        </w:rPr>
        <w:t>, Palaos, Micronésie</w:t>
      </w:r>
    </w:p>
    <w:p w:rsidR="00C455B4" w:rsidRPr="00C455B4" w:rsidRDefault="00C455B4" w:rsidP="00063C5C">
      <w:pPr>
        <w:jc w:val="both"/>
        <w:rPr>
          <w:rFonts w:cs="Arial"/>
          <w:noProof/>
          <w:lang w:val="fr-FR"/>
        </w:rPr>
      </w:pPr>
      <w:bookmarkStart w:id="2" w:name="_GoBack"/>
      <w:r w:rsidRPr="00C455B4">
        <w:rPr>
          <w:rFonts w:cs="Arial"/>
          <w:lang w:val="fr-FR"/>
        </w:rPr>
        <w:t>Une visite d’experts a eu lieu aux Palaos, en Micronésie, du 30 octobre au 6 novembre 2017. La principale espèce de l’</w:t>
      </w:r>
      <w:r w:rsidR="00DC60CA">
        <w:rPr>
          <w:rFonts w:cs="Arial"/>
          <w:lang w:val="fr-FR"/>
        </w:rPr>
        <w:t>AIMM</w:t>
      </w:r>
      <w:r w:rsidRPr="00C455B4">
        <w:rPr>
          <w:rFonts w:cs="Arial"/>
          <w:lang w:val="fr-FR"/>
        </w:rPr>
        <w:t xml:space="preserve"> identifiée localement est le </w:t>
      </w:r>
      <w:r w:rsidRPr="00C455B4">
        <w:rPr>
          <w:rFonts w:cs="Arial"/>
          <w:b/>
          <w:lang w:val="fr-FR"/>
        </w:rPr>
        <w:t>Dugong</w:t>
      </w:r>
      <w:r w:rsidRPr="00C455B4">
        <w:rPr>
          <w:rFonts w:cs="Arial"/>
          <w:lang w:val="fr-FR"/>
        </w:rPr>
        <w:t xml:space="preserve"> (inscrit à l’Annexe II de la CMS et faisant l’objet d’un </w:t>
      </w:r>
      <w:proofErr w:type="spellStart"/>
      <w:r w:rsidRPr="00C455B4">
        <w:rPr>
          <w:rFonts w:cs="Arial"/>
          <w:lang w:val="fr-FR"/>
        </w:rPr>
        <w:t>MdE</w:t>
      </w:r>
      <w:r w:rsidRPr="00C455B4">
        <w:rPr>
          <w:rFonts w:cs="Arial"/>
          <w:i/>
          <w:lang w:val="fr-FR"/>
        </w:rPr>
        <w:t>ad</w:t>
      </w:r>
      <w:proofErr w:type="spellEnd"/>
      <w:r w:rsidRPr="00C455B4">
        <w:rPr>
          <w:rFonts w:cs="Arial"/>
          <w:i/>
          <w:lang w:val="fr-FR"/>
        </w:rPr>
        <w:t xml:space="preserve"> hoc</w:t>
      </w:r>
      <w:r w:rsidRPr="00C455B4">
        <w:rPr>
          <w:rFonts w:cs="Arial"/>
          <w:lang w:val="fr-FR"/>
        </w:rPr>
        <w:t xml:space="preserve">). Un rapport complet de la visite peut être trouvé ici: </w:t>
      </w:r>
      <w:hyperlink r:id="rId15" w:history="1">
        <w:r w:rsidRPr="00C455B4">
          <w:rPr>
            <w:rStyle w:val="Hyperlink"/>
            <w:rFonts w:cs="Arial"/>
            <w:lang w:val="fr-FR"/>
          </w:rPr>
          <w:t>https://www.marinemammalhabitat.org/download/working-implement-conservation-actions-important-marine-mammal-areas-</w:t>
        </w:r>
        <w:r w:rsidR="00DC60CA">
          <w:rPr>
            <w:rStyle w:val="Hyperlink"/>
            <w:rFonts w:cs="Arial"/>
            <w:lang w:val="fr-FR"/>
          </w:rPr>
          <w:t>AIMM</w:t>
        </w:r>
        <w:r w:rsidRPr="00C455B4">
          <w:rPr>
            <w:rStyle w:val="Hyperlink"/>
            <w:rFonts w:cs="Arial"/>
            <w:lang w:val="fr-FR"/>
          </w:rPr>
          <w:t>s-republic-palau/</w:t>
        </w:r>
      </w:hyperlink>
    </w:p>
    <w:bookmarkEnd w:id="2"/>
    <w:p w:rsidR="00C455B4" w:rsidRPr="00C455B4" w:rsidRDefault="00C455B4" w:rsidP="00C455B4">
      <w:pPr>
        <w:rPr>
          <w:rFonts w:cs="Arial"/>
          <w:noProof/>
          <w:lang w:val="fr-FR"/>
        </w:rPr>
      </w:pPr>
    </w:p>
    <w:p w:rsidR="00C455B4" w:rsidRPr="00C455B4" w:rsidRDefault="00C455B4" w:rsidP="00C455B4">
      <w:pPr>
        <w:rPr>
          <w:rFonts w:cs="Arial"/>
          <w:b/>
          <w:noProof/>
          <w:lang w:val="fr-FR"/>
        </w:rPr>
      </w:pPr>
      <w:r w:rsidRPr="00C455B4">
        <w:rPr>
          <w:rFonts w:cs="Arial"/>
          <w:b/>
          <w:lang w:val="fr-FR"/>
        </w:rPr>
        <w:t xml:space="preserve">2. Atelier régional sur les </w:t>
      </w:r>
      <w:r w:rsidR="00DC60CA">
        <w:rPr>
          <w:rFonts w:cs="Arial"/>
          <w:b/>
          <w:lang w:val="fr-FR"/>
        </w:rPr>
        <w:t>AIMM</w:t>
      </w:r>
      <w:r w:rsidRPr="00C455B4">
        <w:rPr>
          <w:rFonts w:cs="Arial"/>
          <w:b/>
          <w:lang w:val="fr-FR"/>
        </w:rPr>
        <w:t xml:space="preserve"> du nord-est de l’océan Indien et des mers d’Asie du Sud-Est. </w:t>
      </w:r>
    </w:p>
    <w:p w:rsidR="00C455B4" w:rsidRPr="00C455B4" w:rsidRDefault="00C455B4" w:rsidP="00063C5C">
      <w:pPr>
        <w:jc w:val="both"/>
        <w:rPr>
          <w:rFonts w:cs="Arial"/>
          <w:noProof/>
          <w:lang w:val="fr-FR"/>
        </w:rPr>
      </w:pPr>
      <w:r w:rsidRPr="00C455B4">
        <w:rPr>
          <w:rFonts w:cs="Arial"/>
          <w:lang w:val="fr-FR"/>
        </w:rPr>
        <w:t xml:space="preserve">Un atelier d’experts s’est tenu à Kota Kinabalu, en Malaisie, du 12 au 16 mars 2018, avec la participation de 29 experts de 17 pays. </w:t>
      </w:r>
      <w:proofErr w:type="gramStart"/>
      <w:r w:rsidRPr="00C455B4">
        <w:rPr>
          <w:rFonts w:cs="Arial"/>
          <w:lang w:val="fr-FR"/>
        </w:rPr>
        <w:t>Suite à</w:t>
      </w:r>
      <w:proofErr w:type="gramEnd"/>
      <w:r w:rsidRPr="00C455B4">
        <w:rPr>
          <w:rFonts w:cs="Arial"/>
          <w:lang w:val="fr-FR"/>
        </w:rPr>
        <w:t xml:space="preserve"> l’atelier et selon un examen par les pairs, 30 </w:t>
      </w:r>
      <w:r w:rsidR="00DC60CA">
        <w:rPr>
          <w:rFonts w:cs="Arial"/>
          <w:lang w:val="fr-FR"/>
        </w:rPr>
        <w:t>AIMM</w:t>
      </w:r>
      <w:r w:rsidRPr="00C455B4">
        <w:rPr>
          <w:rFonts w:cs="Arial"/>
          <w:lang w:val="fr-FR"/>
        </w:rPr>
        <w:t xml:space="preserve"> ont été identifiées comme ayant les espèces primaires suivantes inscrites dans les Annexes de la CMS: </w:t>
      </w:r>
      <w:r w:rsidRPr="00C455B4">
        <w:rPr>
          <w:rFonts w:cs="Arial"/>
          <w:b/>
          <w:lang w:val="fr-FR"/>
        </w:rPr>
        <w:t xml:space="preserve">Baleine bleue, baleine de </w:t>
      </w:r>
      <w:proofErr w:type="spellStart"/>
      <w:r w:rsidRPr="00C455B4">
        <w:rPr>
          <w:rFonts w:cs="Arial"/>
          <w:b/>
          <w:lang w:val="fr-FR"/>
        </w:rPr>
        <w:t>Bryde</w:t>
      </w:r>
      <w:proofErr w:type="spellEnd"/>
      <w:r w:rsidRPr="00C455B4">
        <w:rPr>
          <w:rFonts w:cs="Arial"/>
          <w:b/>
          <w:lang w:val="fr-FR"/>
        </w:rPr>
        <w:t xml:space="preserve">, baleine à bosse, cachalot, dauphin de l’Irrawaddy, dauphin </w:t>
      </w:r>
      <w:proofErr w:type="spellStart"/>
      <w:r w:rsidRPr="00C455B4">
        <w:rPr>
          <w:rFonts w:cs="Arial"/>
          <w:b/>
          <w:lang w:val="fr-FR"/>
        </w:rPr>
        <w:t>indo-pacifique</w:t>
      </w:r>
      <w:proofErr w:type="spellEnd"/>
      <w:r w:rsidRPr="00C455B4">
        <w:rPr>
          <w:rFonts w:cs="Arial"/>
          <w:b/>
          <w:lang w:val="fr-FR"/>
        </w:rPr>
        <w:t xml:space="preserve"> à bosse, marsouin de l'</w:t>
      </w:r>
      <w:proofErr w:type="spellStart"/>
      <w:r w:rsidRPr="00C455B4">
        <w:rPr>
          <w:rFonts w:cs="Arial"/>
          <w:b/>
          <w:lang w:val="fr-FR"/>
        </w:rPr>
        <w:t>indo-pacifique</w:t>
      </w:r>
      <w:proofErr w:type="spellEnd"/>
      <w:r w:rsidRPr="00C455B4">
        <w:rPr>
          <w:rFonts w:cs="Arial"/>
          <w:b/>
          <w:lang w:val="fr-FR"/>
        </w:rPr>
        <w:t>, grand dauphin de l'océan indien, dauphin à long bec, dauphin de Fraser, dauphin du Gange, et Dugong</w:t>
      </w:r>
      <w:r w:rsidRPr="00C455B4">
        <w:rPr>
          <w:rFonts w:cs="Arial"/>
          <w:lang w:val="fr-FR"/>
        </w:rPr>
        <w:t xml:space="preserve">. Un rapport complet de la visite est disponible à l’adresse suivante: </w:t>
      </w:r>
      <w:hyperlink r:id="rId16" w:history="1">
        <w:r w:rsidRPr="00C455B4">
          <w:rPr>
            <w:rStyle w:val="Hyperlink"/>
            <w:rFonts w:cs="Arial"/>
            <w:lang w:val="fr-FR"/>
          </w:rPr>
          <w:t>https://www.marinemammalhabitat.org/download/preliminary-report-of-the-regional-workshop-for-the-north-east-indian-ocean-and-south-east-asian-seas-important-marine-mammal-areas/</w:t>
        </w:r>
      </w:hyperlink>
    </w:p>
    <w:p w:rsidR="00C455B4" w:rsidRPr="00C455B4" w:rsidRDefault="00C455B4" w:rsidP="00063C5C">
      <w:pPr>
        <w:jc w:val="both"/>
        <w:rPr>
          <w:rFonts w:cs="Arial"/>
          <w:b/>
          <w:noProof/>
          <w:lang w:val="fr-FR"/>
        </w:rPr>
      </w:pPr>
      <w:r w:rsidRPr="00C455B4">
        <w:rPr>
          <w:rFonts w:cs="Arial"/>
          <w:b/>
          <w:lang w:val="fr-FR"/>
        </w:rPr>
        <w:lastRenderedPageBreak/>
        <w:t>3. Atelier extraordinaire sur le phoque moine de Méditerranée.</w:t>
      </w:r>
    </w:p>
    <w:p w:rsidR="00C455B4" w:rsidRPr="00C455B4" w:rsidRDefault="00C455B4" w:rsidP="00063C5C">
      <w:pPr>
        <w:jc w:val="both"/>
        <w:rPr>
          <w:rFonts w:cs="Arial"/>
          <w:noProof/>
          <w:lang w:val="fr-FR"/>
        </w:rPr>
      </w:pPr>
      <w:r w:rsidRPr="00C455B4">
        <w:rPr>
          <w:rFonts w:cs="Arial"/>
          <w:lang w:val="fr-FR"/>
        </w:rPr>
        <w:t xml:space="preserve">Un atelier extraordinaire d’experts a eu lieu à La </w:t>
      </w:r>
      <w:proofErr w:type="spellStart"/>
      <w:r w:rsidRPr="00C455B4">
        <w:rPr>
          <w:rFonts w:cs="Arial"/>
          <w:lang w:val="fr-FR"/>
        </w:rPr>
        <w:t>Spezia</w:t>
      </w:r>
      <w:proofErr w:type="spellEnd"/>
      <w:r w:rsidRPr="00C455B4">
        <w:rPr>
          <w:rFonts w:cs="Arial"/>
          <w:lang w:val="fr-FR"/>
        </w:rPr>
        <w:t xml:space="preserve"> (Italie) le 5 avril 2018, avec la participation de dix experts de cinq pays. Au total, trois nouvelles candidats substantiels d’</w:t>
      </w:r>
      <w:r w:rsidR="00DC60CA">
        <w:rPr>
          <w:rFonts w:cs="Arial"/>
          <w:lang w:val="fr-FR"/>
        </w:rPr>
        <w:t>AIMM</w:t>
      </w:r>
      <w:r w:rsidRPr="00C455B4">
        <w:rPr>
          <w:rFonts w:cs="Arial"/>
          <w:lang w:val="fr-FR"/>
        </w:rPr>
        <w:t xml:space="preserve"> (</w:t>
      </w:r>
      <w:proofErr w:type="spellStart"/>
      <w:r w:rsidRPr="00C455B4">
        <w:rPr>
          <w:rFonts w:cs="Arial"/>
          <w:lang w:val="fr-FR"/>
        </w:rPr>
        <w:t>c</w:t>
      </w:r>
      <w:r w:rsidR="00DC60CA">
        <w:rPr>
          <w:rFonts w:cs="Arial"/>
          <w:lang w:val="fr-FR"/>
        </w:rPr>
        <w:t>AIMM</w:t>
      </w:r>
      <w:proofErr w:type="spellEnd"/>
      <w:r w:rsidRPr="00C455B4">
        <w:rPr>
          <w:rFonts w:cs="Arial"/>
          <w:lang w:val="fr-FR"/>
        </w:rPr>
        <w:t xml:space="preserve">) pour les </w:t>
      </w:r>
      <w:r w:rsidRPr="00C455B4">
        <w:rPr>
          <w:rFonts w:cs="Arial"/>
          <w:b/>
          <w:lang w:val="fr-FR"/>
        </w:rPr>
        <w:t>phoques moines de Méditerranée</w:t>
      </w:r>
      <w:r w:rsidRPr="00C455B4">
        <w:rPr>
          <w:rFonts w:cs="Arial"/>
          <w:lang w:val="fr-FR"/>
        </w:rPr>
        <w:t xml:space="preserve"> ont été identifiés, chacun proposé par le biais d’un processus basé sur des experts, en utilisant les critères de sélection. Les </w:t>
      </w:r>
      <w:r w:rsidR="00DC60CA">
        <w:rPr>
          <w:rFonts w:cs="Arial"/>
          <w:lang w:val="fr-FR"/>
        </w:rPr>
        <w:t>AIMM</w:t>
      </w:r>
      <w:r w:rsidRPr="00C455B4">
        <w:rPr>
          <w:rFonts w:cs="Arial"/>
          <w:lang w:val="fr-FR"/>
        </w:rPr>
        <w:t xml:space="preserve">S et les zones d’intérêt (ZI) comprenaient des sites de phoques moines menacés en Grèce et en Italie, en Méditerranée, ainsi que deux sous-populations connues vivant au large de l’Afrique dans l’Atlantique Est, autour de l’archipel de Madère au Portugal et au Cap Blanc en Mauritanie/Sahara occidental. Les ZI ont également été envisagées dans le sud-est de la Méditerranée et en Afrique du Nord. Un rapport complet de l’atelier est disponible à l’adresse suivante : </w:t>
      </w:r>
      <w:hyperlink r:id="rId17" w:history="1">
        <w:r w:rsidRPr="00C455B4">
          <w:rPr>
            <w:rStyle w:val="Hyperlink"/>
            <w:rFonts w:cs="Arial"/>
            <w:lang w:val="fr-FR"/>
          </w:rPr>
          <w:t>https://www.marinemammalhabitat.org/download/</w:t>
        </w:r>
        <w:r w:rsidR="00DC60CA">
          <w:rPr>
            <w:rStyle w:val="Hyperlink"/>
            <w:rFonts w:cs="Arial"/>
            <w:lang w:val="fr-FR"/>
          </w:rPr>
          <w:t>AIMM</w:t>
        </w:r>
        <w:r w:rsidRPr="00C455B4">
          <w:rPr>
            <w:rStyle w:val="Hyperlink"/>
            <w:rFonts w:cs="Arial"/>
            <w:lang w:val="fr-FR"/>
          </w:rPr>
          <w:t>-extraordinary-workshop-for-the-mediterranean-monk-seal-preliminary-report/</w:t>
        </w:r>
      </w:hyperlink>
    </w:p>
    <w:p w:rsidR="00C455B4" w:rsidRPr="00C455B4" w:rsidRDefault="00C455B4" w:rsidP="00063C5C">
      <w:pPr>
        <w:jc w:val="both"/>
        <w:rPr>
          <w:rFonts w:cs="Arial"/>
          <w:b/>
          <w:noProof/>
          <w:lang w:val="fr-FR"/>
        </w:rPr>
      </w:pPr>
    </w:p>
    <w:p w:rsidR="00C455B4" w:rsidRPr="00C455B4" w:rsidRDefault="00C455B4" w:rsidP="00063C5C">
      <w:pPr>
        <w:jc w:val="both"/>
        <w:rPr>
          <w:rFonts w:cs="Arial"/>
          <w:b/>
          <w:noProof/>
          <w:lang w:val="fr-FR"/>
        </w:rPr>
      </w:pPr>
      <w:r w:rsidRPr="00C455B4">
        <w:rPr>
          <w:rFonts w:cs="Arial"/>
          <w:b/>
          <w:lang w:val="fr-FR"/>
        </w:rPr>
        <w:t>4. Atelier régional sur l’</w:t>
      </w:r>
      <w:r w:rsidR="00DC60CA">
        <w:rPr>
          <w:rFonts w:cs="Arial"/>
          <w:b/>
          <w:lang w:val="fr-FR"/>
        </w:rPr>
        <w:t>AIMM</w:t>
      </w:r>
      <w:r w:rsidRPr="00C455B4">
        <w:rPr>
          <w:rFonts w:cs="Arial"/>
          <w:b/>
          <w:lang w:val="fr-FR"/>
        </w:rPr>
        <w:t xml:space="preserve"> élargie de la région de l’océan Austral.</w:t>
      </w:r>
    </w:p>
    <w:p w:rsidR="00C455B4" w:rsidRPr="00C455B4" w:rsidRDefault="00C455B4" w:rsidP="00063C5C">
      <w:pPr>
        <w:jc w:val="both"/>
        <w:rPr>
          <w:rFonts w:cs="Arial"/>
          <w:noProof/>
          <w:lang w:val="fr-FR"/>
        </w:rPr>
      </w:pPr>
      <w:r w:rsidRPr="00C455B4">
        <w:rPr>
          <w:rFonts w:cs="Arial"/>
          <w:lang w:val="fr-FR"/>
        </w:rPr>
        <w:t xml:space="preserve">Un atelier d’experts s’est tenu à Brest, en France, du 15 au 19 octobre 2018, avec la participation de 20 experts de 11 pays. </w:t>
      </w:r>
      <w:proofErr w:type="gramStart"/>
      <w:r w:rsidRPr="00C455B4">
        <w:rPr>
          <w:rFonts w:cs="Arial"/>
          <w:lang w:val="fr-FR"/>
        </w:rPr>
        <w:t>Suite à</w:t>
      </w:r>
      <w:proofErr w:type="gramEnd"/>
      <w:r w:rsidRPr="00C455B4">
        <w:rPr>
          <w:rFonts w:cs="Arial"/>
          <w:lang w:val="fr-FR"/>
        </w:rPr>
        <w:t xml:space="preserve"> l’atelier et aux premières indications de l’examen par les pairs, 17 </w:t>
      </w:r>
      <w:r w:rsidR="00DC60CA">
        <w:rPr>
          <w:rFonts w:cs="Arial"/>
          <w:lang w:val="fr-FR"/>
        </w:rPr>
        <w:t>AIMM</w:t>
      </w:r>
      <w:r w:rsidRPr="00C455B4">
        <w:rPr>
          <w:rFonts w:cs="Arial"/>
          <w:lang w:val="fr-FR"/>
        </w:rPr>
        <w:t xml:space="preserve"> ont été identifiées comme ayant les espèces primaires suivantes inscrites dans les Annexes de la CMS : </w:t>
      </w:r>
      <w:r w:rsidRPr="00C455B4">
        <w:rPr>
          <w:rFonts w:cs="Arial"/>
          <w:b/>
          <w:lang w:val="fr-FR"/>
        </w:rPr>
        <w:t xml:space="preserve">Baleine bleue, rorqual commun, petit rorqual de l’Antarctique, baleine à bosse, baleine franche australe, rorqual boréal, cachalot, orque, dauphin de </w:t>
      </w:r>
      <w:proofErr w:type="spellStart"/>
      <w:r w:rsidRPr="00C455B4">
        <w:rPr>
          <w:rFonts w:cs="Arial"/>
          <w:b/>
          <w:lang w:val="fr-FR"/>
        </w:rPr>
        <w:t>Commerson</w:t>
      </w:r>
      <w:proofErr w:type="spellEnd"/>
      <w:r w:rsidRPr="00C455B4">
        <w:rPr>
          <w:rFonts w:cs="Arial"/>
          <w:lang w:val="fr-FR"/>
        </w:rPr>
        <w:t xml:space="preserve">. Un rapport complet de la visite est disponible à l’adresse suivante: </w:t>
      </w:r>
      <w:hyperlink r:id="rId18" w:history="1">
        <w:r w:rsidRPr="00C455B4">
          <w:rPr>
            <w:rStyle w:val="Hyperlink"/>
            <w:rFonts w:cs="Arial"/>
            <w:lang w:val="fr-FR"/>
          </w:rPr>
          <w:t>https://www.marinemammalhabitat.org/download/preliminary-report-of-the-regional-workshop-for-the-western-indian-ocean-and-arabian-seas-important-marine-mammal-areas/</w:t>
        </w:r>
      </w:hyperlink>
    </w:p>
    <w:p w:rsidR="00C455B4" w:rsidRPr="00C455B4" w:rsidRDefault="00C455B4" w:rsidP="00C455B4">
      <w:pPr>
        <w:rPr>
          <w:rFonts w:cs="Arial"/>
          <w:noProof/>
          <w:lang w:val="fr-FR"/>
        </w:rPr>
      </w:pPr>
    </w:p>
    <w:p w:rsidR="00C455B4" w:rsidRPr="00C455B4" w:rsidRDefault="00C455B4" w:rsidP="00063C5C">
      <w:pPr>
        <w:jc w:val="both"/>
        <w:rPr>
          <w:rFonts w:cs="Arial"/>
          <w:b/>
          <w:noProof/>
          <w:lang w:val="fr-FR"/>
        </w:rPr>
      </w:pPr>
      <w:r w:rsidRPr="00C455B4">
        <w:rPr>
          <w:rFonts w:cs="Arial"/>
          <w:b/>
          <w:lang w:val="fr-FR"/>
        </w:rPr>
        <w:t>5. Deuxième démonstration de mise en œuvre d’</w:t>
      </w:r>
      <w:r w:rsidR="00DC60CA">
        <w:rPr>
          <w:rFonts w:cs="Arial"/>
          <w:b/>
          <w:lang w:val="fr-FR"/>
        </w:rPr>
        <w:t>AIMM</w:t>
      </w:r>
      <w:r w:rsidRPr="00C455B4">
        <w:rPr>
          <w:rFonts w:cs="Arial"/>
          <w:b/>
          <w:lang w:val="fr-FR"/>
        </w:rPr>
        <w:t>, îles Andaman, Inde</w:t>
      </w:r>
    </w:p>
    <w:p w:rsidR="00C455B4" w:rsidRPr="00C455B4" w:rsidRDefault="00C455B4" w:rsidP="00063C5C">
      <w:pPr>
        <w:jc w:val="both"/>
        <w:rPr>
          <w:rFonts w:cs="Arial"/>
          <w:noProof/>
          <w:lang w:val="fr-FR"/>
        </w:rPr>
      </w:pPr>
      <w:r w:rsidRPr="00C455B4">
        <w:rPr>
          <w:rFonts w:cs="Arial"/>
          <w:lang w:val="fr-FR"/>
        </w:rPr>
        <w:t>Une visite d’experts a eu lieu à Andamans, en Inde, du 11 au 20 novembre 2018. Les principales espèces de l’</w:t>
      </w:r>
      <w:r w:rsidR="00DC60CA">
        <w:rPr>
          <w:rFonts w:cs="Arial"/>
          <w:lang w:val="fr-FR"/>
        </w:rPr>
        <w:t>AIMM</w:t>
      </w:r>
      <w:r w:rsidRPr="00C455B4">
        <w:rPr>
          <w:rFonts w:cs="Arial"/>
          <w:lang w:val="fr-FR"/>
        </w:rPr>
        <w:t xml:space="preserve"> identifiées localement comprennent les espèces suivantes de la CMS : </w:t>
      </w:r>
      <w:r w:rsidRPr="00C455B4">
        <w:rPr>
          <w:rFonts w:cs="Arial"/>
          <w:b/>
          <w:lang w:val="fr-FR"/>
        </w:rPr>
        <w:t xml:space="preserve">Dugong et Grand Dauphin </w:t>
      </w:r>
      <w:proofErr w:type="spellStart"/>
      <w:r w:rsidRPr="00C455B4">
        <w:rPr>
          <w:rFonts w:cs="Arial"/>
          <w:b/>
          <w:lang w:val="fr-FR"/>
        </w:rPr>
        <w:t>indo-pacifique</w:t>
      </w:r>
      <w:proofErr w:type="spellEnd"/>
      <w:r w:rsidRPr="00C455B4">
        <w:rPr>
          <w:rFonts w:cs="Arial"/>
          <w:lang w:val="fr-FR"/>
        </w:rPr>
        <w:t xml:space="preserve">. Un rapport complet de la visite est disponible à l’adresse suivante: </w:t>
      </w:r>
      <w:hyperlink r:id="rId19" w:history="1">
        <w:r w:rsidRPr="00C455B4">
          <w:rPr>
            <w:rStyle w:val="Hyperlink"/>
            <w:rFonts w:cs="Arial"/>
            <w:lang w:val="fr-FR"/>
          </w:rPr>
          <w:t>https://www.marinemammalhabitat.org/download/working-to-implement-conservation-actions-in-important-marine-mammal-areas-</w:t>
        </w:r>
        <w:r w:rsidR="00DC60CA">
          <w:rPr>
            <w:rStyle w:val="Hyperlink"/>
            <w:rFonts w:cs="Arial"/>
            <w:lang w:val="fr-FR"/>
          </w:rPr>
          <w:t>AIMM</w:t>
        </w:r>
        <w:r w:rsidRPr="00C455B4">
          <w:rPr>
            <w:rStyle w:val="Hyperlink"/>
            <w:rFonts w:cs="Arial"/>
            <w:lang w:val="fr-FR"/>
          </w:rPr>
          <w:t>s-of-the-andaman-islands-india/</w:t>
        </w:r>
      </w:hyperlink>
    </w:p>
    <w:p w:rsidR="00C455B4" w:rsidRPr="00C455B4" w:rsidRDefault="00C455B4" w:rsidP="00063C5C">
      <w:pPr>
        <w:jc w:val="both"/>
        <w:rPr>
          <w:rFonts w:cs="Arial"/>
          <w:noProof/>
          <w:lang w:val="fr-FR"/>
        </w:rPr>
      </w:pPr>
    </w:p>
    <w:p w:rsidR="00C455B4" w:rsidRPr="00C455B4" w:rsidRDefault="00C455B4" w:rsidP="00063C5C">
      <w:pPr>
        <w:jc w:val="both"/>
        <w:rPr>
          <w:rFonts w:cs="Arial"/>
          <w:b/>
          <w:noProof/>
          <w:lang w:val="fr-FR"/>
        </w:rPr>
      </w:pPr>
      <w:r w:rsidRPr="00C455B4">
        <w:rPr>
          <w:rFonts w:cs="Arial"/>
          <w:b/>
          <w:lang w:val="fr-FR"/>
        </w:rPr>
        <w:t>6. Atelier régional sur l’</w:t>
      </w:r>
      <w:r w:rsidR="00DC60CA">
        <w:rPr>
          <w:rFonts w:cs="Arial"/>
          <w:b/>
          <w:lang w:val="fr-FR"/>
        </w:rPr>
        <w:t>AIMM</w:t>
      </w:r>
      <w:r w:rsidRPr="00C455B4">
        <w:rPr>
          <w:rFonts w:cs="Arial"/>
          <w:b/>
          <w:lang w:val="fr-FR"/>
        </w:rPr>
        <w:t xml:space="preserve"> de l’océan Indien occidental et les mers Arabiques.</w:t>
      </w:r>
    </w:p>
    <w:p w:rsidR="00C455B4" w:rsidRPr="00C455B4" w:rsidRDefault="00C455B4" w:rsidP="00063C5C">
      <w:pPr>
        <w:jc w:val="both"/>
        <w:rPr>
          <w:rFonts w:cs="Arial"/>
          <w:noProof/>
          <w:lang w:val="fr-FR"/>
        </w:rPr>
      </w:pPr>
      <w:r w:rsidRPr="00C455B4">
        <w:rPr>
          <w:rFonts w:cs="Arial"/>
          <w:lang w:val="fr-FR"/>
        </w:rPr>
        <w:t xml:space="preserve">Un atelier d’experts s’est tenu à </w:t>
      </w:r>
      <w:proofErr w:type="spellStart"/>
      <w:r w:rsidRPr="00C455B4">
        <w:rPr>
          <w:rFonts w:cs="Arial"/>
          <w:lang w:val="fr-FR"/>
        </w:rPr>
        <w:t>Salalah</w:t>
      </w:r>
      <w:proofErr w:type="spellEnd"/>
      <w:r w:rsidRPr="00C455B4">
        <w:rPr>
          <w:rFonts w:cs="Arial"/>
          <w:lang w:val="fr-FR"/>
        </w:rPr>
        <w:t xml:space="preserve"> (Oman) du 4 au 8 mars 2019, avec la participation de 40 experts et observateurs de 16 pays et d’un territoire d’outre-mer. A l’issue de l’atelier, 55 </w:t>
      </w:r>
      <w:r w:rsidR="00DC60CA">
        <w:rPr>
          <w:rFonts w:cs="Arial"/>
          <w:lang w:val="fr-FR"/>
        </w:rPr>
        <w:t>AIMM</w:t>
      </w:r>
      <w:r w:rsidRPr="00C455B4">
        <w:rPr>
          <w:rFonts w:cs="Arial"/>
          <w:lang w:val="fr-FR"/>
        </w:rPr>
        <w:t xml:space="preserve"> candidates ont été proposées, y compris, en tant qu’espèces principales inscrites aux Annexes de la CMS, la plupart des espèces énumérées ci-dessus pour le nord-est de l’océan Indien et l’Asie du Sud-Est.  Le processus d’examen par les pairs de ces </w:t>
      </w:r>
      <w:proofErr w:type="spellStart"/>
      <w:r w:rsidRPr="00C455B4">
        <w:rPr>
          <w:rFonts w:cs="Arial"/>
          <w:lang w:val="fr-FR"/>
        </w:rPr>
        <w:t>c</w:t>
      </w:r>
      <w:r w:rsidR="00DC60CA">
        <w:rPr>
          <w:rFonts w:cs="Arial"/>
          <w:lang w:val="fr-FR"/>
        </w:rPr>
        <w:t>AIMM</w:t>
      </w:r>
      <w:proofErr w:type="spellEnd"/>
      <w:r w:rsidRPr="00C455B4">
        <w:rPr>
          <w:rFonts w:cs="Arial"/>
          <w:lang w:val="fr-FR"/>
        </w:rPr>
        <w:t xml:space="preserve"> est en cours, après quoi les espèces inscrites à la CMS seront disponibles sur l’e-Atlas des </w:t>
      </w:r>
      <w:r w:rsidR="00DC60CA">
        <w:rPr>
          <w:rFonts w:cs="Arial"/>
          <w:lang w:val="fr-FR"/>
        </w:rPr>
        <w:t>AIMM</w:t>
      </w:r>
      <w:r w:rsidRPr="00C455B4">
        <w:rPr>
          <w:rFonts w:cs="Arial"/>
          <w:lang w:val="fr-FR"/>
        </w:rPr>
        <w:t xml:space="preserve"> et dans un rapport final.</w:t>
      </w:r>
    </w:p>
    <w:p w:rsidR="00C455B4" w:rsidRDefault="00C455B4" w:rsidP="00C455B4">
      <w:pPr>
        <w:rPr>
          <w:rFonts w:cs="Arial"/>
          <w:noProof/>
          <w:lang w:val="fr-FR"/>
        </w:rPr>
      </w:pPr>
    </w:p>
    <w:p w:rsidR="00C974F6" w:rsidRPr="00C455B4" w:rsidRDefault="00C974F6" w:rsidP="00C455B4">
      <w:pPr>
        <w:rPr>
          <w:rFonts w:cs="Arial"/>
          <w:noProof/>
          <w:lang w:val="fr-FR"/>
        </w:rPr>
      </w:pPr>
    </w:p>
    <w:p w:rsidR="00C455B4" w:rsidRPr="00C455B4" w:rsidRDefault="00C455B4" w:rsidP="00C455B4">
      <w:pPr>
        <w:rPr>
          <w:rFonts w:cs="Arial"/>
          <w:b/>
          <w:noProof/>
          <w:lang w:val="fr-FR"/>
        </w:rPr>
      </w:pPr>
      <w:r w:rsidRPr="00C455B4">
        <w:rPr>
          <w:rFonts w:cs="Arial"/>
          <w:lang w:val="fr-FR"/>
        </w:rPr>
        <w:lastRenderedPageBreak/>
        <w:t xml:space="preserve">7. </w:t>
      </w:r>
      <w:r w:rsidRPr="00C455B4">
        <w:rPr>
          <w:rFonts w:cs="Arial"/>
          <w:b/>
          <w:lang w:val="fr-FR"/>
        </w:rPr>
        <w:t>Commission Baleinière Internationale (CBI) - Groupe de travail de l’UICN sur les aires marines protégées pour les mammifères marins - Atelier de l’ACCOBAMS sur les collisions avec les navires</w:t>
      </w:r>
    </w:p>
    <w:p w:rsidR="00C455B4" w:rsidRPr="00C455B4" w:rsidRDefault="00C455B4" w:rsidP="00063C5C">
      <w:pPr>
        <w:jc w:val="both"/>
        <w:rPr>
          <w:rFonts w:cs="Arial"/>
          <w:noProof/>
          <w:lang w:val="fr-FR"/>
        </w:rPr>
      </w:pPr>
      <w:r w:rsidRPr="00C455B4">
        <w:rPr>
          <w:rFonts w:cs="Arial"/>
          <w:lang w:val="fr-FR"/>
        </w:rPr>
        <w:t>Un atelier conjoint CBI-UICN-ACCOBAMS visant à évaluer la manière dont les données et le processus utilisés pour identifier les zones importantes pour les mammifères marins (</w:t>
      </w:r>
      <w:r w:rsidR="00DC60CA">
        <w:rPr>
          <w:rFonts w:cs="Arial"/>
          <w:lang w:val="fr-FR"/>
        </w:rPr>
        <w:t>AIMM</w:t>
      </w:r>
      <w:r w:rsidRPr="00C455B4">
        <w:rPr>
          <w:rFonts w:cs="Arial"/>
          <w:lang w:val="fr-FR"/>
        </w:rPr>
        <w:t xml:space="preserve">) peuvent aider la CBI à identifier les zones à risque élevé de collisions avec des navires s’est tenu les 6 et 7 avril 2019 à </w:t>
      </w:r>
      <w:proofErr w:type="spellStart"/>
      <w:r w:rsidRPr="00C455B4">
        <w:rPr>
          <w:rFonts w:cs="Arial"/>
          <w:lang w:val="fr-FR"/>
        </w:rPr>
        <w:t>Messinia</w:t>
      </w:r>
      <w:proofErr w:type="spellEnd"/>
      <w:r w:rsidRPr="00C455B4">
        <w:rPr>
          <w:rFonts w:cs="Arial"/>
          <w:lang w:val="fr-FR"/>
        </w:rPr>
        <w:t xml:space="preserve">, Grèce avec la participation de 22 experts. Les </w:t>
      </w:r>
      <w:r w:rsidR="00DC60CA">
        <w:rPr>
          <w:rFonts w:cs="Arial"/>
          <w:lang w:val="fr-FR"/>
        </w:rPr>
        <w:t>AIMM</w:t>
      </w:r>
      <w:r w:rsidRPr="00C455B4">
        <w:rPr>
          <w:rFonts w:cs="Arial"/>
          <w:lang w:val="fr-FR"/>
        </w:rPr>
        <w:t xml:space="preserve"> ont été adoptées comme un outil utile pour identifier les zones à haut risque. Le rapport a ensuite été approuvé par le Comité scientifique de la CBI et les recommandations de l’atelier seront transmises aux membres de la Commission à la prochaine réunion de la CBI.</w:t>
      </w:r>
    </w:p>
    <w:p w:rsidR="00C455B4" w:rsidRPr="00C455B4" w:rsidRDefault="00C455B4" w:rsidP="00063C5C">
      <w:pPr>
        <w:jc w:val="both"/>
        <w:rPr>
          <w:rFonts w:cs="Arial"/>
          <w:noProof/>
          <w:lang w:val="fr-FR"/>
        </w:rPr>
      </w:pPr>
      <w:r w:rsidRPr="00C455B4">
        <w:rPr>
          <w:rFonts w:cs="Arial"/>
          <w:lang w:val="fr-FR"/>
        </w:rPr>
        <w:t>Un rapport complet de l’atelier peut être trouvé ici:</w:t>
      </w:r>
    </w:p>
    <w:p w:rsidR="00C455B4" w:rsidRPr="00C455B4" w:rsidRDefault="00063C5C" w:rsidP="00C455B4">
      <w:pPr>
        <w:spacing w:after="0"/>
        <w:rPr>
          <w:rFonts w:eastAsia="Times New Roman" w:cs="Arial"/>
          <w:noProof/>
          <w:lang w:val="fr-FR"/>
        </w:rPr>
      </w:pPr>
      <w:hyperlink r:id="rId20" w:history="1">
        <w:r w:rsidR="00C455B4" w:rsidRPr="00C455B4">
          <w:rPr>
            <w:rStyle w:val="Hyperlink"/>
            <w:rFonts w:eastAsia="Times New Roman" w:cs="Arial"/>
            <w:lang w:val="fr-FR"/>
          </w:rPr>
          <w:t>https://www.marinemammalhabitat.org/download/report-of-the-joint-iwc-iucn-accobams-workshop-to-evaluate-how-the-data-and-process-used-to-identify-</w:t>
        </w:r>
        <w:r w:rsidR="00DC60CA">
          <w:rPr>
            <w:rStyle w:val="Hyperlink"/>
            <w:rFonts w:eastAsia="Times New Roman" w:cs="Arial"/>
            <w:lang w:val="fr-FR"/>
          </w:rPr>
          <w:t>AIMM</w:t>
        </w:r>
        <w:r w:rsidR="00C455B4" w:rsidRPr="00C455B4">
          <w:rPr>
            <w:rStyle w:val="Hyperlink"/>
            <w:rFonts w:eastAsia="Times New Roman" w:cs="Arial"/>
            <w:lang w:val="fr-FR"/>
          </w:rPr>
          <w:t>s-can-assiste-the-iwc-to-identify-areas-of-high-risk-for-ship-strike/</w:t>
        </w:r>
      </w:hyperlink>
      <w:r w:rsidR="00C455B4" w:rsidRPr="00C455B4">
        <w:rPr>
          <w:rFonts w:eastAsia="Times New Roman" w:cs="Arial"/>
          <w:color w:val="000000"/>
          <w:shd w:val="clear" w:color="auto" w:fill="FFFFFF"/>
          <w:lang w:val="fr-FR"/>
        </w:rPr>
        <w:t> </w:t>
      </w:r>
    </w:p>
    <w:p w:rsidR="00C455B4" w:rsidRPr="00C455B4" w:rsidRDefault="00C455B4" w:rsidP="00C455B4">
      <w:pPr>
        <w:rPr>
          <w:rFonts w:cs="Arial"/>
          <w:b/>
          <w:noProof/>
          <w:lang w:val="fr-FR"/>
        </w:rPr>
      </w:pPr>
    </w:p>
    <w:p w:rsidR="00C455B4" w:rsidRPr="00C455B4" w:rsidRDefault="00C455B4" w:rsidP="00C455B4">
      <w:pPr>
        <w:rPr>
          <w:rFonts w:cs="Arial"/>
          <w:b/>
          <w:noProof/>
          <w:lang w:val="fr-FR"/>
        </w:rPr>
      </w:pPr>
      <w:r w:rsidRPr="00C455B4">
        <w:rPr>
          <w:rFonts w:cs="Arial"/>
          <w:b/>
          <w:lang w:val="fr-FR"/>
        </w:rPr>
        <w:t>Contributions reçues des Parties et d’autres gouvernements nationaux :</w:t>
      </w:r>
    </w:p>
    <w:p w:rsidR="00C455B4" w:rsidRPr="00C455B4" w:rsidRDefault="00C455B4" w:rsidP="00063C5C">
      <w:pPr>
        <w:pStyle w:val="ListParagraph"/>
        <w:numPr>
          <w:ilvl w:val="0"/>
          <w:numId w:val="13"/>
        </w:numPr>
        <w:spacing w:after="120" w:line="240" w:lineRule="auto"/>
        <w:jc w:val="both"/>
        <w:rPr>
          <w:rFonts w:cs="Arial"/>
          <w:noProof/>
          <w:lang w:val="fr-FR"/>
        </w:rPr>
      </w:pPr>
      <w:r w:rsidRPr="00C455B4">
        <w:rPr>
          <w:rFonts w:cs="Arial"/>
          <w:lang w:val="fr-FR"/>
        </w:rPr>
        <w:t>Le gouvernement allemand, le ministère fédéral de l’environnement, de la protection de la nature, de la construction et de la sûreté nucléaire a soutenu les activités 1, 2, 5 et 6 en finançant le projet GOBI/IKI dans le cadre de l’Initiative climatique internationale (ICI).</w:t>
      </w:r>
    </w:p>
    <w:p w:rsidR="00C455B4" w:rsidRPr="00C455B4" w:rsidRDefault="00C455B4" w:rsidP="00063C5C">
      <w:pPr>
        <w:pStyle w:val="ListParagraph"/>
        <w:numPr>
          <w:ilvl w:val="0"/>
          <w:numId w:val="13"/>
        </w:numPr>
        <w:spacing w:after="120" w:line="240" w:lineRule="auto"/>
        <w:jc w:val="both"/>
        <w:rPr>
          <w:rFonts w:cs="Arial"/>
          <w:noProof/>
          <w:lang w:val="fr-FR"/>
        </w:rPr>
      </w:pPr>
      <w:r w:rsidRPr="00C455B4">
        <w:rPr>
          <w:rFonts w:cs="Arial"/>
          <w:lang w:val="fr-FR"/>
        </w:rPr>
        <w:t xml:space="preserve">Le gouvernement français, l’Agence pour la biodiversité, a soutenu financièrement et facilité l’activité 4. </w:t>
      </w:r>
    </w:p>
    <w:p w:rsidR="00C455B4" w:rsidRPr="00C455B4" w:rsidRDefault="00C455B4" w:rsidP="00063C5C">
      <w:pPr>
        <w:pStyle w:val="ListParagraph"/>
        <w:numPr>
          <w:ilvl w:val="0"/>
          <w:numId w:val="13"/>
        </w:numPr>
        <w:spacing w:after="120" w:line="240" w:lineRule="auto"/>
        <w:jc w:val="both"/>
        <w:rPr>
          <w:rFonts w:cs="Arial"/>
          <w:noProof/>
          <w:lang w:val="fr-FR"/>
        </w:rPr>
      </w:pPr>
      <w:r w:rsidRPr="00C455B4">
        <w:rPr>
          <w:rFonts w:cs="Arial"/>
          <w:lang w:val="fr-FR"/>
        </w:rPr>
        <w:t>Le gouvernement d’Oman a facilité l’activité 6.</w:t>
      </w:r>
    </w:p>
    <w:p w:rsidR="00C455B4" w:rsidRPr="00C455B4" w:rsidRDefault="00C455B4" w:rsidP="00063C5C">
      <w:pPr>
        <w:pStyle w:val="ListParagraph"/>
        <w:numPr>
          <w:ilvl w:val="0"/>
          <w:numId w:val="13"/>
        </w:numPr>
        <w:spacing w:after="120" w:line="240" w:lineRule="auto"/>
        <w:jc w:val="both"/>
        <w:rPr>
          <w:rFonts w:cs="Arial"/>
          <w:noProof/>
          <w:lang w:val="fr-FR"/>
        </w:rPr>
      </w:pPr>
      <w:r w:rsidRPr="00C455B4">
        <w:rPr>
          <w:rFonts w:cs="Arial"/>
          <w:lang w:val="fr-FR"/>
        </w:rPr>
        <w:t>Le gouvernement indien a facilité l’activité 5.</w:t>
      </w:r>
    </w:p>
    <w:p w:rsidR="00C455B4" w:rsidRPr="00C455B4" w:rsidRDefault="00C455B4" w:rsidP="00063C5C">
      <w:pPr>
        <w:pStyle w:val="ListParagraph"/>
        <w:jc w:val="both"/>
        <w:rPr>
          <w:rFonts w:cs="Arial"/>
          <w:noProof/>
          <w:lang w:val="fr-FR"/>
        </w:rPr>
      </w:pPr>
    </w:p>
    <w:p w:rsidR="00C455B4" w:rsidRPr="00C455B4" w:rsidRDefault="00C455B4" w:rsidP="00063C5C">
      <w:pPr>
        <w:pStyle w:val="ListParagraph"/>
        <w:ind w:left="0"/>
        <w:jc w:val="both"/>
        <w:rPr>
          <w:rFonts w:cs="Arial"/>
          <w:noProof/>
          <w:lang w:val="fr-FR"/>
        </w:rPr>
      </w:pPr>
      <w:r w:rsidRPr="00C455B4">
        <w:rPr>
          <w:rFonts w:cs="Arial"/>
          <w:lang w:val="fr-FR"/>
        </w:rPr>
        <w:t xml:space="preserve">En outre, l’ONG, </w:t>
      </w:r>
      <w:proofErr w:type="spellStart"/>
      <w:r w:rsidRPr="00C455B4">
        <w:rPr>
          <w:rFonts w:cs="Arial"/>
          <w:lang w:val="fr-FR"/>
        </w:rPr>
        <w:t>Whale</w:t>
      </w:r>
      <w:proofErr w:type="spellEnd"/>
      <w:r w:rsidRPr="00C455B4">
        <w:rPr>
          <w:rFonts w:cs="Arial"/>
          <w:lang w:val="fr-FR"/>
        </w:rPr>
        <w:t xml:space="preserve"> and </w:t>
      </w:r>
      <w:proofErr w:type="spellStart"/>
      <w:r w:rsidRPr="00C455B4">
        <w:rPr>
          <w:rFonts w:cs="Arial"/>
          <w:lang w:val="fr-FR"/>
        </w:rPr>
        <w:t>Dolphin</w:t>
      </w:r>
      <w:proofErr w:type="spellEnd"/>
      <w:r w:rsidRPr="00C455B4">
        <w:rPr>
          <w:rFonts w:cs="Arial"/>
          <w:lang w:val="fr-FR"/>
        </w:rPr>
        <w:t xml:space="preserve"> Conservation (WDC), contribue de manière substantielle à l’initiative </w:t>
      </w:r>
      <w:r w:rsidR="00DC60CA">
        <w:rPr>
          <w:rFonts w:cs="Arial"/>
          <w:lang w:val="fr-FR"/>
        </w:rPr>
        <w:t>AIMM</w:t>
      </w:r>
      <w:r w:rsidRPr="00C455B4">
        <w:rPr>
          <w:rFonts w:cs="Arial"/>
          <w:lang w:val="fr-FR"/>
        </w:rPr>
        <w:t xml:space="preserve"> du Groupe de travail de l’UICN sur les aires protégées pour les mammifères marins, ainsi qu’à la CMS. La WDC a conclu un accord de partenariat officiel avec la CMS depuis 2005 et gère un programme de travail conjoint conçu pour soutenir directement le plan stratégique de la CMS.</w:t>
      </w:r>
    </w:p>
    <w:p w:rsidR="00C974F6" w:rsidRDefault="00C974F6" w:rsidP="00063C5C">
      <w:pPr>
        <w:jc w:val="both"/>
        <w:rPr>
          <w:rFonts w:cs="Arial"/>
          <w:noProof/>
          <w:lang w:val="fr-FR"/>
        </w:rPr>
        <w:sectPr w:rsidR="00C974F6" w:rsidSect="00FC3B05">
          <w:headerReference w:type="even" r:id="rId21"/>
          <w:headerReference w:type="default" r:id="rId22"/>
          <w:footerReference w:type="even" r:id="rId23"/>
          <w:headerReference w:type="first" r:id="rId24"/>
          <w:pgSz w:w="11906" w:h="16838" w:code="9"/>
          <w:pgMar w:top="1440" w:right="1440" w:bottom="1440" w:left="1440" w:header="720" w:footer="720" w:gutter="0"/>
          <w:cols w:space="720"/>
          <w:titlePg/>
          <w:docGrid w:linePitch="360"/>
        </w:sectPr>
      </w:pPr>
    </w:p>
    <w:p w:rsidR="00C974F6" w:rsidRDefault="00C974F6" w:rsidP="00C974F6">
      <w:pPr>
        <w:spacing w:after="0" w:line="240" w:lineRule="auto"/>
        <w:jc w:val="right"/>
        <w:rPr>
          <w:rFonts w:cs="Arial"/>
          <w:b/>
          <w:noProof/>
          <w:lang w:val="fr-FR"/>
        </w:rPr>
      </w:pPr>
      <w:r w:rsidRPr="00C974F6">
        <w:rPr>
          <w:rFonts w:cs="Arial"/>
          <w:b/>
          <w:noProof/>
          <w:lang w:val="fr-FR"/>
        </w:rPr>
        <w:lastRenderedPageBreak/>
        <w:t>ANNEXE 2</w:t>
      </w:r>
    </w:p>
    <w:p w:rsidR="00C974F6" w:rsidRDefault="00C974F6" w:rsidP="00C974F6">
      <w:pPr>
        <w:spacing w:after="0" w:line="240" w:lineRule="auto"/>
        <w:jc w:val="right"/>
        <w:rPr>
          <w:rFonts w:cs="Arial"/>
          <w:b/>
          <w:noProof/>
          <w:lang w:val="fr-FR"/>
        </w:rPr>
      </w:pPr>
    </w:p>
    <w:p w:rsidR="00C455B4" w:rsidRPr="00C455B4" w:rsidRDefault="00C455B4" w:rsidP="00C974F6">
      <w:pPr>
        <w:spacing w:after="0" w:line="240" w:lineRule="auto"/>
        <w:jc w:val="center"/>
        <w:rPr>
          <w:rFonts w:cs="Arial"/>
          <w:lang w:val="fr-FR"/>
        </w:rPr>
      </w:pPr>
      <w:r w:rsidRPr="00C455B4">
        <w:rPr>
          <w:rFonts w:cs="Arial"/>
          <w:lang w:val="fr-FR"/>
        </w:rPr>
        <w:t>PROJET DE DÉCISION(S)</w:t>
      </w:r>
    </w:p>
    <w:p w:rsidR="00C974F6" w:rsidRDefault="00C974F6" w:rsidP="00C974F6">
      <w:pPr>
        <w:spacing w:after="0" w:line="240" w:lineRule="auto"/>
        <w:jc w:val="center"/>
        <w:rPr>
          <w:rFonts w:cs="Arial"/>
          <w:b/>
          <w:lang w:val="fr-FR"/>
        </w:rPr>
      </w:pPr>
    </w:p>
    <w:p w:rsidR="00C455B4" w:rsidRDefault="00C455B4" w:rsidP="00C974F6">
      <w:pPr>
        <w:spacing w:after="0" w:line="240" w:lineRule="auto"/>
        <w:jc w:val="center"/>
        <w:rPr>
          <w:rFonts w:cs="Arial"/>
          <w:b/>
          <w:lang w:val="fr-FR"/>
        </w:rPr>
      </w:pPr>
      <w:r w:rsidRPr="00C455B4">
        <w:rPr>
          <w:rFonts w:cs="Arial"/>
          <w:b/>
          <w:lang w:val="fr-FR"/>
        </w:rPr>
        <w:t>ZONES IMPORTANTES POUR LES MAMMIFÈRES MARINS (</w:t>
      </w:r>
      <w:r w:rsidR="00DC60CA">
        <w:rPr>
          <w:rFonts w:cs="Arial"/>
          <w:b/>
          <w:lang w:val="fr-FR"/>
        </w:rPr>
        <w:t>AIMM</w:t>
      </w:r>
      <w:r w:rsidRPr="00C455B4">
        <w:rPr>
          <w:rFonts w:cs="Arial"/>
          <w:b/>
          <w:lang w:val="fr-FR"/>
        </w:rPr>
        <w:t>)</w:t>
      </w:r>
    </w:p>
    <w:p w:rsidR="00C974F6" w:rsidRDefault="00C974F6" w:rsidP="00C974F6">
      <w:pPr>
        <w:spacing w:after="0" w:line="240" w:lineRule="auto"/>
        <w:jc w:val="center"/>
        <w:rPr>
          <w:rFonts w:cs="Arial"/>
          <w:lang w:val="fr-FR"/>
        </w:rPr>
      </w:pPr>
    </w:p>
    <w:p w:rsidR="00C974F6" w:rsidRPr="00C455B4" w:rsidRDefault="00C974F6" w:rsidP="00C974F6">
      <w:pPr>
        <w:spacing w:after="0" w:line="240" w:lineRule="auto"/>
        <w:jc w:val="center"/>
        <w:rPr>
          <w:rFonts w:cs="Arial"/>
          <w:lang w:val="fr-FR"/>
        </w:rPr>
      </w:pPr>
    </w:p>
    <w:p w:rsidR="00C455B4" w:rsidRDefault="00C974F6" w:rsidP="00C974F6">
      <w:pPr>
        <w:spacing w:after="0" w:line="240" w:lineRule="auto"/>
        <w:jc w:val="both"/>
        <w:rPr>
          <w:rFonts w:cs="Arial"/>
          <w:b/>
          <w:i/>
          <w:lang w:val="fr-FR"/>
        </w:rPr>
      </w:pPr>
      <w:r>
        <w:rPr>
          <w:rFonts w:cs="Arial"/>
          <w:b/>
          <w:i/>
          <w:lang w:val="fr-FR"/>
        </w:rPr>
        <w:t>Adressé aux</w:t>
      </w:r>
      <w:r w:rsidR="00C455B4" w:rsidRPr="00C455B4">
        <w:rPr>
          <w:rFonts w:cs="Arial"/>
          <w:b/>
          <w:i/>
          <w:lang w:val="fr-FR"/>
        </w:rPr>
        <w:t xml:space="preserve"> Parties </w:t>
      </w:r>
    </w:p>
    <w:p w:rsidR="00C974F6" w:rsidRPr="00C455B4" w:rsidRDefault="00C974F6" w:rsidP="00C974F6">
      <w:pPr>
        <w:spacing w:after="0" w:line="240" w:lineRule="auto"/>
        <w:jc w:val="both"/>
        <w:rPr>
          <w:rFonts w:cs="Arial"/>
          <w:b/>
          <w:i/>
          <w:lang w:val="fr-FR"/>
        </w:rPr>
      </w:pPr>
    </w:p>
    <w:p w:rsidR="00C455B4" w:rsidRDefault="00C455B4" w:rsidP="00C974F6">
      <w:pPr>
        <w:spacing w:after="0" w:line="240" w:lineRule="auto"/>
        <w:ind w:left="720" w:hanging="720"/>
        <w:jc w:val="both"/>
        <w:rPr>
          <w:rFonts w:cs="Arial"/>
          <w:lang w:val="fr-FR"/>
        </w:rPr>
      </w:pPr>
      <w:r w:rsidRPr="00C455B4">
        <w:rPr>
          <w:rFonts w:cs="Arial"/>
          <w:lang w:val="fr-FR"/>
        </w:rPr>
        <w:t>13.AA</w:t>
      </w:r>
      <w:r w:rsidRPr="00C455B4">
        <w:rPr>
          <w:rFonts w:cs="Arial"/>
          <w:lang w:val="fr-FR"/>
        </w:rPr>
        <w:tab/>
      </w:r>
      <w:r w:rsidRPr="00C455B4">
        <w:rPr>
          <w:rFonts w:cs="Arial"/>
          <w:iCs/>
          <w:lang w:val="fr-FR"/>
        </w:rPr>
        <w:t xml:space="preserve">Il est demandé aux Parties d’ </w:t>
      </w:r>
      <w:r w:rsidRPr="00C455B4">
        <w:rPr>
          <w:rFonts w:cs="Arial"/>
          <w:lang w:val="fr-FR"/>
        </w:rPr>
        <w:t>utiliser les zones importantes pour les mammifères marins (</w:t>
      </w:r>
      <w:r w:rsidR="00DC60CA">
        <w:rPr>
          <w:rFonts w:cs="Arial"/>
          <w:lang w:val="fr-FR"/>
        </w:rPr>
        <w:t>AIMM</w:t>
      </w:r>
      <w:r w:rsidRPr="00C455B4">
        <w:rPr>
          <w:rFonts w:cs="Arial"/>
          <w:lang w:val="fr-FR"/>
        </w:rPr>
        <w:t>) identifiées affichées sur le site Web du Groupe de travail conjoint UICN/CSE/CMPA sur les zones de protection des mammifères marins (</w:t>
      </w:r>
      <w:hyperlink r:id="rId25" w:history="1">
        <w:r w:rsidRPr="00C455B4">
          <w:rPr>
            <w:rStyle w:val="Hyperlink"/>
            <w:rFonts w:cs="Arial"/>
            <w:lang w:val="fr-FR"/>
          </w:rPr>
          <w:t>www.marinemammalhabitat.org</w:t>
        </w:r>
      </w:hyperlink>
      <w:r w:rsidRPr="00C455B4">
        <w:rPr>
          <w:rFonts w:cs="Arial"/>
          <w:lang w:val="fr-FR"/>
        </w:rPr>
        <w:t>) pour identifier les habitats en péril ou concevoir des mesures de protection pour les pinnipèdes, siréniens, loutres, ours blancs et cétacés figurant sur la Liste CMS ;</w:t>
      </w:r>
    </w:p>
    <w:p w:rsidR="00C974F6" w:rsidRPr="00C455B4" w:rsidRDefault="00C974F6" w:rsidP="00C974F6">
      <w:pPr>
        <w:spacing w:after="0" w:line="240" w:lineRule="auto"/>
        <w:ind w:left="720" w:hanging="720"/>
        <w:jc w:val="both"/>
        <w:rPr>
          <w:rFonts w:cs="Arial"/>
          <w:iCs/>
          <w:lang w:val="fr-FR"/>
        </w:rPr>
      </w:pPr>
    </w:p>
    <w:p w:rsidR="00C455B4" w:rsidRDefault="00C974F6" w:rsidP="00C974F6">
      <w:pPr>
        <w:spacing w:after="0" w:line="240" w:lineRule="auto"/>
        <w:jc w:val="both"/>
        <w:rPr>
          <w:rFonts w:cs="Arial"/>
          <w:b/>
          <w:i/>
          <w:lang w:val="fr-FR"/>
        </w:rPr>
      </w:pPr>
      <w:r>
        <w:rPr>
          <w:rFonts w:cs="Arial"/>
          <w:b/>
          <w:i/>
          <w:lang w:val="fr-FR"/>
        </w:rPr>
        <w:t>Adressé aux</w:t>
      </w:r>
      <w:r w:rsidR="00C455B4" w:rsidRPr="00C455B4">
        <w:rPr>
          <w:rFonts w:cs="Arial"/>
          <w:b/>
          <w:i/>
          <w:lang w:val="fr-FR"/>
        </w:rPr>
        <w:t xml:space="preserve"> Parties qui sont des États de l’aire de répartition du dugong</w:t>
      </w:r>
    </w:p>
    <w:p w:rsidR="00C974F6" w:rsidRPr="00C455B4" w:rsidRDefault="00C974F6" w:rsidP="00C974F6">
      <w:pPr>
        <w:spacing w:after="0" w:line="240" w:lineRule="auto"/>
        <w:jc w:val="both"/>
        <w:rPr>
          <w:rFonts w:cs="Arial"/>
          <w:b/>
          <w:i/>
          <w:lang w:val="fr-FR"/>
        </w:rPr>
      </w:pPr>
    </w:p>
    <w:p w:rsidR="00C455B4" w:rsidRDefault="00C455B4" w:rsidP="00C974F6">
      <w:pPr>
        <w:spacing w:after="0" w:line="240" w:lineRule="auto"/>
        <w:ind w:left="720" w:hanging="720"/>
        <w:jc w:val="both"/>
        <w:rPr>
          <w:rFonts w:cs="Arial"/>
          <w:lang w:val="fr-FR"/>
        </w:rPr>
      </w:pPr>
      <w:r w:rsidRPr="00C455B4">
        <w:rPr>
          <w:rFonts w:cs="Arial"/>
          <w:lang w:val="fr-FR"/>
        </w:rPr>
        <w:t>13.BB</w:t>
      </w:r>
      <w:r w:rsidR="00C974F6">
        <w:rPr>
          <w:rFonts w:cs="Arial"/>
          <w:lang w:val="fr-FR"/>
        </w:rPr>
        <w:tab/>
      </w:r>
      <w:r w:rsidRPr="00C455B4">
        <w:rPr>
          <w:rFonts w:cs="Arial"/>
          <w:lang w:val="fr-FR"/>
        </w:rPr>
        <w:t>Les Parties qui sont des États de l’aire de répartition du dugong sont invitées à déterminer</w:t>
      </w:r>
      <w:r w:rsidR="00063C5C">
        <w:rPr>
          <w:rFonts w:cs="Arial"/>
          <w:lang w:val="fr-FR"/>
        </w:rPr>
        <w:t xml:space="preserve">, y compris en consultant le </w:t>
      </w:r>
      <w:proofErr w:type="spellStart"/>
      <w:r w:rsidR="00063C5C">
        <w:rPr>
          <w:rFonts w:cs="Arial"/>
          <w:lang w:val="fr-FR"/>
        </w:rPr>
        <w:t>MdE</w:t>
      </w:r>
      <w:proofErr w:type="spellEnd"/>
      <w:r w:rsidR="00063C5C">
        <w:rPr>
          <w:rFonts w:cs="Arial"/>
          <w:lang w:val="fr-FR"/>
        </w:rPr>
        <w:t xml:space="preserve"> Dugongs,</w:t>
      </w:r>
      <w:r w:rsidRPr="00C455B4">
        <w:rPr>
          <w:rFonts w:cs="Arial"/>
          <w:lang w:val="fr-FR"/>
        </w:rPr>
        <w:t xml:space="preserve"> si leur population régionale de l’espèce mérite d’être inscrite à l’Annexe I de la CMS.  </w:t>
      </w:r>
    </w:p>
    <w:p w:rsidR="00C974F6" w:rsidRPr="00C455B4" w:rsidRDefault="00C974F6" w:rsidP="00C974F6">
      <w:pPr>
        <w:spacing w:after="0" w:line="240" w:lineRule="auto"/>
        <w:ind w:left="720" w:hanging="720"/>
        <w:jc w:val="both"/>
        <w:rPr>
          <w:rFonts w:cs="Arial"/>
          <w:lang w:val="fr-FR"/>
        </w:rPr>
      </w:pPr>
    </w:p>
    <w:p w:rsidR="00C455B4" w:rsidRDefault="00C974F6" w:rsidP="00C974F6">
      <w:pPr>
        <w:spacing w:after="0" w:line="240" w:lineRule="auto"/>
        <w:jc w:val="both"/>
        <w:rPr>
          <w:rFonts w:cs="Arial"/>
          <w:b/>
          <w:i/>
          <w:lang w:val="fr-FR"/>
        </w:rPr>
      </w:pPr>
      <w:r>
        <w:rPr>
          <w:rFonts w:cs="Arial"/>
          <w:b/>
          <w:i/>
          <w:lang w:val="fr-FR"/>
        </w:rPr>
        <w:t xml:space="preserve">Adressé au </w:t>
      </w:r>
      <w:r w:rsidR="00C455B4" w:rsidRPr="00C455B4">
        <w:rPr>
          <w:rFonts w:cs="Arial"/>
          <w:b/>
          <w:i/>
          <w:lang w:val="fr-FR"/>
        </w:rPr>
        <w:t xml:space="preserve">Conseil scientifique </w:t>
      </w:r>
    </w:p>
    <w:p w:rsidR="00C974F6" w:rsidRPr="00C455B4" w:rsidRDefault="00C974F6" w:rsidP="00C974F6">
      <w:pPr>
        <w:spacing w:after="0" w:line="240" w:lineRule="auto"/>
        <w:jc w:val="both"/>
        <w:rPr>
          <w:rFonts w:cs="Arial"/>
          <w:lang w:val="fr-FR"/>
        </w:rPr>
      </w:pPr>
    </w:p>
    <w:p w:rsidR="00C455B4" w:rsidRDefault="00C455B4" w:rsidP="00C974F6">
      <w:pPr>
        <w:spacing w:after="0" w:line="240" w:lineRule="auto"/>
        <w:ind w:left="720" w:hanging="720"/>
        <w:jc w:val="both"/>
        <w:rPr>
          <w:rFonts w:cs="Arial"/>
          <w:lang w:val="fr-FR"/>
        </w:rPr>
      </w:pPr>
      <w:r w:rsidRPr="00C455B4">
        <w:rPr>
          <w:rFonts w:cs="Arial"/>
          <w:lang w:val="fr-FR"/>
        </w:rPr>
        <w:t>13.CC</w:t>
      </w:r>
      <w:r w:rsidRPr="00C455B4">
        <w:rPr>
          <w:rFonts w:cs="Arial"/>
          <w:lang w:val="fr-FR"/>
        </w:rPr>
        <w:tab/>
        <w:t xml:space="preserve">Le Conseil scientifique, sous réserve de la disponibilité des ressources, </w:t>
      </w:r>
      <w:r w:rsidR="00063C5C">
        <w:rPr>
          <w:rFonts w:cs="Arial"/>
          <w:lang w:val="fr-FR"/>
        </w:rPr>
        <w:t>est prié de</w:t>
      </w:r>
      <w:r w:rsidRPr="00C455B4">
        <w:rPr>
          <w:rFonts w:cs="Arial"/>
          <w:lang w:val="fr-FR"/>
        </w:rPr>
        <w:t> :</w:t>
      </w:r>
    </w:p>
    <w:p w:rsidR="00C974F6" w:rsidRPr="00C455B4" w:rsidRDefault="00C974F6" w:rsidP="00C974F6">
      <w:pPr>
        <w:spacing w:after="0" w:line="240" w:lineRule="auto"/>
        <w:ind w:left="720" w:hanging="720"/>
        <w:jc w:val="both"/>
        <w:rPr>
          <w:rFonts w:cs="Arial"/>
          <w:lang w:val="fr-FR"/>
        </w:rPr>
      </w:pPr>
    </w:p>
    <w:p w:rsidR="00C455B4" w:rsidRDefault="00C455B4" w:rsidP="00C974F6">
      <w:pPr>
        <w:spacing w:after="0" w:line="240" w:lineRule="auto"/>
        <w:ind w:left="1134" w:hanging="360"/>
        <w:jc w:val="both"/>
        <w:rPr>
          <w:rFonts w:cs="Arial"/>
          <w:lang w:val="fr-FR"/>
        </w:rPr>
      </w:pPr>
      <w:r w:rsidRPr="00C455B4">
        <w:rPr>
          <w:rFonts w:cs="Arial"/>
          <w:lang w:val="fr-FR"/>
        </w:rPr>
        <w:t>a)</w:t>
      </w:r>
      <w:r w:rsidRPr="00C455B4">
        <w:rPr>
          <w:rFonts w:cs="Arial"/>
          <w:lang w:val="fr-FR"/>
        </w:rPr>
        <w:tab/>
      </w:r>
      <w:r w:rsidR="00C974F6">
        <w:rPr>
          <w:rFonts w:cs="Arial"/>
          <w:lang w:val="fr-FR"/>
        </w:rPr>
        <w:t>à</w:t>
      </w:r>
      <w:r w:rsidRPr="00C455B4">
        <w:rPr>
          <w:rFonts w:cs="Arial"/>
          <w:lang w:val="fr-FR"/>
        </w:rPr>
        <w:t xml:space="preserve"> la demande, soutenir les Parties pour utiliser les zones importantes pour les mammifères marins (</w:t>
      </w:r>
      <w:r w:rsidR="00DC60CA">
        <w:rPr>
          <w:rFonts w:cs="Arial"/>
          <w:lang w:val="fr-FR"/>
        </w:rPr>
        <w:t>AIMM</w:t>
      </w:r>
      <w:r w:rsidRPr="00C455B4">
        <w:rPr>
          <w:rFonts w:cs="Arial"/>
          <w:lang w:val="fr-FR"/>
        </w:rPr>
        <w:t>) identifiées affichées sur le site Web du Groupe de travail conjoint UICN/CSE/CMPA sur les zones de protection des mammifères marins (</w:t>
      </w:r>
      <w:hyperlink r:id="rId26" w:history="1">
        <w:r w:rsidRPr="00C455B4">
          <w:rPr>
            <w:rStyle w:val="Hyperlink"/>
            <w:rFonts w:cs="Arial"/>
            <w:lang w:val="fr-FR"/>
          </w:rPr>
          <w:t>www.marinemammalhabitat.org</w:t>
        </w:r>
      </w:hyperlink>
      <w:r w:rsidRPr="00C455B4">
        <w:rPr>
          <w:rFonts w:cs="Arial"/>
          <w:lang w:val="fr-FR"/>
        </w:rPr>
        <w:t>) pour identifier les habitats en péril ou concevoir des mesures de protection pour les pinnipèdes, siréniens, loutres, ours blancs et cétacés figurant sur la Liste CMS ;</w:t>
      </w:r>
    </w:p>
    <w:p w:rsidR="00C974F6" w:rsidRPr="00C455B4" w:rsidRDefault="00C974F6" w:rsidP="00C974F6">
      <w:pPr>
        <w:spacing w:after="0" w:line="240" w:lineRule="auto"/>
        <w:ind w:left="1134" w:hanging="360"/>
        <w:jc w:val="both"/>
        <w:rPr>
          <w:rFonts w:cs="Arial"/>
          <w:noProof/>
          <w:lang w:val="fr-FR"/>
        </w:rPr>
      </w:pPr>
    </w:p>
    <w:p w:rsidR="00C455B4" w:rsidRDefault="00C974F6" w:rsidP="00C974F6">
      <w:pPr>
        <w:spacing w:after="0" w:line="240" w:lineRule="auto"/>
        <w:ind w:left="1134" w:hanging="1134"/>
        <w:jc w:val="both"/>
        <w:rPr>
          <w:rFonts w:cs="Arial"/>
          <w:lang w:val="fr-FR"/>
        </w:rPr>
      </w:pPr>
      <w:r>
        <w:rPr>
          <w:rFonts w:cs="Arial"/>
          <w:lang w:val="fr-FR"/>
        </w:rPr>
        <w:t>(12.40</w:t>
      </w:r>
      <w:proofErr w:type="gramStart"/>
      <w:r>
        <w:rPr>
          <w:rFonts w:cs="Arial"/>
          <w:lang w:val="fr-FR"/>
        </w:rPr>
        <w:t xml:space="preserve">)  </w:t>
      </w:r>
      <w:r w:rsidR="00C455B4" w:rsidRPr="00C455B4">
        <w:rPr>
          <w:rFonts w:cs="Arial"/>
          <w:lang w:val="fr-FR"/>
        </w:rPr>
        <w:t>b</w:t>
      </w:r>
      <w:proofErr w:type="gramEnd"/>
      <w:r w:rsidR="00C455B4" w:rsidRPr="00C455B4">
        <w:rPr>
          <w:rFonts w:cs="Arial"/>
          <w:lang w:val="fr-FR"/>
        </w:rPr>
        <w:t>)</w:t>
      </w:r>
      <w:r w:rsidR="00C455B4" w:rsidRPr="00C455B4">
        <w:rPr>
          <w:rFonts w:cs="Arial"/>
          <w:lang w:val="fr-FR"/>
        </w:rPr>
        <w:tab/>
        <w:t>collaborer avec le Groupe de travail conjoint de l’UICN de la Commission de la sauvegarde des espèces/Commission mondiale des aires protégées (CSE/CMAP) sur les aires marines protégées pour les mammifères marins pour inclure des données sur les pinnipèdes, siréniens, loutres, ours blancs et cétacés figurant sur la liste de la CMS dans l’identification des zones importantes pour les mammifères marins (</w:t>
      </w:r>
      <w:r w:rsidR="00DC60CA">
        <w:rPr>
          <w:rFonts w:cs="Arial"/>
          <w:lang w:val="fr-FR"/>
        </w:rPr>
        <w:t>AIMM</w:t>
      </w:r>
      <w:r w:rsidR="00C455B4" w:rsidRPr="00C455B4">
        <w:rPr>
          <w:rFonts w:cs="Arial"/>
          <w:lang w:val="fr-FR"/>
        </w:rPr>
        <w:t>);</w:t>
      </w:r>
    </w:p>
    <w:p w:rsidR="00C974F6" w:rsidRPr="00C455B4" w:rsidRDefault="00C974F6" w:rsidP="00C974F6">
      <w:pPr>
        <w:spacing w:after="0" w:line="240" w:lineRule="auto"/>
        <w:ind w:left="1134" w:hanging="360"/>
        <w:jc w:val="both"/>
        <w:rPr>
          <w:rFonts w:eastAsia="Times New Roman" w:cs="Arial"/>
          <w:sz w:val="20"/>
          <w:lang w:val="fr-FR"/>
        </w:rPr>
      </w:pPr>
    </w:p>
    <w:p w:rsidR="00C455B4" w:rsidRPr="00C455B4" w:rsidRDefault="00C455B4" w:rsidP="00C974F6">
      <w:pPr>
        <w:widowControl w:val="0"/>
        <w:numPr>
          <w:ilvl w:val="0"/>
          <w:numId w:val="18"/>
        </w:numPr>
        <w:autoSpaceDE w:val="0"/>
        <w:autoSpaceDN w:val="0"/>
        <w:adjustRightInd w:val="0"/>
        <w:spacing w:after="0" w:line="240" w:lineRule="auto"/>
        <w:ind w:left="1134"/>
        <w:jc w:val="both"/>
        <w:rPr>
          <w:rFonts w:cs="Arial"/>
          <w:iCs/>
          <w:lang w:val="fr-FR"/>
        </w:rPr>
      </w:pPr>
      <w:r w:rsidRPr="00C455B4">
        <w:rPr>
          <w:rFonts w:cs="Arial"/>
          <w:lang w:val="fr-FR"/>
        </w:rPr>
        <w:t xml:space="preserve">fournir aux Parties, sur demande, des avis sur l’intérêt scientifique d’inscrire le </w:t>
      </w:r>
      <w:r w:rsidRPr="00C455B4">
        <w:rPr>
          <w:rFonts w:cs="Arial"/>
          <w:i/>
          <w:iCs/>
          <w:lang w:val="fr-FR"/>
        </w:rPr>
        <w:t>Dugong dugon</w:t>
      </w:r>
      <w:r w:rsidRPr="00C455B4">
        <w:rPr>
          <w:rFonts w:cs="Arial"/>
          <w:iCs/>
          <w:lang w:val="fr-FR"/>
        </w:rPr>
        <w:t xml:space="preserve"> à l’Annexe I de la CMS;</w:t>
      </w:r>
    </w:p>
    <w:p w:rsidR="00C974F6" w:rsidRDefault="00C974F6" w:rsidP="00C974F6">
      <w:pPr>
        <w:widowControl w:val="0"/>
        <w:autoSpaceDE w:val="0"/>
        <w:autoSpaceDN w:val="0"/>
        <w:adjustRightInd w:val="0"/>
        <w:spacing w:after="0" w:line="240" w:lineRule="auto"/>
        <w:ind w:left="720"/>
        <w:jc w:val="both"/>
        <w:rPr>
          <w:rFonts w:cs="Arial"/>
          <w:lang w:val="fr-FR"/>
        </w:rPr>
      </w:pPr>
      <w:r>
        <w:rPr>
          <w:rFonts w:cs="Arial"/>
          <w:lang w:val="fr-FR"/>
        </w:rPr>
        <w:br w:type="page"/>
      </w:r>
    </w:p>
    <w:p w:rsidR="00C455B4" w:rsidRPr="00C455B4" w:rsidRDefault="00C455B4" w:rsidP="00C974F6">
      <w:pPr>
        <w:widowControl w:val="0"/>
        <w:autoSpaceDE w:val="0"/>
        <w:autoSpaceDN w:val="0"/>
        <w:adjustRightInd w:val="0"/>
        <w:spacing w:after="0" w:line="240" w:lineRule="auto"/>
        <w:ind w:left="720"/>
        <w:jc w:val="both"/>
        <w:rPr>
          <w:rFonts w:cs="Arial"/>
          <w:lang w:val="fr-FR"/>
        </w:rPr>
      </w:pPr>
    </w:p>
    <w:p w:rsidR="00C455B4" w:rsidRDefault="00C974F6" w:rsidP="00C974F6">
      <w:pPr>
        <w:spacing w:after="0" w:line="240" w:lineRule="auto"/>
        <w:jc w:val="both"/>
        <w:rPr>
          <w:rFonts w:cs="Arial"/>
          <w:b/>
          <w:i/>
          <w:lang w:val="fr-FR"/>
        </w:rPr>
      </w:pPr>
      <w:r>
        <w:rPr>
          <w:rFonts w:cs="Arial"/>
          <w:b/>
          <w:i/>
          <w:lang w:val="fr-FR"/>
        </w:rPr>
        <w:t>Adressé au</w:t>
      </w:r>
      <w:r w:rsidR="00C455B4" w:rsidRPr="00C455B4">
        <w:rPr>
          <w:rFonts w:cs="Arial"/>
          <w:b/>
          <w:i/>
          <w:lang w:val="fr-FR"/>
        </w:rPr>
        <w:t xml:space="preserve"> Secrétariat</w:t>
      </w:r>
    </w:p>
    <w:p w:rsidR="00C974F6" w:rsidRPr="00C455B4" w:rsidRDefault="00C974F6" w:rsidP="00C974F6">
      <w:pPr>
        <w:spacing w:after="0" w:line="240" w:lineRule="auto"/>
        <w:jc w:val="both"/>
        <w:rPr>
          <w:rFonts w:cs="Arial"/>
          <w:b/>
          <w:i/>
          <w:lang w:val="fr-FR"/>
        </w:rPr>
      </w:pPr>
    </w:p>
    <w:p w:rsidR="00C455B4" w:rsidRDefault="00C455B4" w:rsidP="00C974F6">
      <w:pPr>
        <w:spacing w:after="0" w:line="240" w:lineRule="auto"/>
        <w:ind w:left="851" w:hanging="851"/>
        <w:jc w:val="both"/>
        <w:rPr>
          <w:rFonts w:cs="Arial"/>
          <w:lang w:val="fr-FR"/>
        </w:rPr>
      </w:pPr>
      <w:r w:rsidRPr="00C455B4">
        <w:rPr>
          <w:rFonts w:cs="Arial"/>
          <w:lang w:val="fr-FR"/>
        </w:rPr>
        <w:t>13.DD</w:t>
      </w:r>
      <w:r w:rsidRPr="00C455B4">
        <w:rPr>
          <w:rFonts w:cs="Arial"/>
          <w:lang w:val="fr-FR"/>
        </w:rPr>
        <w:tab/>
        <w:t>Le Secrétariat, sous réserve de la disponibilité de ressources externes</w:t>
      </w:r>
      <w:r w:rsidR="00C974F6">
        <w:rPr>
          <w:rFonts w:cs="Arial"/>
          <w:lang w:val="fr-FR"/>
        </w:rPr>
        <w:t> :</w:t>
      </w:r>
    </w:p>
    <w:p w:rsidR="00C974F6" w:rsidRPr="00C455B4" w:rsidRDefault="00C974F6" w:rsidP="00C974F6">
      <w:pPr>
        <w:spacing w:after="0" w:line="240" w:lineRule="auto"/>
        <w:ind w:left="720" w:hanging="720"/>
        <w:jc w:val="both"/>
        <w:rPr>
          <w:rFonts w:cs="Arial"/>
          <w:iCs/>
          <w:lang w:val="fr-FR"/>
        </w:rPr>
      </w:pPr>
    </w:p>
    <w:p w:rsidR="00C455B4" w:rsidRDefault="0054115F" w:rsidP="0054115F">
      <w:pPr>
        <w:pStyle w:val="Secondnumberinga"/>
        <w:numPr>
          <w:ilvl w:val="0"/>
          <w:numId w:val="0"/>
        </w:numPr>
        <w:ind w:left="1418" w:hanging="1418"/>
        <w:rPr>
          <w:lang w:val="fr-FR"/>
        </w:rPr>
      </w:pPr>
      <w:r>
        <w:rPr>
          <w:lang w:val="fr-FR"/>
        </w:rPr>
        <w:t>(12.41</w:t>
      </w:r>
      <w:proofErr w:type="gramStart"/>
      <w:r>
        <w:rPr>
          <w:lang w:val="fr-FR"/>
        </w:rPr>
        <w:t>)  a</w:t>
      </w:r>
      <w:proofErr w:type="gramEnd"/>
      <w:r>
        <w:rPr>
          <w:lang w:val="fr-FR"/>
        </w:rPr>
        <w:t xml:space="preserve">) </w:t>
      </w:r>
      <w:r>
        <w:rPr>
          <w:lang w:val="fr-FR"/>
        </w:rPr>
        <w:tab/>
      </w:r>
      <w:r w:rsidR="00C455B4" w:rsidRPr="00C455B4">
        <w:rPr>
          <w:lang w:val="fr-FR"/>
        </w:rPr>
        <w:t>transf</w:t>
      </w:r>
      <w:r w:rsidR="00C974F6">
        <w:rPr>
          <w:lang w:val="fr-FR"/>
        </w:rPr>
        <w:t>ère</w:t>
      </w:r>
      <w:r w:rsidR="00C455B4" w:rsidRPr="00C455B4">
        <w:rPr>
          <w:lang w:val="fr-FR"/>
        </w:rPr>
        <w:t xml:space="preserve"> au Conseil scientifique et aux Parties les informations sur les </w:t>
      </w:r>
      <w:r w:rsidR="00DC60CA">
        <w:rPr>
          <w:lang w:val="fr-FR"/>
        </w:rPr>
        <w:t>AIMM</w:t>
      </w:r>
      <w:r>
        <w:rPr>
          <w:lang w:val="fr-FR"/>
        </w:rPr>
        <w:t xml:space="preserve"> </w:t>
      </w:r>
      <w:r w:rsidR="00C455B4" w:rsidRPr="00C455B4">
        <w:rPr>
          <w:lang w:val="fr-FR"/>
        </w:rPr>
        <w:t>nouvellement identifiées reçues du Groupe de travail conjoint de l’UICN</w:t>
      </w:r>
      <w:r w:rsidR="00C974F6">
        <w:rPr>
          <w:lang w:val="fr-FR"/>
        </w:rPr>
        <w:t xml:space="preserve"> </w:t>
      </w:r>
      <w:r w:rsidR="00C455B4" w:rsidRPr="00C455B4">
        <w:rPr>
          <w:lang w:val="fr-FR"/>
        </w:rPr>
        <w:t>CSE/CMPA sur les aires marines protégées pour les mammifères marins, et</w:t>
      </w:r>
      <w:r>
        <w:rPr>
          <w:lang w:val="fr-FR"/>
        </w:rPr>
        <w:t xml:space="preserve"> i</w:t>
      </w:r>
      <w:r w:rsidR="00C455B4" w:rsidRPr="00C455B4">
        <w:rPr>
          <w:lang w:val="fr-FR"/>
        </w:rPr>
        <w:t>nviter les Parties et sollicite des contributions des États de l’aire de répartition;</w:t>
      </w:r>
    </w:p>
    <w:p w:rsidR="0054115F" w:rsidRDefault="0054115F" w:rsidP="0054115F">
      <w:pPr>
        <w:pStyle w:val="Secondnumberinga"/>
        <w:numPr>
          <w:ilvl w:val="0"/>
          <w:numId w:val="0"/>
        </w:numPr>
        <w:spacing w:after="0" w:line="240" w:lineRule="auto"/>
        <w:ind w:left="1418"/>
        <w:contextualSpacing w:val="0"/>
        <w:rPr>
          <w:lang w:val="fr-FR"/>
        </w:rPr>
      </w:pPr>
    </w:p>
    <w:p w:rsidR="00C455B4" w:rsidRDefault="00C455B4" w:rsidP="0054115F">
      <w:pPr>
        <w:pStyle w:val="Secondnumberinga"/>
        <w:ind w:left="1418" w:hanging="567"/>
        <w:rPr>
          <w:noProof/>
          <w:lang w:val="fr-FR"/>
        </w:rPr>
      </w:pPr>
      <w:r w:rsidRPr="00C455B4">
        <w:rPr>
          <w:lang w:val="fr-FR"/>
        </w:rPr>
        <w:t xml:space="preserve">soutenir l’engagement d’une aide nationale pour une nouvelle décennie de recherche scientifique sur les habitats des mammifères marins et d’autres espèces migratrices en haute mer; </w:t>
      </w:r>
    </w:p>
    <w:p w:rsidR="0054115F" w:rsidRPr="00C455B4" w:rsidRDefault="0054115F" w:rsidP="0054115F">
      <w:pPr>
        <w:pStyle w:val="Secondnumberinga"/>
        <w:numPr>
          <w:ilvl w:val="0"/>
          <w:numId w:val="0"/>
        </w:numPr>
        <w:spacing w:after="0" w:line="240" w:lineRule="auto"/>
        <w:ind w:left="1418" w:hanging="567"/>
        <w:contextualSpacing w:val="0"/>
        <w:rPr>
          <w:noProof/>
          <w:lang w:val="fr-FR"/>
        </w:rPr>
      </w:pPr>
    </w:p>
    <w:p w:rsidR="00C455B4" w:rsidRPr="00C455B4" w:rsidRDefault="00C455B4" w:rsidP="0054115F">
      <w:pPr>
        <w:pStyle w:val="Secondnumberinga"/>
        <w:spacing w:after="0" w:line="240" w:lineRule="auto"/>
        <w:ind w:left="1418" w:hanging="567"/>
        <w:contextualSpacing w:val="0"/>
        <w:rPr>
          <w:lang w:val="fr-FR"/>
        </w:rPr>
      </w:pPr>
      <w:r w:rsidRPr="00C455B4">
        <w:rPr>
          <w:lang w:val="fr-FR"/>
        </w:rPr>
        <w:t xml:space="preserve">continuer à s’engager dans le processus de négociation et de mise en œuvre du traité BBNJ, en vue de sa pertinence pour les mammifères marins ainsi que pour d’autres espèces marines migratrices.   </w:t>
      </w:r>
    </w:p>
    <w:p w:rsidR="00293B2E" w:rsidRPr="00063C5C" w:rsidRDefault="00293B2E" w:rsidP="0054115F">
      <w:pPr>
        <w:pStyle w:val="Secondnumberinga"/>
        <w:numPr>
          <w:ilvl w:val="0"/>
          <w:numId w:val="0"/>
        </w:numPr>
        <w:ind w:left="1134"/>
        <w:rPr>
          <w:lang w:val="fr-FR"/>
        </w:rPr>
      </w:pPr>
    </w:p>
    <w:sectPr w:rsidR="00293B2E" w:rsidRPr="00063C5C" w:rsidSect="00FC3B05">
      <w:headerReference w:type="default" r:id="rId27"/>
      <w:headerReference w:type="first" r:id="rId28"/>
      <w:footerReference w:type="firs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54115F">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rPr>
    </w:sdtEndPr>
    <w:sdtContent>
      <w:p w:rsidR="00FC3B05" w:rsidRDefault="0054115F">
        <w:pPr>
          <w:pStyle w:val="Footer"/>
          <w:jc w:val="center"/>
          <w:rPr>
            <w:sz w:val="18"/>
          </w:rPr>
        </w:pPr>
        <w:r w:rsidRPr="002E0DE9">
          <w:rPr>
            <w:sz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10</w:t>
        </w:r>
        <w:r w:rsidRPr="002E0DE9">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60303299"/>
      <w:docPartObj>
        <w:docPartGallery w:val="Page Numbers (Bottom of Page)"/>
        <w:docPartUnique/>
      </w:docPartObj>
    </w:sdtPr>
    <w:sdtEndPr>
      <w:rPr>
        <w:noProof/>
      </w:rPr>
    </w:sdtEndPr>
    <w:sdtContent>
      <w:p w:rsidR="0054115F" w:rsidRPr="0054115F" w:rsidRDefault="0054115F" w:rsidP="0054115F">
        <w:pPr>
          <w:pStyle w:val="Footer"/>
          <w:jc w:val="center"/>
          <w:rPr>
            <w:sz w:val="18"/>
            <w:szCs w:val="18"/>
          </w:rPr>
        </w:pPr>
        <w:r w:rsidRPr="0054115F">
          <w:rPr>
            <w:sz w:val="18"/>
            <w:szCs w:val="18"/>
          </w:rPr>
          <w:fldChar w:fldCharType="begin"/>
        </w:r>
        <w:r w:rsidRPr="0054115F">
          <w:rPr>
            <w:sz w:val="18"/>
            <w:szCs w:val="18"/>
          </w:rPr>
          <w:instrText xml:space="preserve"> PAGE   \* MERGEFORMAT </w:instrText>
        </w:r>
        <w:r w:rsidRPr="0054115F">
          <w:rPr>
            <w:sz w:val="18"/>
            <w:szCs w:val="18"/>
          </w:rPr>
          <w:fldChar w:fldCharType="separate"/>
        </w:r>
        <w:r w:rsidRPr="0054115F">
          <w:rPr>
            <w:noProof/>
            <w:sz w:val="18"/>
            <w:szCs w:val="18"/>
          </w:rPr>
          <w:t>2</w:t>
        </w:r>
        <w:r w:rsidRPr="0054115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C455B4" w:rsidRPr="00DC60CA" w:rsidRDefault="00C455B4" w:rsidP="00C455B4">
      <w:pPr>
        <w:pStyle w:val="FootnoteText"/>
        <w:rPr>
          <w:sz w:val="16"/>
          <w:szCs w:val="16"/>
        </w:rPr>
      </w:pPr>
      <w:r w:rsidRPr="00DC60CA">
        <w:rPr>
          <w:rStyle w:val="FootnoteReference"/>
          <w:sz w:val="16"/>
          <w:szCs w:val="16"/>
        </w:rPr>
        <w:footnoteRef/>
      </w:r>
      <w:hyperlink r:id="rId1" w:history="1">
        <w:r w:rsidRPr="00DC60CA">
          <w:rPr>
            <w:rStyle w:val="Hyperlink"/>
            <w:sz w:val="16"/>
            <w:szCs w:val="16"/>
          </w:rPr>
          <w:t>http://www.coml.org/about-census/</w:t>
        </w:r>
      </w:hyperlink>
    </w:p>
  </w:footnote>
  <w:footnote w:id="2">
    <w:p w:rsidR="00C455B4" w:rsidRPr="00DC60CA" w:rsidRDefault="00C455B4" w:rsidP="00C455B4">
      <w:pPr>
        <w:pStyle w:val="FootnoteText"/>
        <w:rPr>
          <w:sz w:val="16"/>
          <w:szCs w:val="16"/>
        </w:rPr>
      </w:pPr>
      <w:r w:rsidRPr="00DC60CA">
        <w:rPr>
          <w:rStyle w:val="FootnoteReference"/>
          <w:sz w:val="16"/>
          <w:szCs w:val="16"/>
        </w:rPr>
        <w:footnoteRef/>
      </w:r>
      <w:r w:rsidRPr="00DC60CA">
        <w:rPr>
          <w:sz w:val="16"/>
          <w:szCs w:val="16"/>
        </w:rPr>
        <w:t xml:space="preserve"> p. ex. l’autorité sur le Dugong, Hélène Marsh concernant les Palaos.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063C5C"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063C5C">
      <w:rPr>
        <w:rFonts w:eastAsia="Arial" w:cs="Arial"/>
        <w:i/>
        <w:sz w:val="18"/>
        <w:szCs w:val="18"/>
        <w:lang w:val="en-GB"/>
      </w:rPr>
      <w:t>UNEP/CMS/COP13/Doc.</w:t>
    </w:r>
    <w:r w:rsidR="0032282B" w:rsidRPr="00063C5C">
      <w:rPr>
        <w:rFonts w:eastAsia="Arial" w:cs="Arial"/>
        <w:i/>
        <w:sz w:val="18"/>
        <w:szCs w:val="18"/>
        <w:lang w:val="en-GB"/>
      </w:rPr>
      <w:t>26.2.1</w:t>
    </w:r>
    <w:r w:rsidR="00063C5C" w:rsidRPr="00063C5C">
      <w:rPr>
        <w:rFonts w:eastAsia="Arial" w:cs="Arial"/>
        <w:i/>
        <w:sz w:val="18"/>
        <w:szCs w:val="18"/>
        <w:lang w:val="en-GB"/>
      </w:rPr>
      <w:t>/Rev.</w:t>
    </w:r>
    <w:r w:rsidR="00063C5C">
      <w:rPr>
        <w:rFonts w:eastAsia="Arial" w:cs="Arial"/>
        <w:i/>
        <w:sz w:val="18"/>
        <w:szCs w:val="18"/>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063C5C"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063C5C">
      <w:rPr>
        <w:rFonts w:eastAsia="Arial" w:cs="Arial"/>
        <w:i/>
        <w:sz w:val="18"/>
        <w:szCs w:val="18"/>
        <w:lang w:val="en-GB"/>
      </w:rPr>
      <w:t>UNEP/CMS/COP13/Doc.</w:t>
    </w:r>
    <w:r w:rsidR="00DC60CA" w:rsidRPr="00063C5C">
      <w:rPr>
        <w:rFonts w:eastAsia="Arial" w:cs="Arial"/>
        <w:i/>
        <w:sz w:val="18"/>
        <w:szCs w:val="18"/>
        <w:lang w:val="en-GB"/>
      </w:rPr>
      <w:t>26.2.1</w:t>
    </w:r>
    <w:r w:rsidR="00063C5C" w:rsidRPr="00063C5C">
      <w:rPr>
        <w:rFonts w:eastAsia="Arial" w:cs="Arial"/>
        <w:i/>
        <w:sz w:val="18"/>
        <w:szCs w:val="18"/>
        <w:lang w:val="en-GB"/>
      </w:rPr>
      <w:t>/Rev.</w:t>
    </w:r>
    <w:r w:rsidR="00063C5C">
      <w:rPr>
        <w:rFonts w:eastAsia="Arial" w:cs="Arial"/>
        <w:i/>
        <w:sz w:val="18"/>
        <w:szCs w:val="1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CA" w:rsidRPr="00DC60CA" w:rsidRDefault="00DC60CA" w:rsidP="00DC60C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DC60CA">
      <w:rPr>
        <w:rFonts w:eastAsia="Arial" w:cs="Arial"/>
        <w:i/>
        <w:sz w:val="18"/>
        <w:szCs w:val="18"/>
        <w:lang w:val="en-GB"/>
      </w:rPr>
      <w:t>UNEP/CMS/COP13/Doc.26.2.1/</w:t>
    </w:r>
    <w:r w:rsidR="00063C5C">
      <w:rPr>
        <w:rFonts w:eastAsia="Arial" w:cs="Arial"/>
        <w:i/>
        <w:sz w:val="18"/>
        <w:szCs w:val="18"/>
        <w:lang w:val="en-GB"/>
      </w:rPr>
      <w:t>Rev.1/</w:t>
    </w:r>
    <w:r w:rsidRPr="00DC60CA">
      <w:rPr>
        <w:rFonts w:eastAsia="Arial" w:cs="Arial"/>
        <w:i/>
        <w:sz w:val="18"/>
        <w:szCs w:val="18"/>
        <w:lang w:val="en-GB"/>
      </w:rPr>
      <w:t>An</w:t>
    </w:r>
    <w:r>
      <w:rPr>
        <w:rFonts w:eastAsia="Arial" w:cs="Arial"/>
        <w:i/>
        <w:sz w:val="18"/>
        <w:szCs w:val="18"/>
        <w:lang w:val="en-GB"/>
      </w:rPr>
      <w:t>nexe 1</w:t>
    </w:r>
  </w:p>
  <w:p w:rsidR="00FC3B05" w:rsidRPr="00DC60CA" w:rsidRDefault="00063C5C" w:rsidP="00DC60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CA" w:rsidRPr="00DC60CA" w:rsidRDefault="00DC60CA" w:rsidP="00DC60C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DC60CA">
      <w:rPr>
        <w:rFonts w:eastAsia="Arial" w:cs="Arial"/>
        <w:i/>
        <w:sz w:val="18"/>
        <w:szCs w:val="18"/>
        <w:lang w:val="en-GB"/>
      </w:rPr>
      <w:t>UNEP/CMS/COP13/Doc.26.2.1/</w:t>
    </w:r>
    <w:r w:rsidR="00063C5C">
      <w:rPr>
        <w:rFonts w:eastAsia="Arial" w:cs="Arial"/>
        <w:i/>
        <w:sz w:val="18"/>
        <w:szCs w:val="18"/>
        <w:lang w:val="en-GB"/>
      </w:rPr>
      <w:t>Rev.1/</w:t>
    </w:r>
    <w:r w:rsidRPr="00DC60CA">
      <w:rPr>
        <w:rFonts w:eastAsia="Arial" w:cs="Arial"/>
        <w:i/>
        <w:sz w:val="18"/>
        <w:szCs w:val="18"/>
        <w:lang w:val="en-GB"/>
      </w:rPr>
      <w:t>An</w:t>
    </w:r>
    <w:r>
      <w:rPr>
        <w:rFonts w:eastAsia="Arial" w:cs="Arial"/>
        <w:i/>
        <w:sz w:val="18"/>
        <w:szCs w:val="18"/>
        <w:lang w:val="en-GB"/>
      </w:rPr>
      <w:t>nexe 1</w:t>
    </w:r>
  </w:p>
  <w:p w:rsidR="00FC3B05" w:rsidRPr="00DC60CA" w:rsidRDefault="00063C5C" w:rsidP="00DC60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B05" w:rsidRPr="00DC60CA" w:rsidRDefault="00DC60CA" w:rsidP="00DC60C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DC60CA">
      <w:rPr>
        <w:rFonts w:eastAsia="Arial" w:cs="Arial"/>
        <w:i/>
        <w:sz w:val="18"/>
        <w:szCs w:val="18"/>
        <w:lang w:val="en-GB"/>
      </w:rPr>
      <w:t>UNEP/CMS/COP13/Doc.26.2.1/</w:t>
    </w:r>
    <w:r w:rsidR="00063C5C">
      <w:rPr>
        <w:rFonts w:eastAsia="Arial" w:cs="Arial"/>
        <w:i/>
        <w:sz w:val="18"/>
        <w:szCs w:val="18"/>
        <w:lang w:val="en-GB"/>
      </w:rPr>
      <w:t>Rev.1/</w:t>
    </w:r>
    <w:r w:rsidRPr="00DC60CA">
      <w:rPr>
        <w:rFonts w:eastAsia="Arial" w:cs="Arial"/>
        <w:i/>
        <w:sz w:val="18"/>
        <w:szCs w:val="18"/>
        <w:lang w:val="en-GB"/>
      </w:rPr>
      <w:t>An</w:t>
    </w:r>
    <w:r>
      <w:rPr>
        <w:rFonts w:eastAsia="Arial" w:cs="Arial"/>
        <w:i/>
        <w:sz w:val="18"/>
        <w:szCs w:val="18"/>
        <w:lang w:val="en-GB"/>
      </w:rPr>
      <w:t>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5F" w:rsidRPr="00DC60CA" w:rsidRDefault="0054115F" w:rsidP="00DC60C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DC60CA">
      <w:rPr>
        <w:rFonts w:eastAsia="Arial" w:cs="Arial"/>
        <w:i/>
        <w:sz w:val="18"/>
        <w:szCs w:val="18"/>
        <w:lang w:val="en-GB"/>
      </w:rPr>
      <w:t>UNEP/CMS/COP13/Doc.26.2.1/</w:t>
    </w:r>
    <w:r w:rsidR="00063C5C">
      <w:rPr>
        <w:rFonts w:eastAsia="Arial" w:cs="Arial"/>
        <w:i/>
        <w:sz w:val="18"/>
        <w:szCs w:val="18"/>
        <w:lang w:val="en-GB"/>
      </w:rPr>
      <w:t>Rev.1/</w:t>
    </w:r>
    <w:r w:rsidRPr="00DC60CA">
      <w:rPr>
        <w:rFonts w:eastAsia="Arial" w:cs="Arial"/>
        <w:i/>
        <w:sz w:val="18"/>
        <w:szCs w:val="18"/>
        <w:lang w:val="en-GB"/>
      </w:rPr>
      <w:t>An</w:t>
    </w:r>
    <w:r>
      <w:rPr>
        <w:rFonts w:eastAsia="Arial" w:cs="Arial"/>
        <w:i/>
        <w:sz w:val="18"/>
        <w:szCs w:val="18"/>
        <w:lang w:val="en-GB"/>
      </w:rPr>
      <w:t>nexe 2</w:t>
    </w:r>
  </w:p>
  <w:p w:rsidR="0054115F" w:rsidRPr="00DC60CA" w:rsidRDefault="0054115F" w:rsidP="00DC60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F6" w:rsidRPr="00DC60CA" w:rsidRDefault="00C974F6" w:rsidP="00C974F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DC60CA">
      <w:rPr>
        <w:rFonts w:eastAsia="Arial" w:cs="Arial"/>
        <w:i/>
        <w:sz w:val="18"/>
        <w:szCs w:val="18"/>
        <w:lang w:val="en-GB"/>
      </w:rPr>
      <w:t>UNEP/CMS/COP13/Doc.26.2.1/</w:t>
    </w:r>
    <w:r w:rsidR="00063C5C">
      <w:rPr>
        <w:rFonts w:eastAsia="Arial" w:cs="Arial"/>
        <w:i/>
        <w:sz w:val="18"/>
        <w:szCs w:val="18"/>
        <w:lang w:val="en-GB"/>
      </w:rPr>
      <w:t>Rev.1/</w:t>
    </w:r>
    <w:r w:rsidRPr="00DC60CA">
      <w:rPr>
        <w:rFonts w:eastAsia="Arial" w:cs="Arial"/>
        <w:i/>
        <w:sz w:val="18"/>
        <w:szCs w:val="18"/>
        <w:lang w:val="en-GB"/>
      </w:rPr>
      <w:t>An</w:t>
    </w:r>
    <w:r>
      <w:rPr>
        <w:rFonts w:eastAsia="Arial" w:cs="Arial"/>
        <w:i/>
        <w:sz w:val="18"/>
        <w:szCs w:val="18"/>
        <w:lang w:val="en-GB"/>
      </w:rPr>
      <w:t>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A435A6"/>
    <w:multiLevelType w:val="hybridMultilevel"/>
    <w:tmpl w:val="200CDE56"/>
    <w:lvl w:ilvl="0" w:tplc="9BE2982A">
      <w:start w:val="2"/>
      <w:numFmt w:val="lowerLetter"/>
      <w:pStyle w:val="Secondnumbering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21D4C83"/>
    <w:multiLevelType w:val="hybridMultilevel"/>
    <w:tmpl w:val="E81AE00A"/>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185E77"/>
    <w:multiLevelType w:val="hybridMultilevel"/>
    <w:tmpl w:val="83D02866"/>
    <w:lvl w:ilvl="0" w:tplc="65BC4AF8">
      <w:start w:val="3"/>
      <w:numFmt w:val="decimal"/>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F570B"/>
    <w:multiLevelType w:val="hybridMultilevel"/>
    <w:tmpl w:val="2B163798"/>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3F7345"/>
    <w:multiLevelType w:val="hybridMultilevel"/>
    <w:tmpl w:val="1C8C7A66"/>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2163F21"/>
    <w:multiLevelType w:val="hybridMultilevel"/>
    <w:tmpl w:val="3790DC7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AF5293"/>
    <w:multiLevelType w:val="hybridMultilevel"/>
    <w:tmpl w:val="0C0C97E4"/>
    <w:lvl w:ilvl="0" w:tplc="7E226114">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06741"/>
    <w:multiLevelType w:val="hybridMultilevel"/>
    <w:tmpl w:val="EF7AA6EA"/>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E4D66"/>
    <w:multiLevelType w:val="hybridMultilevel"/>
    <w:tmpl w:val="0ACEC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8"/>
  </w:num>
  <w:num w:numId="5">
    <w:abstractNumId w:val="1"/>
  </w:num>
  <w:num w:numId="6">
    <w:abstractNumId w:val="15"/>
  </w:num>
  <w:num w:numId="7">
    <w:abstractNumId w:val="2"/>
  </w:num>
  <w:num w:numId="8">
    <w:abstractNumId w:val="7"/>
  </w:num>
  <w:num w:numId="9">
    <w:abstractNumId w:val="13"/>
  </w:num>
  <w:num w:numId="10">
    <w:abstractNumId w:val="6"/>
  </w:num>
  <w:num w:numId="11">
    <w:abstractNumId w:val="11"/>
  </w:num>
  <w:num w:numId="12">
    <w:abstractNumId w:val="4"/>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63C5C"/>
    <w:rsid w:val="000B03CC"/>
    <w:rsid w:val="000F2EB4"/>
    <w:rsid w:val="0012615F"/>
    <w:rsid w:val="0026594E"/>
    <w:rsid w:val="00293B2E"/>
    <w:rsid w:val="0032282B"/>
    <w:rsid w:val="004D2819"/>
    <w:rsid w:val="005330F7"/>
    <w:rsid w:val="0054115F"/>
    <w:rsid w:val="00563598"/>
    <w:rsid w:val="00705C1D"/>
    <w:rsid w:val="00853DCA"/>
    <w:rsid w:val="00870459"/>
    <w:rsid w:val="00882CD0"/>
    <w:rsid w:val="00896FBB"/>
    <w:rsid w:val="008C067D"/>
    <w:rsid w:val="00A02506"/>
    <w:rsid w:val="00AB773C"/>
    <w:rsid w:val="00C455B4"/>
    <w:rsid w:val="00C771C2"/>
    <w:rsid w:val="00C87CA3"/>
    <w:rsid w:val="00C974F6"/>
    <w:rsid w:val="00D67AF1"/>
    <w:rsid w:val="00D71837"/>
    <w:rsid w:val="00DC60CA"/>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EAA5"/>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C455B4"/>
    <w:rPr>
      <w:color w:val="0563C1" w:themeColor="hyperlink"/>
      <w:u w:val="single"/>
    </w:rPr>
  </w:style>
  <w:style w:type="paragraph" w:styleId="FootnoteText">
    <w:name w:val="footnote text"/>
    <w:basedOn w:val="Normal"/>
    <w:link w:val="FootnoteTextChar"/>
    <w:uiPriority w:val="99"/>
    <w:semiHidden/>
    <w:unhideWhenUsed/>
    <w:rsid w:val="00C455B4"/>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C455B4"/>
    <w:rPr>
      <w:sz w:val="20"/>
      <w:szCs w:val="20"/>
      <w:lang w:val="fr-FR"/>
    </w:rPr>
  </w:style>
  <w:style w:type="character" w:styleId="FootnoteReference">
    <w:name w:val="footnote reference"/>
    <w:basedOn w:val="DefaultParagraphFont"/>
    <w:uiPriority w:val="99"/>
    <w:semiHidden/>
    <w:unhideWhenUsed/>
    <w:rsid w:val="00C45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emammalhabitat.org/imma-eatlas/" TargetMode="External"/><Relationship Id="rId13" Type="http://schemas.openxmlformats.org/officeDocument/2006/relationships/header" Target="header3.xml"/><Relationship Id="rId18" Type="http://schemas.openxmlformats.org/officeDocument/2006/relationships/hyperlink" Target="https://www.marinemammalhabitat.org/download/preliminary-report-of-the-regional-workshop-for-the-western-indian-ocean-and-arabian-seas-important-marine-mammal-areas/" TargetMode="External"/><Relationship Id="rId26" Type="http://schemas.openxmlformats.org/officeDocument/2006/relationships/hyperlink" Target="http://www.marinemammalhabitat.org"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marinemammalhabitat.org/download/imma-extraordinary-workshop-for-the-mediterranean-monk-seal-preliminary-report/" TargetMode="External"/><Relationship Id="rId25" Type="http://schemas.openxmlformats.org/officeDocument/2006/relationships/hyperlink" Target="http://www.marinemammalhabitat.org" TargetMode="External"/><Relationship Id="rId2" Type="http://schemas.openxmlformats.org/officeDocument/2006/relationships/styles" Target="styles.xml"/><Relationship Id="rId16" Type="http://schemas.openxmlformats.org/officeDocument/2006/relationships/hyperlink" Target="https://www.marinemammalhabitat.org/download/preliminary-report-of-the-regional-workshop-for-the-north-east-indian-ocean-and-south-east-asian-seas-important-marine-mammal-areas/" TargetMode="External"/><Relationship Id="rId20" Type="http://schemas.openxmlformats.org/officeDocument/2006/relationships/hyperlink" Target="https://www.marinemammalhabitat.org/download/report-of-the-joint-iwc-iucn-accobams-workshop-to-evaluate-how-the-data-and-process-used-to-identify-immas-can-assiste-the-iwc-to-identify-areas-of-high-risk-for-ship-strike/"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marinemammalhabitat.org/download/working-implement-conservation-actions-important-marine-mammal-areas-immas-republic-palau/"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www.marinemammalhabitat.org/download/working-to-implement-conservation-actions-in-important-marine-mammal-areas-immas-of-the-andaman-islands-ind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ml.org/about-censu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2019-11-20T10:42:00Z</dcterms:created>
  <dcterms:modified xsi:type="dcterms:W3CDTF">2019-11-20T10:42:00Z</dcterms:modified>
</cp:coreProperties>
</file>