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0CE26EA6"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291D46" w:rsidRPr="00642B21">
        <w:rPr>
          <w:rFonts w:cs="Arial"/>
          <w:iCs/>
          <w:sz w:val="22"/>
          <w:szCs w:val="22"/>
          <w:lang w:val="pt-PT"/>
        </w:rPr>
        <w:t>24.4.6</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65BB97F1"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291D46" w:rsidRPr="00642B21">
              <w:rPr>
                <w:rFonts w:cs="Arial"/>
                <w:sz w:val="22"/>
                <w:szCs w:val="22"/>
                <w:lang w:val="en-GB"/>
              </w:rPr>
              <w:t>24.4.6</w:t>
            </w:r>
          </w:p>
          <w:p w14:paraId="032B19C7" w14:textId="57604BBC" w:rsidR="00283152" w:rsidRPr="00EC6FC3" w:rsidRDefault="00EC6FC3" w:rsidP="00E8776E">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7 </w:t>
            </w:r>
            <w:r w:rsidR="00AE4600">
              <w:rPr>
                <w:rFonts w:cs="Arial"/>
                <w:sz w:val="22"/>
                <w:szCs w:val="22"/>
                <w:lang w:val="en-GB"/>
              </w:rPr>
              <w:t>June</w:t>
            </w:r>
            <w:r w:rsidR="0079075D" w:rsidRPr="00420040">
              <w:rPr>
                <w:rFonts w:cs="Arial"/>
                <w:sz w:val="22"/>
                <w:szCs w:val="22"/>
                <w:lang w:val="en-GB"/>
              </w:rPr>
              <w:t xml:space="preserve">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53800059" w14:textId="77777777" w:rsidR="00682B31" w:rsidRPr="00682B31" w:rsidRDefault="00682B31" w:rsidP="000C21B1">
            <w:pPr>
              <w:rPr>
                <w:rFonts w:cs="Arial"/>
                <w:sz w:val="12"/>
                <w:szCs w:val="12"/>
                <w:lang w:val="en-GB"/>
              </w:rPr>
            </w:pPr>
          </w:p>
        </w:tc>
      </w:tr>
    </w:tbl>
    <w:p w14:paraId="67E8E620" w14:textId="3038314C" w:rsidR="00E8776E" w:rsidRPr="00682B31" w:rsidRDefault="00E8776E" w:rsidP="00E8776E">
      <w:pPr>
        <w:tabs>
          <w:tab w:val="left" w:pos="7020"/>
        </w:tabs>
        <w:rPr>
          <w:rFonts w:cs="Arial"/>
          <w:sz w:val="22"/>
          <w:szCs w:val="22"/>
        </w:rPr>
      </w:pPr>
    </w:p>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2A3CC93B" w14:textId="10A35FC3" w:rsidR="00B64904" w:rsidRPr="00420040" w:rsidRDefault="00CB321E" w:rsidP="00056DC1">
      <w:pPr>
        <w:pStyle w:val="Heading2"/>
        <w:keepNext w:val="0"/>
        <w:ind w:left="-90" w:right="-367"/>
        <w:jc w:val="center"/>
        <w:rPr>
          <w:rFonts w:cs="Arial"/>
          <w:sz w:val="22"/>
          <w:szCs w:val="22"/>
          <w:lang w:val="en-GB"/>
        </w:rPr>
      </w:pPr>
      <w:r>
        <w:rPr>
          <w:rFonts w:cs="Arial"/>
          <w:sz w:val="22"/>
          <w:szCs w:val="22"/>
          <w:lang w:val="en-GB"/>
        </w:rPr>
        <w:t>ENERGY</w:t>
      </w:r>
      <w:r w:rsidR="0006289C">
        <w:rPr>
          <w:rFonts w:cs="Arial"/>
          <w:sz w:val="22"/>
          <w:szCs w:val="22"/>
          <w:lang w:val="en-GB"/>
        </w:rPr>
        <w:t xml:space="preserve"> AND MIGRATORY SPECIES</w:t>
      </w:r>
      <w:r>
        <w:rPr>
          <w:rFonts w:cs="Arial"/>
          <w:sz w:val="22"/>
          <w:szCs w:val="22"/>
          <w:lang w:val="en-GB"/>
        </w:rPr>
        <w:t xml:space="preserve"> </w:t>
      </w:r>
    </w:p>
    <w:p w14:paraId="7900A4D0" w14:textId="77777777" w:rsidR="00593736" w:rsidRPr="004D0936" w:rsidRDefault="00593736" w:rsidP="00593736">
      <w:pPr>
        <w:rPr>
          <w:sz w:val="8"/>
          <w:szCs w:val="8"/>
          <w:lang w:val="en-GB"/>
        </w:rPr>
      </w:pPr>
    </w:p>
    <w:p w14:paraId="28BFAB3C" w14:textId="77777777" w:rsidR="00B64904" w:rsidRDefault="00B64904" w:rsidP="00B64904">
      <w:pPr>
        <w:jc w:val="center"/>
        <w:rPr>
          <w:rFonts w:cs="Arial"/>
          <w:i/>
          <w:sz w:val="22"/>
          <w:szCs w:val="22"/>
          <w:lang w:val="en-GB"/>
        </w:rPr>
      </w:pPr>
      <w:r w:rsidRPr="00291D46">
        <w:rPr>
          <w:rFonts w:cs="Arial"/>
          <w:i/>
          <w:sz w:val="22"/>
          <w:szCs w:val="22"/>
          <w:lang w:val="en-GB"/>
        </w:rPr>
        <w:t>(</w:t>
      </w:r>
      <w:r w:rsidR="00F11793" w:rsidRPr="007954BD">
        <w:rPr>
          <w:rFonts w:cs="Arial"/>
          <w:i/>
          <w:sz w:val="22"/>
          <w:szCs w:val="22"/>
          <w:lang w:val="en-GB"/>
        </w:rPr>
        <w:t>P</w:t>
      </w:r>
      <w:r w:rsidR="0079075D" w:rsidRPr="007954BD">
        <w:rPr>
          <w:rFonts w:cs="Arial"/>
          <w:i/>
          <w:sz w:val="22"/>
          <w:szCs w:val="22"/>
          <w:lang w:val="en-GB"/>
        </w:rPr>
        <w:t xml:space="preserve">repared by </w:t>
      </w:r>
      <w:r w:rsidR="00870FB9" w:rsidRPr="007954BD">
        <w:rPr>
          <w:rFonts w:cs="Arial"/>
          <w:i/>
          <w:sz w:val="22"/>
          <w:szCs w:val="22"/>
          <w:lang w:val="en-GB"/>
        </w:rPr>
        <w:t>the Secretariat</w:t>
      </w:r>
      <w:r w:rsidRPr="00291D46">
        <w:rPr>
          <w:rFonts w:cs="Arial"/>
          <w:i/>
          <w:sz w:val="22"/>
          <w:szCs w:val="22"/>
          <w:lang w:val="en-GB"/>
        </w:rPr>
        <w:t>)</w:t>
      </w:r>
      <w:r w:rsidR="00497E66">
        <w:rPr>
          <w:rFonts w:cs="Arial"/>
          <w:i/>
          <w:sz w:val="22"/>
          <w:szCs w:val="22"/>
          <w:lang w:val="en-GB"/>
        </w:rPr>
        <w:t xml:space="preserve"> </w:t>
      </w:r>
    </w:p>
    <w:p w14:paraId="5C18F762" w14:textId="77777777" w:rsidR="00870FB9" w:rsidRPr="004D0936" w:rsidRDefault="00870FB9" w:rsidP="00870FB9">
      <w:pPr>
        <w:rPr>
          <w:sz w:val="8"/>
          <w:szCs w:val="8"/>
          <w:lang w:val="en-GB"/>
        </w:rPr>
      </w:pPr>
    </w:p>
    <w:p w14:paraId="14E1ACC4" w14:textId="77777777" w:rsidR="00870FB9" w:rsidRPr="00420040" w:rsidRDefault="00870FB9" w:rsidP="00B64904">
      <w:pPr>
        <w:jc w:val="center"/>
        <w:rPr>
          <w:rFonts w:cs="Arial"/>
          <w:i/>
          <w:sz w:val="22"/>
          <w:szCs w:val="22"/>
          <w:lang w:val="en-GB"/>
        </w:rPr>
      </w:pPr>
    </w:p>
    <w:p w14:paraId="30AD86D0" w14:textId="77777777" w:rsidR="001764E6" w:rsidRPr="00C169ED" w:rsidRDefault="001764E6" w:rsidP="001764E6">
      <w:pPr>
        <w:jc w:val="both"/>
        <w:rPr>
          <w:rFonts w:cs="Arial"/>
          <w:sz w:val="21"/>
          <w:szCs w:val="21"/>
          <w:lang w:val="en-GB"/>
        </w:rPr>
      </w:pPr>
    </w:p>
    <w:p w14:paraId="0C19A877" w14:textId="72FECD35" w:rsidR="001764E6" w:rsidRPr="00C169ED" w:rsidRDefault="00A55C8C" w:rsidP="00D605A4">
      <w:pPr>
        <w:tabs>
          <w:tab w:val="left" w:pos="8295"/>
        </w:tabs>
        <w:jc w:val="both"/>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029E9E03">
                <wp:simplePos x="0" y="0"/>
                <wp:positionH relativeFrom="column">
                  <wp:posOffset>799465</wp:posOffset>
                </wp:positionH>
                <wp:positionV relativeFrom="paragraph">
                  <wp:posOffset>69215</wp:posOffset>
                </wp:positionV>
                <wp:extent cx="4305300" cy="33337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33750"/>
                        </a:xfrm>
                        <a:prstGeom prst="rect">
                          <a:avLst/>
                        </a:prstGeom>
                        <a:solidFill>
                          <a:srgbClr val="FFFFFF"/>
                        </a:solidFill>
                        <a:ln w="3175">
                          <a:solidFill>
                            <a:srgbClr val="000000"/>
                          </a:solidFill>
                          <a:miter lim="800000"/>
                          <a:headEnd/>
                          <a:tailEnd/>
                        </a:ln>
                      </wps:spPr>
                      <wps:txb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77777777" w:rsidR="00F11793" w:rsidRDefault="00F11793" w:rsidP="00E8776E">
                            <w:pPr>
                              <w:rPr>
                                <w:rFonts w:cs="Arial"/>
                                <w:i/>
                                <w:sz w:val="22"/>
                                <w:szCs w:val="22"/>
                                <w:lang w:val="en-GB"/>
                              </w:rPr>
                            </w:pPr>
                          </w:p>
                          <w:p w14:paraId="6157E726" w14:textId="5395DB6D" w:rsidR="007B026E" w:rsidRPr="007B026E" w:rsidRDefault="00C8332A" w:rsidP="007954BD">
                            <w:pPr>
                              <w:jc w:val="both"/>
                              <w:rPr>
                                <w:rFonts w:cs="Arial"/>
                                <w:sz w:val="22"/>
                                <w:szCs w:val="22"/>
                                <w:lang w:val="en-GB"/>
                              </w:rPr>
                            </w:pPr>
                            <w:r>
                              <w:rPr>
                                <w:rFonts w:cs="Arial"/>
                                <w:sz w:val="22"/>
                                <w:szCs w:val="22"/>
                                <w:lang w:val="en-GB"/>
                              </w:rPr>
                              <w:t>Through</w:t>
                            </w:r>
                            <w:r w:rsidR="003A207B" w:rsidRPr="003A207B">
                              <w:rPr>
                                <w:rFonts w:cs="Arial"/>
                                <w:sz w:val="22"/>
                                <w:szCs w:val="22"/>
                                <w:lang w:val="en-GB"/>
                              </w:rPr>
                              <w:t xml:space="preserve"> Resolution </w:t>
                            </w:r>
                            <w:r w:rsidR="003A207B">
                              <w:rPr>
                                <w:rFonts w:cs="Arial"/>
                                <w:sz w:val="22"/>
                                <w:szCs w:val="22"/>
                                <w:lang w:val="en-GB"/>
                              </w:rPr>
                              <w:t>11.27 and Resolution 10.11</w:t>
                            </w:r>
                            <w:r w:rsidR="0026465B">
                              <w:rPr>
                                <w:rFonts w:cs="Arial"/>
                                <w:sz w:val="22"/>
                                <w:szCs w:val="22"/>
                                <w:lang w:val="en-GB"/>
                              </w:rPr>
                              <w:t>,</w:t>
                            </w:r>
                            <w:r w:rsidR="003A207B" w:rsidRPr="003A207B">
                              <w:rPr>
                                <w:rFonts w:cs="Arial"/>
                                <w:sz w:val="22"/>
                                <w:szCs w:val="22"/>
                                <w:lang w:val="en-GB"/>
                              </w:rPr>
                              <w:t xml:space="preserve"> </w:t>
                            </w:r>
                            <w:r>
                              <w:rPr>
                                <w:rFonts w:cs="Arial"/>
                                <w:sz w:val="22"/>
                                <w:szCs w:val="22"/>
                                <w:lang w:val="en-GB"/>
                              </w:rPr>
                              <w:t xml:space="preserve">the CMS Conference of the Parties established policies and mandates in relation to the energy sector. In particular, Resolution 11.27 instructed the Secretariat to establish a </w:t>
                            </w:r>
                            <w:r w:rsidR="007B026E" w:rsidRPr="009A603B">
                              <w:rPr>
                                <w:rFonts w:cs="Arial"/>
                                <w:sz w:val="22"/>
                                <w:szCs w:val="22"/>
                                <w:lang w:val="en-GB"/>
                              </w:rPr>
                              <w:t>multi-stakeholder Task Force on Reconciling Selected Energy Sector Developments with Migratory Species Conservation (the Energy Task Force</w:t>
                            </w:r>
                            <w:r w:rsidR="003271D4">
                              <w:rPr>
                                <w:rFonts w:cs="Arial"/>
                                <w:sz w:val="22"/>
                                <w:szCs w:val="22"/>
                                <w:lang w:val="en-GB"/>
                              </w:rPr>
                              <w:t>)</w:t>
                            </w:r>
                            <w:r>
                              <w:rPr>
                                <w:rFonts w:cs="Arial"/>
                                <w:sz w:val="22"/>
                                <w:szCs w:val="22"/>
                                <w:lang w:val="en-GB"/>
                              </w:rPr>
                              <w:t xml:space="preserve">, and to report </w:t>
                            </w:r>
                            <w:r w:rsidR="00C44D89">
                              <w:rPr>
                                <w:rFonts w:cs="Arial"/>
                                <w:sz w:val="22"/>
                                <w:szCs w:val="22"/>
                                <w:lang w:val="en-GB"/>
                              </w:rPr>
                              <w:t xml:space="preserve">progress on behalf of the Task Force to </w:t>
                            </w:r>
                            <w:r w:rsidR="00823EC9">
                              <w:rPr>
                                <w:rFonts w:cs="Arial"/>
                                <w:sz w:val="22"/>
                                <w:szCs w:val="22"/>
                                <w:lang w:val="en-GB"/>
                              </w:rPr>
                              <w:t xml:space="preserve">the </w:t>
                            </w:r>
                            <w:r w:rsidR="0064189B">
                              <w:rPr>
                                <w:rFonts w:cs="Arial"/>
                                <w:sz w:val="22"/>
                                <w:szCs w:val="22"/>
                                <w:lang w:val="en-GB"/>
                              </w:rPr>
                              <w:t>Conference of the Parties at its 12</w:t>
                            </w:r>
                            <w:r w:rsidR="0064189B" w:rsidRPr="00642B21">
                              <w:rPr>
                                <w:rFonts w:cs="Arial"/>
                                <w:sz w:val="22"/>
                                <w:szCs w:val="22"/>
                                <w:vertAlign w:val="superscript"/>
                                <w:lang w:val="en-GB"/>
                              </w:rPr>
                              <w:t>th</w:t>
                            </w:r>
                            <w:r w:rsidR="0064189B">
                              <w:rPr>
                                <w:rFonts w:cs="Arial"/>
                                <w:sz w:val="22"/>
                                <w:szCs w:val="22"/>
                                <w:lang w:val="en-GB"/>
                              </w:rPr>
                              <w:t xml:space="preserve"> meeting (</w:t>
                            </w:r>
                            <w:r w:rsidR="00C44D89">
                              <w:rPr>
                                <w:rFonts w:cs="Arial"/>
                                <w:sz w:val="22"/>
                                <w:szCs w:val="22"/>
                                <w:lang w:val="en-GB"/>
                              </w:rPr>
                              <w:t>COP12</w:t>
                            </w:r>
                            <w:r w:rsidR="0064189B">
                              <w:rPr>
                                <w:rFonts w:cs="Arial"/>
                                <w:sz w:val="22"/>
                                <w:szCs w:val="22"/>
                                <w:lang w:val="en-GB"/>
                              </w:rPr>
                              <w:t>)</w:t>
                            </w:r>
                            <w:r w:rsidR="003271D4">
                              <w:rPr>
                                <w:rFonts w:cs="Arial"/>
                                <w:sz w:val="22"/>
                                <w:szCs w:val="22"/>
                                <w:lang w:val="en-GB"/>
                              </w:rPr>
                              <w:t>.</w:t>
                            </w:r>
                          </w:p>
                          <w:p w14:paraId="6B6B0C59" w14:textId="4F399EB9" w:rsidR="00E8776E" w:rsidRDefault="00E8776E" w:rsidP="007954BD">
                            <w:pPr>
                              <w:jc w:val="both"/>
                              <w:rPr>
                                <w:rFonts w:cs="Arial"/>
                                <w:sz w:val="21"/>
                                <w:szCs w:val="21"/>
                              </w:rPr>
                            </w:pPr>
                          </w:p>
                          <w:p w14:paraId="7912244C" w14:textId="7018290D" w:rsidR="00C44D89" w:rsidRDefault="00C44D89" w:rsidP="00C44D89">
                            <w:pPr>
                              <w:jc w:val="both"/>
                              <w:rPr>
                                <w:rFonts w:cs="Arial"/>
                                <w:sz w:val="22"/>
                                <w:szCs w:val="22"/>
                              </w:rPr>
                            </w:pPr>
                            <w:r w:rsidRPr="007954BD">
                              <w:rPr>
                                <w:rFonts w:cs="Arial"/>
                                <w:sz w:val="22"/>
                                <w:szCs w:val="22"/>
                              </w:rPr>
                              <w:t xml:space="preserve">This report </w:t>
                            </w:r>
                            <w:r>
                              <w:rPr>
                                <w:rFonts w:cs="Arial"/>
                                <w:sz w:val="22"/>
                                <w:szCs w:val="22"/>
                              </w:rPr>
                              <w:t>summarizes</w:t>
                            </w:r>
                            <w:r w:rsidRPr="007954BD">
                              <w:rPr>
                                <w:rFonts w:cs="Arial"/>
                                <w:sz w:val="22"/>
                                <w:szCs w:val="22"/>
                              </w:rPr>
                              <w:t xml:space="preserve"> the state of activities undertaken as at May 2017</w:t>
                            </w:r>
                            <w:r w:rsidRPr="00291D46">
                              <w:rPr>
                                <w:rFonts w:cs="Arial"/>
                                <w:sz w:val="22"/>
                                <w:szCs w:val="22"/>
                              </w:rPr>
                              <w:t>.</w:t>
                            </w:r>
                            <w:r w:rsidRPr="00B025B7">
                              <w:rPr>
                                <w:rFonts w:cs="Arial"/>
                                <w:sz w:val="22"/>
                                <w:szCs w:val="22"/>
                              </w:rPr>
                              <w:t xml:space="preserve"> </w:t>
                            </w:r>
                          </w:p>
                          <w:p w14:paraId="708B0016" w14:textId="77777777" w:rsidR="00C44D89" w:rsidRPr="00291D46" w:rsidRDefault="00C44D89" w:rsidP="007954BD">
                            <w:pPr>
                              <w:jc w:val="both"/>
                              <w:rPr>
                                <w:rFonts w:cs="Arial"/>
                                <w:sz w:val="21"/>
                                <w:szCs w:val="21"/>
                              </w:rPr>
                            </w:pPr>
                          </w:p>
                          <w:p w14:paraId="2BCCECA5" w14:textId="532647D8" w:rsidR="00F11793" w:rsidRPr="00291D46" w:rsidRDefault="00CB321E" w:rsidP="007954BD">
                            <w:pPr>
                              <w:jc w:val="both"/>
                              <w:rPr>
                                <w:rFonts w:cs="Arial"/>
                                <w:sz w:val="22"/>
                                <w:szCs w:val="22"/>
                              </w:rPr>
                            </w:pPr>
                            <w:r w:rsidRPr="007954BD">
                              <w:rPr>
                                <w:rFonts w:cs="Arial"/>
                                <w:sz w:val="22"/>
                                <w:szCs w:val="22"/>
                              </w:rPr>
                              <w:t xml:space="preserve">Implementation of the </w:t>
                            </w:r>
                            <w:r w:rsidR="00F11793" w:rsidRPr="007954BD">
                              <w:rPr>
                                <w:rFonts w:cs="Arial"/>
                                <w:sz w:val="22"/>
                                <w:szCs w:val="22"/>
                              </w:rPr>
                              <w:t>activities outlined in this report</w:t>
                            </w:r>
                            <w:r w:rsidRPr="007954BD">
                              <w:rPr>
                                <w:rFonts w:cs="Arial"/>
                                <w:sz w:val="22"/>
                                <w:szCs w:val="22"/>
                              </w:rPr>
                              <w:t xml:space="preserve"> </w:t>
                            </w:r>
                            <w:r w:rsidR="00C44D89">
                              <w:rPr>
                                <w:rFonts w:cs="Arial"/>
                                <w:sz w:val="22"/>
                                <w:szCs w:val="22"/>
                              </w:rPr>
                              <w:t xml:space="preserve">and </w:t>
                            </w:r>
                            <w:r w:rsidR="00AF79FC">
                              <w:rPr>
                                <w:rFonts w:cs="Arial"/>
                                <w:sz w:val="22"/>
                                <w:szCs w:val="22"/>
                              </w:rPr>
                              <w:t xml:space="preserve">undertaken in conformity with the </w:t>
                            </w:r>
                            <w:r w:rsidR="00C44D89">
                              <w:rPr>
                                <w:rFonts w:cs="Arial"/>
                                <w:sz w:val="22"/>
                                <w:szCs w:val="22"/>
                              </w:rPr>
                              <w:t xml:space="preserve">above-mentioned resolutions </w:t>
                            </w:r>
                            <w:r w:rsidR="00ED477B" w:rsidRPr="007954BD">
                              <w:rPr>
                                <w:rFonts w:cs="Arial"/>
                                <w:sz w:val="22"/>
                                <w:szCs w:val="22"/>
                              </w:rPr>
                              <w:t>will</w:t>
                            </w:r>
                            <w:r w:rsidR="00F11793" w:rsidRPr="007954BD">
                              <w:rPr>
                                <w:rFonts w:cs="Arial"/>
                                <w:sz w:val="22"/>
                                <w:szCs w:val="22"/>
                              </w:rPr>
                              <w:t xml:space="preserve"> contribute towards the implementation of targets</w:t>
                            </w:r>
                            <w:r w:rsidR="006975EB" w:rsidRPr="007954BD">
                              <w:rPr>
                                <w:rFonts w:cs="Arial"/>
                                <w:sz w:val="22"/>
                                <w:szCs w:val="22"/>
                              </w:rPr>
                              <w:t xml:space="preserve"> 1, 3, 4, 5,</w:t>
                            </w:r>
                            <w:r w:rsidR="00F11793" w:rsidRPr="007954BD">
                              <w:rPr>
                                <w:rFonts w:cs="Arial"/>
                                <w:sz w:val="22"/>
                                <w:szCs w:val="22"/>
                              </w:rPr>
                              <w:t xml:space="preserve"> </w:t>
                            </w:r>
                            <w:r w:rsidR="006975EB" w:rsidRPr="007954BD">
                              <w:rPr>
                                <w:rFonts w:cs="Arial"/>
                                <w:sz w:val="22"/>
                                <w:szCs w:val="22"/>
                              </w:rPr>
                              <w:t>7, 8, 9, 10, 11</w:t>
                            </w:r>
                            <w:r w:rsidR="00291D46">
                              <w:rPr>
                                <w:rFonts w:cs="Arial"/>
                                <w:sz w:val="22"/>
                                <w:szCs w:val="22"/>
                              </w:rPr>
                              <w:t xml:space="preserve"> and 15 </w:t>
                            </w:r>
                            <w:r w:rsidR="00F11793" w:rsidRPr="007954BD">
                              <w:rPr>
                                <w:rFonts w:cs="Arial"/>
                                <w:sz w:val="22"/>
                                <w:szCs w:val="22"/>
                              </w:rPr>
                              <w:t>of the Strategic Plan for Migratory Species 2015 – 2023</w:t>
                            </w:r>
                            <w:r w:rsidR="00F11793" w:rsidRPr="00291D46">
                              <w:rPr>
                                <w:rFonts w:cs="Arial"/>
                                <w:sz w:val="22"/>
                                <w:szCs w:val="22"/>
                              </w:rPr>
                              <w:t xml:space="preserve">. </w:t>
                            </w:r>
                          </w:p>
                          <w:p w14:paraId="6F9F3614" w14:textId="77777777" w:rsidR="00F11793" w:rsidRPr="00291D46" w:rsidRDefault="00F11793" w:rsidP="007954BD">
                            <w:pPr>
                              <w:jc w:val="both"/>
                              <w:rPr>
                                <w:rFonts w:cs="Arial"/>
                                <w:sz w:val="21"/>
                                <w:szCs w:val="21"/>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left:0;text-align:left;margin-left:62.95pt;margin-top:5.45pt;width:339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" strokeweight=".25pt">
                <v:textbo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77777777" w:rsidR="00F11793" w:rsidRDefault="00F11793" w:rsidP="00E8776E">
                      <w:pPr>
                        <w:rPr>
                          <w:rFonts w:cs="Arial"/>
                          <w:i/>
                          <w:sz w:val="22"/>
                          <w:szCs w:val="22"/>
                          <w:lang w:val="en-GB"/>
                        </w:rPr>
                      </w:pPr>
                    </w:p>
                    <w:p w14:paraId="6157E726" w14:textId="5395DB6D" w:rsidR="007B026E" w:rsidRPr="007B026E" w:rsidRDefault="00C8332A" w:rsidP="007954BD">
                      <w:pPr>
                        <w:jc w:val="both"/>
                        <w:rPr>
                          <w:rFonts w:cs="Arial"/>
                          <w:sz w:val="22"/>
                          <w:szCs w:val="22"/>
                          <w:lang w:val="en-GB"/>
                        </w:rPr>
                      </w:pPr>
                      <w:r>
                        <w:rPr>
                          <w:rFonts w:cs="Arial"/>
                          <w:sz w:val="22"/>
                          <w:szCs w:val="22"/>
                          <w:lang w:val="en-GB"/>
                        </w:rPr>
                        <w:t>Through</w:t>
                      </w:r>
                      <w:r w:rsidR="003A207B" w:rsidRPr="003A207B">
                        <w:rPr>
                          <w:rFonts w:cs="Arial"/>
                          <w:sz w:val="22"/>
                          <w:szCs w:val="22"/>
                          <w:lang w:val="en-GB"/>
                        </w:rPr>
                        <w:t xml:space="preserve"> Resolution </w:t>
                      </w:r>
                      <w:r w:rsidR="003A207B">
                        <w:rPr>
                          <w:rFonts w:cs="Arial"/>
                          <w:sz w:val="22"/>
                          <w:szCs w:val="22"/>
                          <w:lang w:val="en-GB"/>
                        </w:rPr>
                        <w:t>11.27 and Resolution 10.11</w:t>
                      </w:r>
                      <w:r w:rsidR="0026465B">
                        <w:rPr>
                          <w:rFonts w:cs="Arial"/>
                          <w:sz w:val="22"/>
                          <w:szCs w:val="22"/>
                          <w:lang w:val="en-GB"/>
                        </w:rPr>
                        <w:t>,</w:t>
                      </w:r>
                      <w:r w:rsidR="003A207B" w:rsidRPr="003A207B">
                        <w:rPr>
                          <w:rFonts w:cs="Arial"/>
                          <w:sz w:val="22"/>
                          <w:szCs w:val="22"/>
                          <w:lang w:val="en-GB"/>
                        </w:rPr>
                        <w:t xml:space="preserve"> </w:t>
                      </w:r>
                      <w:r>
                        <w:rPr>
                          <w:rFonts w:cs="Arial"/>
                          <w:sz w:val="22"/>
                          <w:szCs w:val="22"/>
                          <w:lang w:val="en-GB"/>
                        </w:rPr>
                        <w:t xml:space="preserve">the CMS Conference of the Parties established policies and mandates in relation to the energy sector. In particular, Resolution 11.27 instructed the Secretariat to establish a </w:t>
                      </w:r>
                      <w:r w:rsidR="007B026E" w:rsidRPr="009A603B">
                        <w:rPr>
                          <w:rFonts w:cs="Arial"/>
                          <w:sz w:val="22"/>
                          <w:szCs w:val="22"/>
                          <w:lang w:val="en-GB"/>
                        </w:rPr>
                        <w:t>multi-stakeholder Task Force on Reconciling Selected Energy Sector Developments with Migratory Species Conservation (the Energy Task Force</w:t>
                      </w:r>
                      <w:r w:rsidR="003271D4">
                        <w:rPr>
                          <w:rFonts w:cs="Arial"/>
                          <w:sz w:val="22"/>
                          <w:szCs w:val="22"/>
                          <w:lang w:val="en-GB"/>
                        </w:rPr>
                        <w:t>)</w:t>
                      </w:r>
                      <w:r>
                        <w:rPr>
                          <w:rFonts w:cs="Arial"/>
                          <w:sz w:val="22"/>
                          <w:szCs w:val="22"/>
                          <w:lang w:val="en-GB"/>
                        </w:rPr>
                        <w:t xml:space="preserve">, and to report </w:t>
                      </w:r>
                      <w:r w:rsidR="00C44D89">
                        <w:rPr>
                          <w:rFonts w:cs="Arial"/>
                          <w:sz w:val="22"/>
                          <w:szCs w:val="22"/>
                          <w:lang w:val="en-GB"/>
                        </w:rPr>
                        <w:t xml:space="preserve">progress on behalf of the Task Force to </w:t>
                      </w:r>
                      <w:r w:rsidR="00823EC9">
                        <w:rPr>
                          <w:rFonts w:cs="Arial"/>
                          <w:sz w:val="22"/>
                          <w:szCs w:val="22"/>
                          <w:lang w:val="en-GB"/>
                        </w:rPr>
                        <w:t xml:space="preserve">the </w:t>
                      </w:r>
                      <w:r w:rsidR="0064189B">
                        <w:rPr>
                          <w:rFonts w:cs="Arial"/>
                          <w:sz w:val="22"/>
                          <w:szCs w:val="22"/>
                          <w:lang w:val="en-GB"/>
                        </w:rPr>
                        <w:t>Conference of the Parties at its 12</w:t>
                      </w:r>
                      <w:r w:rsidR="0064189B" w:rsidRPr="00642B21">
                        <w:rPr>
                          <w:rFonts w:cs="Arial"/>
                          <w:sz w:val="22"/>
                          <w:szCs w:val="22"/>
                          <w:vertAlign w:val="superscript"/>
                          <w:lang w:val="en-GB"/>
                        </w:rPr>
                        <w:t>th</w:t>
                      </w:r>
                      <w:r w:rsidR="0064189B">
                        <w:rPr>
                          <w:rFonts w:cs="Arial"/>
                          <w:sz w:val="22"/>
                          <w:szCs w:val="22"/>
                          <w:lang w:val="en-GB"/>
                        </w:rPr>
                        <w:t xml:space="preserve"> meeting (</w:t>
                      </w:r>
                      <w:r w:rsidR="00C44D89">
                        <w:rPr>
                          <w:rFonts w:cs="Arial"/>
                          <w:sz w:val="22"/>
                          <w:szCs w:val="22"/>
                          <w:lang w:val="en-GB"/>
                        </w:rPr>
                        <w:t>COP12</w:t>
                      </w:r>
                      <w:r w:rsidR="0064189B">
                        <w:rPr>
                          <w:rFonts w:cs="Arial"/>
                          <w:sz w:val="22"/>
                          <w:szCs w:val="22"/>
                          <w:lang w:val="en-GB"/>
                        </w:rPr>
                        <w:t>)</w:t>
                      </w:r>
                      <w:r w:rsidR="003271D4">
                        <w:rPr>
                          <w:rFonts w:cs="Arial"/>
                          <w:sz w:val="22"/>
                          <w:szCs w:val="22"/>
                          <w:lang w:val="en-GB"/>
                        </w:rPr>
                        <w:t>.</w:t>
                      </w:r>
                    </w:p>
                    <w:p w14:paraId="6B6B0C59" w14:textId="4F399EB9" w:rsidR="00E8776E" w:rsidRDefault="00E8776E" w:rsidP="007954BD">
                      <w:pPr>
                        <w:jc w:val="both"/>
                        <w:rPr>
                          <w:rFonts w:cs="Arial"/>
                          <w:sz w:val="21"/>
                          <w:szCs w:val="21"/>
                        </w:rPr>
                      </w:pPr>
                    </w:p>
                    <w:p w14:paraId="7912244C" w14:textId="7018290D" w:rsidR="00C44D89" w:rsidRDefault="00C44D89" w:rsidP="00C44D89">
                      <w:pPr>
                        <w:jc w:val="both"/>
                        <w:rPr>
                          <w:rFonts w:cs="Arial"/>
                          <w:sz w:val="22"/>
                          <w:szCs w:val="22"/>
                        </w:rPr>
                      </w:pPr>
                      <w:r w:rsidRPr="007954BD">
                        <w:rPr>
                          <w:rFonts w:cs="Arial"/>
                          <w:sz w:val="22"/>
                          <w:szCs w:val="22"/>
                        </w:rPr>
                        <w:t xml:space="preserve">This report </w:t>
                      </w:r>
                      <w:r>
                        <w:rPr>
                          <w:rFonts w:cs="Arial"/>
                          <w:sz w:val="22"/>
                          <w:szCs w:val="22"/>
                        </w:rPr>
                        <w:t>summarizes</w:t>
                      </w:r>
                      <w:r w:rsidRPr="007954BD">
                        <w:rPr>
                          <w:rFonts w:cs="Arial"/>
                          <w:sz w:val="22"/>
                          <w:szCs w:val="22"/>
                        </w:rPr>
                        <w:t xml:space="preserve"> the state of activities undertaken as at May 2017</w:t>
                      </w:r>
                      <w:r w:rsidRPr="00291D46">
                        <w:rPr>
                          <w:rFonts w:cs="Arial"/>
                          <w:sz w:val="22"/>
                          <w:szCs w:val="22"/>
                        </w:rPr>
                        <w:t>.</w:t>
                      </w:r>
                      <w:r w:rsidRPr="00B025B7">
                        <w:rPr>
                          <w:rFonts w:cs="Arial"/>
                          <w:sz w:val="22"/>
                          <w:szCs w:val="22"/>
                        </w:rPr>
                        <w:t xml:space="preserve"> </w:t>
                      </w:r>
                    </w:p>
                    <w:p w14:paraId="708B0016" w14:textId="77777777" w:rsidR="00C44D89" w:rsidRPr="00291D46" w:rsidRDefault="00C44D89" w:rsidP="007954BD">
                      <w:pPr>
                        <w:jc w:val="both"/>
                        <w:rPr>
                          <w:rFonts w:cs="Arial"/>
                          <w:sz w:val="21"/>
                          <w:szCs w:val="21"/>
                        </w:rPr>
                      </w:pPr>
                    </w:p>
                    <w:p w14:paraId="2BCCECA5" w14:textId="532647D8" w:rsidR="00F11793" w:rsidRPr="00291D46" w:rsidRDefault="00CB321E" w:rsidP="007954BD">
                      <w:pPr>
                        <w:jc w:val="both"/>
                        <w:rPr>
                          <w:rFonts w:cs="Arial"/>
                          <w:sz w:val="22"/>
                          <w:szCs w:val="22"/>
                        </w:rPr>
                      </w:pPr>
                      <w:r w:rsidRPr="007954BD">
                        <w:rPr>
                          <w:rFonts w:cs="Arial"/>
                          <w:sz w:val="22"/>
                          <w:szCs w:val="22"/>
                        </w:rPr>
                        <w:t xml:space="preserve">Implementation of the </w:t>
                      </w:r>
                      <w:r w:rsidR="00F11793" w:rsidRPr="007954BD">
                        <w:rPr>
                          <w:rFonts w:cs="Arial"/>
                          <w:sz w:val="22"/>
                          <w:szCs w:val="22"/>
                        </w:rPr>
                        <w:t>activities outlined in this report</w:t>
                      </w:r>
                      <w:r w:rsidRPr="007954BD">
                        <w:rPr>
                          <w:rFonts w:cs="Arial"/>
                          <w:sz w:val="22"/>
                          <w:szCs w:val="22"/>
                        </w:rPr>
                        <w:t xml:space="preserve"> </w:t>
                      </w:r>
                      <w:r w:rsidR="00C44D89">
                        <w:rPr>
                          <w:rFonts w:cs="Arial"/>
                          <w:sz w:val="22"/>
                          <w:szCs w:val="22"/>
                        </w:rPr>
                        <w:t xml:space="preserve">and </w:t>
                      </w:r>
                      <w:r w:rsidR="00AF79FC">
                        <w:rPr>
                          <w:rFonts w:cs="Arial"/>
                          <w:sz w:val="22"/>
                          <w:szCs w:val="22"/>
                        </w:rPr>
                        <w:t xml:space="preserve">undertaken in conformity with the </w:t>
                      </w:r>
                      <w:r w:rsidR="00C44D89">
                        <w:rPr>
                          <w:rFonts w:cs="Arial"/>
                          <w:sz w:val="22"/>
                          <w:szCs w:val="22"/>
                        </w:rPr>
                        <w:t xml:space="preserve">above-mentioned resolutions </w:t>
                      </w:r>
                      <w:r w:rsidR="00ED477B" w:rsidRPr="007954BD">
                        <w:rPr>
                          <w:rFonts w:cs="Arial"/>
                          <w:sz w:val="22"/>
                          <w:szCs w:val="22"/>
                        </w:rPr>
                        <w:t>will</w:t>
                      </w:r>
                      <w:r w:rsidR="00F11793" w:rsidRPr="007954BD">
                        <w:rPr>
                          <w:rFonts w:cs="Arial"/>
                          <w:sz w:val="22"/>
                          <w:szCs w:val="22"/>
                        </w:rPr>
                        <w:t xml:space="preserve"> contribute towards the implementation of targets</w:t>
                      </w:r>
                      <w:r w:rsidR="006975EB" w:rsidRPr="007954BD">
                        <w:rPr>
                          <w:rFonts w:cs="Arial"/>
                          <w:sz w:val="22"/>
                          <w:szCs w:val="22"/>
                        </w:rPr>
                        <w:t xml:space="preserve"> 1, 3, 4, 5,</w:t>
                      </w:r>
                      <w:r w:rsidR="00F11793" w:rsidRPr="007954BD">
                        <w:rPr>
                          <w:rFonts w:cs="Arial"/>
                          <w:sz w:val="22"/>
                          <w:szCs w:val="22"/>
                        </w:rPr>
                        <w:t xml:space="preserve"> </w:t>
                      </w:r>
                      <w:r w:rsidR="006975EB" w:rsidRPr="007954BD">
                        <w:rPr>
                          <w:rFonts w:cs="Arial"/>
                          <w:sz w:val="22"/>
                          <w:szCs w:val="22"/>
                        </w:rPr>
                        <w:t>7, 8, 9, 10, 11</w:t>
                      </w:r>
                      <w:r w:rsidR="00291D46">
                        <w:rPr>
                          <w:rFonts w:cs="Arial"/>
                          <w:sz w:val="22"/>
                          <w:szCs w:val="22"/>
                        </w:rPr>
                        <w:t xml:space="preserve"> and 15 </w:t>
                      </w:r>
                      <w:r w:rsidR="00F11793" w:rsidRPr="007954BD">
                        <w:rPr>
                          <w:rFonts w:cs="Arial"/>
                          <w:sz w:val="22"/>
                          <w:szCs w:val="22"/>
                        </w:rPr>
                        <w:t>of the Strategic Plan for Migratory Species 2015 – 2023</w:t>
                      </w:r>
                      <w:r w:rsidR="00F11793" w:rsidRPr="00291D46">
                        <w:rPr>
                          <w:rFonts w:cs="Arial"/>
                          <w:sz w:val="22"/>
                          <w:szCs w:val="22"/>
                        </w:rPr>
                        <w:t xml:space="preserve">. </w:t>
                      </w:r>
                    </w:p>
                    <w:p w14:paraId="6F9F3614" w14:textId="77777777" w:rsidR="00F11793" w:rsidRPr="00291D46" w:rsidRDefault="00F11793" w:rsidP="007954BD">
                      <w:pPr>
                        <w:jc w:val="both"/>
                        <w:rPr>
                          <w:rFonts w:cs="Arial"/>
                          <w:sz w:val="21"/>
                          <w:szCs w:val="21"/>
                        </w:rPr>
                      </w:pPr>
                      <w:bookmarkStart w:id="1" w:name="_GoBack"/>
                      <w:bookmarkEnd w:id="1"/>
                    </w:p>
                  </w:txbxContent>
                </v:textbox>
              </v:shape>
            </w:pict>
          </mc:Fallback>
        </mc:AlternateContent>
      </w:r>
    </w:p>
    <w:p w14:paraId="4F609AF9" w14:textId="01F01914" w:rsidR="00D605A4" w:rsidRPr="00C169ED" w:rsidRDefault="00D605A4" w:rsidP="00D605A4">
      <w:pPr>
        <w:rPr>
          <w:rFonts w:cs="Arial"/>
          <w:sz w:val="21"/>
          <w:szCs w:val="21"/>
        </w:rPr>
      </w:pP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3F0D932B" w14:textId="77777777"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tbl>
      <w:tblPr>
        <w:tblStyle w:val="TableGrid"/>
        <w:tblW w:w="9990" w:type="dxa"/>
        <w:tblInd w:w="-185" w:type="dxa"/>
        <w:tblLayout w:type="fixed"/>
        <w:tblLook w:val="04A0" w:firstRow="1" w:lastRow="0" w:firstColumn="1" w:lastColumn="0" w:noHBand="0" w:noVBand="1"/>
      </w:tblPr>
      <w:tblGrid>
        <w:gridCol w:w="1530"/>
        <w:gridCol w:w="6840"/>
        <w:gridCol w:w="1620"/>
      </w:tblGrid>
      <w:tr w:rsidR="00CC5FCF" w14:paraId="3D234666" w14:textId="77777777" w:rsidTr="009C40FD">
        <w:trPr>
          <w:trHeight w:val="1322"/>
        </w:trPr>
        <w:tc>
          <w:tcPr>
            <w:tcW w:w="1530" w:type="dxa"/>
            <w:tcBorders>
              <w:right w:val="nil"/>
            </w:tcBorders>
          </w:tcPr>
          <w:p w14:paraId="44BBF12C" w14:textId="77777777" w:rsidR="00CC5FCF" w:rsidRDefault="00CC5FCF" w:rsidP="009C40FD">
            <w:r w:rsidRPr="008E4D08">
              <w:rPr>
                <w:rFonts w:ascii="Calibri" w:eastAsia="Calibri" w:hAnsi="Calibri"/>
                <w:noProof/>
                <w:kern w:val="24"/>
                <w:sz w:val="22"/>
                <w:szCs w:val="22"/>
              </w:rPr>
              <w:drawing>
                <wp:anchor distT="0" distB="0" distL="114300" distR="114300" simplePos="0" relativeHeight="251659776" behindDoc="0" locked="0" layoutInCell="1" allowOverlap="1" wp14:anchorId="0D509E9C" wp14:editId="68E17B32">
                  <wp:simplePos x="0" y="0"/>
                  <wp:positionH relativeFrom="column">
                    <wp:posOffset>-59055</wp:posOffset>
                  </wp:positionH>
                  <wp:positionV relativeFrom="paragraph">
                    <wp:posOffset>182880</wp:posOffset>
                  </wp:positionV>
                  <wp:extent cx="932179" cy="437936"/>
                  <wp:effectExtent l="0" t="0" r="1905" b="635"/>
                  <wp:wrapSquare wrapText="bothSides"/>
                  <wp:docPr id="5" name="Picture 5" descr="C:\Users\Siri.Quade\Desktop\Final\CMS_Champion_LogoPLUS_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i.Quade\Desktop\Final\CMS_Champion_LogoPLUS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79" cy="4379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Borders>
              <w:left w:val="nil"/>
              <w:right w:val="nil"/>
            </w:tcBorders>
          </w:tcPr>
          <w:p w14:paraId="79200D82" w14:textId="77777777" w:rsidR="00CC5FCF" w:rsidRDefault="00CC5FCF" w:rsidP="009C40FD">
            <w:pPr>
              <w:spacing w:before="20"/>
              <w:jc w:val="both"/>
            </w:pPr>
            <w:r w:rsidRPr="004821FA">
              <w:rPr>
                <w:rFonts w:ascii="Calibri" w:eastAsia="Calibri" w:hAnsi="Calibri"/>
                <w:noProof/>
                <w:kern w:val="24"/>
                <w:sz w:val="22"/>
                <w:szCs w:val="22"/>
              </w:rPr>
              <w:drawing>
                <wp:anchor distT="0" distB="0" distL="114300" distR="114300" simplePos="0" relativeHeight="251660800" behindDoc="0" locked="0" layoutInCell="1" allowOverlap="1" wp14:anchorId="2D4013AB" wp14:editId="0E3F4D2F">
                  <wp:simplePos x="0" y="0"/>
                  <wp:positionH relativeFrom="column">
                    <wp:posOffset>4259580</wp:posOffset>
                  </wp:positionH>
                  <wp:positionV relativeFrom="paragraph">
                    <wp:posOffset>97155</wp:posOffset>
                  </wp:positionV>
                  <wp:extent cx="1037590" cy="579755"/>
                  <wp:effectExtent l="0" t="0" r="0" b="0"/>
                  <wp:wrapNone/>
                  <wp:docPr id="3" name="Picture 3" descr="C:\Users\Siri.Quade\Desktop\Final\BMUB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i.Quade\Desktop\Final\BMUB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59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The Government of the Federal Republic of Germany, through the Federal Ministry for the Environment, Nature Conservation, Building and Nuclear Safety (BMUB) were recognized as Champion Plus for their generous support and commitment towards Reconciling Energy Sector Developments with Migratory Species Conservation for the period 2015-2017. The Energy Task Force has been funded with the contribution granted by Germany under the Migratory Species Champion </w:t>
            </w:r>
            <w:proofErr w:type="spellStart"/>
            <w:r>
              <w:rPr>
                <w:sz w:val="18"/>
                <w:szCs w:val="18"/>
              </w:rPr>
              <w:t>Programme</w:t>
            </w:r>
            <w:proofErr w:type="spellEnd"/>
            <w:r>
              <w:rPr>
                <w:sz w:val="18"/>
                <w:szCs w:val="18"/>
              </w:rPr>
              <w:t>.</w:t>
            </w:r>
          </w:p>
        </w:tc>
        <w:tc>
          <w:tcPr>
            <w:tcW w:w="1620" w:type="dxa"/>
            <w:tcBorders>
              <w:left w:val="nil"/>
            </w:tcBorders>
          </w:tcPr>
          <w:p w14:paraId="5DB32870" w14:textId="77777777" w:rsidR="00CC5FCF" w:rsidRDefault="00CC5FCF" w:rsidP="009C40FD"/>
        </w:tc>
      </w:tr>
    </w:tbl>
    <w:p w14:paraId="0AA86451" w14:textId="77777777" w:rsidR="00D605A4" w:rsidRDefault="00D605A4" w:rsidP="00D605A4">
      <w:pPr>
        <w:tabs>
          <w:tab w:val="left" w:pos="1020"/>
        </w:tabs>
        <w:rPr>
          <w:rFonts w:cs="Arial"/>
          <w:sz w:val="22"/>
          <w:szCs w:val="22"/>
        </w:rPr>
        <w:sectPr w:rsidR="00D605A4"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23F0F43D" w14:textId="77777777" w:rsidR="0006289C" w:rsidRPr="00420040" w:rsidRDefault="0006289C" w:rsidP="0006289C">
      <w:pPr>
        <w:pStyle w:val="Heading2"/>
        <w:keepNext w:val="0"/>
        <w:ind w:left="-90" w:right="-367"/>
        <w:jc w:val="center"/>
        <w:rPr>
          <w:rFonts w:cs="Arial"/>
          <w:sz w:val="22"/>
          <w:szCs w:val="22"/>
          <w:lang w:val="en-GB"/>
        </w:rPr>
      </w:pPr>
      <w:r>
        <w:rPr>
          <w:rFonts w:cs="Arial"/>
          <w:sz w:val="22"/>
          <w:szCs w:val="22"/>
          <w:lang w:val="en-GB"/>
        </w:rPr>
        <w:lastRenderedPageBreak/>
        <w:t xml:space="preserve">ENERGY AND MIGRATORY SPECIES </w:t>
      </w:r>
    </w:p>
    <w:p w14:paraId="758B71EC" w14:textId="77777777" w:rsidR="00EE4815" w:rsidRPr="00CD0FE9" w:rsidRDefault="00EE4815" w:rsidP="007910DD">
      <w:pPr>
        <w:jc w:val="both"/>
        <w:rPr>
          <w:rFonts w:cs="Arial"/>
          <w:sz w:val="22"/>
          <w:szCs w:val="22"/>
          <w:lang w:val="en-GB"/>
        </w:rPr>
      </w:pPr>
    </w:p>
    <w:p w14:paraId="33B03F6C" w14:textId="77777777" w:rsidR="007910DD" w:rsidRPr="00CD0FE9" w:rsidRDefault="007910DD" w:rsidP="007910DD">
      <w:pPr>
        <w:jc w:val="both"/>
        <w:rPr>
          <w:rFonts w:cs="Arial"/>
          <w:sz w:val="22"/>
          <w:szCs w:val="22"/>
          <w:lang w:val="en-GB"/>
        </w:rPr>
      </w:pPr>
    </w:p>
    <w:p w14:paraId="0B7DEEB3" w14:textId="77777777"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14:paraId="7A622552" w14:textId="77777777" w:rsidR="007910DD" w:rsidRPr="00CD7355" w:rsidRDefault="007910DD" w:rsidP="007910DD">
      <w:pPr>
        <w:ind w:left="360"/>
        <w:contextualSpacing/>
        <w:jc w:val="both"/>
        <w:rPr>
          <w:rFonts w:cs="Arial"/>
          <w:sz w:val="22"/>
          <w:szCs w:val="22"/>
          <w:lang w:val="en-GB"/>
        </w:rPr>
      </w:pPr>
    </w:p>
    <w:p w14:paraId="171D56A7" w14:textId="782E0931" w:rsidR="003E75AF" w:rsidRDefault="00DB60A7" w:rsidP="003E75AF">
      <w:pPr>
        <w:numPr>
          <w:ilvl w:val="0"/>
          <w:numId w:val="2"/>
        </w:numPr>
        <w:contextualSpacing/>
        <w:jc w:val="both"/>
        <w:rPr>
          <w:rFonts w:cs="Arial"/>
          <w:sz w:val="22"/>
          <w:szCs w:val="22"/>
          <w:lang w:val="en-GB"/>
        </w:rPr>
      </w:pPr>
      <w:r>
        <w:rPr>
          <w:rFonts w:cs="Arial"/>
          <w:sz w:val="22"/>
          <w:szCs w:val="22"/>
          <w:lang w:val="en-GB"/>
        </w:rPr>
        <w:t>CMS has long recognized that an a</w:t>
      </w:r>
      <w:r w:rsidR="003E75AF" w:rsidRPr="003E75AF">
        <w:rPr>
          <w:rFonts w:cs="Arial"/>
          <w:sz w:val="22"/>
          <w:szCs w:val="22"/>
          <w:lang w:val="en-GB"/>
        </w:rPr>
        <w:t>dequate and stable energy supply is of vital importance for society</w:t>
      </w:r>
      <w:r w:rsidR="00C44D89">
        <w:rPr>
          <w:rFonts w:cs="Arial"/>
          <w:sz w:val="22"/>
          <w:szCs w:val="22"/>
          <w:lang w:val="en-GB"/>
        </w:rPr>
        <w:t>,</w:t>
      </w:r>
      <w:r w:rsidR="003E75AF" w:rsidRPr="003E75AF">
        <w:rPr>
          <w:rFonts w:cs="Arial"/>
          <w:sz w:val="22"/>
          <w:szCs w:val="22"/>
          <w:lang w:val="en-GB"/>
        </w:rPr>
        <w:t xml:space="preserve"> and that renewable energy sources</w:t>
      </w:r>
      <w:proofErr w:type="gramStart"/>
      <w:r w:rsidR="001B3512">
        <w:rPr>
          <w:rFonts w:cs="Arial"/>
          <w:sz w:val="22"/>
          <w:szCs w:val="22"/>
          <w:lang w:val="en-GB"/>
        </w:rPr>
        <w:t>,</w:t>
      </w:r>
      <w:r w:rsidR="003E75AF" w:rsidRPr="003E75AF">
        <w:rPr>
          <w:rFonts w:cs="Arial"/>
          <w:sz w:val="22"/>
          <w:szCs w:val="22"/>
          <w:lang w:val="en-GB"/>
        </w:rPr>
        <w:t xml:space="preserve"> </w:t>
      </w:r>
      <w:r>
        <w:rPr>
          <w:rFonts w:cs="Arial"/>
          <w:sz w:val="22"/>
          <w:szCs w:val="22"/>
          <w:lang w:val="en-GB"/>
        </w:rPr>
        <w:t>in particular</w:t>
      </w:r>
      <w:r w:rsidR="001B3512">
        <w:rPr>
          <w:rFonts w:cs="Arial"/>
          <w:sz w:val="22"/>
          <w:szCs w:val="22"/>
          <w:lang w:val="en-GB"/>
        </w:rPr>
        <w:t>,</w:t>
      </w:r>
      <w:r>
        <w:rPr>
          <w:rFonts w:cs="Arial"/>
          <w:sz w:val="22"/>
          <w:szCs w:val="22"/>
          <w:lang w:val="en-GB"/>
        </w:rPr>
        <w:t xml:space="preserve"> </w:t>
      </w:r>
      <w:r w:rsidR="003E75AF" w:rsidRPr="003E75AF">
        <w:rPr>
          <w:rFonts w:cs="Arial"/>
          <w:sz w:val="22"/>
          <w:szCs w:val="22"/>
          <w:lang w:val="en-GB"/>
        </w:rPr>
        <w:t>can</w:t>
      </w:r>
      <w:proofErr w:type="gramEnd"/>
      <w:r w:rsidR="003E75AF" w:rsidRPr="003E75AF">
        <w:rPr>
          <w:rFonts w:cs="Arial"/>
          <w:sz w:val="22"/>
          <w:szCs w:val="22"/>
          <w:lang w:val="en-GB"/>
        </w:rPr>
        <w:t xml:space="preserve"> significantly contribute to achieving this</w:t>
      </w:r>
      <w:r w:rsidR="00C44D89">
        <w:rPr>
          <w:rFonts w:cs="Arial"/>
          <w:sz w:val="22"/>
          <w:szCs w:val="22"/>
          <w:lang w:val="en-GB"/>
        </w:rPr>
        <w:t xml:space="preserve">. </w:t>
      </w:r>
      <w:r>
        <w:rPr>
          <w:rFonts w:cs="Arial"/>
          <w:sz w:val="22"/>
          <w:szCs w:val="22"/>
          <w:lang w:val="en-GB"/>
        </w:rPr>
        <w:t xml:space="preserve"> However, it also recogni</w:t>
      </w:r>
      <w:r w:rsidR="001B3512">
        <w:rPr>
          <w:rFonts w:cs="Arial"/>
          <w:sz w:val="22"/>
          <w:szCs w:val="22"/>
          <w:lang w:val="en-GB"/>
        </w:rPr>
        <w:t>z</w:t>
      </w:r>
      <w:r>
        <w:rPr>
          <w:rFonts w:cs="Arial"/>
          <w:sz w:val="22"/>
          <w:szCs w:val="22"/>
          <w:lang w:val="en-GB"/>
        </w:rPr>
        <w:t>ed that the infrastructure for the deployment and distribution of energy can have a significant impact on migratory species.</w:t>
      </w:r>
    </w:p>
    <w:p w14:paraId="5B9212D1" w14:textId="77777777" w:rsidR="003E75AF" w:rsidRDefault="003E75AF" w:rsidP="007954BD">
      <w:pPr>
        <w:pStyle w:val="ListParagraph"/>
        <w:rPr>
          <w:rFonts w:cs="Arial"/>
          <w:sz w:val="22"/>
          <w:szCs w:val="22"/>
          <w:lang w:val="en-GB"/>
        </w:rPr>
      </w:pPr>
    </w:p>
    <w:p w14:paraId="368E56E4" w14:textId="0CB7C624" w:rsidR="008C6F5E" w:rsidRPr="007954BD" w:rsidRDefault="00D876AC" w:rsidP="003C0016">
      <w:pPr>
        <w:numPr>
          <w:ilvl w:val="0"/>
          <w:numId w:val="2"/>
        </w:numPr>
        <w:contextualSpacing/>
        <w:jc w:val="both"/>
        <w:rPr>
          <w:rFonts w:cs="Arial"/>
          <w:sz w:val="22"/>
          <w:szCs w:val="22"/>
          <w:lang w:val="en-GB"/>
        </w:rPr>
      </w:pPr>
      <w:r>
        <w:rPr>
          <w:rFonts w:cs="Arial"/>
          <w:sz w:val="22"/>
          <w:szCs w:val="22"/>
          <w:lang w:val="en-GB"/>
        </w:rPr>
        <w:t>The 7</w:t>
      </w:r>
      <w:r w:rsidRPr="00D876AC">
        <w:rPr>
          <w:rFonts w:cs="Arial"/>
          <w:sz w:val="22"/>
          <w:szCs w:val="22"/>
          <w:vertAlign w:val="superscript"/>
          <w:lang w:val="en-GB"/>
        </w:rPr>
        <w:t>th</w:t>
      </w:r>
      <w:r>
        <w:rPr>
          <w:rFonts w:cs="Arial"/>
          <w:sz w:val="22"/>
          <w:szCs w:val="22"/>
          <w:lang w:val="en-GB"/>
        </w:rPr>
        <w:t xml:space="preserve"> Meeting of the Conference of the Parties (COP7) addressed the impacts of powerlines and of wind turbines on migratory species through </w:t>
      </w:r>
      <w:r w:rsidR="00E50FB9">
        <w:rPr>
          <w:rFonts w:cs="Arial"/>
          <w:sz w:val="22"/>
          <w:szCs w:val="22"/>
          <w:lang w:val="en-GB"/>
        </w:rPr>
        <w:t>Res</w:t>
      </w:r>
      <w:r>
        <w:rPr>
          <w:rFonts w:cs="Arial"/>
          <w:sz w:val="22"/>
          <w:szCs w:val="22"/>
          <w:lang w:val="en-GB"/>
        </w:rPr>
        <w:t xml:space="preserve">olution </w:t>
      </w:r>
      <w:r w:rsidR="00E50FB9">
        <w:rPr>
          <w:rFonts w:cs="Arial"/>
          <w:sz w:val="22"/>
          <w:szCs w:val="22"/>
          <w:lang w:val="en-GB"/>
        </w:rPr>
        <w:t>7.4 ‘Electrocution of Migratory Birds’ and Res</w:t>
      </w:r>
      <w:r>
        <w:rPr>
          <w:rFonts w:cs="Arial"/>
          <w:sz w:val="22"/>
          <w:szCs w:val="22"/>
          <w:lang w:val="en-GB"/>
        </w:rPr>
        <w:t xml:space="preserve">olution </w:t>
      </w:r>
      <w:r w:rsidR="00E50FB9">
        <w:rPr>
          <w:rFonts w:cs="Arial"/>
          <w:sz w:val="22"/>
          <w:szCs w:val="22"/>
          <w:lang w:val="en-GB"/>
        </w:rPr>
        <w:t>7.5 ‘Wind Turbines and Migratory Species’</w:t>
      </w:r>
      <w:r w:rsidR="00EB2C01">
        <w:rPr>
          <w:rFonts w:cs="Arial"/>
          <w:sz w:val="22"/>
          <w:szCs w:val="22"/>
          <w:lang w:val="en-GB"/>
        </w:rPr>
        <w:t>.</w:t>
      </w:r>
    </w:p>
    <w:p w14:paraId="09775E4A" w14:textId="77777777" w:rsidR="008C6F5E" w:rsidRDefault="008C6F5E" w:rsidP="007954BD">
      <w:pPr>
        <w:pStyle w:val="ListParagraph"/>
        <w:rPr>
          <w:rFonts w:cs="Arial"/>
          <w:sz w:val="22"/>
          <w:szCs w:val="22"/>
          <w:lang w:val="en-GB"/>
        </w:rPr>
      </w:pPr>
    </w:p>
    <w:p w14:paraId="5EA4896C" w14:textId="7BEB52D0" w:rsidR="00A53652" w:rsidRPr="00C776F1" w:rsidRDefault="000B3EED" w:rsidP="00E50FB9">
      <w:pPr>
        <w:numPr>
          <w:ilvl w:val="0"/>
          <w:numId w:val="2"/>
        </w:numPr>
        <w:contextualSpacing/>
        <w:jc w:val="both"/>
        <w:rPr>
          <w:rFonts w:cs="Arial"/>
          <w:sz w:val="22"/>
          <w:szCs w:val="22"/>
          <w:lang w:val="en-GB"/>
        </w:rPr>
      </w:pPr>
      <w:r w:rsidRPr="00B05A07">
        <w:rPr>
          <w:rFonts w:cs="Arial"/>
          <w:sz w:val="22"/>
          <w:szCs w:val="22"/>
          <w:lang w:val="en-GB"/>
        </w:rPr>
        <w:t xml:space="preserve">CMS </w:t>
      </w:r>
      <w:r w:rsidRPr="00C776F1">
        <w:rPr>
          <w:rFonts w:cs="Arial"/>
          <w:sz w:val="22"/>
          <w:szCs w:val="22"/>
          <w:lang w:val="en-GB"/>
        </w:rPr>
        <w:t xml:space="preserve">undertook further work on the impact of powerlines on migratory species in collaboration with the Agreement on the Conservation of African-Eurasian Migratory </w:t>
      </w:r>
      <w:proofErr w:type="spellStart"/>
      <w:r w:rsidRPr="00C776F1">
        <w:rPr>
          <w:rFonts w:cs="Arial"/>
          <w:sz w:val="22"/>
          <w:szCs w:val="22"/>
          <w:lang w:val="en-GB"/>
        </w:rPr>
        <w:t>Waterbirds</w:t>
      </w:r>
      <w:proofErr w:type="spellEnd"/>
      <w:r w:rsidRPr="00C776F1">
        <w:rPr>
          <w:rFonts w:cs="Arial"/>
          <w:sz w:val="22"/>
          <w:szCs w:val="22"/>
          <w:lang w:val="en-GB"/>
        </w:rPr>
        <w:t xml:space="preserve"> (AEWA) and </w:t>
      </w:r>
      <w:r w:rsidRPr="00C776F1">
        <w:rPr>
          <w:sz w:val="22"/>
          <w:szCs w:val="22"/>
          <w:lang w:val="en-GB"/>
        </w:rPr>
        <w:t xml:space="preserve">RWE Rhein-Ruhr </w:t>
      </w:r>
      <w:proofErr w:type="spellStart"/>
      <w:r w:rsidRPr="00C776F1">
        <w:rPr>
          <w:sz w:val="22"/>
          <w:szCs w:val="22"/>
          <w:lang w:val="en-GB"/>
        </w:rPr>
        <w:t>Netzservice</w:t>
      </w:r>
      <w:proofErr w:type="spellEnd"/>
      <w:r w:rsidRPr="00C776F1">
        <w:rPr>
          <w:sz w:val="22"/>
          <w:szCs w:val="22"/>
          <w:lang w:val="en-GB"/>
        </w:rPr>
        <w:t xml:space="preserve"> GmbH, with the preparation of a review </w:t>
      </w:r>
      <w:r w:rsidR="00AD3CD8">
        <w:rPr>
          <w:sz w:val="22"/>
          <w:szCs w:val="22"/>
          <w:lang w:val="en-GB"/>
        </w:rPr>
        <w:t>of</w:t>
      </w:r>
      <w:r w:rsidRPr="00C776F1">
        <w:rPr>
          <w:sz w:val="22"/>
          <w:szCs w:val="22"/>
          <w:lang w:val="en-GB"/>
        </w:rPr>
        <w:t xml:space="preserve"> the conflict</w:t>
      </w:r>
      <w:r w:rsidR="004E4C34">
        <w:rPr>
          <w:sz w:val="22"/>
          <w:szCs w:val="22"/>
          <w:lang w:val="en-GB"/>
        </w:rPr>
        <w:t>s</w:t>
      </w:r>
      <w:r w:rsidRPr="00C776F1">
        <w:rPr>
          <w:sz w:val="22"/>
          <w:szCs w:val="22"/>
          <w:lang w:val="en-GB"/>
        </w:rPr>
        <w:t xml:space="preserve"> between migratory birds and electricity power grids in the African-</w:t>
      </w:r>
      <w:r w:rsidRPr="00C776F1">
        <w:rPr>
          <w:color w:val="000000"/>
          <w:sz w:val="22"/>
          <w:szCs w:val="22"/>
          <w:lang w:val="en-GB"/>
        </w:rPr>
        <w:t>Eurasian region and of g</w:t>
      </w:r>
      <w:r w:rsidRPr="00C776F1">
        <w:rPr>
          <w:sz w:val="22"/>
          <w:szCs w:val="22"/>
          <w:lang w:val="en-GB"/>
        </w:rPr>
        <w:t xml:space="preserve">uidelines on how to avoid or mitigate the impact of electricity power grids on migratory birds in the African-Eurasian region. </w:t>
      </w:r>
      <w:r w:rsidRPr="00C776F1">
        <w:rPr>
          <w:color w:val="000000"/>
          <w:sz w:val="22"/>
          <w:szCs w:val="22"/>
          <w:lang w:val="en-GB"/>
        </w:rPr>
        <w:t xml:space="preserve"> </w:t>
      </w:r>
      <w:r w:rsidRPr="00B05A07">
        <w:rPr>
          <w:rFonts w:cs="Arial"/>
          <w:sz w:val="22"/>
          <w:szCs w:val="22"/>
          <w:lang w:val="en-GB"/>
        </w:rPr>
        <w:t xml:space="preserve"> The 10</w:t>
      </w:r>
      <w:r w:rsidRPr="00B05A07">
        <w:rPr>
          <w:rFonts w:cs="Arial"/>
          <w:sz w:val="22"/>
          <w:szCs w:val="22"/>
          <w:vertAlign w:val="superscript"/>
          <w:lang w:val="en-GB"/>
        </w:rPr>
        <w:t>th</w:t>
      </w:r>
      <w:r w:rsidRPr="00C776F1">
        <w:rPr>
          <w:rFonts w:cs="Arial"/>
          <w:sz w:val="22"/>
          <w:szCs w:val="22"/>
          <w:lang w:val="en-GB"/>
        </w:rPr>
        <w:t xml:space="preserve"> Meeting of the Conference of the Parties </w:t>
      </w:r>
      <w:r w:rsidR="0036307C" w:rsidRPr="00C776F1">
        <w:rPr>
          <w:rFonts w:cs="Arial"/>
          <w:sz w:val="22"/>
          <w:szCs w:val="22"/>
          <w:lang w:val="en-GB"/>
        </w:rPr>
        <w:t>(</w:t>
      </w:r>
      <w:r w:rsidR="00113FE7" w:rsidRPr="00C776F1">
        <w:rPr>
          <w:rFonts w:cs="Arial"/>
          <w:sz w:val="22"/>
          <w:szCs w:val="22"/>
          <w:lang w:val="en-GB"/>
        </w:rPr>
        <w:t>COP10</w:t>
      </w:r>
      <w:r w:rsidR="0036307C" w:rsidRPr="00C776F1">
        <w:rPr>
          <w:rFonts w:cs="Arial"/>
          <w:sz w:val="22"/>
          <w:szCs w:val="22"/>
          <w:lang w:val="en-GB"/>
        </w:rPr>
        <w:t>)</w:t>
      </w:r>
      <w:r w:rsidR="00E50FB9" w:rsidRPr="00C776F1">
        <w:rPr>
          <w:rFonts w:cs="Arial"/>
          <w:sz w:val="22"/>
          <w:szCs w:val="22"/>
          <w:lang w:val="en-GB"/>
        </w:rPr>
        <w:t xml:space="preserve"> welcomed </w:t>
      </w:r>
      <w:r w:rsidR="002A75B9" w:rsidRPr="00C776F1">
        <w:rPr>
          <w:rFonts w:cs="Arial"/>
          <w:sz w:val="22"/>
          <w:szCs w:val="22"/>
          <w:lang w:val="en-GB"/>
        </w:rPr>
        <w:t xml:space="preserve">the </w:t>
      </w:r>
      <w:r w:rsidR="00E50FB9" w:rsidRPr="00C776F1">
        <w:rPr>
          <w:rFonts w:cs="Arial"/>
          <w:sz w:val="22"/>
          <w:szCs w:val="22"/>
          <w:lang w:val="en-GB"/>
        </w:rPr>
        <w:t>Gui</w:t>
      </w:r>
      <w:r w:rsidR="002A75B9" w:rsidRPr="00C776F1">
        <w:rPr>
          <w:rFonts w:cs="Arial"/>
          <w:sz w:val="22"/>
          <w:szCs w:val="22"/>
          <w:lang w:val="en-GB"/>
        </w:rPr>
        <w:t xml:space="preserve">delines </w:t>
      </w:r>
      <w:r w:rsidR="0036307C" w:rsidRPr="00C776F1">
        <w:rPr>
          <w:rFonts w:cs="Arial"/>
          <w:sz w:val="22"/>
          <w:szCs w:val="22"/>
          <w:lang w:val="en-GB"/>
        </w:rPr>
        <w:t xml:space="preserve">and adopted Resolution 10.11 </w:t>
      </w:r>
      <w:r w:rsidR="00EB2C01" w:rsidRPr="00C776F1">
        <w:rPr>
          <w:rFonts w:cs="Arial"/>
          <w:sz w:val="22"/>
          <w:szCs w:val="22"/>
          <w:lang w:val="en-GB"/>
        </w:rPr>
        <w:t>‘Power Lines and Migratory Birds’.</w:t>
      </w:r>
    </w:p>
    <w:p w14:paraId="44DBCE57" w14:textId="77777777" w:rsidR="00A53652" w:rsidRPr="00C776F1" w:rsidRDefault="00A53652" w:rsidP="00A53652">
      <w:pPr>
        <w:pStyle w:val="ListParagraph"/>
        <w:rPr>
          <w:rFonts w:cs="Arial"/>
          <w:sz w:val="22"/>
          <w:szCs w:val="22"/>
          <w:lang w:val="en-GB"/>
        </w:rPr>
      </w:pPr>
    </w:p>
    <w:p w14:paraId="580E23A1" w14:textId="28F6C79C" w:rsidR="00113FE7" w:rsidRDefault="00EB2C01" w:rsidP="00E50FB9">
      <w:pPr>
        <w:numPr>
          <w:ilvl w:val="0"/>
          <w:numId w:val="2"/>
        </w:numPr>
        <w:contextualSpacing/>
        <w:jc w:val="both"/>
        <w:rPr>
          <w:rFonts w:cs="Arial"/>
          <w:sz w:val="22"/>
          <w:szCs w:val="22"/>
          <w:lang w:val="en-GB"/>
        </w:rPr>
      </w:pPr>
      <w:r>
        <w:rPr>
          <w:rFonts w:cs="Arial"/>
          <w:sz w:val="22"/>
          <w:szCs w:val="22"/>
          <w:lang w:val="en-GB"/>
        </w:rPr>
        <w:t>The 5</w:t>
      </w:r>
      <w:r w:rsidRPr="008A11D6">
        <w:rPr>
          <w:rFonts w:cs="Arial"/>
          <w:sz w:val="22"/>
          <w:szCs w:val="22"/>
          <w:vertAlign w:val="superscript"/>
          <w:lang w:val="en-GB"/>
        </w:rPr>
        <w:t>th</w:t>
      </w:r>
      <w:r>
        <w:rPr>
          <w:rFonts w:cs="Arial"/>
          <w:sz w:val="22"/>
          <w:szCs w:val="22"/>
          <w:lang w:val="en-GB"/>
        </w:rPr>
        <w:t xml:space="preserve"> Session of the Meeting of the Parties (MOP5) to AEWA subsequently adopted the Guidelines through </w:t>
      </w:r>
      <w:r w:rsidR="00113FE7">
        <w:rPr>
          <w:rFonts w:eastAsiaTheme="minorHAnsi" w:cs="Arial"/>
          <w:sz w:val="22"/>
          <w:szCs w:val="22"/>
        </w:rPr>
        <w:t>Resolution 5.10 ‘Revision and Adoption of Conservation Guidelines’</w:t>
      </w:r>
      <w:r w:rsidR="00D77638">
        <w:rPr>
          <w:rFonts w:eastAsiaTheme="minorHAnsi" w:cs="Arial"/>
          <w:sz w:val="22"/>
          <w:szCs w:val="22"/>
        </w:rPr>
        <w:t xml:space="preserve">, </w:t>
      </w:r>
      <w:r>
        <w:rPr>
          <w:rFonts w:eastAsiaTheme="minorHAnsi" w:cs="Arial"/>
          <w:sz w:val="22"/>
          <w:szCs w:val="22"/>
        </w:rPr>
        <w:t>and adopted</w:t>
      </w:r>
      <w:r w:rsidR="00843843">
        <w:rPr>
          <w:rFonts w:eastAsiaTheme="minorHAnsi" w:cs="Arial"/>
          <w:sz w:val="22"/>
          <w:szCs w:val="22"/>
        </w:rPr>
        <w:t xml:space="preserve"> </w:t>
      </w:r>
      <w:r w:rsidR="00843843" w:rsidRPr="00E50FB9">
        <w:rPr>
          <w:rFonts w:eastAsiaTheme="minorHAnsi" w:cs="Arial"/>
          <w:sz w:val="22"/>
          <w:szCs w:val="22"/>
        </w:rPr>
        <w:t xml:space="preserve">AEWA Resolution 5.11 ‘Power Lines and Migratory </w:t>
      </w:r>
      <w:proofErr w:type="spellStart"/>
      <w:r w:rsidR="00843843" w:rsidRPr="00E50FB9">
        <w:rPr>
          <w:rFonts w:eastAsiaTheme="minorHAnsi" w:cs="Arial"/>
          <w:sz w:val="22"/>
          <w:szCs w:val="22"/>
        </w:rPr>
        <w:t>Waterbirds</w:t>
      </w:r>
      <w:proofErr w:type="spellEnd"/>
      <w:r w:rsidR="00843843" w:rsidRPr="00E50FB9">
        <w:rPr>
          <w:rFonts w:eastAsiaTheme="minorHAnsi" w:cs="Arial"/>
          <w:sz w:val="22"/>
          <w:szCs w:val="22"/>
        </w:rPr>
        <w:t>’</w:t>
      </w:r>
      <w:r>
        <w:rPr>
          <w:rFonts w:eastAsiaTheme="minorHAnsi" w:cs="Arial"/>
          <w:sz w:val="22"/>
          <w:szCs w:val="22"/>
        </w:rPr>
        <w:t>.</w:t>
      </w:r>
    </w:p>
    <w:p w14:paraId="1ACF3932" w14:textId="77777777" w:rsidR="00B2226C" w:rsidRPr="008A11D6" w:rsidRDefault="00B2226C" w:rsidP="007954BD">
      <w:pPr>
        <w:pStyle w:val="ListParagraph"/>
        <w:widowControl/>
        <w:autoSpaceDE/>
        <w:autoSpaceDN/>
        <w:adjustRightInd/>
        <w:spacing w:after="160" w:line="259" w:lineRule="auto"/>
        <w:ind w:left="360"/>
        <w:jc w:val="both"/>
        <w:rPr>
          <w:rFonts w:eastAsiaTheme="minorHAnsi" w:cs="Arial"/>
          <w:sz w:val="22"/>
          <w:szCs w:val="22"/>
          <w:lang w:val="en-GB"/>
        </w:rPr>
      </w:pPr>
    </w:p>
    <w:p w14:paraId="7BC2302E" w14:textId="3AB7A4A4" w:rsidR="00732DAE" w:rsidRDefault="008A11D6" w:rsidP="00F6660A">
      <w:pPr>
        <w:pStyle w:val="ListParagraph"/>
        <w:widowControl/>
        <w:numPr>
          <w:ilvl w:val="0"/>
          <w:numId w:val="2"/>
        </w:numPr>
        <w:autoSpaceDE/>
        <w:autoSpaceDN/>
        <w:adjustRightInd/>
        <w:spacing w:after="160" w:line="259" w:lineRule="auto"/>
        <w:jc w:val="both"/>
        <w:rPr>
          <w:rFonts w:eastAsiaTheme="minorHAnsi" w:cs="Arial"/>
          <w:sz w:val="22"/>
          <w:szCs w:val="22"/>
        </w:rPr>
      </w:pPr>
      <w:r w:rsidRPr="00B8022A">
        <w:rPr>
          <w:rFonts w:eastAsiaTheme="minorHAnsi" w:cs="Arial"/>
          <w:sz w:val="22"/>
          <w:szCs w:val="22"/>
        </w:rPr>
        <w:t>A similar approach was followed to progress work on the impact of renewable energy technologies</w:t>
      </w:r>
      <w:r w:rsidRPr="0004609D">
        <w:rPr>
          <w:rFonts w:eastAsiaTheme="minorHAnsi" w:cs="Arial"/>
          <w:sz w:val="22"/>
          <w:szCs w:val="22"/>
        </w:rPr>
        <w:t xml:space="preserve"> on migratory species. </w:t>
      </w:r>
      <w:r w:rsidR="004228B7" w:rsidRPr="0004609D">
        <w:rPr>
          <w:rFonts w:eastAsiaTheme="minorHAnsi" w:cs="Arial"/>
          <w:sz w:val="22"/>
          <w:szCs w:val="22"/>
        </w:rPr>
        <w:t xml:space="preserve">CMS worked collaboratively with AEWA, </w:t>
      </w:r>
      <w:proofErr w:type="spellStart"/>
      <w:r w:rsidR="00416DB7" w:rsidRPr="0004609D">
        <w:rPr>
          <w:rFonts w:eastAsiaTheme="minorHAnsi" w:cs="Arial"/>
          <w:sz w:val="22"/>
          <w:szCs w:val="22"/>
        </w:rPr>
        <w:t>BirdLif</w:t>
      </w:r>
      <w:r w:rsidR="00416DB7" w:rsidRPr="000E5378">
        <w:rPr>
          <w:rFonts w:eastAsiaTheme="minorHAnsi" w:cs="Arial"/>
          <w:sz w:val="22"/>
          <w:szCs w:val="22"/>
        </w:rPr>
        <w:t>e</w:t>
      </w:r>
      <w:proofErr w:type="spellEnd"/>
      <w:r w:rsidR="00416DB7" w:rsidRPr="000E5378">
        <w:rPr>
          <w:rFonts w:eastAsiaTheme="minorHAnsi" w:cs="Arial"/>
          <w:sz w:val="22"/>
          <w:szCs w:val="22"/>
        </w:rPr>
        <w:t xml:space="preserve"> International and the </w:t>
      </w:r>
      <w:r w:rsidR="00416DB7" w:rsidRPr="00D4164A">
        <w:rPr>
          <w:rFonts w:eastAsiaTheme="minorHAnsi" w:cs="Arial"/>
          <w:sz w:val="22"/>
          <w:szCs w:val="22"/>
        </w:rPr>
        <w:t xml:space="preserve">International Renewable Energy Agency (IRENA) to produce a review report </w:t>
      </w:r>
      <w:r w:rsidR="00416DB7" w:rsidRPr="00C667BA">
        <w:rPr>
          <w:rFonts w:eastAsiaTheme="minorHAnsi" w:cs="Arial"/>
          <w:sz w:val="22"/>
          <w:szCs w:val="22"/>
        </w:rPr>
        <w:t>on documented</w:t>
      </w:r>
      <w:r w:rsidR="00416DB7" w:rsidRPr="003E0954">
        <w:rPr>
          <w:rFonts w:eastAsiaTheme="minorHAnsi" w:cs="Arial"/>
          <w:sz w:val="22"/>
          <w:szCs w:val="22"/>
        </w:rPr>
        <w:t xml:space="preserve"> and potential effects of the deployment of renewable energy technologies on migratory species</w:t>
      </w:r>
      <w:r w:rsidR="00416DB7" w:rsidRPr="00534D99">
        <w:rPr>
          <w:rFonts w:eastAsiaTheme="minorHAnsi" w:cs="Arial"/>
          <w:sz w:val="22"/>
          <w:szCs w:val="22"/>
        </w:rPr>
        <w:t>, and a compilation of guidelines to mitigate impacts on migratory species.</w:t>
      </w:r>
      <w:r w:rsidR="00416DB7" w:rsidRPr="00B05A07">
        <w:rPr>
          <w:rFonts w:eastAsiaTheme="minorHAnsi" w:cs="Arial"/>
          <w:sz w:val="22"/>
          <w:szCs w:val="22"/>
        </w:rPr>
        <w:t xml:space="preserve"> </w:t>
      </w:r>
      <w:r w:rsidR="00B8022A" w:rsidRPr="00B05A07">
        <w:rPr>
          <w:rFonts w:eastAsiaTheme="minorHAnsi" w:cs="Arial"/>
          <w:sz w:val="22"/>
          <w:szCs w:val="22"/>
        </w:rPr>
        <w:t>Through Resol</w:t>
      </w:r>
      <w:r w:rsidR="00B8022A" w:rsidRPr="00C776F1">
        <w:rPr>
          <w:rFonts w:eastAsiaTheme="minorHAnsi" w:cs="Arial"/>
          <w:sz w:val="22"/>
          <w:szCs w:val="22"/>
        </w:rPr>
        <w:t>ution 11.27 ‘Renewable Energy and Migratory Species’, the 11</w:t>
      </w:r>
      <w:r w:rsidR="00B8022A" w:rsidRPr="00C776F1">
        <w:rPr>
          <w:rFonts w:eastAsiaTheme="minorHAnsi" w:cs="Arial"/>
          <w:sz w:val="22"/>
          <w:szCs w:val="22"/>
          <w:vertAlign w:val="superscript"/>
        </w:rPr>
        <w:t>th</w:t>
      </w:r>
      <w:r w:rsidR="00B8022A" w:rsidRPr="00C776F1">
        <w:rPr>
          <w:rFonts w:eastAsiaTheme="minorHAnsi" w:cs="Arial"/>
          <w:sz w:val="22"/>
          <w:szCs w:val="22"/>
        </w:rPr>
        <w:t xml:space="preserve"> Meeting of the Conference of the Parties (COP11) </w:t>
      </w:r>
      <w:r w:rsidR="00732DAE" w:rsidRPr="00732DAE">
        <w:rPr>
          <w:rFonts w:eastAsiaTheme="minorHAnsi" w:cs="Arial"/>
          <w:sz w:val="22"/>
          <w:szCs w:val="22"/>
        </w:rPr>
        <w:t xml:space="preserve">endorsed the document ‘Renewable Energy Technologies and Migratory Species: Guidelines for Sustainable Deployment’ </w:t>
      </w:r>
    </w:p>
    <w:p w14:paraId="2AE65127" w14:textId="77777777" w:rsidR="00F6660A" w:rsidRPr="00F6660A" w:rsidRDefault="00F6660A" w:rsidP="00F6660A">
      <w:pPr>
        <w:pStyle w:val="ListParagraph"/>
        <w:widowControl/>
        <w:autoSpaceDE/>
        <w:autoSpaceDN/>
        <w:adjustRightInd/>
        <w:spacing w:after="160" w:line="259" w:lineRule="auto"/>
        <w:ind w:left="360"/>
        <w:jc w:val="both"/>
        <w:rPr>
          <w:rFonts w:eastAsiaTheme="minorHAnsi" w:cs="Arial"/>
          <w:sz w:val="22"/>
          <w:szCs w:val="22"/>
        </w:rPr>
      </w:pPr>
    </w:p>
    <w:p w14:paraId="46CA488D" w14:textId="124B2095" w:rsidR="000B05A6" w:rsidRPr="007954BD" w:rsidRDefault="009D59AF" w:rsidP="007954BD">
      <w:pPr>
        <w:pStyle w:val="ListParagraph"/>
        <w:widowControl/>
        <w:numPr>
          <w:ilvl w:val="0"/>
          <w:numId w:val="2"/>
        </w:numPr>
        <w:autoSpaceDE/>
        <w:autoSpaceDN/>
        <w:adjustRightInd/>
        <w:spacing w:after="160" w:line="259" w:lineRule="auto"/>
        <w:jc w:val="both"/>
        <w:rPr>
          <w:rFonts w:eastAsiaTheme="minorHAnsi" w:cs="Arial"/>
          <w:sz w:val="22"/>
          <w:szCs w:val="22"/>
        </w:rPr>
      </w:pPr>
      <w:r>
        <w:rPr>
          <w:rFonts w:eastAsiaTheme="minorHAnsi" w:cs="Arial"/>
          <w:sz w:val="22"/>
          <w:szCs w:val="22"/>
        </w:rPr>
        <w:t xml:space="preserve">Resolution 11.27 </w:t>
      </w:r>
      <w:r w:rsidR="00590B80">
        <w:rPr>
          <w:rFonts w:eastAsiaTheme="minorHAnsi" w:cs="Arial"/>
          <w:sz w:val="22"/>
          <w:szCs w:val="22"/>
        </w:rPr>
        <w:t xml:space="preserve">also </w:t>
      </w:r>
      <w:r w:rsidR="000B05A6" w:rsidRPr="000B05A6">
        <w:rPr>
          <w:rFonts w:eastAsiaTheme="minorHAnsi" w:cs="Arial"/>
          <w:sz w:val="22"/>
          <w:szCs w:val="22"/>
        </w:rPr>
        <w:t xml:space="preserve">instructed the Secretariat to convene a multi-stakeholder Task Force on Reconciling Selected Energy Sector Developments with Migratory Species Conservation (the Energy Task Force), </w:t>
      </w:r>
      <w:proofErr w:type="gramStart"/>
      <w:r w:rsidR="000B05A6" w:rsidRPr="000B05A6">
        <w:rPr>
          <w:rFonts w:eastAsiaTheme="minorHAnsi" w:cs="Arial"/>
          <w:sz w:val="22"/>
          <w:szCs w:val="22"/>
        </w:rPr>
        <w:t>in order to</w:t>
      </w:r>
      <w:proofErr w:type="gramEnd"/>
      <w:r w:rsidR="000B05A6" w:rsidRPr="000B05A6">
        <w:rPr>
          <w:rFonts w:eastAsiaTheme="minorHAnsi" w:cs="Arial"/>
          <w:sz w:val="22"/>
          <w:szCs w:val="22"/>
        </w:rPr>
        <w:t>:</w:t>
      </w:r>
    </w:p>
    <w:p w14:paraId="0B21DA2C" w14:textId="77777777" w:rsidR="000B05A6" w:rsidRPr="000B05A6" w:rsidRDefault="000B05A6" w:rsidP="000B05A6">
      <w:pPr>
        <w:widowControl/>
        <w:numPr>
          <w:ilvl w:val="0"/>
          <w:numId w:val="12"/>
        </w:numPr>
        <w:autoSpaceDE/>
        <w:autoSpaceDN/>
        <w:adjustRightInd/>
        <w:spacing w:after="160" w:line="259" w:lineRule="auto"/>
        <w:contextualSpacing/>
        <w:jc w:val="both"/>
        <w:rPr>
          <w:rFonts w:eastAsiaTheme="minorHAnsi" w:cs="Arial"/>
          <w:sz w:val="22"/>
          <w:szCs w:val="22"/>
        </w:rPr>
      </w:pPr>
      <w:r w:rsidRPr="000B05A6">
        <w:rPr>
          <w:rFonts w:eastAsiaTheme="minorHAnsi" w:cs="Arial"/>
          <w:sz w:val="22"/>
          <w:szCs w:val="22"/>
        </w:rPr>
        <w:t>promote the benefits of existing decisions;</w:t>
      </w:r>
    </w:p>
    <w:p w14:paraId="2CBB8D1F" w14:textId="77777777" w:rsidR="000B05A6" w:rsidRPr="000B05A6" w:rsidRDefault="000B05A6" w:rsidP="000B05A6">
      <w:pPr>
        <w:widowControl/>
        <w:numPr>
          <w:ilvl w:val="0"/>
          <w:numId w:val="12"/>
        </w:numPr>
        <w:autoSpaceDE/>
        <w:autoSpaceDN/>
        <w:adjustRightInd/>
        <w:spacing w:after="160" w:line="259" w:lineRule="auto"/>
        <w:contextualSpacing/>
        <w:jc w:val="both"/>
        <w:rPr>
          <w:rFonts w:eastAsiaTheme="minorHAnsi" w:cs="Arial"/>
          <w:sz w:val="22"/>
          <w:szCs w:val="22"/>
        </w:rPr>
      </w:pPr>
      <w:r w:rsidRPr="000B05A6">
        <w:rPr>
          <w:rFonts w:eastAsiaTheme="minorHAnsi" w:cs="Arial"/>
          <w:sz w:val="22"/>
          <w:szCs w:val="22"/>
        </w:rPr>
        <w:t>encourage Parties to implement current guidance and decisions;</w:t>
      </w:r>
    </w:p>
    <w:p w14:paraId="3221AE83" w14:textId="77777777" w:rsidR="000B05A6" w:rsidRPr="000B05A6" w:rsidRDefault="000B05A6" w:rsidP="000B05A6">
      <w:pPr>
        <w:widowControl/>
        <w:numPr>
          <w:ilvl w:val="0"/>
          <w:numId w:val="12"/>
        </w:numPr>
        <w:autoSpaceDE/>
        <w:autoSpaceDN/>
        <w:adjustRightInd/>
        <w:spacing w:after="160" w:line="259" w:lineRule="auto"/>
        <w:contextualSpacing/>
        <w:jc w:val="both"/>
        <w:rPr>
          <w:rFonts w:eastAsiaTheme="minorHAnsi" w:cs="Arial"/>
          <w:sz w:val="22"/>
          <w:szCs w:val="22"/>
        </w:rPr>
      </w:pPr>
      <w:r w:rsidRPr="000B05A6">
        <w:rPr>
          <w:rFonts w:eastAsiaTheme="minorHAnsi" w:cs="Arial"/>
          <w:sz w:val="22"/>
          <w:szCs w:val="22"/>
        </w:rPr>
        <w:t>develop any necessary new guidelines and action plans as appropriate; and</w:t>
      </w:r>
    </w:p>
    <w:p w14:paraId="1E030E06" w14:textId="4FD85261" w:rsidR="00732DAE" w:rsidRPr="005A453E" w:rsidRDefault="000B05A6" w:rsidP="007954BD">
      <w:pPr>
        <w:widowControl/>
        <w:numPr>
          <w:ilvl w:val="0"/>
          <w:numId w:val="12"/>
        </w:numPr>
        <w:autoSpaceDE/>
        <w:autoSpaceDN/>
        <w:adjustRightInd/>
        <w:spacing w:after="160" w:line="259" w:lineRule="auto"/>
        <w:contextualSpacing/>
        <w:jc w:val="both"/>
        <w:rPr>
          <w:rFonts w:eastAsiaTheme="minorHAnsi" w:cs="Arial"/>
          <w:sz w:val="22"/>
          <w:szCs w:val="22"/>
        </w:rPr>
      </w:pPr>
      <w:r w:rsidRPr="000B05A6">
        <w:rPr>
          <w:rFonts w:eastAsiaTheme="minorHAnsi" w:cs="Arial"/>
          <w:sz w:val="22"/>
          <w:szCs w:val="22"/>
        </w:rPr>
        <w:t>make recommendations on suitable responses to specific problems and gaps in knowledge;</w:t>
      </w:r>
    </w:p>
    <w:p w14:paraId="040C1B6D" w14:textId="170E6591" w:rsidR="00780D3D" w:rsidRDefault="00B8022A" w:rsidP="0004609D">
      <w:pPr>
        <w:pStyle w:val="ListParagraph"/>
        <w:widowControl/>
        <w:autoSpaceDE/>
        <w:autoSpaceDN/>
        <w:adjustRightInd/>
        <w:spacing w:after="160" w:line="259" w:lineRule="auto"/>
        <w:ind w:left="360"/>
        <w:jc w:val="both"/>
        <w:rPr>
          <w:rFonts w:eastAsiaTheme="minorHAnsi" w:cs="Arial"/>
          <w:sz w:val="22"/>
          <w:szCs w:val="22"/>
        </w:rPr>
      </w:pPr>
      <w:r>
        <w:rPr>
          <w:rFonts w:eastAsiaTheme="minorHAnsi" w:cs="Arial"/>
          <w:sz w:val="22"/>
          <w:szCs w:val="22"/>
        </w:rPr>
        <w:t>and</w:t>
      </w:r>
      <w:r w:rsidR="00780D3D" w:rsidRPr="00780D3D">
        <w:rPr>
          <w:rFonts w:eastAsiaTheme="minorHAnsi" w:cs="Arial"/>
          <w:sz w:val="22"/>
          <w:szCs w:val="22"/>
        </w:rPr>
        <w:t xml:space="preserve"> to report progress on behalf of the Energy Task Force to COP12 in 2017</w:t>
      </w:r>
      <w:r>
        <w:rPr>
          <w:rFonts w:eastAsiaTheme="minorHAnsi" w:cs="Arial"/>
          <w:sz w:val="22"/>
          <w:szCs w:val="22"/>
        </w:rPr>
        <w:t>.</w:t>
      </w:r>
    </w:p>
    <w:p w14:paraId="58C6F468" w14:textId="77777777" w:rsidR="007910DD" w:rsidRPr="00CD0FE9" w:rsidRDefault="007910DD" w:rsidP="007910DD">
      <w:pPr>
        <w:rPr>
          <w:rFonts w:cs="Arial"/>
          <w:sz w:val="22"/>
          <w:szCs w:val="22"/>
          <w:lang w:val="en-GB"/>
        </w:rPr>
      </w:pPr>
    </w:p>
    <w:p w14:paraId="639B11BF" w14:textId="4C796B93" w:rsidR="007910DD" w:rsidRPr="00CD0FE9" w:rsidRDefault="000F0694" w:rsidP="007910DD">
      <w:pPr>
        <w:rPr>
          <w:rFonts w:cs="Arial"/>
          <w:sz w:val="22"/>
          <w:szCs w:val="22"/>
          <w:u w:val="single"/>
          <w:lang w:val="en-GB"/>
        </w:rPr>
      </w:pPr>
      <w:r>
        <w:rPr>
          <w:rFonts w:cs="Arial"/>
          <w:sz w:val="22"/>
          <w:szCs w:val="22"/>
          <w:u w:val="single"/>
          <w:lang w:val="en-GB"/>
        </w:rPr>
        <w:t xml:space="preserve">Establishment </w:t>
      </w:r>
      <w:r w:rsidR="00B05A07">
        <w:rPr>
          <w:rFonts w:cs="Arial"/>
          <w:sz w:val="22"/>
          <w:szCs w:val="22"/>
          <w:u w:val="single"/>
          <w:lang w:val="en-GB"/>
        </w:rPr>
        <w:t xml:space="preserve">and operationalization </w:t>
      </w:r>
      <w:r>
        <w:rPr>
          <w:rFonts w:cs="Arial"/>
          <w:sz w:val="22"/>
          <w:szCs w:val="22"/>
          <w:u w:val="single"/>
          <w:lang w:val="en-GB"/>
        </w:rPr>
        <w:t>of the Energy Task Force</w:t>
      </w:r>
      <w:r w:rsidR="007910DD" w:rsidRPr="00CD0FE9">
        <w:rPr>
          <w:rFonts w:cs="Arial"/>
          <w:sz w:val="22"/>
          <w:szCs w:val="22"/>
          <w:u w:val="single"/>
          <w:lang w:val="en-GB"/>
        </w:rPr>
        <w:t xml:space="preserve"> </w:t>
      </w:r>
    </w:p>
    <w:p w14:paraId="4F04AFAB" w14:textId="77777777" w:rsidR="007910DD" w:rsidRPr="00CD0FE9" w:rsidRDefault="007910DD" w:rsidP="007910DD">
      <w:pPr>
        <w:rPr>
          <w:rFonts w:cs="Arial"/>
          <w:sz w:val="22"/>
          <w:szCs w:val="22"/>
          <w:lang w:val="en-GB"/>
        </w:rPr>
      </w:pPr>
    </w:p>
    <w:p w14:paraId="04672D5E" w14:textId="442DC5F9" w:rsidR="009A005D" w:rsidRPr="00534D99" w:rsidRDefault="003E0954" w:rsidP="00A702A1">
      <w:pPr>
        <w:pStyle w:val="ListParagraph"/>
        <w:numPr>
          <w:ilvl w:val="0"/>
          <w:numId w:val="2"/>
        </w:numPr>
        <w:jc w:val="both"/>
        <w:rPr>
          <w:rFonts w:cs="Arial"/>
          <w:sz w:val="22"/>
          <w:szCs w:val="22"/>
          <w:lang w:val="en-GB"/>
        </w:rPr>
      </w:pPr>
      <w:r>
        <w:rPr>
          <w:rFonts w:cs="Arial"/>
          <w:sz w:val="22"/>
          <w:szCs w:val="22"/>
        </w:rPr>
        <w:t>Activities to</w:t>
      </w:r>
      <w:r w:rsidR="009A005D">
        <w:rPr>
          <w:rFonts w:cs="Arial"/>
          <w:sz w:val="22"/>
          <w:szCs w:val="22"/>
        </w:rPr>
        <w:t xml:space="preserve">wards the </w:t>
      </w:r>
      <w:r>
        <w:rPr>
          <w:rFonts w:cs="Arial"/>
          <w:sz w:val="22"/>
          <w:szCs w:val="22"/>
        </w:rPr>
        <w:t>establishment and operationalization of the Energy Task Force</w:t>
      </w:r>
      <w:r w:rsidR="00427917">
        <w:rPr>
          <w:rFonts w:cs="Arial"/>
          <w:sz w:val="22"/>
          <w:szCs w:val="22"/>
        </w:rPr>
        <w:t xml:space="preserve"> </w:t>
      </w:r>
      <w:r w:rsidR="009A005D">
        <w:rPr>
          <w:rFonts w:cs="Arial"/>
          <w:sz w:val="22"/>
          <w:szCs w:val="22"/>
        </w:rPr>
        <w:t xml:space="preserve">have been supported by a voluntary contribution of </w:t>
      </w:r>
      <w:r w:rsidR="009A005D" w:rsidRPr="009A005D">
        <w:rPr>
          <w:rFonts w:cs="Arial"/>
          <w:sz w:val="22"/>
          <w:szCs w:val="22"/>
        </w:rPr>
        <w:t xml:space="preserve">the </w:t>
      </w:r>
      <w:r w:rsidR="009A005D" w:rsidRPr="009A005D">
        <w:rPr>
          <w:sz w:val="22"/>
          <w:szCs w:val="22"/>
        </w:rPr>
        <w:t>Government of the Federal Republic of Germany, through the Federal Ministry for the Environment, Nature Conservation, Building and Nuclear Safety (BMUB)</w:t>
      </w:r>
      <w:r w:rsidR="009A005D">
        <w:rPr>
          <w:sz w:val="22"/>
          <w:szCs w:val="22"/>
        </w:rPr>
        <w:t xml:space="preserve"> under the Migratory Species Champions </w:t>
      </w:r>
      <w:proofErr w:type="spellStart"/>
      <w:r w:rsidR="009A005D">
        <w:rPr>
          <w:sz w:val="22"/>
          <w:szCs w:val="22"/>
        </w:rPr>
        <w:t>Programme</w:t>
      </w:r>
      <w:proofErr w:type="spellEnd"/>
      <w:r w:rsidR="009A005D">
        <w:rPr>
          <w:sz w:val="22"/>
          <w:szCs w:val="22"/>
        </w:rPr>
        <w:t>.</w:t>
      </w:r>
      <w:r w:rsidR="009A005D">
        <w:rPr>
          <w:szCs w:val="18"/>
        </w:rPr>
        <w:t xml:space="preserve"> </w:t>
      </w:r>
    </w:p>
    <w:p w14:paraId="3706033B" w14:textId="77777777" w:rsidR="00534D99" w:rsidRPr="00534D99" w:rsidRDefault="00534D99" w:rsidP="00534D99">
      <w:pPr>
        <w:pStyle w:val="ListParagraph"/>
        <w:rPr>
          <w:rFonts w:cs="Arial"/>
          <w:sz w:val="22"/>
          <w:szCs w:val="22"/>
          <w:lang w:val="en-GB"/>
        </w:rPr>
      </w:pPr>
    </w:p>
    <w:p w14:paraId="0F738BD0" w14:textId="2F9EC596" w:rsidR="00534D99" w:rsidRPr="00C776F1" w:rsidRDefault="00534D99" w:rsidP="00B05A07">
      <w:pPr>
        <w:pStyle w:val="ListParagraph"/>
        <w:numPr>
          <w:ilvl w:val="0"/>
          <w:numId w:val="2"/>
        </w:numPr>
        <w:jc w:val="both"/>
        <w:rPr>
          <w:rFonts w:cs="Arial"/>
          <w:sz w:val="22"/>
          <w:szCs w:val="22"/>
          <w:lang w:val="en-GB"/>
        </w:rPr>
      </w:pPr>
      <w:r>
        <w:rPr>
          <w:rFonts w:cs="Arial"/>
          <w:sz w:val="22"/>
          <w:szCs w:val="22"/>
          <w:lang w:val="en-GB"/>
        </w:rPr>
        <w:lastRenderedPageBreak/>
        <w:t xml:space="preserve">In line </w:t>
      </w:r>
      <w:r w:rsidRPr="001B3512">
        <w:rPr>
          <w:rFonts w:cs="Arial"/>
          <w:sz w:val="22"/>
          <w:szCs w:val="22"/>
          <w:lang w:val="en-GB"/>
        </w:rPr>
        <w:t xml:space="preserve">with the Terms of Reference contained in Resolution 11.27, the </w:t>
      </w:r>
      <w:r w:rsidR="00427917" w:rsidRPr="001B3512">
        <w:rPr>
          <w:rFonts w:cs="Arial"/>
          <w:sz w:val="22"/>
          <w:szCs w:val="22"/>
          <w:lang w:val="en-GB"/>
        </w:rPr>
        <w:t>Energy Task Force</w:t>
      </w:r>
      <w:r w:rsidRPr="001B3512">
        <w:rPr>
          <w:rFonts w:cs="Arial"/>
          <w:sz w:val="22"/>
          <w:szCs w:val="22"/>
          <w:lang w:val="en-GB"/>
        </w:rPr>
        <w:t xml:space="preserve"> has been convened with an initial African-Eurasian geographic scope; an initial taxonomic scope on migratory birds; and an </w:t>
      </w:r>
      <w:r w:rsidRPr="004E4C34">
        <w:rPr>
          <w:color w:val="000000"/>
          <w:spacing w:val="-2"/>
          <w:sz w:val="22"/>
          <w:szCs w:val="22"/>
          <w:lang w:val="en-GB"/>
        </w:rPr>
        <w:t xml:space="preserve">initial focus on power lines, hydro, wind and solar energy technologies.  </w:t>
      </w:r>
      <w:r w:rsidRPr="001B3512">
        <w:rPr>
          <w:color w:val="000000"/>
          <w:sz w:val="22"/>
          <w:szCs w:val="22"/>
          <w:lang w:val="en-GB"/>
        </w:rPr>
        <w:t>The timing and extent of the possible extension of the scope of the Task force is expected to be decided by the Energy Task Force members, and should depend on funding being available</w:t>
      </w:r>
      <w:r w:rsidRPr="00534D99">
        <w:rPr>
          <w:color w:val="000000"/>
          <w:sz w:val="22"/>
          <w:szCs w:val="22"/>
          <w:lang w:val="en-GB"/>
        </w:rPr>
        <w:t>.</w:t>
      </w:r>
    </w:p>
    <w:p w14:paraId="50FAE6F3" w14:textId="77777777" w:rsidR="009A005D" w:rsidRPr="00C776F1" w:rsidRDefault="009A005D" w:rsidP="00C776F1">
      <w:pPr>
        <w:rPr>
          <w:rFonts w:cs="Arial"/>
          <w:sz w:val="22"/>
          <w:szCs w:val="22"/>
          <w:lang w:val="en-GB"/>
        </w:rPr>
      </w:pPr>
    </w:p>
    <w:p w14:paraId="5F47315A" w14:textId="10C4D0EE" w:rsidR="004C2726" w:rsidRPr="004C2726" w:rsidRDefault="009A005D" w:rsidP="00A702A1">
      <w:pPr>
        <w:pStyle w:val="ListParagraph"/>
        <w:numPr>
          <w:ilvl w:val="0"/>
          <w:numId w:val="2"/>
        </w:numPr>
        <w:jc w:val="both"/>
        <w:rPr>
          <w:rFonts w:cs="Arial"/>
          <w:sz w:val="22"/>
          <w:szCs w:val="22"/>
          <w:lang w:val="en-GB"/>
        </w:rPr>
      </w:pPr>
      <w:r>
        <w:rPr>
          <w:rFonts w:cs="Arial"/>
          <w:sz w:val="22"/>
          <w:szCs w:val="22"/>
        </w:rPr>
        <w:t xml:space="preserve">With the main aim </w:t>
      </w:r>
      <w:proofErr w:type="gramStart"/>
      <w:r w:rsidR="001B3512">
        <w:rPr>
          <w:rFonts w:cs="Arial"/>
          <w:sz w:val="22"/>
          <w:szCs w:val="22"/>
        </w:rPr>
        <w:t>of  obtaining</w:t>
      </w:r>
      <w:proofErr w:type="gramEnd"/>
      <w:r w:rsidR="001B3512">
        <w:rPr>
          <w:rFonts w:cs="Arial"/>
          <w:sz w:val="22"/>
          <w:szCs w:val="22"/>
        </w:rPr>
        <w:t xml:space="preserve"> </w:t>
      </w:r>
      <w:r>
        <w:rPr>
          <w:rFonts w:cs="Arial"/>
          <w:sz w:val="22"/>
          <w:szCs w:val="22"/>
        </w:rPr>
        <w:t xml:space="preserve">advice on the initial membership of the Energy Task Force, the Secretariat established a small </w:t>
      </w:r>
      <w:r w:rsidR="0048048D">
        <w:rPr>
          <w:rFonts w:cs="Arial"/>
          <w:sz w:val="22"/>
          <w:szCs w:val="22"/>
        </w:rPr>
        <w:t>Advisory Group, composed of members of the CMS and AEWA</w:t>
      </w:r>
      <w:r w:rsidR="00072C44">
        <w:rPr>
          <w:rFonts w:cs="Arial"/>
          <w:sz w:val="22"/>
          <w:szCs w:val="22"/>
        </w:rPr>
        <w:t xml:space="preserve"> </w:t>
      </w:r>
      <w:r w:rsidR="0048048D">
        <w:rPr>
          <w:rFonts w:cs="Arial"/>
          <w:sz w:val="22"/>
          <w:szCs w:val="22"/>
        </w:rPr>
        <w:t>Secretariat</w:t>
      </w:r>
      <w:r>
        <w:rPr>
          <w:rFonts w:cs="Arial"/>
          <w:sz w:val="22"/>
          <w:szCs w:val="22"/>
        </w:rPr>
        <w:t>s</w:t>
      </w:r>
      <w:r w:rsidR="0048048D">
        <w:rPr>
          <w:rFonts w:cs="Arial"/>
          <w:sz w:val="22"/>
          <w:szCs w:val="22"/>
        </w:rPr>
        <w:t xml:space="preserve">, the Chair of the AEWA Technical Committee, </w:t>
      </w:r>
      <w:r>
        <w:rPr>
          <w:rFonts w:cs="Arial"/>
          <w:sz w:val="22"/>
          <w:szCs w:val="22"/>
        </w:rPr>
        <w:t xml:space="preserve">and representatives of BMUB and </w:t>
      </w:r>
      <w:proofErr w:type="spellStart"/>
      <w:r>
        <w:rPr>
          <w:rFonts w:cs="Arial"/>
          <w:sz w:val="22"/>
          <w:szCs w:val="22"/>
        </w:rPr>
        <w:t>BirdLife</w:t>
      </w:r>
      <w:proofErr w:type="spellEnd"/>
      <w:r>
        <w:rPr>
          <w:rFonts w:cs="Arial"/>
          <w:sz w:val="22"/>
          <w:szCs w:val="22"/>
        </w:rPr>
        <w:t xml:space="preserve"> International. </w:t>
      </w:r>
      <w:r w:rsidR="009D3EEA">
        <w:rPr>
          <w:rFonts w:cs="Arial"/>
          <w:sz w:val="22"/>
          <w:szCs w:val="22"/>
        </w:rPr>
        <w:t>The Advisory Group met physically twice in the margins of the AEWA MOP6 and of the 1</w:t>
      </w:r>
      <w:r w:rsidR="009D3EEA" w:rsidRPr="00103E55">
        <w:rPr>
          <w:rFonts w:cs="Arial"/>
          <w:sz w:val="22"/>
          <w:szCs w:val="22"/>
          <w:vertAlign w:val="superscript"/>
        </w:rPr>
        <w:t>st</w:t>
      </w:r>
      <w:r w:rsidR="009D3EEA">
        <w:rPr>
          <w:rFonts w:cs="Arial"/>
          <w:sz w:val="22"/>
          <w:szCs w:val="22"/>
        </w:rPr>
        <w:t xml:space="preserve"> Meeting of the Sessional Committee of the CMS Scientific Council</w:t>
      </w:r>
      <w:r w:rsidR="00A55C8C">
        <w:rPr>
          <w:rFonts w:cs="Arial"/>
          <w:sz w:val="22"/>
          <w:szCs w:val="22"/>
        </w:rPr>
        <w:t>,</w:t>
      </w:r>
      <w:r w:rsidR="009D3EEA">
        <w:rPr>
          <w:rFonts w:cs="Arial"/>
          <w:sz w:val="22"/>
          <w:szCs w:val="22"/>
        </w:rPr>
        <w:t xml:space="preserve"> and once through teleconference.</w:t>
      </w:r>
    </w:p>
    <w:p w14:paraId="469A6A11" w14:textId="77777777" w:rsidR="004C2726" w:rsidRPr="00C776F1" w:rsidRDefault="004C2726" w:rsidP="004C2726">
      <w:pPr>
        <w:pStyle w:val="ListParagraph"/>
        <w:rPr>
          <w:rFonts w:cs="Arial"/>
          <w:sz w:val="22"/>
          <w:szCs w:val="22"/>
          <w:lang w:val="en-GB"/>
        </w:rPr>
      </w:pPr>
    </w:p>
    <w:p w14:paraId="36FA631D" w14:textId="0273DA98" w:rsidR="00A12338" w:rsidRPr="00A12338" w:rsidRDefault="004C2726" w:rsidP="00A12338">
      <w:pPr>
        <w:pStyle w:val="ListParagraph"/>
        <w:numPr>
          <w:ilvl w:val="0"/>
          <w:numId w:val="2"/>
        </w:numPr>
        <w:jc w:val="both"/>
        <w:rPr>
          <w:rFonts w:cs="Arial"/>
          <w:sz w:val="22"/>
          <w:szCs w:val="22"/>
          <w:lang w:val="en-GB"/>
        </w:rPr>
      </w:pPr>
      <w:r>
        <w:rPr>
          <w:rFonts w:cs="Arial"/>
          <w:sz w:val="22"/>
          <w:szCs w:val="22"/>
        </w:rPr>
        <w:t xml:space="preserve">Based on the advice of the Advisory Group, the Secretariat sent invitations to </w:t>
      </w:r>
      <w:r w:rsidR="001B3512">
        <w:rPr>
          <w:rFonts w:cs="Arial"/>
          <w:sz w:val="22"/>
          <w:szCs w:val="22"/>
        </w:rPr>
        <w:t xml:space="preserve">prospective </w:t>
      </w:r>
      <w:r>
        <w:rPr>
          <w:rFonts w:cs="Arial"/>
          <w:sz w:val="22"/>
          <w:szCs w:val="22"/>
        </w:rPr>
        <w:t xml:space="preserve">members in July 2016.  At the time of writing, </w:t>
      </w:r>
      <w:r w:rsidR="00A12338">
        <w:rPr>
          <w:rFonts w:cs="Arial"/>
          <w:sz w:val="22"/>
          <w:szCs w:val="22"/>
          <w:lang w:val="en-GB"/>
        </w:rPr>
        <w:t>the list of members include</w:t>
      </w:r>
      <w:r w:rsidR="00A55C8C">
        <w:rPr>
          <w:rFonts w:cs="Arial"/>
          <w:sz w:val="22"/>
          <w:szCs w:val="22"/>
          <w:lang w:val="en-GB"/>
        </w:rPr>
        <w:t>s a variety of governmental, intergovernmental and non-governmental actors, namely</w:t>
      </w:r>
      <w:r w:rsidR="00A12338">
        <w:rPr>
          <w:rFonts w:cs="Arial"/>
          <w:sz w:val="22"/>
          <w:szCs w:val="22"/>
          <w:lang w:val="en-GB"/>
        </w:rPr>
        <w:t xml:space="preserve">: </w:t>
      </w:r>
      <w:proofErr w:type="gramStart"/>
      <w:r w:rsidR="0064189B">
        <w:rPr>
          <w:rFonts w:cs="Arial"/>
          <w:sz w:val="22"/>
          <w:szCs w:val="22"/>
          <w:lang w:val="en-GB"/>
        </w:rPr>
        <w:t>the</w:t>
      </w:r>
      <w:proofErr w:type="gramEnd"/>
      <w:r w:rsidR="0064189B">
        <w:rPr>
          <w:rFonts w:cs="Arial"/>
          <w:sz w:val="22"/>
          <w:szCs w:val="22"/>
          <w:lang w:val="en-GB"/>
        </w:rPr>
        <w:t xml:space="preserve"> Governments of </w:t>
      </w:r>
      <w:r w:rsidR="00A12338">
        <w:rPr>
          <w:rFonts w:cs="Arial"/>
          <w:sz w:val="22"/>
          <w:szCs w:val="22"/>
          <w:lang w:val="en-GB"/>
        </w:rPr>
        <w:t xml:space="preserve">Bulgaria, Egypt, </w:t>
      </w:r>
      <w:r w:rsidR="00A12338" w:rsidRPr="00C75731">
        <w:rPr>
          <w:rFonts w:cs="Arial"/>
          <w:sz w:val="22"/>
          <w:szCs w:val="22"/>
          <w:lang w:val="en-GB"/>
        </w:rPr>
        <w:t>Germany,</w:t>
      </w:r>
      <w:r w:rsidR="00C75731" w:rsidRPr="00C75731">
        <w:rPr>
          <w:rFonts w:cs="Arial"/>
          <w:sz w:val="22"/>
          <w:szCs w:val="22"/>
          <w:lang w:val="en-GB"/>
        </w:rPr>
        <w:t xml:space="preserve"> </w:t>
      </w:r>
      <w:r w:rsidR="00A12338" w:rsidRPr="00C75731">
        <w:rPr>
          <w:rFonts w:cs="Arial"/>
          <w:sz w:val="22"/>
          <w:szCs w:val="22"/>
          <w:lang w:val="en-GB"/>
        </w:rPr>
        <w:t>Ghana</w:t>
      </w:r>
      <w:r w:rsidR="00A12338">
        <w:rPr>
          <w:rFonts w:cs="Arial"/>
          <w:sz w:val="22"/>
          <w:szCs w:val="22"/>
          <w:lang w:val="en-GB"/>
        </w:rPr>
        <w:t>, Hungary, Israel, Kenya, Nigeria</w:t>
      </w:r>
      <w:r w:rsidR="0064189B">
        <w:rPr>
          <w:rFonts w:cs="Arial"/>
          <w:sz w:val="22"/>
          <w:szCs w:val="22"/>
          <w:lang w:val="en-GB"/>
        </w:rPr>
        <w:t xml:space="preserve"> and</w:t>
      </w:r>
      <w:r w:rsidR="00A12338">
        <w:rPr>
          <w:rFonts w:cs="Arial"/>
          <w:sz w:val="22"/>
          <w:szCs w:val="22"/>
          <w:lang w:val="en-GB"/>
        </w:rPr>
        <w:t xml:space="preserve"> South Africa</w:t>
      </w:r>
      <w:r w:rsidR="0064189B">
        <w:rPr>
          <w:rFonts w:cs="Arial"/>
          <w:sz w:val="22"/>
          <w:szCs w:val="22"/>
          <w:lang w:val="en-GB"/>
        </w:rPr>
        <w:t>;</w:t>
      </w:r>
      <w:r w:rsidR="00A12338">
        <w:rPr>
          <w:rFonts w:cs="Arial"/>
          <w:sz w:val="22"/>
          <w:szCs w:val="22"/>
          <w:lang w:val="en-GB"/>
        </w:rPr>
        <w:t xml:space="preserve"> Power-Africa USAID, the AEWA and CMS Secretariat</w:t>
      </w:r>
      <w:r w:rsidR="001B3512">
        <w:rPr>
          <w:rFonts w:cs="Arial"/>
          <w:sz w:val="22"/>
          <w:szCs w:val="22"/>
          <w:lang w:val="en-GB"/>
        </w:rPr>
        <w:t>s</w:t>
      </w:r>
      <w:r w:rsidR="00A12338">
        <w:rPr>
          <w:rFonts w:cs="Arial"/>
          <w:sz w:val="22"/>
          <w:szCs w:val="22"/>
          <w:lang w:val="en-GB"/>
        </w:rPr>
        <w:t xml:space="preserve">, </w:t>
      </w:r>
      <w:r w:rsidR="00427917">
        <w:rPr>
          <w:rFonts w:cs="Arial"/>
          <w:sz w:val="22"/>
          <w:szCs w:val="22"/>
          <w:lang w:val="en-GB"/>
        </w:rPr>
        <w:t xml:space="preserve">the </w:t>
      </w:r>
      <w:r w:rsidR="00A12338">
        <w:rPr>
          <w:rFonts w:cs="Arial"/>
          <w:sz w:val="22"/>
          <w:szCs w:val="22"/>
          <w:lang w:val="en-GB"/>
        </w:rPr>
        <w:t xml:space="preserve">African Union, </w:t>
      </w:r>
      <w:r w:rsidR="00427917">
        <w:rPr>
          <w:rFonts w:cs="Arial"/>
          <w:sz w:val="22"/>
          <w:szCs w:val="22"/>
          <w:lang w:val="en-GB"/>
        </w:rPr>
        <w:t xml:space="preserve">the </w:t>
      </w:r>
      <w:r w:rsidR="00A12338">
        <w:rPr>
          <w:rFonts w:cs="Arial"/>
          <w:sz w:val="22"/>
          <w:szCs w:val="22"/>
          <w:lang w:val="en-GB"/>
        </w:rPr>
        <w:t>European Bank of Reconstruction and Development, IRENA,</w:t>
      </w:r>
      <w:r w:rsidR="00427917">
        <w:rPr>
          <w:rFonts w:cs="Arial"/>
          <w:sz w:val="22"/>
          <w:szCs w:val="22"/>
          <w:lang w:val="en-GB"/>
        </w:rPr>
        <w:t xml:space="preserve"> the</w:t>
      </w:r>
      <w:r w:rsidR="00A12338">
        <w:rPr>
          <w:rFonts w:cs="Arial"/>
          <w:sz w:val="22"/>
          <w:szCs w:val="22"/>
          <w:lang w:val="en-GB"/>
        </w:rPr>
        <w:t xml:space="preserve"> Renewable Grid In</w:t>
      </w:r>
      <w:r w:rsidR="00C75731">
        <w:rPr>
          <w:rFonts w:cs="Arial"/>
          <w:sz w:val="22"/>
          <w:szCs w:val="22"/>
          <w:lang w:val="en-GB"/>
        </w:rPr>
        <w:t>i</w:t>
      </w:r>
      <w:r w:rsidR="00A12338">
        <w:rPr>
          <w:rFonts w:cs="Arial"/>
          <w:sz w:val="22"/>
          <w:szCs w:val="22"/>
          <w:lang w:val="en-GB"/>
        </w:rPr>
        <w:t xml:space="preserve">tiative, </w:t>
      </w:r>
      <w:proofErr w:type="spellStart"/>
      <w:r w:rsidR="00C75731">
        <w:rPr>
          <w:rFonts w:cs="Arial"/>
          <w:sz w:val="22"/>
          <w:szCs w:val="22"/>
          <w:lang w:val="en-GB"/>
        </w:rPr>
        <w:t>BirdLife</w:t>
      </w:r>
      <w:proofErr w:type="spellEnd"/>
      <w:r w:rsidR="00C75731">
        <w:rPr>
          <w:rFonts w:cs="Arial"/>
          <w:sz w:val="22"/>
          <w:szCs w:val="22"/>
          <w:lang w:val="en-GB"/>
        </w:rPr>
        <w:t xml:space="preserve"> International, and the British Trust for Ornithology</w:t>
      </w:r>
      <w:r w:rsidR="00A55C8C">
        <w:rPr>
          <w:rFonts w:cs="Arial"/>
          <w:sz w:val="22"/>
          <w:szCs w:val="22"/>
          <w:lang w:val="en-GB"/>
        </w:rPr>
        <w:t>. A few organizations participate in the Task Force with the status of</w:t>
      </w:r>
      <w:r w:rsidR="00C75731">
        <w:rPr>
          <w:rFonts w:cs="Arial"/>
          <w:sz w:val="22"/>
          <w:szCs w:val="22"/>
          <w:lang w:val="en-GB"/>
        </w:rPr>
        <w:t xml:space="preserve"> </w:t>
      </w:r>
      <w:r w:rsidR="00A55C8C">
        <w:rPr>
          <w:rFonts w:cs="Arial"/>
          <w:sz w:val="22"/>
          <w:szCs w:val="22"/>
          <w:lang w:val="en-GB"/>
        </w:rPr>
        <w:t>o</w:t>
      </w:r>
      <w:r w:rsidR="00C75731">
        <w:rPr>
          <w:rFonts w:cs="Arial"/>
          <w:sz w:val="22"/>
          <w:szCs w:val="22"/>
          <w:lang w:val="en-GB"/>
        </w:rPr>
        <w:t>bservers</w:t>
      </w:r>
      <w:r w:rsidR="00A55C8C">
        <w:rPr>
          <w:rFonts w:cs="Arial"/>
          <w:sz w:val="22"/>
          <w:szCs w:val="22"/>
          <w:lang w:val="en-GB"/>
        </w:rPr>
        <w:t>, they</w:t>
      </w:r>
      <w:r w:rsidR="00C75731">
        <w:rPr>
          <w:rFonts w:cs="Arial"/>
          <w:sz w:val="22"/>
          <w:szCs w:val="22"/>
          <w:lang w:val="en-GB"/>
        </w:rPr>
        <w:t xml:space="preserve"> include</w:t>
      </w:r>
      <w:r w:rsidR="00A55C8C">
        <w:rPr>
          <w:rFonts w:cs="Arial"/>
          <w:sz w:val="22"/>
          <w:szCs w:val="22"/>
          <w:lang w:val="en-GB"/>
        </w:rPr>
        <w:t>:</w:t>
      </w:r>
      <w:r w:rsidR="00C75731">
        <w:rPr>
          <w:rFonts w:cs="Arial"/>
          <w:sz w:val="22"/>
          <w:szCs w:val="22"/>
          <w:lang w:val="en-GB"/>
        </w:rPr>
        <w:t xml:space="preserve"> </w:t>
      </w:r>
      <w:proofErr w:type="spellStart"/>
      <w:r w:rsidR="00C75731">
        <w:rPr>
          <w:rFonts w:cs="Arial"/>
          <w:sz w:val="22"/>
          <w:szCs w:val="22"/>
          <w:lang w:val="en-GB"/>
        </w:rPr>
        <w:t>B</w:t>
      </w:r>
      <w:r w:rsidR="0064189B">
        <w:rPr>
          <w:rFonts w:cs="Arial"/>
          <w:sz w:val="22"/>
          <w:szCs w:val="22"/>
          <w:lang w:val="en-GB"/>
        </w:rPr>
        <w:t>i</w:t>
      </w:r>
      <w:r w:rsidR="00C75731">
        <w:rPr>
          <w:rFonts w:cs="Arial"/>
          <w:sz w:val="22"/>
          <w:szCs w:val="22"/>
          <w:lang w:val="en-GB"/>
        </w:rPr>
        <w:t>rdLIfe</w:t>
      </w:r>
      <w:proofErr w:type="spellEnd"/>
      <w:r w:rsidR="00C75731">
        <w:rPr>
          <w:rFonts w:cs="Arial"/>
          <w:sz w:val="22"/>
          <w:szCs w:val="22"/>
          <w:lang w:val="en-GB"/>
        </w:rPr>
        <w:t xml:space="preserve"> South Africa, Nature Kenya, Nature Conservation Egypt, and the German Nature Conservation and Biodiversity Union</w:t>
      </w:r>
      <w:r w:rsidR="00427917">
        <w:rPr>
          <w:rFonts w:cs="Arial"/>
          <w:sz w:val="22"/>
          <w:szCs w:val="22"/>
          <w:lang w:val="en-GB"/>
        </w:rPr>
        <w:t>. Efforts to further expand the membership of the Task Force are ongoing, based on the guidance provided by the 1</w:t>
      </w:r>
      <w:r w:rsidR="00427917" w:rsidRPr="00C776F1">
        <w:rPr>
          <w:rFonts w:cs="Arial"/>
          <w:sz w:val="22"/>
          <w:szCs w:val="22"/>
          <w:vertAlign w:val="superscript"/>
          <w:lang w:val="en-GB"/>
        </w:rPr>
        <w:t>st</w:t>
      </w:r>
      <w:r w:rsidR="00427917">
        <w:rPr>
          <w:rFonts w:cs="Arial"/>
          <w:sz w:val="22"/>
          <w:szCs w:val="22"/>
          <w:lang w:val="en-GB"/>
        </w:rPr>
        <w:t xml:space="preserve"> Meeting of the Energy Task Force (see below). A continuously updated list of members and observers is available from the Energy Task force website</w:t>
      </w:r>
      <w:r w:rsidR="00B70B4A">
        <w:rPr>
          <w:rFonts w:cs="Arial"/>
          <w:sz w:val="22"/>
          <w:szCs w:val="22"/>
          <w:lang w:val="en-GB"/>
        </w:rPr>
        <w:t xml:space="preserve"> (</w:t>
      </w:r>
      <w:hyperlink r:id="rId19" w:history="1">
        <w:r w:rsidR="00B70B4A" w:rsidRPr="00B70B4A">
          <w:rPr>
            <w:rStyle w:val="Hyperlink"/>
            <w:rFonts w:cs="Arial"/>
            <w:sz w:val="22"/>
            <w:szCs w:val="22"/>
            <w:lang w:val="en-GB"/>
          </w:rPr>
          <w:t>ETF Members and Observers Lists</w:t>
        </w:r>
      </w:hyperlink>
      <w:r w:rsidR="00B70B4A">
        <w:rPr>
          <w:rFonts w:cs="Arial"/>
          <w:sz w:val="22"/>
          <w:szCs w:val="22"/>
          <w:lang w:val="en-GB"/>
        </w:rPr>
        <w:t>)</w:t>
      </w:r>
      <w:r w:rsidR="00427917">
        <w:rPr>
          <w:rFonts w:cs="Arial"/>
          <w:sz w:val="22"/>
          <w:szCs w:val="22"/>
          <w:lang w:val="en-GB"/>
        </w:rPr>
        <w:t>.</w:t>
      </w:r>
    </w:p>
    <w:p w14:paraId="0D312634" w14:textId="77777777" w:rsidR="00215A1A" w:rsidRPr="00215A1A" w:rsidRDefault="00215A1A" w:rsidP="00215A1A">
      <w:pPr>
        <w:pStyle w:val="ListParagraph"/>
        <w:rPr>
          <w:rFonts w:cs="Arial"/>
          <w:sz w:val="22"/>
          <w:szCs w:val="22"/>
          <w:lang w:val="en-GB"/>
        </w:rPr>
      </w:pPr>
    </w:p>
    <w:p w14:paraId="3FE2CF73" w14:textId="0F556ACB" w:rsidR="00072C44" w:rsidRDefault="00FF0EF1" w:rsidP="00072C44">
      <w:pPr>
        <w:pStyle w:val="ListParagraph"/>
        <w:numPr>
          <w:ilvl w:val="0"/>
          <w:numId w:val="2"/>
        </w:numPr>
        <w:jc w:val="both"/>
        <w:rPr>
          <w:rFonts w:cs="Arial"/>
          <w:sz w:val="22"/>
          <w:szCs w:val="22"/>
          <w:lang w:val="en-GB"/>
        </w:rPr>
      </w:pPr>
      <w:r>
        <w:rPr>
          <w:rFonts w:cs="Arial"/>
          <w:sz w:val="22"/>
          <w:szCs w:val="22"/>
          <w:lang w:val="en-GB"/>
        </w:rPr>
        <w:t xml:space="preserve">In line with the Terms of Reference of the Task Force, and thanks to the already mentioned financial contribution from BMUB, a coordinator for the Energy Task Force was appointed </w:t>
      </w:r>
      <w:r w:rsidR="00072C44" w:rsidRPr="00EB0B55">
        <w:rPr>
          <w:rFonts w:cs="Arial"/>
          <w:sz w:val="22"/>
          <w:szCs w:val="22"/>
          <w:lang w:val="en-GB"/>
        </w:rPr>
        <w:t>from</w:t>
      </w:r>
      <w:r w:rsidR="00072C44">
        <w:rPr>
          <w:rFonts w:cs="Arial"/>
          <w:sz w:val="22"/>
          <w:szCs w:val="22"/>
          <w:lang w:val="en-GB"/>
        </w:rPr>
        <w:t xml:space="preserve"> </w:t>
      </w:r>
      <w:proofErr w:type="spellStart"/>
      <w:r w:rsidR="00072C44">
        <w:rPr>
          <w:rFonts w:cs="Arial"/>
          <w:sz w:val="22"/>
          <w:szCs w:val="22"/>
          <w:lang w:val="en-GB"/>
        </w:rPr>
        <w:t>BirdLife</w:t>
      </w:r>
      <w:proofErr w:type="spellEnd"/>
      <w:r w:rsidR="00072C44">
        <w:rPr>
          <w:rFonts w:cs="Arial"/>
          <w:sz w:val="22"/>
          <w:szCs w:val="22"/>
          <w:lang w:val="en-GB"/>
        </w:rPr>
        <w:t xml:space="preserve"> International </w:t>
      </w:r>
      <w:r w:rsidR="00072C44" w:rsidRPr="00CD6CE4">
        <w:rPr>
          <w:rFonts w:cs="Arial"/>
          <w:sz w:val="22"/>
          <w:szCs w:val="22"/>
          <w:lang w:val="en-GB"/>
        </w:rPr>
        <w:t>under an arrangement with the CMS Secretariat</w:t>
      </w:r>
      <w:r w:rsidR="00072C44">
        <w:rPr>
          <w:rFonts w:cs="Arial"/>
          <w:sz w:val="22"/>
          <w:szCs w:val="22"/>
          <w:lang w:val="en-GB"/>
        </w:rPr>
        <w:t xml:space="preserve">, </w:t>
      </w:r>
      <w:proofErr w:type="gramStart"/>
      <w:r w:rsidR="00072C44">
        <w:rPr>
          <w:rFonts w:cs="Arial"/>
          <w:sz w:val="22"/>
          <w:szCs w:val="22"/>
          <w:lang w:val="en-GB"/>
        </w:rPr>
        <w:t>in order to</w:t>
      </w:r>
      <w:proofErr w:type="gramEnd"/>
      <w:r w:rsidR="00072C44">
        <w:rPr>
          <w:rFonts w:cs="Arial"/>
          <w:sz w:val="22"/>
          <w:szCs w:val="22"/>
          <w:lang w:val="en-GB"/>
        </w:rPr>
        <w:t xml:space="preserve"> inter alia:</w:t>
      </w:r>
    </w:p>
    <w:p w14:paraId="7B3D3DD3" w14:textId="77777777" w:rsidR="00072C44" w:rsidRPr="007954BD" w:rsidRDefault="00072C44" w:rsidP="00072C44">
      <w:pPr>
        <w:pStyle w:val="ListParagraph"/>
        <w:rPr>
          <w:rFonts w:cs="Arial"/>
          <w:sz w:val="22"/>
          <w:szCs w:val="22"/>
          <w:lang w:val="en-GB"/>
        </w:rPr>
      </w:pPr>
    </w:p>
    <w:p w14:paraId="7779B9B1" w14:textId="77777777" w:rsidR="00072C44" w:rsidRPr="00CD6CE4" w:rsidRDefault="00072C44" w:rsidP="00072C44">
      <w:pPr>
        <w:widowControl/>
        <w:numPr>
          <w:ilvl w:val="0"/>
          <w:numId w:val="13"/>
        </w:numPr>
        <w:autoSpaceDE/>
        <w:autoSpaceDN/>
        <w:adjustRightInd/>
        <w:spacing w:after="160" w:line="259" w:lineRule="auto"/>
        <w:contextualSpacing/>
        <w:jc w:val="both"/>
        <w:rPr>
          <w:rFonts w:eastAsiaTheme="minorHAnsi" w:cs="Arial"/>
          <w:sz w:val="22"/>
          <w:szCs w:val="22"/>
        </w:rPr>
      </w:pPr>
      <w:r w:rsidRPr="00CD6CE4">
        <w:rPr>
          <w:rFonts w:eastAsiaTheme="minorHAnsi" w:cs="Arial"/>
          <w:sz w:val="22"/>
          <w:szCs w:val="22"/>
        </w:rPr>
        <w:t>organize the meetings of the Energy Task Force;</w:t>
      </w:r>
    </w:p>
    <w:p w14:paraId="13D5A6D3" w14:textId="77777777" w:rsidR="00072C44" w:rsidRPr="00CD6CE4" w:rsidRDefault="00072C44" w:rsidP="00072C44">
      <w:pPr>
        <w:widowControl/>
        <w:numPr>
          <w:ilvl w:val="0"/>
          <w:numId w:val="13"/>
        </w:numPr>
        <w:autoSpaceDE/>
        <w:autoSpaceDN/>
        <w:adjustRightInd/>
        <w:spacing w:after="160" w:line="259" w:lineRule="auto"/>
        <w:contextualSpacing/>
        <w:jc w:val="both"/>
        <w:rPr>
          <w:rFonts w:eastAsiaTheme="minorHAnsi" w:cs="Arial"/>
          <w:sz w:val="22"/>
          <w:szCs w:val="22"/>
        </w:rPr>
      </w:pPr>
      <w:r w:rsidRPr="00CD6CE4">
        <w:rPr>
          <w:rFonts w:eastAsiaTheme="minorHAnsi" w:cs="Arial"/>
          <w:sz w:val="22"/>
          <w:szCs w:val="22"/>
        </w:rPr>
        <w:t>maintain and moderate the Energy Task Force communication platform (website and internal online workspace);</w:t>
      </w:r>
    </w:p>
    <w:p w14:paraId="066DB94F" w14:textId="77777777" w:rsidR="00072C44" w:rsidRPr="00CD6CE4" w:rsidRDefault="00072C44" w:rsidP="00072C44">
      <w:pPr>
        <w:widowControl/>
        <w:numPr>
          <w:ilvl w:val="0"/>
          <w:numId w:val="13"/>
        </w:numPr>
        <w:autoSpaceDE/>
        <w:autoSpaceDN/>
        <w:adjustRightInd/>
        <w:spacing w:after="160" w:line="259" w:lineRule="auto"/>
        <w:contextualSpacing/>
        <w:jc w:val="both"/>
        <w:rPr>
          <w:rFonts w:eastAsiaTheme="minorHAnsi" w:cs="Arial"/>
          <w:sz w:val="22"/>
          <w:szCs w:val="22"/>
        </w:rPr>
      </w:pPr>
      <w:r w:rsidRPr="00CD6CE4">
        <w:rPr>
          <w:rFonts w:eastAsiaTheme="minorHAnsi" w:cs="Arial"/>
          <w:sz w:val="22"/>
          <w:szCs w:val="22"/>
        </w:rPr>
        <w:t>facilitate implementation of decisions of the Energy Task Force, as necessary;</w:t>
      </w:r>
    </w:p>
    <w:p w14:paraId="3A6AB835" w14:textId="77777777" w:rsidR="00072C44" w:rsidRPr="00CD6CE4" w:rsidRDefault="00072C44" w:rsidP="00072C44">
      <w:pPr>
        <w:widowControl/>
        <w:numPr>
          <w:ilvl w:val="0"/>
          <w:numId w:val="13"/>
        </w:numPr>
        <w:autoSpaceDE/>
        <w:autoSpaceDN/>
        <w:adjustRightInd/>
        <w:spacing w:after="160" w:line="259" w:lineRule="auto"/>
        <w:contextualSpacing/>
        <w:jc w:val="both"/>
        <w:rPr>
          <w:rFonts w:eastAsiaTheme="minorHAnsi" w:cs="Arial"/>
          <w:sz w:val="22"/>
          <w:szCs w:val="22"/>
        </w:rPr>
      </w:pPr>
      <w:r w:rsidRPr="00CD6CE4">
        <w:rPr>
          <w:rFonts w:eastAsiaTheme="minorHAnsi" w:cs="Arial"/>
          <w:sz w:val="22"/>
          <w:szCs w:val="22"/>
        </w:rPr>
        <w:t>facilitate fundraising and resource mobilization in support of the activities of the Energy Task Force; and</w:t>
      </w:r>
    </w:p>
    <w:p w14:paraId="72E88AA8" w14:textId="63B41F61" w:rsidR="00072C44" w:rsidRDefault="00072C44" w:rsidP="00B70B4A">
      <w:pPr>
        <w:widowControl/>
        <w:numPr>
          <w:ilvl w:val="0"/>
          <w:numId w:val="13"/>
        </w:numPr>
        <w:autoSpaceDE/>
        <w:autoSpaceDN/>
        <w:adjustRightInd/>
        <w:spacing w:after="160" w:line="259" w:lineRule="auto"/>
        <w:contextualSpacing/>
        <w:jc w:val="both"/>
        <w:rPr>
          <w:rFonts w:eastAsiaTheme="minorHAnsi" w:cs="Arial"/>
          <w:sz w:val="22"/>
          <w:szCs w:val="22"/>
        </w:rPr>
      </w:pPr>
      <w:r w:rsidRPr="00CD6CE4">
        <w:rPr>
          <w:rFonts w:eastAsiaTheme="minorHAnsi" w:cs="Arial"/>
          <w:sz w:val="22"/>
          <w:szCs w:val="22"/>
        </w:rPr>
        <w:t>facilitate engagement with stakeholders within a</w:t>
      </w:r>
      <w:r>
        <w:rPr>
          <w:rFonts w:eastAsiaTheme="minorHAnsi" w:cs="Arial"/>
          <w:sz w:val="22"/>
          <w:szCs w:val="22"/>
        </w:rPr>
        <w:t>nd beyond the Energy Task Force</w:t>
      </w:r>
      <w:r w:rsidR="00FF0EF1">
        <w:rPr>
          <w:rFonts w:eastAsiaTheme="minorHAnsi" w:cs="Arial"/>
          <w:sz w:val="22"/>
          <w:szCs w:val="22"/>
        </w:rPr>
        <w:t>.</w:t>
      </w:r>
    </w:p>
    <w:p w14:paraId="1024ADF3" w14:textId="77777777" w:rsidR="0093261E" w:rsidRPr="00B70B4A" w:rsidRDefault="0093261E" w:rsidP="0093261E">
      <w:pPr>
        <w:widowControl/>
        <w:autoSpaceDE/>
        <w:autoSpaceDN/>
        <w:adjustRightInd/>
        <w:spacing w:after="160" w:line="259" w:lineRule="auto"/>
        <w:ind w:left="720"/>
        <w:contextualSpacing/>
        <w:jc w:val="both"/>
        <w:rPr>
          <w:rFonts w:eastAsiaTheme="minorHAnsi" w:cs="Arial"/>
          <w:sz w:val="22"/>
          <w:szCs w:val="22"/>
        </w:rPr>
      </w:pPr>
    </w:p>
    <w:p w14:paraId="15FBFFA8" w14:textId="2BE5E582" w:rsidR="00C07B32" w:rsidRPr="00AD3CD8" w:rsidRDefault="00E0080C" w:rsidP="004E4C34">
      <w:pPr>
        <w:widowControl/>
        <w:numPr>
          <w:ilvl w:val="0"/>
          <w:numId w:val="2"/>
        </w:numPr>
        <w:autoSpaceDE/>
        <w:autoSpaceDN/>
        <w:adjustRightInd/>
        <w:spacing w:after="160" w:line="259" w:lineRule="auto"/>
        <w:contextualSpacing/>
        <w:jc w:val="both"/>
        <w:rPr>
          <w:rFonts w:eastAsiaTheme="minorHAnsi" w:cs="Arial"/>
          <w:sz w:val="22"/>
          <w:szCs w:val="22"/>
        </w:rPr>
      </w:pPr>
      <w:r w:rsidRPr="00AD3CD8">
        <w:rPr>
          <w:rFonts w:cs="Arial"/>
          <w:sz w:val="22"/>
          <w:szCs w:val="22"/>
          <w:lang w:val="en-GB"/>
        </w:rPr>
        <w:t xml:space="preserve">At the time of drafting this report, the Secretariat and the Coordinator </w:t>
      </w:r>
      <w:r w:rsidR="001B3512" w:rsidRPr="00AD3CD8">
        <w:rPr>
          <w:rFonts w:cs="Arial"/>
          <w:sz w:val="22"/>
          <w:szCs w:val="22"/>
          <w:lang w:val="en-GB"/>
        </w:rPr>
        <w:t xml:space="preserve">had </w:t>
      </w:r>
      <w:r w:rsidRPr="00AD3CD8">
        <w:rPr>
          <w:rFonts w:cs="Arial"/>
          <w:sz w:val="22"/>
          <w:szCs w:val="22"/>
          <w:lang w:val="en-GB"/>
        </w:rPr>
        <w:t xml:space="preserve">already reached out to </w:t>
      </w:r>
      <w:r w:rsidR="00E72283" w:rsidRPr="004E4C34">
        <w:rPr>
          <w:rFonts w:cs="Arial"/>
          <w:sz w:val="22"/>
          <w:szCs w:val="22"/>
          <w:lang w:val="en-GB"/>
        </w:rPr>
        <w:t xml:space="preserve">potential stakeholders </w:t>
      </w:r>
      <w:r w:rsidR="001B3512" w:rsidRPr="004E4C34">
        <w:rPr>
          <w:rFonts w:cs="Arial"/>
          <w:sz w:val="22"/>
          <w:szCs w:val="22"/>
          <w:lang w:val="en-GB"/>
        </w:rPr>
        <w:t>that had not</w:t>
      </w:r>
      <w:r w:rsidR="00E72283" w:rsidRPr="004E4C34">
        <w:rPr>
          <w:rFonts w:cs="Arial"/>
          <w:sz w:val="22"/>
          <w:szCs w:val="22"/>
          <w:lang w:val="en-GB"/>
        </w:rPr>
        <w:t xml:space="preserve"> respond</w:t>
      </w:r>
      <w:r w:rsidR="001B3512" w:rsidRPr="004E4C34">
        <w:rPr>
          <w:rFonts w:cs="Arial"/>
          <w:sz w:val="22"/>
          <w:szCs w:val="22"/>
          <w:lang w:val="en-GB"/>
        </w:rPr>
        <w:t>ed</w:t>
      </w:r>
      <w:r w:rsidR="00E72283" w:rsidRPr="004E4C34">
        <w:rPr>
          <w:rFonts w:cs="Arial"/>
          <w:sz w:val="22"/>
          <w:szCs w:val="22"/>
          <w:lang w:val="en-GB"/>
        </w:rPr>
        <w:t xml:space="preserve"> </w:t>
      </w:r>
      <w:r w:rsidR="001B3512" w:rsidRPr="004E4C34">
        <w:rPr>
          <w:rFonts w:cs="Arial"/>
          <w:sz w:val="22"/>
          <w:szCs w:val="22"/>
          <w:lang w:val="en-GB"/>
        </w:rPr>
        <w:t>to</w:t>
      </w:r>
      <w:r w:rsidR="00E72283" w:rsidRPr="004E4C34">
        <w:rPr>
          <w:rFonts w:cs="Arial"/>
          <w:sz w:val="22"/>
          <w:szCs w:val="22"/>
          <w:lang w:val="en-GB"/>
        </w:rPr>
        <w:t xml:space="preserve"> previous initial communications, and contacted </w:t>
      </w:r>
      <w:r w:rsidRPr="004E4C34">
        <w:rPr>
          <w:rFonts w:cs="Arial"/>
          <w:sz w:val="22"/>
          <w:szCs w:val="22"/>
          <w:lang w:val="en-GB"/>
        </w:rPr>
        <w:t>potential new members</w:t>
      </w:r>
      <w:r w:rsidR="001B3512" w:rsidRPr="004E4C34">
        <w:rPr>
          <w:rFonts w:cs="Arial"/>
          <w:sz w:val="22"/>
          <w:szCs w:val="22"/>
          <w:lang w:val="en-GB"/>
        </w:rPr>
        <w:t>.  Prior to the First Meeting s</w:t>
      </w:r>
      <w:r w:rsidRPr="004E4C34">
        <w:rPr>
          <w:rFonts w:cs="Arial"/>
          <w:sz w:val="22"/>
          <w:szCs w:val="22"/>
          <w:lang w:val="en-GB"/>
        </w:rPr>
        <w:t>everal</w:t>
      </w:r>
      <w:r w:rsidR="001B3512" w:rsidRPr="004E4C34">
        <w:rPr>
          <w:rFonts w:cs="Arial"/>
          <w:sz w:val="22"/>
          <w:szCs w:val="22"/>
          <w:lang w:val="en-GB"/>
        </w:rPr>
        <w:t xml:space="preserve"> of these</w:t>
      </w:r>
      <w:r w:rsidRPr="004E4C34">
        <w:rPr>
          <w:rFonts w:cs="Arial"/>
          <w:sz w:val="22"/>
          <w:szCs w:val="22"/>
          <w:lang w:val="en-GB"/>
        </w:rPr>
        <w:t xml:space="preserve"> </w:t>
      </w:r>
      <w:r w:rsidR="001B3512" w:rsidRPr="004E4C34">
        <w:rPr>
          <w:rFonts w:cs="Arial"/>
          <w:sz w:val="22"/>
          <w:szCs w:val="22"/>
          <w:lang w:val="en-GB"/>
        </w:rPr>
        <w:t xml:space="preserve">potential members had </w:t>
      </w:r>
      <w:r w:rsidRPr="004E4C34">
        <w:rPr>
          <w:rFonts w:cs="Arial"/>
          <w:sz w:val="22"/>
          <w:szCs w:val="22"/>
          <w:lang w:val="en-GB"/>
        </w:rPr>
        <w:t xml:space="preserve">expressed interest </w:t>
      </w:r>
      <w:r w:rsidR="001B3512" w:rsidRPr="004E4C34">
        <w:rPr>
          <w:rFonts w:cs="Arial"/>
          <w:sz w:val="22"/>
          <w:szCs w:val="22"/>
          <w:lang w:val="en-GB"/>
        </w:rPr>
        <w:t xml:space="preserve">in </w:t>
      </w:r>
      <w:r w:rsidRPr="004E4C34">
        <w:rPr>
          <w:rFonts w:cs="Arial"/>
          <w:sz w:val="22"/>
          <w:szCs w:val="22"/>
          <w:lang w:val="en-GB"/>
        </w:rPr>
        <w:t xml:space="preserve">joining the Energy Task Force at a later stage, and requested being kept </w:t>
      </w:r>
      <w:r w:rsidR="001B3512" w:rsidRPr="004E4C34">
        <w:rPr>
          <w:rFonts w:cs="Arial"/>
          <w:sz w:val="22"/>
          <w:szCs w:val="22"/>
          <w:lang w:val="en-GB"/>
        </w:rPr>
        <w:t>apprised</w:t>
      </w:r>
      <w:r w:rsidRPr="004E4C34">
        <w:rPr>
          <w:rFonts w:cs="Arial"/>
          <w:sz w:val="22"/>
          <w:szCs w:val="22"/>
          <w:lang w:val="en-GB"/>
        </w:rPr>
        <w:t xml:space="preserve"> of developments after the ETF1 meeting</w:t>
      </w:r>
      <w:r w:rsidR="008F52A4" w:rsidRPr="004E4C34">
        <w:rPr>
          <w:rFonts w:cs="Arial"/>
          <w:sz w:val="22"/>
          <w:szCs w:val="22"/>
          <w:lang w:val="en-GB"/>
        </w:rPr>
        <w:t>.</w:t>
      </w:r>
      <w:r w:rsidRPr="004E4C34">
        <w:rPr>
          <w:rFonts w:cs="Arial"/>
          <w:sz w:val="22"/>
          <w:szCs w:val="22"/>
          <w:lang w:val="en-GB"/>
        </w:rPr>
        <w:t xml:space="preserve"> </w:t>
      </w:r>
    </w:p>
    <w:p w14:paraId="6624C4D0" w14:textId="6399C526" w:rsidR="003408E9" w:rsidRPr="00B05A07" w:rsidRDefault="008F52A4" w:rsidP="00B05A07">
      <w:pPr>
        <w:pStyle w:val="ListParagraph"/>
        <w:numPr>
          <w:ilvl w:val="0"/>
          <w:numId w:val="2"/>
        </w:numPr>
        <w:jc w:val="both"/>
        <w:rPr>
          <w:lang w:val="en-GB"/>
        </w:rPr>
      </w:pPr>
      <w:r>
        <w:rPr>
          <w:rFonts w:cs="Arial"/>
          <w:sz w:val="22"/>
          <w:szCs w:val="22"/>
          <w:lang w:val="en-GB"/>
        </w:rPr>
        <w:t>D</w:t>
      </w:r>
      <w:r w:rsidR="00C07B32">
        <w:rPr>
          <w:rFonts w:cs="Arial"/>
          <w:sz w:val="22"/>
          <w:szCs w:val="22"/>
          <w:lang w:val="en-GB"/>
        </w:rPr>
        <w:t>edicated web</w:t>
      </w:r>
      <w:r>
        <w:rPr>
          <w:rFonts w:cs="Arial"/>
          <w:sz w:val="22"/>
          <w:szCs w:val="22"/>
          <w:lang w:val="en-GB"/>
        </w:rPr>
        <w:t>pages</w:t>
      </w:r>
      <w:r w:rsidR="00C07B32">
        <w:rPr>
          <w:rFonts w:cs="Arial"/>
          <w:sz w:val="22"/>
          <w:szCs w:val="22"/>
          <w:lang w:val="en-GB"/>
        </w:rPr>
        <w:t xml:space="preserve"> for the Energy Task Force </w:t>
      </w:r>
      <w:r w:rsidR="00C07142">
        <w:rPr>
          <w:rFonts w:cs="Arial"/>
          <w:sz w:val="22"/>
          <w:szCs w:val="22"/>
          <w:lang w:val="en-GB"/>
        </w:rPr>
        <w:t>h</w:t>
      </w:r>
      <w:r w:rsidR="00C07B32">
        <w:rPr>
          <w:rFonts w:cs="Arial"/>
          <w:sz w:val="22"/>
          <w:szCs w:val="22"/>
          <w:lang w:val="en-GB"/>
        </w:rPr>
        <w:t xml:space="preserve">as </w:t>
      </w:r>
      <w:r w:rsidR="00C07142">
        <w:rPr>
          <w:rFonts w:cs="Arial"/>
          <w:sz w:val="22"/>
          <w:szCs w:val="22"/>
          <w:lang w:val="en-GB"/>
        </w:rPr>
        <w:t xml:space="preserve">been </w:t>
      </w:r>
      <w:r w:rsidR="00C07B32">
        <w:rPr>
          <w:rFonts w:cs="Arial"/>
          <w:sz w:val="22"/>
          <w:szCs w:val="22"/>
          <w:lang w:val="en-GB"/>
        </w:rPr>
        <w:t>established</w:t>
      </w:r>
      <w:r w:rsidR="00C1353E">
        <w:rPr>
          <w:rFonts w:cs="Arial"/>
          <w:sz w:val="22"/>
          <w:szCs w:val="22"/>
          <w:lang w:val="en-GB"/>
        </w:rPr>
        <w:t xml:space="preserve"> (</w:t>
      </w:r>
      <w:hyperlink r:id="rId20" w:history="1">
        <w:r w:rsidR="00C1353E" w:rsidRPr="00C1353E">
          <w:rPr>
            <w:rStyle w:val="Hyperlink"/>
            <w:rFonts w:cs="Arial"/>
            <w:sz w:val="22"/>
            <w:szCs w:val="22"/>
            <w:lang w:val="en-GB"/>
          </w:rPr>
          <w:t>ETF Website</w:t>
        </w:r>
      </w:hyperlink>
      <w:r w:rsidR="00C1353E">
        <w:rPr>
          <w:rFonts w:cs="Arial"/>
          <w:sz w:val="22"/>
          <w:szCs w:val="22"/>
          <w:lang w:val="en-GB"/>
        </w:rPr>
        <w:t>)</w:t>
      </w:r>
      <w:r w:rsidR="00C07142">
        <w:rPr>
          <w:rFonts w:cs="Arial"/>
          <w:sz w:val="22"/>
          <w:szCs w:val="22"/>
          <w:lang w:val="en-GB"/>
        </w:rPr>
        <w:t xml:space="preserve"> within the CMS website, and </w:t>
      </w:r>
      <w:r>
        <w:rPr>
          <w:rFonts w:cs="Arial"/>
          <w:sz w:val="22"/>
          <w:szCs w:val="22"/>
          <w:lang w:val="en-GB"/>
        </w:rPr>
        <w:t>these are</w:t>
      </w:r>
      <w:r w:rsidR="00C07142">
        <w:rPr>
          <w:rFonts w:cs="Arial"/>
          <w:sz w:val="22"/>
          <w:szCs w:val="22"/>
          <w:lang w:val="en-GB"/>
        </w:rPr>
        <w:t xml:space="preserve"> maintained by the CMS Secretariat and the Task Force coordinator. The web</w:t>
      </w:r>
      <w:r>
        <w:rPr>
          <w:rFonts w:cs="Arial"/>
          <w:sz w:val="22"/>
          <w:szCs w:val="22"/>
          <w:lang w:val="en-GB"/>
        </w:rPr>
        <w:t xml:space="preserve"> pages</w:t>
      </w:r>
      <w:r w:rsidR="00C07142">
        <w:rPr>
          <w:rFonts w:cs="Arial"/>
          <w:sz w:val="22"/>
          <w:szCs w:val="22"/>
          <w:lang w:val="en-GB"/>
        </w:rPr>
        <w:t xml:space="preserve"> include </w:t>
      </w:r>
      <w:r w:rsidR="00C07B32">
        <w:rPr>
          <w:rFonts w:cs="Arial"/>
          <w:sz w:val="22"/>
          <w:szCs w:val="22"/>
          <w:lang w:val="en-GB"/>
        </w:rPr>
        <w:t>an online Workspace</w:t>
      </w:r>
      <w:r w:rsidR="00C1353E">
        <w:rPr>
          <w:rFonts w:cs="Arial"/>
          <w:sz w:val="22"/>
          <w:szCs w:val="22"/>
          <w:lang w:val="en-GB"/>
        </w:rPr>
        <w:t xml:space="preserve"> </w:t>
      </w:r>
      <w:r w:rsidR="00C07142">
        <w:rPr>
          <w:rFonts w:cs="Arial"/>
          <w:sz w:val="22"/>
          <w:szCs w:val="22"/>
          <w:lang w:val="en-GB"/>
        </w:rPr>
        <w:t xml:space="preserve">to facilitate contacts among the members and the work of the Task Force </w:t>
      </w:r>
      <w:r w:rsidR="004E4C34">
        <w:rPr>
          <w:rFonts w:cs="Arial"/>
          <w:sz w:val="22"/>
          <w:szCs w:val="22"/>
          <w:lang w:val="en-GB"/>
        </w:rPr>
        <w:t>in between</w:t>
      </w:r>
      <w:r w:rsidR="00C07142">
        <w:rPr>
          <w:rFonts w:cs="Arial"/>
          <w:sz w:val="22"/>
          <w:szCs w:val="22"/>
          <w:lang w:val="en-GB"/>
        </w:rPr>
        <w:t xml:space="preserve"> meetings.  </w:t>
      </w:r>
    </w:p>
    <w:p w14:paraId="5420CE35" w14:textId="77777777" w:rsidR="00FC0371" w:rsidRPr="000F5EED" w:rsidRDefault="00FC0371" w:rsidP="00FC0371">
      <w:pPr>
        <w:pStyle w:val="ListParagraph"/>
        <w:ind w:left="360"/>
        <w:jc w:val="both"/>
        <w:rPr>
          <w:rFonts w:cs="Arial"/>
          <w:b/>
          <w:sz w:val="22"/>
          <w:szCs w:val="22"/>
          <w:highlight w:val="green"/>
          <w:lang w:val="en-GB"/>
        </w:rPr>
      </w:pPr>
    </w:p>
    <w:p w14:paraId="3BC6DB8A" w14:textId="77777777" w:rsidR="00642B21" w:rsidRDefault="00642B21">
      <w:pPr>
        <w:widowControl/>
        <w:autoSpaceDE/>
        <w:autoSpaceDN/>
        <w:adjustRightInd/>
        <w:rPr>
          <w:rFonts w:cs="Arial"/>
          <w:sz w:val="22"/>
          <w:szCs w:val="22"/>
          <w:u w:val="single"/>
          <w:lang w:val="en-GB"/>
        </w:rPr>
      </w:pPr>
      <w:r>
        <w:rPr>
          <w:rFonts w:cs="Arial"/>
          <w:sz w:val="22"/>
          <w:szCs w:val="22"/>
          <w:u w:val="single"/>
          <w:lang w:val="en-GB"/>
        </w:rPr>
        <w:br w:type="page"/>
      </w:r>
    </w:p>
    <w:p w14:paraId="5CBB8EEB" w14:textId="3FC9CCE9" w:rsidR="003C115D" w:rsidRPr="00CD0FE9" w:rsidRDefault="003C115D" w:rsidP="003C115D">
      <w:pPr>
        <w:rPr>
          <w:rFonts w:cs="Arial"/>
          <w:sz w:val="22"/>
          <w:szCs w:val="22"/>
          <w:u w:val="single"/>
          <w:lang w:val="en-GB"/>
        </w:rPr>
      </w:pPr>
      <w:r>
        <w:rPr>
          <w:rFonts w:cs="Arial"/>
          <w:sz w:val="22"/>
          <w:szCs w:val="22"/>
          <w:u w:val="single"/>
          <w:lang w:val="en-GB"/>
        </w:rPr>
        <w:lastRenderedPageBreak/>
        <w:t>First meeting of the Energy Task Force</w:t>
      </w:r>
      <w:r w:rsidR="00EB0B55">
        <w:rPr>
          <w:rFonts w:cs="Arial"/>
          <w:sz w:val="22"/>
          <w:szCs w:val="22"/>
          <w:u w:val="single"/>
          <w:lang w:val="en-GB"/>
        </w:rPr>
        <w:t xml:space="preserve"> and follow-up remote meeting </w:t>
      </w:r>
      <w:r w:rsidRPr="00CD0FE9">
        <w:rPr>
          <w:rFonts w:cs="Arial"/>
          <w:sz w:val="22"/>
          <w:szCs w:val="22"/>
          <w:u w:val="single"/>
          <w:lang w:val="en-GB"/>
        </w:rPr>
        <w:t xml:space="preserve"> </w:t>
      </w:r>
    </w:p>
    <w:p w14:paraId="1CE24A1F" w14:textId="77777777" w:rsidR="00CC3A63" w:rsidRDefault="00CC3A63" w:rsidP="00CC3A63">
      <w:pPr>
        <w:pStyle w:val="ListParagraph"/>
        <w:ind w:left="360"/>
        <w:jc w:val="both"/>
        <w:rPr>
          <w:rFonts w:cs="Arial"/>
          <w:sz w:val="22"/>
          <w:szCs w:val="22"/>
          <w:highlight w:val="green"/>
          <w:lang w:val="en-GB"/>
        </w:rPr>
      </w:pPr>
    </w:p>
    <w:p w14:paraId="02941448" w14:textId="6C7ADF73" w:rsidR="00A23865" w:rsidRDefault="00715B47" w:rsidP="00A23865">
      <w:pPr>
        <w:widowControl/>
        <w:numPr>
          <w:ilvl w:val="0"/>
          <w:numId w:val="2"/>
        </w:numPr>
        <w:autoSpaceDE/>
        <w:autoSpaceDN/>
        <w:adjustRightInd/>
        <w:spacing w:after="120"/>
        <w:jc w:val="both"/>
        <w:rPr>
          <w:rFonts w:cs="Arial"/>
          <w:sz w:val="22"/>
          <w:szCs w:val="22"/>
        </w:rPr>
      </w:pPr>
      <w:r w:rsidRPr="00FB5474">
        <w:rPr>
          <w:rFonts w:cs="Arial"/>
          <w:sz w:val="22"/>
          <w:szCs w:val="22"/>
          <w:lang w:val="en-GB"/>
        </w:rPr>
        <w:t>The Energy Task Force</w:t>
      </w:r>
      <w:r w:rsidR="00A23865">
        <w:rPr>
          <w:rFonts w:cs="Arial"/>
          <w:sz w:val="22"/>
          <w:szCs w:val="22"/>
          <w:lang w:val="en-GB"/>
        </w:rPr>
        <w:t xml:space="preserve"> held its</w:t>
      </w:r>
      <w:r w:rsidRPr="00FB5474">
        <w:rPr>
          <w:rFonts w:cs="Arial"/>
          <w:sz w:val="22"/>
          <w:szCs w:val="22"/>
          <w:lang w:val="en-GB"/>
        </w:rPr>
        <w:t xml:space="preserve"> first </w:t>
      </w:r>
      <w:r w:rsidR="00A23865">
        <w:rPr>
          <w:rFonts w:cs="Arial"/>
          <w:sz w:val="22"/>
          <w:szCs w:val="22"/>
          <w:lang w:val="en-GB"/>
        </w:rPr>
        <w:t xml:space="preserve">meeting </w:t>
      </w:r>
      <w:r w:rsidRPr="00FB5474">
        <w:rPr>
          <w:rFonts w:cs="Arial"/>
          <w:sz w:val="22"/>
          <w:szCs w:val="22"/>
          <w:lang w:val="en-GB"/>
        </w:rPr>
        <w:t xml:space="preserve">in Cape Town, South Africa, 1-2 December 2016. </w:t>
      </w:r>
      <w:r w:rsidR="00A23865">
        <w:rPr>
          <w:rFonts w:cs="Arial"/>
          <w:sz w:val="22"/>
          <w:szCs w:val="22"/>
          <w:lang w:val="en-GB"/>
        </w:rPr>
        <w:t>A r</w:t>
      </w:r>
      <w:proofErr w:type="spellStart"/>
      <w:r w:rsidR="00A23865">
        <w:rPr>
          <w:rFonts w:cs="Arial"/>
          <w:sz w:val="22"/>
          <w:szCs w:val="22"/>
        </w:rPr>
        <w:t>eport</w:t>
      </w:r>
      <w:proofErr w:type="spellEnd"/>
      <w:r w:rsidR="00A23865">
        <w:rPr>
          <w:rFonts w:cs="Arial"/>
          <w:sz w:val="22"/>
          <w:szCs w:val="22"/>
        </w:rPr>
        <w:t xml:space="preserve"> of the meeting can be accessed </w:t>
      </w:r>
      <w:hyperlink r:id="rId21" w:history="1">
        <w:r w:rsidR="00A23865" w:rsidRPr="00EB0B55">
          <w:rPr>
            <w:rStyle w:val="Hyperlink"/>
            <w:rFonts w:cs="Arial"/>
            <w:sz w:val="22"/>
            <w:szCs w:val="22"/>
          </w:rPr>
          <w:t>here</w:t>
        </w:r>
      </w:hyperlink>
      <w:r w:rsidR="00A23865">
        <w:rPr>
          <w:rFonts w:cs="Arial"/>
          <w:sz w:val="22"/>
          <w:szCs w:val="22"/>
        </w:rPr>
        <w:t>.</w:t>
      </w:r>
    </w:p>
    <w:p w14:paraId="0E4DC484" w14:textId="4CCB6F6A" w:rsidR="00A23865" w:rsidRDefault="00A23865" w:rsidP="00A23865">
      <w:pPr>
        <w:widowControl/>
        <w:numPr>
          <w:ilvl w:val="0"/>
          <w:numId w:val="2"/>
        </w:numPr>
        <w:autoSpaceDE/>
        <w:autoSpaceDN/>
        <w:adjustRightInd/>
        <w:spacing w:after="120"/>
        <w:jc w:val="both"/>
        <w:rPr>
          <w:rFonts w:cs="Arial"/>
          <w:sz w:val="22"/>
          <w:szCs w:val="22"/>
        </w:rPr>
      </w:pPr>
      <w:r>
        <w:rPr>
          <w:rFonts w:cs="Arial"/>
          <w:sz w:val="22"/>
          <w:szCs w:val="22"/>
        </w:rPr>
        <w:t>The main outcomes of the meeting include:</w:t>
      </w:r>
    </w:p>
    <w:p w14:paraId="53F2353D" w14:textId="24464E81" w:rsidR="00715B47" w:rsidRPr="00C776F1" w:rsidRDefault="00A23865" w:rsidP="00C776F1">
      <w:pPr>
        <w:pStyle w:val="ListParagraph"/>
        <w:numPr>
          <w:ilvl w:val="0"/>
          <w:numId w:val="13"/>
        </w:numPr>
        <w:jc w:val="both"/>
        <w:rPr>
          <w:rFonts w:cs="Arial"/>
          <w:sz w:val="22"/>
          <w:szCs w:val="22"/>
          <w:lang w:val="en-GB"/>
        </w:rPr>
      </w:pPr>
      <w:r>
        <w:rPr>
          <w:rFonts w:cs="Arial"/>
          <w:sz w:val="22"/>
          <w:szCs w:val="22"/>
        </w:rPr>
        <w:t xml:space="preserve">the elaboration </w:t>
      </w:r>
      <w:r w:rsidR="00E7026A">
        <w:rPr>
          <w:rFonts w:cs="Arial"/>
          <w:sz w:val="22"/>
          <w:szCs w:val="22"/>
        </w:rPr>
        <w:t xml:space="preserve">and adoption </w:t>
      </w:r>
      <w:r>
        <w:rPr>
          <w:rFonts w:cs="Arial"/>
          <w:sz w:val="22"/>
          <w:szCs w:val="22"/>
        </w:rPr>
        <w:t xml:space="preserve">of the </w:t>
      </w:r>
      <w:hyperlink r:id="rId22" w:history="1">
        <w:r w:rsidRPr="00E7026A">
          <w:rPr>
            <w:rStyle w:val="Hyperlink"/>
            <w:rFonts w:cs="Arial"/>
            <w:sz w:val="22"/>
            <w:szCs w:val="22"/>
          </w:rPr>
          <w:t xml:space="preserve">Modus </w:t>
        </w:r>
        <w:r w:rsidR="00E7026A" w:rsidRPr="00E7026A">
          <w:rPr>
            <w:rStyle w:val="Hyperlink"/>
            <w:rFonts w:cs="Arial"/>
            <w:sz w:val="22"/>
            <w:szCs w:val="22"/>
          </w:rPr>
          <w:t>O</w:t>
        </w:r>
        <w:r w:rsidRPr="00E7026A">
          <w:rPr>
            <w:rStyle w:val="Hyperlink"/>
            <w:rFonts w:cs="Arial"/>
            <w:sz w:val="22"/>
            <w:szCs w:val="22"/>
          </w:rPr>
          <w:t>perandi</w:t>
        </w:r>
      </w:hyperlink>
      <w:r>
        <w:rPr>
          <w:rFonts w:cs="Arial"/>
          <w:sz w:val="22"/>
          <w:szCs w:val="22"/>
        </w:rPr>
        <w:t xml:space="preserve"> of the Task </w:t>
      </w:r>
      <w:r w:rsidR="00E7026A">
        <w:rPr>
          <w:rFonts w:cs="Arial"/>
          <w:sz w:val="22"/>
          <w:szCs w:val="22"/>
        </w:rPr>
        <w:t>F</w:t>
      </w:r>
      <w:r>
        <w:rPr>
          <w:rFonts w:cs="Arial"/>
          <w:sz w:val="22"/>
          <w:szCs w:val="22"/>
        </w:rPr>
        <w:t>orce</w:t>
      </w:r>
      <w:r w:rsidR="00E7026A">
        <w:rPr>
          <w:rFonts w:cs="Arial"/>
          <w:sz w:val="22"/>
          <w:szCs w:val="22"/>
        </w:rPr>
        <w:t>, building on and expanding the Terms of Reference contained in Resolution 11.27;</w:t>
      </w:r>
    </w:p>
    <w:p w14:paraId="66B3C20F" w14:textId="2E1644CB" w:rsidR="00E7026A" w:rsidRDefault="00E7026A" w:rsidP="00C776F1">
      <w:pPr>
        <w:pStyle w:val="ListParagraph"/>
        <w:numPr>
          <w:ilvl w:val="0"/>
          <w:numId w:val="13"/>
        </w:numPr>
        <w:jc w:val="both"/>
        <w:rPr>
          <w:rFonts w:cs="Arial"/>
          <w:sz w:val="22"/>
          <w:szCs w:val="22"/>
          <w:lang w:val="en-GB"/>
        </w:rPr>
      </w:pPr>
      <w:r>
        <w:rPr>
          <w:rFonts w:cs="Arial"/>
          <w:sz w:val="22"/>
          <w:szCs w:val="22"/>
          <w:lang w:val="en-GB"/>
        </w:rPr>
        <w:t xml:space="preserve">the development and adoption of a </w:t>
      </w:r>
      <w:hyperlink r:id="rId23" w:history="1">
        <w:r w:rsidRPr="00E7026A">
          <w:rPr>
            <w:rStyle w:val="Hyperlink"/>
            <w:rFonts w:cs="Arial"/>
            <w:sz w:val="22"/>
            <w:szCs w:val="22"/>
            <w:lang w:val="en-GB"/>
          </w:rPr>
          <w:t>Work Plan for the Energy Task Force for 2017-2018</w:t>
        </w:r>
      </w:hyperlink>
      <w:r>
        <w:rPr>
          <w:rFonts w:cs="Arial"/>
          <w:sz w:val="22"/>
          <w:szCs w:val="22"/>
          <w:lang w:val="en-GB"/>
        </w:rPr>
        <w:t>, designed on the remit of the Task  Force as defined in Resolution 11.27;</w:t>
      </w:r>
    </w:p>
    <w:p w14:paraId="2759E282" w14:textId="46B5988B" w:rsidR="00B05A07" w:rsidRDefault="00B05A07" w:rsidP="00C776F1">
      <w:pPr>
        <w:pStyle w:val="ListParagraph"/>
        <w:numPr>
          <w:ilvl w:val="0"/>
          <w:numId w:val="13"/>
        </w:numPr>
        <w:jc w:val="both"/>
        <w:rPr>
          <w:rFonts w:cs="Arial"/>
          <w:sz w:val="22"/>
          <w:szCs w:val="22"/>
          <w:lang w:val="en-GB"/>
        </w:rPr>
      </w:pPr>
      <w:r>
        <w:rPr>
          <w:rFonts w:cs="Arial"/>
          <w:sz w:val="22"/>
          <w:szCs w:val="22"/>
          <w:lang w:val="en-GB"/>
        </w:rPr>
        <w:t>the adoption of a ‘</w:t>
      </w:r>
      <w:hyperlink r:id="rId24" w:history="1">
        <w:r w:rsidRPr="00823EC9">
          <w:rPr>
            <w:rStyle w:val="Hyperlink"/>
            <w:rFonts w:cs="Arial"/>
            <w:sz w:val="22"/>
            <w:szCs w:val="22"/>
            <w:lang w:val="en-GB"/>
          </w:rPr>
          <w:t>Cape Town Declaration</w:t>
        </w:r>
      </w:hyperlink>
      <w:r>
        <w:rPr>
          <w:rFonts w:cs="Arial"/>
          <w:sz w:val="22"/>
          <w:szCs w:val="22"/>
          <w:lang w:val="en-GB"/>
        </w:rPr>
        <w:t xml:space="preserve">’, to serve as a tool to inform stakeholders about the objectives of the Energy Task Force and its approach to achieve them; </w:t>
      </w:r>
    </w:p>
    <w:p w14:paraId="1CCF018D" w14:textId="02DD14D9" w:rsidR="00E672F8" w:rsidRDefault="00E672F8" w:rsidP="00E672F8">
      <w:pPr>
        <w:pStyle w:val="ListParagraph"/>
        <w:widowControl/>
        <w:numPr>
          <w:ilvl w:val="0"/>
          <w:numId w:val="13"/>
        </w:numPr>
        <w:autoSpaceDE/>
        <w:autoSpaceDN/>
        <w:adjustRightInd/>
        <w:jc w:val="both"/>
        <w:rPr>
          <w:rFonts w:cs="Arial"/>
          <w:sz w:val="22"/>
          <w:szCs w:val="22"/>
        </w:rPr>
      </w:pPr>
      <w:r>
        <w:rPr>
          <w:rFonts w:cs="Arial"/>
          <w:sz w:val="22"/>
          <w:szCs w:val="22"/>
        </w:rPr>
        <w:t xml:space="preserve">the establishment of a </w:t>
      </w:r>
      <w:r w:rsidRPr="00EB0B55">
        <w:rPr>
          <w:rFonts w:cs="Arial"/>
          <w:sz w:val="22"/>
          <w:szCs w:val="22"/>
        </w:rPr>
        <w:t>Technical Working Group of the En</w:t>
      </w:r>
      <w:r>
        <w:rPr>
          <w:rFonts w:cs="Arial"/>
          <w:sz w:val="22"/>
          <w:szCs w:val="22"/>
        </w:rPr>
        <w:t xml:space="preserve">ergy Task Force </w:t>
      </w:r>
      <w:r w:rsidRPr="00EB0B55">
        <w:rPr>
          <w:rFonts w:cs="Arial"/>
          <w:sz w:val="22"/>
          <w:szCs w:val="22"/>
        </w:rPr>
        <w:t xml:space="preserve">with the task to carry out a selected number of activities, including to: identify key </w:t>
      </w:r>
      <w:r w:rsidRPr="00EB0B55">
        <w:rPr>
          <w:rFonts w:cs="Arial"/>
          <w:bCs/>
          <w:sz w:val="22"/>
          <w:szCs w:val="22"/>
        </w:rPr>
        <w:t>research priorities</w:t>
      </w:r>
      <w:r w:rsidRPr="00EB0B55">
        <w:rPr>
          <w:rFonts w:cs="Arial"/>
          <w:sz w:val="22"/>
          <w:szCs w:val="22"/>
        </w:rPr>
        <w:t xml:space="preserve"> and communicate these to the Energy Task Force and to inform future engagement with research institutions; review existing guidance material to identify gaps, and prepare a series of </w:t>
      </w:r>
      <w:r w:rsidRPr="00EB0B55">
        <w:rPr>
          <w:rFonts w:cs="Arial"/>
          <w:bCs/>
          <w:sz w:val="22"/>
          <w:szCs w:val="22"/>
        </w:rPr>
        <w:t>technical notes</w:t>
      </w:r>
      <w:r w:rsidRPr="00EB0B55">
        <w:rPr>
          <w:rFonts w:cs="Arial"/>
          <w:sz w:val="22"/>
          <w:szCs w:val="22"/>
        </w:rPr>
        <w:t xml:space="preserve"> to accompany the existing CMS/AEWA guidelines if needed; and convene a process to review and compare existing </w:t>
      </w:r>
      <w:r w:rsidRPr="00EB0B55">
        <w:rPr>
          <w:rFonts w:cs="Arial"/>
          <w:bCs/>
          <w:sz w:val="22"/>
          <w:szCs w:val="22"/>
        </w:rPr>
        <w:t>sensitivity mapping tools</w:t>
      </w:r>
      <w:r w:rsidRPr="00EB0B55">
        <w:rPr>
          <w:rFonts w:cs="Arial"/>
          <w:sz w:val="22"/>
          <w:szCs w:val="22"/>
        </w:rPr>
        <w:t>, and provide recommendations on</w:t>
      </w:r>
      <w:r>
        <w:rPr>
          <w:rFonts w:cs="Arial"/>
          <w:sz w:val="22"/>
          <w:szCs w:val="22"/>
        </w:rPr>
        <w:t xml:space="preserve"> these to the Energy Task Force.</w:t>
      </w:r>
    </w:p>
    <w:p w14:paraId="76756F7E" w14:textId="77777777" w:rsidR="00E672F8" w:rsidRPr="00EB0B55" w:rsidRDefault="00E672F8" w:rsidP="00C776F1">
      <w:pPr>
        <w:pStyle w:val="ListParagraph"/>
        <w:widowControl/>
        <w:autoSpaceDE/>
        <w:autoSpaceDN/>
        <w:adjustRightInd/>
        <w:jc w:val="both"/>
        <w:rPr>
          <w:rFonts w:cs="Arial"/>
          <w:sz w:val="22"/>
          <w:szCs w:val="22"/>
        </w:rPr>
      </w:pPr>
    </w:p>
    <w:p w14:paraId="2C3B2906" w14:textId="35345E8E" w:rsidR="00EB0B55" w:rsidRPr="00EB0B55" w:rsidRDefault="00EB0B55" w:rsidP="00EB0B55">
      <w:pPr>
        <w:widowControl/>
        <w:numPr>
          <w:ilvl w:val="0"/>
          <w:numId w:val="2"/>
        </w:numPr>
        <w:autoSpaceDE/>
        <w:autoSpaceDN/>
        <w:adjustRightInd/>
        <w:spacing w:after="120"/>
        <w:jc w:val="both"/>
        <w:rPr>
          <w:rFonts w:cs="Arial"/>
          <w:sz w:val="22"/>
          <w:szCs w:val="22"/>
        </w:rPr>
      </w:pPr>
      <w:r>
        <w:rPr>
          <w:rFonts w:cs="Arial"/>
          <w:sz w:val="22"/>
          <w:szCs w:val="22"/>
        </w:rPr>
        <w:t>A remote meeting via teleconference took place on 6</w:t>
      </w:r>
      <w:r w:rsidR="008F52A4">
        <w:rPr>
          <w:rFonts w:cs="Arial"/>
          <w:sz w:val="22"/>
          <w:szCs w:val="22"/>
        </w:rPr>
        <w:t xml:space="preserve"> </w:t>
      </w:r>
      <w:r>
        <w:rPr>
          <w:rFonts w:cs="Arial"/>
          <w:sz w:val="22"/>
          <w:szCs w:val="22"/>
        </w:rPr>
        <w:t>April</w:t>
      </w:r>
      <w:r w:rsidR="00E672F8">
        <w:rPr>
          <w:rFonts w:cs="Arial"/>
          <w:sz w:val="22"/>
          <w:szCs w:val="22"/>
        </w:rPr>
        <w:t xml:space="preserve"> of 2017</w:t>
      </w:r>
      <w:r>
        <w:rPr>
          <w:rFonts w:cs="Arial"/>
          <w:sz w:val="22"/>
          <w:szCs w:val="22"/>
        </w:rPr>
        <w:t xml:space="preserve">, where members discussed developments and follow-up of the First meeting of the Energy Task Force. </w:t>
      </w:r>
    </w:p>
    <w:p w14:paraId="6669089E" w14:textId="192F0F4C" w:rsidR="00E672F8" w:rsidRDefault="00F76B75" w:rsidP="00715B47">
      <w:pPr>
        <w:pStyle w:val="ListParagraph"/>
        <w:widowControl/>
        <w:numPr>
          <w:ilvl w:val="0"/>
          <w:numId w:val="2"/>
        </w:numPr>
        <w:autoSpaceDE/>
        <w:autoSpaceDN/>
        <w:adjustRightInd/>
        <w:jc w:val="both"/>
        <w:rPr>
          <w:rFonts w:cs="Arial"/>
          <w:sz w:val="22"/>
          <w:szCs w:val="22"/>
        </w:rPr>
      </w:pPr>
      <w:r>
        <w:rPr>
          <w:rFonts w:cs="Arial"/>
          <w:sz w:val="22"/>
          <w:szCs w:val="22"/>
        </w:rPr>
        <w:t xml:space="preserve">The </w:t>
      </w:r>
      <w:r w:rsidR="00E672F8">
        <w:rPr>
          <w:rFonts w:cs="Arial"/>
          <w:sz w:val="22"/>
          <w:szCs w:val="22"/>
        </w:rPr>
        <w:t>2</w:t>
      </w:r>
      <w:r w:rsidR="00E672F8" w:rsidRPr="004E4C34">
        <w:rPr>
          <w:rFonts w:cs="Arial"/>
          <w:sz w:val="22"/>
          <w:szCs w:val="22"/>
          <w:vertAlign w:val="superscript"/>
        </w:rPr>
        <w:t>nd</w:t>
      </w:r>
      <w:r w:rsidR="008F52A4">
        <w:rPr>
          <w:rFonts w:cs="Arial"/>
          <w:sz w:val="22"/>
          <w:szCs w:val="22"/>
        </w:rPr>
        <w:t xml:space="preserve"> </w:t>
      </w:r>
      <w:r w:rsidR="00EB0B55">
        <w:rPr>
          <w:rFonts w:cs="Arial"/>
          <w:sz w:val="22"/>
          <w:szCs w:val="22"/>
        </w:rPr>
        <w:t>M</w:t>
      </w:r>
      <w:r w:rsidR="00715B47" w:rsidRPr="007044EF">
        <w:rPr>
          <w:rFonts w:cs="Arial"/>
          <w:sz w:val="22"/>
          <w:szCs w:val="22"/>
        </w:rPr>
        <w:t xml:space="preserve">eeting of the Energy Task Force </w:t>
      </w:r>
      <w:r w:rsidR="00E672F8">
        <w:rPr>
          <w:rFonts w:cs="Arial"/>
          <w:sz w:val="22"/>
          <w:szCs w:val="22"/>
        </w:rPr>
        <w:t>is scheduled to take</w:t>
      </w:r>
      <w:r w:rsidR="00715B47" w:rsidRPr="007044EF">
        <w:rPr>
          <w:rFonts w:cs="Arial"/>
          <w:sz w:val="22"/>
          <w:szCs w:val="22"/>
        </w:rPr>
        <w:t xml:space="preserve"> place in Bonn, Germany, </w:t>
      </w:r>
      <w:r w:rsidR="00E672F8">
        <w:rPr>
          <w:rFonts w:cs="Arial"/>
          <w:sz w:val="22"/>
          <w:szCs w:val="22"/>
        </w:rPr>
        <w:t xml:space="preserve">14-15 </w:t>
      </w:r>
      <w:r w:rsidR="00715B47">
        <w:rPr>
          <w:rFonts w:cs="Arial"/>
          <w:sz w:val="22"/>
          <w:szCs w:val="22"/>
        </w:rPr>
        <w:t>September 2017</w:t>
      </w:r>
      <w:r w:rsidR="0016698F">
        <w:rPr>
          <w:rFonts w:cs="Arial"/>
          <w:sz w:val="22"/>
          <w:szCs w:val="22"/>
        </w:rPr>
        <w:t>, at the CMS Secretariat’s premises</w:t>
      </w:r>
      <w:r w:rsidR="00E672F8">
        <w:rPr>
          <w:rFonts w:cs="Arial"/>
          <w:sz w:val="22"/>
          <w:szCs w:val="22"/>
        </w:rPr>
        <w:t>.</w:t>
      </w:r>
    </w:p>
    <w:p w14:paraId="43E22945" w14:textId="77777777" w:rsidR="00E672F8" w:rsidRDefault="00E672F8" w:rsidP="00C776F1">
      <w:pPr>
        <w:pStyle w:val="ListParagraph"/>
        <w:widowControl/>
        <w:autoSpaceDE/>
        <w:autoSpaceDN/>
        <w:adjustRightInd/>
        <w:ind w:left="360"/>
        <w:jc w:val="both"/>
        <w:rPr>
          <w:rFonts w:cs="Arial"/>
          <w:sz w:val="22"/>
          <w:szCs w:val="22"/>
        </w:rPr>
      </w:pPr>
    </w:p>
    <w:p w14:paraId="585493BA" w14:textId="0FE4F88F" w:rsidR="00715B47" w:rsidRDefault="00E672F8" w:rsidP="00715B47">
      <w:pPr>
        <w:pStyle w:val="ListParagraph"/>
        <w:widowControl/>
        <w:numPr>
          <w:ilvl w:val="0"/>
          <w:numId w:val="2"/>
        </w:numPr>
        <w:autoSpaceDE/>
        <w:autoSpaceDN/>
        <w:adjustRightInd/>
        <w:jc w:val="both"/>
        <w:rPr>
          <w:rFonts w:cs="Arial"/>
          <w:sz w:val="22"/>
          <w:szCs w:val="22"/>
        </w:rPr>
      </w:pPr>
      <w:r>
        <w:rPr>
          <w:rFonts w:cs="Arial"/>
          <w:sz w:val="22"/>
          <w:szCs w:val="22"/>
        </w:rPr>
        <w:t>A more detailed account of the activities of the Energy Task Force including the main outcomes of its 2</w:t>
      </w:r>
      <w:r w:rsidRPr="00C776F1">
        <w:rPr>
          <w:rFonts w:cs="Arial"/>
          <w:sz w:val="22"/>
          <w:szCs w:val="22"/>
          <w:vertAlign w:val="superscript"/>
        </w:rPr>
        <w:t>nd</w:t>
      </w:r>
      <w:r>
        <w:rPr>
          <w:rFonts w:cs="Arial"/>
          <w:sz w:val="22"/>
          <w:szCs w:val="22"/>
        </w:rPr>
        <w:t xml:space="preserve"> </w:t>
      </w:r>
      <w:r w:rsidR="0016698F">
        <w:rPr>
          <w:rFonts w:cs="Arial"/>
          <w:sz w:val="22"/>
          <w:szCs w:val="22"/>
        </w:rPr>
        <w:t xml:space="preserve">meeting </w:t>
      </w:r>
      <w:r>
        <w:rPr>
          <w:rFonts w:cs="Arial"/>
          <w:sz w:val="22"/>
          <w:szCs w:val="22"/>
        </w:rPr>
        <w:t>is expected to be provided</w:t>
      </w:r>
      <w:r w:rsidR="0016698F">
        <w:rPr>
          <w:rFonts w:cs="Arial"/>
          <w:sz w:val="22"/>
          <w:szCs w:val="22"/>
        </w:rPr>
        <w:t xml:space="preserve"> to COP12 by the Task Force in the form of an information document. </w:t>
      </w:r>
      <w:r>
        <w:rPr>
          <w:rFonts w:cs="Arial"/>
          <w:sz w:val="22"/>
          <w:szCs w:val="22"/>
        </w:rPr>
        <w:t xml:space="preserve"> </w:t>
      </w:r>
    </w:p>
    <w:p w14:paraId="4F9FA6BF" w14:textId="77777777" w:rsidR="00715B47" w:rsidRDefault="00715B47" w:rsidP="00715B47">
      <w:pPr>
        <w:pStyle w:val="ListParagraph"/>
        <w:widowControl/>
        <w:autoSpaceDE/>
        <w:autoSpaceDN/>
        <w:adjustRightInd/>
        <w:ind w:left="360"/>
        <w:jc w:val="both"/>
        <w:rPr>
          <w:rFonts w:cs="Arial"/>
          <w:sz w:val="22"/>
          <w:szCs w:val="22"/>
        </w:rPr>
      </w:pPr>
    </w:p>
    <w:p w14:paraId="0ADC3E36" w14:textId="77777777" w:rsidR="00EA36BD" w:rsidRPr="00C412ED" w:rsidRDefault="00EA36BD" w:rsidP="00EA36BD">
      <w:pPr>
        <w:pStyle w:val="ListParagraph"/>
        <w:widowControl/>
        <w:autoSpaceDE/>
        <w:autoSpaceDN/>
        <w:adjustRightInd/>
        <w:ind w:left="360"/>
        <w:jc w:val="both"/>
        <w:rPr>
          <w:rFonts w:cs="Arial"/>
          <w:sz w:val="22"/>
          <w:szCs w:val="22"/>
        </w:rPr>
      </w:pPr>
    </w:p>
    <w:p w14:paraId="61A1BF67" w14:textId="77777777" w:rsidR="00EA36BD" w:rsidRPr="00CD0FE9" w:rsidRDefault="00EA36BD" w:rsidP="00EA36BD">
      <w:pPr>
        <w:jc w:val="both"/>
        <w:rPr>
          <w:rFonts w:cs="Arial"/>
          <w:sz w:val="22"/>
          <w:szCs w:val="22"/>
          <w:u w:val="single"/>
          <w:lang w:val="en-GB"/>
        </w:rPr>
      </w:pPr>
      <w:r>
        <w:rPr>
          <w:rFonts w:cs="Arial"/>
          <w:sz w:val="22"/>
          <w:szCs w:val="22"/>
          <w:u w:val="single"/>
          <w:lang w:val="en-GB"/>
        </w:rPr>
        <w:t>Other related activities of outreach and network building</w:t>
      </w:r>
    </w:p>
    <w:p w14:paraId="1538B554" w14:textId="77777777" w:rsidR="00EA36BD" w:rsidRPr="00CD0FE9" w:rsidRDefault="00EA36BD" w:rsidP="00EA36BD">
      <w:pPr>
        <w:rPr>
          <w:rFonts w:cs="Arial"/>
          <w:sz w:val="22"/>
          <w:szCs w:val="22"/>
          <w:lang w:val="en-GB"/>
        </w:rPr>
      </w:pPr>
    </w:p>
    <w:p w14:paraId="3B910200" w14:textId="3E39FD65" w:rsidR="00EA36BD" w:rsidRPr="00B05A07" w:rsidRDefault="0016698F" w:rsidP="00C776F1">
      <w:pPr>
        <w:numPr>
          <w:ilvl w:val="0"/>
          <w:numId w:val="2"/>
        </w:numPr>
        <w:contextualSpacing/>
        <w:jc w:val="both"/>
        <w:rPr>
          <w:rFonts w:cs="Arial"/>
          <w:sz w:val="22"/>
          <w:szCs w:val="22"/>
          <w:lang w:val="en-GB"/>
        </w:rPr>
      </w:pPr>
      <w:r w:rsidRPr="00C776F1">
        <w:rPr>
          <w:rFonts w:cs="Arial"/>
          <w:sz w:val="22"/>
          <w:szCs w:val="22"/>
          <w:lang w:val="en"/>
        </w:rPr>
        <w:t xml:space="preserve">A side event titled “Energy and Migratory Birds: Solutions for a Brighter Future” was organized in the margins of AEWA MOP6 </w:t>
      </w:r>
      <w:r w:rsidRPr="00B05A07">
        <w:rPr>
          <w:rFonts w:cs="Arial"/>
          <w:sz w:val="22"/>
          <w:szCs w:val="22"/>
          <w:lang w:val="en-GB"/>
        </w:rPr>
        <w:t>i</w:t>
      </w:r>
      <w:r w:rsidR="00EA36BD" w:rsidRPr="00B05A07">
        <w:rPr>
          <w:rFonts w:cs="Arial"/>
          <w:sz w:val="22"/>
          <w:szCs w:val="22"/>
          <w:lang w:val="en-GB"/>
        </w:rPr>
        <w:t xml:space="preserve">n </w:t>
      </w:r>
      <w:r w:rsidRPr="00B05A07">
        <w:rPr>
          <w:rFonts w:cs="Arial"/>
          <w:sz w:val="22"/>
          <w:szCs w:val="22"/>
          <w:lang w:val="en-GB"/>
        </w:rPr>
        <w:t>November</w:t>
      </w:r>
      <w:r w:rsidR="00EA36BD" w:rsidRPr="00B05A07">
        <w:rPr>
          <w:rFonts w:cs="Arial"/>
          <w:sz w:val="22"/>
          <w:szCs w:val="22"/>
          <w:lang w:val="en-GB"/>
        </w:rPr>
        <w:t xml:space="preserve"> 201</w:t>
      </w:r>
      <w:r w:rsidRPr="00B05A07">
        <w:rPr>
          <w:rFonts w:cs="Arial"/>
          <w:sz w:val="22"/>
          <w:szCs w:val="22"/>
          <w:lang w:val="en-GB"/>
        </w:rPr>
        <w:t>5</w:t>
      </w:r>
      <w:r>
        <w:rPr>
          <w:rFonts w:cs="Arial"/>
          <w:sz w:val="22"/>
          <w:szCs w:val="22"/>
          <w:lang w:val="en-GB"/>
        </w:rPr>
        <w:t xml:space="preserve"> by the CMS Secretariat and </w:t>
      </w:r>
      <w:proofErr w:type="spellStart"/>
      <w:r w:rsidR="008F52A4">
        <w:rPr>
          <w:rFonts w:cs="Arial"/>
          <w:sz w:val="22"/>
          <w:szCs w:val="22"/>
          <w:lang w:val="en-GB"/>
        </w:rPr>
        <w:t>B</w:t>
      </w:r>
      <w:r>
        <w:rPr>
          <w:rFonts w:cs="Arial"/>
          <w:sz w:val="22"/>
          <w:szCs w:val="22"/>
          <w:lang w:val="en-GB"/>
        </w:rPr>
        <w:t>ird</w:t>
      </w:r>
      <w:r w:rsidR="008F52A4">
        <w:rPr>
          <w:rFonts w:cs="Arial"/>
          <w:sz w:val="22"/>
          <w:szCs w:val="22"/>
          <w:lang w:val="en-GB"/>
        </w:rPr>
        <w:t>L</w:t>
      </w:r>
      <w:r>
        <w:rPr>
          <w:rFonts w:cs="Arial"/>
          <w:sz w:val="22"/>
          <w:szCs w:val="22"/>
          <w:lang w:val="en-GB"/>
        </w:rPr>
        <w:t>ife</w:t>
      </w:r>
      <w:proofErr w:type="spellEnd"/>
      <w:r>
        <w:rPr>
          <w:rFonts w:cs="Arial"/>
          <w:sz w:val="22"/>
          <w:szCs w:val="22"/>
          <w:lang w:val="en-GB"/>
        </w:rPr>
        <w:t xml:space="preserve"> International. An account of the side event can be found </w:t>
      </w:r>
      <w:r w:rsidR="000A5570">
        <w:rPr>
          <w:rFonts w:cs="Arial"/>
          <w:sz w:val="22"/>
          <w:szCs w:val="22"/>
          <w:lang w:val="en-GB"/>
        </w:rPr>
        <w:t xml:space="preserve">at </w:t>
      </w:r>
      <w:hyperlink r:id="rId25" w:history="1">
        <w:r w:rsidR="000A5570" w:rsidRPr="000A5570">
          <w:rPr>
            <w:rStyle w:val="Hyperlink"/>
            <w:rFonts w:cs="Arial"/>
            <w:sz w:val="22"/>
            <w:szCs w:val="22"/>
            <w:lang w:val="en-GB"/>
          </w:rPr>
          <w:t>this link</w:t>
        </w:r>
      </w:hyperlink>
      <w:r w:rsidR="000A5570">
        <w:rPr>
          <w:rFonts w:cs="Arial"/>
          <w:sz w:val="22"/>
          <w:szCs w:val="22"/>
          <w:lang w:val="en-GB"/>
        </w:rPr>
        <w:t>.</w:t>
      </w:r>
    </w:p>
    <w:p w14:paraId="45069377" w14:textId="77777777" w:rsidR="00EA36BD" w:rsidRPr="00A72541" w:rsidRDefault="00EA36BD" w:rsidP="00EA36BD">
      <w:pPr>
        <w:ind w:left="360"/>
        <w:contextualSpacing/>
        <w:rPr>
          <w:rFonts w:cs="Arial"/>
          <w:sz w:val="22"/>
          <w:szCs w:val="22"/>
          <w:lang w:val="en-GB"/>
        </w:rPr>
      </w:pPr>
    </w:p>
    <w:p w14:paraId="2854116D" w14:textId="5C1CD571" w:rsidR="00EA36BD" w:rsidRPr="00A72541" w:rsidRDefault="000A5570" w:rsidP="00EA36BD">
      <w:pPr>
        <w:numPr>
          <w:ilvl w:val="0"/>
          <w:numId w:val="2"/>
        </w:numPr>
        <w:contextualSpacing/>
        <w:jc w:val="both"/>
        <w:rPr>
          <w:rFonts w:cs="Arial"/>
          <w:sz w:val="22"/>
          <w:szCs w:val="22"/>
          <w:lang w:val="en-GB"/>
        </w:rPr>
      </w:pPr>
      <w:r>
        <w:rPr>
          <w:rFonts w:cs="Arial"/>
          <w:sz w:val="22"/>
          <w:szCs w:val="22"/>
          <w:lang w:val="en-GB"/>
        </w:rPr>
        <w:t>T</w:t>
      </w:r>
      <w:r w:rsidR="00EA36BD">
        <w:rPr>
          <w:rFonts w:cs="Arial"/>
          <w:sz w:val="22"/>
          <w:szCs w:val="22"/>
          <w:lang w:val="en-GB"/>
        </w:rPr>
        <w:t>he</w:t>
      </w:r>
      <w:r w:rsidR="00EA36BD" w:rsidRPr="00A72541">
        <w:rPr>
          <w:rFonts w:cs="Arial"/>
          <w:sz w:val="22"/>
          <w:szCs w:val="22"/>
          <w:lang w:val="en-GB"/>
        </w:rPr>
        <w:t xml:space="preserve"> CMS Family and </w:t>
      </w:r>
      <w:proofErr w:type="spellStart"/>
      <w:r w:rsidR="00EA36BD" w:rsidRPr="00A72541">
        <w:rPr>
          <w:rFonts w:cs="Arial"/>
          <w:sz w:val="22"/>
          <w:szCs w:val="22"/>
          <w:lang w:val="en-GB"/>
        </w:rPr>
        <w:t>BirdLife</w:t>
      </w:r>
      <w:proofErr w:type="spellEnd"/>
      <w:r w:rsidR="00EA36BD" w:rsidRPr="00A72541">
        <w:rPr>
          <w:rFonts w:cs="Arial"/>
          <w:sz w:val="22"/>
          <w:szCs w:val="22"/>
          <w:lang w:val="en-GB"/>
        </w:rPr>
        <w:t xml:space="preserve"> International </w:t>
      </w:r>
      <w:r w:rsidR="00EA36BD">
        <w:rPr>
          <w:rFonts w:cs="Arial"/>
          <w:sz w:val="22"/>
          <w:szCs w:val="22"/>
          <w:lang w:val="en-GB"/>
        </w:rPr>
        <w:t>organi</w:t>
      </w:r>
      <w:r w:rsidR="008F52A4">
        <w:rPr>
          <w:rFonts w:cs="Arial"/>
          <w:sz w:val="22"/>
          <w:szCs w:val="22"/>
          <w:lang w:val="en-GB"/>
        </w:rPr>
        <w:t>z</w:t>
      </w:r>
      <w:r w:rsidR="00EA36BD">
        <w:rPr>
          <w:rFonts w:cs="Arial"/>
          <w:sz w:val="22"/>
          <w:szCs w:val="22"/>
          <w:lang w:val="en-GB"/>
        </w:rPr>
        <w:t>ed a side event</w:t>
      </w:r>
      <w:r w:rsidR="00EA36BD" w:rsidRPr="00A72541">
        <w:rPr>
          <w:rFonts w:cs="Arial"/>
          <w:sz w:val="22"/>
          <w:szCs w:val="22"/>
          <w:lang w:val="en-GB"/>
        </w:rPr>
        <w:t xml:space="preserve"> at the Second Session of the United Nations Environment Assembly (UNEA)</w:t>
      </w:r>
      <w:r>
        <w:rPr>
          <w:rFonts w:cs="Arial"/>
          <w:sz w:val="22"/>
          <w:szCs w:val="22"/>
          <w:lang w:val="en-GB"/>
        </w:rPr>
        <w:t xml:space="preserve"> in May 2016 </w:t>
      </w:r>
      <w:r w:rsidR="00EA36BD" w:rsidRPr="00A72541">
        <w:rPr>
          <w:rFonts w:cs="Arial"/>
          <w:sz w:val="22"/>
          <w:szCs w:val="22"/>
          <w:lang w:val="en-GB"/>
        </w:rPr>
        <w:t xml:space="preserve">to raise awareness of </w:t>
      </w:r>
      <w:r>
        <w:rPr>
          <w:rFonts w:cs="Arial"/>
          <w:sz w:val="22"/>
          <w:szCs w:val="22"/>
          <w:lang w:val="en-GB"/>
        </w:rPr>
        <w:t xml:space="preserve">the </w:t>
      </w:r>
      <w:r w:rsidR="00EA36BD" w:rsidRPr="00A72541">
        <w:rPr>
          <w:rFonts w:cs="Arial"/>
          <w:sz w:val="22"/>
          <w:szCs w:val="22"/>
          <w:lang w:val="en-GB"/>
        </w:rPr>
        <w:t>guidelines devised to ensure that renewable energy installations are deployed in ways that have no adverse impact on migratory</w:t>
      </w:r>
      <w:r w:rsidR="00EA36BD">
        <w:rPr>
          <w:rFonts w:cs="Arial"/>
          <w:sz w:val="22"/>
          <w:szCs w:val="22"/>
          <w:lang w:val="en-GB"/>
        </w:rPr>
        <w:t xml:space="preserve"> species such as birds and bats (</w:t>
      </w:r>
      <w:hyperlink r:id="rId26" w:history="1">
        <w:r w:rsidR="00EA36BD" w:rsidRPr="004659B1">
          <w:rPr>
            <w:rStyle w:val="Hyperlink"/>
            <w:rFonts w:cs="Arial"/>
            <w:sz w:val="22"/>
            <w:szCs w:val="22"/>
            <w:lang w:val="en-GB"/>
          </w:rPr>
          <w:t>UNEA2 side event</w:t>
        </w:r>
      </w:hyperlink>
      <w:r w:rsidR="00EA36BD">
        <w:rPr>
          <w:rFonts w:cs="Arial"/>
          <w:sz w:val="22"/>
          <w:szCs w:val="22"/>
          <w:lang w:val="en-GB"/>
        </w:rPr>
        <w:t>)</w:t>
      </w:r>
      <w:r>
        <w:rPr>
          <w:rFonts w:cs="Arial"/>
          <w:sz w:val="22"/>
          <w:szCs w:val="22"/>
          <w:lang w:val="en-GB"/>
        </w:rPr>
        <w:t>.</w:t>
      </w:r>
    </w:p>
    <w:p w14:paraId="3C2D4A3B" w14:textId="77777777" w:rsidR="00EA36BD" w:rsidRDefault="00EA36BD" w:rsidP="00EA36BD">
      <w:pPr>
        <w:pStyle w:val="ListParagraph"/>
        <w:rPr>
          <w:rFonts w:cs="Arial"/>
          <w:sz w:val="22"/>
          <w:szCs w:val="22"/>
          <w:lang w:val="en-GB"/>
        </w:rPr>
      </w:pPr>
    </w:p>
    <w:p w14:paraId="308585C9" w14:textId="59353594" w:rsidR="00EA36BD" w:rsidRDefault="00EA36BD" w:rsidP="00EA36BD">
      <w:pPr>
        <w:numPr>
          <w:ilvl w:val="0"/>
          <w:numId w:val="2"/>
        </w:numPr>
        <w:contextualSpacing/>
        <w:jc w:val="both"/>
        <w:rPr>
          <w:rFonts w:cs="Arial"/>
          <w:sz w:val="22"/>
          <w:szCs w:val="22"/>
          <w:lang w:val="en-GB"/>
        </w:rPr>
      </w:pPr>
      <w:r>
        <w:rPr>
          <w:rFonts w:cs="Arial"/>
          <w:sz w:val="22"/>
          <w:szCs w:val="22"/>
          <w:lang w:val="en-GB"/>
        </w:rPr>
        <w:t>A side event on ‘</w:t>
      </w:r>
      <w:r w:rsidRPr="00D51DF6">
        <w:rPr>
          <w:rFonts w:cs="Arial"/>
          <w:sz w:val="22"/>
          <w:szCs w:val="22"/>
          <w:lang w:val="en-GB"/>
        </w:rPr>
        <w:t>Reconciling Energy Developments with Migratory Species Conservation</w:t>
      </w:r>
      <w:r>
        <w:rPr>
          <w:rFonts w:cs="Arial"/>
          <w:sz w:val="22"/>
          <w:szCs w:val="22"/>
          <w:lang w:val="en-GB"/>
        </w:rPr>
        <w:t>’ was organi</w:t>
      </w:r>
      <w:r w:rsidR="008F52A4">
        <w:rPr>
          <w:rFonts w:cs="Arial"/>
          <w:sz w:val="22"/>
          <w:szCs w:val="22"/>
          <w:lang w:val="en-GB"/>
        </w:rPr>
        <w:t>z</w:t>
      </w:r>
      <w:r>
        <w:rPr>
          <w:rFonts w:cs="Arial"/>
          <w:sz w:val="22"/>
          <w:szCs w:val="22"/>
          <w:lang w:val="en-GB"/>
        </w:rPr>
        <w:t>ed at t</w:t>
      </w:r>
      <w:r w:rsidRPr="00DD2310">
        <w:rPr>
          <w:rFonts w:cs="Arial"/>
          <w:sz w:val="22"/>
          <w:szCs w:val="22"/>
          <w:lang w:val="en-GB"/>
        </w:rPr>
        <w:t xml:space="preserve">he forty-sixth sessions of the Subsidiary Body </w:t>
      </w:r>
      <w:r>
        <w:rPr>
          <w:rFonts w:cs="Arial"/>
          <w:sz w:val="22"/>
          <w:szCs w:val="22"/>
          <w:lang w:val="en-GB"/>
        </w:rPr>
        <w:t>for Implementation (SBI 46) and</w:t>
      </w:r>
      <w:r w:rsidRPr="00DD2310">
        <w:rPr>
          <w:rFonts w:cs="Arial"/>
          <w:sz w:val="22"/>
          <w:szCs w:val="22"/>
          <w:lang w:val="en-GB"/>
        </w:rPr>
        <w:t xml:space="preserve"> Subsidiary Body for Scientific and Technological Advice (SBSTA 46) as well as the third part of the first session of the Ad Hoc Working Group on the</w:t>
      </w:r>
      <w:r>
        <w:rPr>
          <w:rFonts w:cs="Arial"/>
          <w:sz w:val="22"/>
          <w:szCs w:val="22"/>
          <w:lang w:val="en-GB"/>
        </w:rPr>
        <w:t xml:space="preserve"> Paris Agreement (APA 1-3), which took</w:t>
      </w:r>
      <w:r w:rsidRPr="00DD2310">
        <w:rPr>
          <w:rFonts w:cs="Arial"/>
          <w:sz w:val="22"/>
          <w:szCs w:val="22"/>
          <w:lang w:val="en-GB"/>
        </w:rPr>
        <w:t xml:space="preserve"> place from 8 to 18 May 2017, in Bonn, Germany</w:t>
      </w:r>
      <w:r>
        <w:rPr>
          <w:rFonts w:cs="Arial"/>
          <w:sz w:val="22"/>
          <w:szCs w:val="22"/>
          <w:lang w:val="en-GB"/>
        </w:rPr>
        <w:t xml:space="preserve"> (</w:t>
      </w:r>
      <w:hyperlink r:id="rId27" w:history="1">
        <w:r w:rsidR="008C4DC5" w:rsidRPr="00A36C77">
          <w:rPr>
            <w:rStyle w:val="Hyperlink"/>
            <w:rFonts w:cs="Arial"/>
            <w:sz w:val="22"/>
            <w:szCs w:val="22"/>
            <w:lang w:val="en-GB"/>
          </w:rPr>
          <w:t>UNFCCC side event</w:t>
        </w:r>
      </w:hyperlink>
      <w:r>
        <w:rPr>
          <w:rFonts w:cs="Arial"/>
          <w:sz w:val="22"/>
          <w:szCs w:val="22"/>
          <w:lang w:val="en-GB"/>
        </w:rPr>
        <w:t>)</w:t>
      </w:r>
      <w:r w:rsidRPr="00DD2310">
        <w:rPr>
          <w:rFonts w:cs="Arial"/>
          <w:sz w:val="22"/>
          <w:szCs w:val="22"/>
          <w:lang w:val="en-GB"/>
        </w:rPr>
        <w:t xml:space="preserve">. </w:t>
      </w:r>
    </w:p>
    <w:p w14:paraId="0D6A4D62" w14:textId="77777777" w:rsidR="00EA36BD" w:rsidRDefault="00EA36BD" w:rsidP="00EA36BD">
      <w:pPr>
        <w:ind w:left="360"/>
        <w:contextualSpacing/>
        <w:jc w:val="both"/>
        <w:rPr>
          <w:rFonts w:cs="Arial"/>
          <w:sz w:val="22"/>
          <w:szCs w:val="22"/>
          <w:lang w:val="en-GB"/>
        </w:rPr>
      </w:pPr>
    </w:p>
    <w:p w14:paraId="7727B1DB" w14:textId="77777777" w:rsidR="00A702A1" w:rsidRPr="00CD7355" w:rsidRDefault="00A702A1" w:rsidP="00EA36BD">
      <w:pPr>
        <w:ind w:left="360"/>
        <w:contextualSpacing/>
        <w:jc w:val="both"/>
        <w:rPr>
          <w:rFonts w:cs="Arial"/>
          <w:sz w:val="22"/>
          <w:szCs w:val="22"/>
          <w:lang w:val="en-GB"/>
        </w:rPr>
      </w:pPr>
    </w:p>
    <w:p w14:paraId="7CE16777" w14:textId="32A7B28B" w:rsidR="00EA36BD" w:rsidRDefault="008E49B6" w:rsidP="00EA36BD">
      <w:pPr>
        <w:rPr>
          <w:rFonts w:cs="Arial"/>
          <w:sz w:val="22"/>
          <w:szCs w:val="22"/>
          <w:u w:val="single"/>
          <w:lang w:val="en-GB"/>
        </w:rPr>
      </w:pPr>
      <w:r>
        <w:rPr>
          <w:rFonts w:cs="Arial"/>
          <w:sz w:val="22"/>
          <w:szCs w:val="22"/>
          <w:u w:val="single"/>
          <w:lang w:val="en-GB"/>
        </w:rPr>
        <w:t>R</w:t>
      </w:r>
      <w:r w:rsidR="00EA36BD">
        <w:rPr>
          <w:rFonts w:cs="Arial"/>
          <w:sz w:val="22"/>
          <w:szCs w:val="22"/>
          <w:u w:val="single"/>
          <w:lang w:val="en-GB"/>
        </w:rPr>
        <w:t xml:space="preserve">epeal </w:t>
      </w:r>
      <w:r>
        <w:rPr>
          <w:rFonts w:cs="Arial"/>
          <w:sz w:val="22"/>
          <w:szCs w:val="22"/>
          <w:u w:val="single"/>
          <w:lang w:val="en-GB"/>
        </w:rPr>
        <w:t>and consolidation of resolutions relating to energy</w:t>
      </w:r>
    </w:p>
    <w:p w14:paraId="6E4B466D" w14:textId="77777777" w:rsidR="00EA36BD" w:rsidRDefault="00EA36BD" w:rsidP="00EA36BD">
      <w:pPr>
        <w:rPr>
          <w:rFonts w:cs="Arial"/>
          <w:sz w:val="22"/>
          <w:szCs w:val="22"/>
          <w:u w:val="single"/>
          <w:lang w:val="en-GB"/>
        </w:rPr>
      </w:pPr>
    </w:p>
    <w:p w14:paraId="58D9A9B9" w14:textId="69554D53" w:rsidR="00EA36BD" w:rsidRPr="00C776F1" w:rsidRDefault="00B70B4A" w:rsidP="00C776F1">
      <w:pPr>
        <w:pStyle w:val="ListParagraph"/>
        <w:numPr>
          <w:ilvl w:val="0"/>
          <w:numId w:val="2"/>
        </w:numPr>
        <w:jc w:val="both"/>
        <w:rPr>
          <w:rFonts w:cs="Arial"/>
          <w:sz w:val="22"/>
          <w:szCs w:val="22"/>
          <w:u w:val="single"/>
          <w:lang w:val="en-GB"/>
        </w:rPr>
      </w:pPr>
      <w:r>
        <w:rPr>
          <w:rFonts w:cs="Arial"/>
          <w:sz w:val="22"/>
          <w:szCs w:val="22"/>
          <w:lang w:val="en-GB"/>
        </w:rPr>
        <w:t xml:space="preserve">Within the process </w:t>
      </w:r>
      <w:r w:rsidR="00B71654">
        <w:rPr>
          <w:rFonts w:cs="Arial"/>
          <w:sz w:val="22"/>
          <w:szCs w:val="22"/>
          <w:lang w:val="en-GB"/>
        </w:rPr>
        <w:t xml:space="preserve">initiated by Resolution 11.6 ‘Review of Decisions’, </w:t>
      </w:r>
      <w:r>
        <w:rPr>
          <w:rFonts w:cs="Arial"/>
          <w:sz w:val="22"/>
          <w:szCs w:val="22"/>
          <w:lang w:val="en-GB"/>
        </w:rPr>
        <w:t>Res</w:t>
      </w:r>
      <w:r w:rsidR="008F52A4">
        <w:rPr>
          <w:rFonts w:cs="Arial"/>
          <w:sz w:val="22"/>
          <w:szCs w:val="22"/>
          <w:lang w:val="en-GB"/>
        </w:rPr>
        <w:t>olution</w:t>
      </w:r>
      <w:r>
        <w:rPr>
          <w:rFonts w:cs="Arial"/>
          <w:sz w:val="22"/>
          <w:szCs w:val="22"/>
          <w:lang w:val="en-GB"/>
        </w:rPr>
        <w:t xml:space="preserve">11.27 has been reviewed and a partial repeal is proposed </w:t>
      </w:r>
      <w:r w:rsidR="00AF79FC">
        <w:rPr>
          <w:rFonts w:cs="Arial"/>
          <w:sz w:val="22"/>
          <w:szCs w:val="22"/>
          <w:lang w:val="en-GB"/>
        </w:rPr>
        <w:t xml:space="preserve">in Document 21.1.33. </w:t>
      </w:r>
    </w:p>
    <w:p w14:paraId="055CE400" w14:textId="77777777" w:rsidR="00B71654" w:rsidRPr="00C776F1" w:rsidRDefault="00B71654" w:rsidP="00C776F1">
      <w:pPr>
        <w:pStyle w:val="ListParagraph"/>
        <w:ind w:left="360"/>
        <w:jc w:val="both"/>
        <w:rPr>
          <w:rFonts w:cs="Arial"/>
          <w:sz w:val="22"/>
          <w:szCs w:val="22"/>
          <w:u w:val="single"/>
          <w:lang w:val="en-GB"/>
        </w:rPr>
      </w:pPr>
    </w:p>
    <w:p w14:paraId="3E4B5CEF" w14:textId="77777777" w:rsidR="00EA36BD" w:rsidRDefault="00EA36BD" w:rsidP="00EA36BD">
      <w:pPr>
        <w:pStyle w:val="ListParagraph"/>
        <w:ind w:left="360"/>
        <w:jc w:val="both"/>
        <w:rPr>
          <w:rFonts w:cs="Arial"/>
          <w:sz w:val="22"/>
          <w:szCs w:val="22"/>
          <w:lang w:val="en-GB"/>
        </w:rPr>
      </w:pPr>
    </w:p>
    <w:p w14:paraId="31510E3A" w14:textId="77777777" w:rsidR="00EA36BD" w:rsidRPr="003F5A47" w:rsidRDefault="00EA36BD" w:rsidP="00EA36BD">
      <w:pPr>
        <w:pStyle w:val="ListParagraph"/>
        <w:ind w:left="360"/>
        <w:jc w:val="both"/>
        <w:rPr>
          <w:rFonts w:cs="Arial"/>
          <w:sz w:val="22"/>
          <w:szCs w:val="22"/>
          <w:lang w:val="en-GB"/>
        </w:rPr>
      </w:pPr>
    </w:p>
    <w:p w14:paraId="6C3902F4" w14:textId="77777777" w:rsidR="00EA36BD" w:rsidRPr="00CD0FE9" w:rsidRDefault="00EA36BD" w:rsidP="00EA36BD">
      <w:pPr>
        <w:rPr>
          <w:rFonts w:cs="Arial"/>
          <w:sz w:val="22"/>
          <w:szCs w:val="22"/>
          <w:lang w:val="en-GB"/>
        </w:rPr>
      </w:pPr>
      <w:r w:rsidRPr="00CD0FE9">
        <w:rPr>
          <w:rFonts w:cs="Arial"/>
          <w:sz w:val="22"/>
          <w:szCs w:val="22"/>
          <w:u w:val="single"/>
          <w:lang w:val="en-GB"/>
        </w:rPr>
        <w:lastRenderedPageBreak/>
        <w:t>Recommended actions</w:t>
      </w:r>
    </w:p>
    <w:p w14:paraId="62334B71" w14:textId="77777777" w:rsidR="00EA36BD" w:rsidRPr="00CD0FE9" w:rsidRDefault="00EA36BD" w:rsidP="00EA36BD">
      <w:pPr>
        <w:rPr>
          <w:rFonts w:cs="Arial"/>
          <w:sz w:val="22"/>
          <w:szCs w:val="22"/>
          <w:lang w:val="en-GB"/>
        </w:rPr>
      </w:pPr>
    </w:p>
    <w:p w14:paraId="64E2112E" w14:textId="77777777" w:rsidR="00EA36BD" w:rsidRPr="00CD0FE9" w:rsidRDefault="00EA36BD" w:rsidP="00EA36BD">
      <w:pPr>
        <w:numPr>
          <w:ilvl w:val="0"/>
          <w:numId w:val="2"/>
        </w:numPr>
        <w:jc w:val="both"/>
        <w:rPr>
          <w:rFonts w:cs="Arial"/>
          <w:sz w:val="22"/>
          <w:szCs w:val="22"/>
          <w:lang w:val="en-GB"/>
        </w:rPr>
      </w:pPr>
      <w:r w:rsidRPr="00CD0FE9">
        <w:rPr>
          <w:rFonts w:cs="Arial"/>
          <w:sz w:val="22"/>
          <w:szCs w:val="22"/>
          <w:lang w:val="en-GB" w:eastAsia="en-GB"/>
        </w:rPr>
        <w:t>The Conference of the Parties is recommended to</w:t>
      </w:r>
      <w:r w:rsidRPr="00CD0FE9">
        <w:rPr>
          <w:rFonts w:cs="Arial"/>
          <w:sz w:val="22"/>
          <w:szCs w:val="22"/>
          <w:lang w:val="en-GB"/>
        </w:rPr>
        <w:t>:</w:t>
      </w:r>
    </w:p>
    <w:p w14:paraId="4FB9F777" w14:textId="77777777" w:rsidR="00EA36BD" w:rsidRPr="00CD0FE9" w:rsidRDefault="00EA36BD" w:rsidP="00EA36BD">
      <w:pPr>
        <w:jc w:val="both"/>
        <w:rPr>
          <w:rFonts w:cs="Arial"/>
          <w:sz w:val="22"/>
          <w:szCs w:val="22"/>
          <w:lang w:val="en-GB"/>
        </w:rPr>
      </w:pPr>
    </w:p>
    <w:p w14:paraId="2C575D55" w14:textId="77777777" w:rsidR="00EA36BD" w:rsidRPr="00CD0FE9" w:rsidRDefault="00EA36BD" w:rsidP="00EA36BD">
      <w:pPr>
        <w:jc w:val="both"/>
        <w:rPr>
          <w:rFonts w:cs="Arial"/>
          <w:sz w:val="22"/>
          <w:szCs w:val="22"/>
          <w:lang w:val="en-GB"/>
        </w:rPr>
      </w:pPr>
    </w:p>
    <w:p w14:paraId="2EA45C33" w14:textId="77777777" w:rsidR="00EA36BD" w:rsidRPr="00CD0FE9" w:rsidRDefault="00EA36BD" w:rsidP="00EA36BD">
      <w:pPr>
        <w:widowControl/>
        <w:numPr>
          <w:ilvl w:val="0"/>
          <w:numId w:val="3"/>
        </w:numPr>
        <w:autoSpaceDE/>
        <w:adjustRightInd/>
        <w:contextualSpacing/>
        <w:jc w:val="both"/>
        <w:rPr>
          <w:rFonts w:cs="Arial"/>
          <w:sz w:val="22"/>
          <w:szCs w:val="22"/>
          <w:lang w:val="en-GB"/>
        </w:rPr>
      </w:pPr>
      <w:r w:rsidRPr="00CD0FE9">
        <w:rPr>
          <w:rFonts w:cs="Arial"/>
          <w:sz w:val="22"/>
          <w:szCs w:val="22"/>
          <w:lang w:val="en-GB"/>
        </w:rPr>
        <w:t>take note of this document;</w:t>
      </w:r>
    </w:p>
    <w:p w14:paraId="7271CD97" w14:textId="77777777" w:rsidR="00EA36BD" w:rsidRDefault="00EA36BD" w:rsidP="00EA36BD">
      <w:pPr>
        <w:pStyle w:val="ListParagraph"/>
        <w:rPr>
          <w:rFonts w:cs="Arial"/>
          <w:sz w:val="22"/>
          <w:szCs w:val="22"/>
          <w:highlight w:val="green"/>
          <w:lang w:val="en-GB"/>
        </w:rPr>
      </w:pPr>
    </w:p>
    <w:p w14:paraId="4CF855F9" w14:textId="2F6BB5C6" w:rsidR="002C75CC" w:rsidRPr="001308EC" w:rsidRDefault="001308EC" w:rsidP="00196F84">
      <w:pPr>
        <w:widowControl/>
        <w:numPr>
          <w:ilvl w:val="0"/>
          <w:numId w:val="3"/>
        </w:numPr>
        <w:autoSpaceDE/>
        <w:adjustRightInd/>
        <w:contextualSpacing/>
        <w:jc w:val="both"/>
        <w:rPr>
          <w:rFonts w:cs="Arial"/>
          <w:sz w:val="22"/>
          <w:szCs w:val="22"/>
          <w:lang w:val="en-GB"/>
        </w:rPr>
      </w:pPr>
      <w:r w:rsidRPr="001308EC">
        <w:rPr>
          <w:rFonts w:cs="Arial"/>
          <w:sz w:val="22"/>
          <w:szCs w:val="22"/>
          <w:lang w:val="en-GB"/>
        </w:rPr>
        <w:t>adopt the d</w:t>
      </w:r>
      <w:r>
        <w:rPr>
          <w:rFonts w:cs="Arial"/>
          <w:sz w:val="22"/>
          <w:szCs w:val="22"/>
          <w:lang w:val="en-GB"/>
        </w:rPr>
        <w:t>raft D</w:t>
      </w:r>
      <w:r w:rsidRPr="001308EC">
        <w:rPr>
          <w:rFonts w:cs="Arial"/>
          <w:sz w:val="22"/>
          <w:szCs w:val="22"/>
          <w:lang w:val="en-GB"/>
        </w:rPr>
        <w:t>ecision contained in Annex 1 of this document</w:t>
      </w:r>
    </w:p>
    <w:p w14:paraId="73627667" w14:textId="77777777" w:rsidR="00EC6FC3" w:rsidRDefault="00EC6FC3">
      <w:pPr>
        <w:widowControl/>
        <w:autoSpaceDE/>
        <w:autoSpaceDN/>
        <w:adjustRightInd/>
        <w:rPr>
          <w:rFonts w:cs="Arial"/>
          <w:b/>
          <w:bCs/>
          <w:sz w:val="22"/>
          <w:szCs w:val="22"/>
          <w:lang w:val="en-GB"/>
        </w:rPr>
      </w:pPr>
    </w:p>
    <w:p w14:paraId="57E4BE07" w14:textId="77777777" w:rsidR="00EC6FC3" w:rsidRDefault="00EC6FC3">
      <w:pPr>
        <w:widowControl/>
        <w:autoSpaceDE/>
        <w:autoSpaceDN/>
        <w:adjustRightInd/>
        <w:rPr>
          <w:rFonts w:cs="Arial"/>
          <w:b/>
          <w:bCs/>
          <w:sz w:val="22"/>
          <w:szCs w:val="22"/>
          <w:lang w:val="en-GB"/>
        </w:rPr>
        <w:sectPr w:rsidR="00EC6FC3" w:rsidSect="00EC6FC3">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pPr>
    </w:p>
    <w:p w14:paraId="42055ED3" w14:textId="1D287C81" w:rsidR="00B97CF4" w:rsidRPr="00B97CF4" w:rsidRDefault="00B97CF4" w:rsidP="00B97CF4">
      <w:pPr>
        <w:jc w:val="right"/>
        <w:rPr>
          <w:rFonts w:cs="Arial"/>
          <w:b/>
          <w:sz w:val="22"/>
          <w:szCs w:val="22"/>
          <w:lang w:val="en-GB"/>
        </w:rPr>
      </w:pPr>
      <w:r w:rsidRPr="00B97CF4">
        <w:rPr>
          <w:rFonts w:cs="Arial"/>
          <w:b/>
          <w:sz w:val="22"/>
          <w:szCs w:val="22"/>
          <w:lang w:val="en-GB"/>
        </w:rPr>
        <w:lastRenderedPageBreak/>
        <w:t>Annex 1</w:t>
      </w:r>
    </w:p>
    <w:p w14:paraId="12F9A6B0" w14:textId="77777777" w:rsidR="00B97CF4" w:rsidRDefault="00B97CF4" w:rsidP="00B97CF4">
      <w:pPr>
        <w:jc w:val="center"/>
        <w:rPr>
          <w:rFonts w:cs="Arial"/>
          <w:sz w:val="22"/>
          <w:szCs w:val="22"/>
          <w:lang w:val="en-GB"/>
        </w:rPr>
      </w:pPr>
    </w:p>
    <w:p w14:paraId="09893A19" w14:textId="1D98A6A6" w:rsidR="00B97CF4" w:rsidRPr="00CD0FE9" w:rsidRDefault="00B97CF4" w:rsidP="00B97CF4">
      <w:pPr>
        <w:jc w:val="center"/>
        <w:rPr>
          <w:rFonts w:cs="Arial"/>
          <w:sz w:val="22"/>
          <w:szCs w:val="22"/>
          <w:lang w:val="en-GB"/>
        </w:rPr>
      </w:pPr>
      <w:r>
        <w:rPr>
          <w:rFonts w:cs="Arial"/>
          <w:sz w:val="22"/>
          <w:szCs w:val="22"/>
          <w:lang w:val="en-GB"/>
        </w:rPr>
        <w:t>DRAFT</w:t>
      </w:r>
      <w:r w:rsidR="008874D9">
        <w:rPr>
          <w:rFonts w:cs="Arial"/>
          <w:sz w:val="22"/>
          <w:szCs w:val="22"/>
          <w:lang w:val="en-GB"/>
        </w:rPr>
        <w:t xml:space="preserve"> DECISION</w:t>
      </w:r>
    </w:p>
    <w:p w14:paraId="70867951" w14:textId="77777777" w:rsidR="00B97CF4" w:rsidRPr="00CD0FE9" w:rsidRDefault="00B97CF4" w:rsidP="00B97CF4">
      <w:pPr>
        <w:jc w:val="center"/>
        <w:rPr>
          <w:rFonts w:cs="Arial"/>
          <w:sz w:val="22"/>
          <w:szCs w:val="22"/>
          <w:lang w:val="en-GB"/>
        </w:rPr>
      </w:pPr>
    </w:p>
    <w:p w14:paraId="71E90704" w14:textId="285AD64C" w:rsidR="00B97CF4" w:rsidRDefault="004E4C34" w:rsidP="00B97CF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t>SUPPORT TO THE ENERGY tASK fORCE</w:t>
      </w:r>
    </w:p>
    <w:p w14:paraId="13BF288E" w14:textId="77777777" w:rsidR="00B97CF4" w:rsidRDefault="00B97CF4" w:rsidP="00B97CF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0DB126D8" w14:textId="77777777" w:rsidR="00B97CF4" w:rsidRPr="00CD0FE9" w:rsidRDefault="00B97CF4" w:rsidP="00B97CF4">
      <w:pPr>
        <w:jc w:val="both"/>
        <w:rPr>
          <w:rFonts w:cs="Arial"/>
          <w:sz w:val="22"/>
          <w:szCs w:val="22"/>
          <w:lang w:val="en-GB"/>
        </w:rPr>
      </w:pPr>
    </w:p>
    <w:p w14:paraId="602BD47B" w14:textId="2B518110" w:rsidR="00B97CF4" w:rsidRPr="00CD0FE9" w:rsidRDefault="00B97CF4" w:rsidP="00B97CF4">
      <w:pPr>
        <w:jc w:val="both"/>
        <w:rPr>
          <w:rFonts w:cs="Arial"/>
          <w:b/>
          <w:i/>
          <w:sz w:val="22"/>
          <w:szCs w:val="22"/>
          <w:lang w:val="en-GB"/>
        </w:rPr>
      </w:pPr>
      <w:r w:rsidRPr="00CD0FE9">
        <w:rPr>
          <w:rFonts w:cs="Arial"/>
          <w:b/>
          <w:i/>
          <w:sz w:val="22"/>
          <w:szCs w:val="22"/>
          <w:lang w:val="en-GB"/>
        </w:rPr>
        <w:t>Directed to Parties, intergovernmen</w:t>
      </w:r>
      <w:r>
        <w:rPr>
          <w:rFonts w:cs="Arial"/>
          <w:b/>
          <w:i/>
          <w:sz w:val="22"/>
          <w:szCs w:val="22"/>
          <w:lang w:val="en-GB"/>
        </w:rPr>
        <w:t>tal and non-governmental organiz</w:t>
      </w:r>
      <w:r w:rsidRPr="00CD0FE9">
        <w:rPr>
          <w:rFonts w:cs="Arial"/>
          <w:b/>
          <w:i/>
          <w:sz w:val="22"/>
          <w:szCs w:val="22"/>
          <w:lang w:val="en-GB"/>
        </w:rPr>
        <w:t>ations</w:t>
      </w:r>
      <w:r w:rsidR="00DD5541">
        <w:rPr>
          <w:rFonts w:cs="Arial"/>
          <w:b/>
          <w:i/>
          <w:sz w:val="22"/>
          <w:szCs w:val="22"/>
          <w:lang w:val="en-GB"/>
        </w:rPr>
        <w:t xml:space="preserve"> and other stakeholders from the energy sector</w:t>
      </w:r>
    </w:p>
    <w:p w14:paraId="0C834C60" w14:textId="77777777" w:rsidR="00B97CF4" w:rsidRPr="00CD0FE9" w:rsidRDefault="00B97CF4" w:rsidP="00B97CF4">
      <w:pPr>
        <w:jc w:val="both"/>
        <w:rPr>
          <w:rFonts w:cs="Arial"/>
          <w:sz w:val="22"/>
          <w:szCs w:val="22"/>
          <w:lang w:val="en-GB"/>
        </w:rPr>
      </w:pPr>
    </w:p>
    <w:p w14:paraId="2415C29D" w14:textId="59D95C2C" w:rsidR="00B97CF4" w:rsidRPr="00CD0FE9" w:rsidRDefault="008874D9" w:rsidP="00B97CF4">
      <w:pPr>
        <w:jc w:val="both"/>
        <w:rPr>
          <w:rFonts w:cs="Arial"/>
          <w:sz w:val="22"/>
          <w:szCs w:val="22"/>
          <w:lang w:val="en-GB"/>
        </w:rPr>
      </w:pPr>
      <w:r>
        <w:rPr>
          <w:rFonts w:cs="Arial"/>
          <w:sz w:val="22"/>
          <w:szCs w:val="22"/>
          <w:lang w:val="en-GB"/>
        </w:rPr>
        <w:t>12.AA</w:t>
      </w:r>
      <w:r w:rsidR="00B97CF4" w:rsidRPr="00CD0FE9">
        <w:rPr>
          <w:rFonts w:cs="Arial"/>
          <w:sz w:val="22"/>
          <w:szCs w:val="22"/>
          <w:lang w:val="en-GB"/>
        </w:rPr>
        <w:tab/>
        <w:t>Parties, intergovernmen</w:t>
      </w:r>
      <w:r w:rsidR="00B97CF4">
        <w:rPr>
          <w:rFonts w:cs="Arial"/>
          <w:sz w:val="22"/>
          <w:szCs w:val="22"/>
          <w:lang w:val="en-GB"/>
        </w:rPr>
        <w:t>tal and non-governmental organiz</w:t>
      </w:r>
      <w:r w:rsidR="00B97CF4" w:rsidRPr="00CD0FE9">
        <w:rPr>
          <w:rFonts w:cs="Arial"/>
          <w:sz w:val="22"/>
          <w:szCs w:val="22"/>
          <w:lang w:val="en-GB"/>
        </w:rPr>
        <w:t xml:space="preserve">ations </w:t>
      </w:r>
      <w:r w:rsidR="00DD5541">
        <w:rPr>
          <w:rFonts w:cs="Arial"/>
          <w:sz w:val="22"/>
          <w:szCs w:val="22"/>
          <w:lang w:val="en-GB"/>
        </w:rPr>
        <w:t xml:space="preserve">and other stakeholders from the energy sector </w:t>
      </w:r>
      <w:r w:rsidR="00B97CF4" w:rsidRPr="00CD0FE9">
        <w:rPr>
          <w:rFonts w:cs="Arial"/>
          <w:sz w:val="22"/>
          <w:szCs w:val="22"/>
          <w:lang w:val="en-GB"/>
        </w:rPr>
        <w:t>are encouraged to</w:t>
      </w:r>
    </w:p>
    <w:p w14:paraId="71D7BC4D" w14:textId="77777777" w:rsidR="00B97CF4" w:rsidRPr="00CD0FE9" w:rsidRDefault="00B97CF4" w:rsidP="00B97CF4">
      <w:pPr>
        <w:jc w:val="both"/>
        <w:rPr>
          <w:rFonts w:cs="Arial"/>
          <w:sz w:val="22"/>
          <w:szCs w:val="22"/>
          <w:lang w:val="en-GB"/>
        </w:rPr>
      </w:pPr>
    </w:p>
    <w:p w14:paraId="57696F10" w14:textId="5D860C9A" w:rsidR="00B97CF4" w:rsidRPr="001308EC" w:rsidRDefault="001308EC" w:rsidP="001308EC">
      <w:pPr>
        <w:widowControl/>
        <w:numPr>
          <w:ilvl w:val="0"/>
          <w:numId w:val="6"/>
        </w:numPr>
        <w:autoSpaceDE/>
        <w:adjustRightInd/>
        <w:contextualSpacing/>
        <w:jc w:val="both"/>
        <w:rPr>
          <w:rFonts w:cs="Arial"/>
          <w:sz w:val="22"/>
          <w:szCs w:val="22"/>
          <w:lang w:val="en-GB"/>
        </w:rPr>
      </w:pPr>
      <w:r>
        <w:rPr>
          <w:rFonts w:cs="Arial"/>
          <w:sz w:val="22"/>
          <w:szCs w:val="22"/>
          <w:lang w:val="en-GB"/>
        </w:rPr>
        <w:t>consider contributing to the implementation of the Energy Task Force Work Plan, including through the provision of financial and technical assistance to support the on-going operations of the Energy Task Force.</w:t>
      </w:r>
    </w:p>
    <w:p w14:paraId="71E5DF89" w14:textId="77777777" w:rsidR="0079075D" w:rsidRPr="00CD0FE9" w:rsidRDefault="0079075D" w:rsidP="00B97CF4">
      <w:pPr>
        <w:pStyle w:val="Heading2"/>
        <w:keepNext w:val="0"/>
        <w:ind w:right="-367"/>
        <w:rPr>
          <w:rFonts w:cs="Arial"/>
          <w:sz w:val="22"/>
          <w:szCs w:val="22"/>
          <w:lang w:val="en-GB"/>
        </w:rPr>
      </w:pPr>
    </w:p>
    <w:sectPr w:rsidR="0079075D" w:rsidRPr="00CD0FE9" w:rsidSect="00EC6FC3">
      <w:headerReference w:type="first" r:id="rId3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B6E0" w14:textId="77777777" w:rsidR="00A50DCB" w:rsidRDefault="00A50DCB">
      <w:r>
        <w:separator/>
      </w:r>
    </w:p>
  </w:endnote>
  <w:endnote w:type="continuationSeparator" w:id="0">
    <w:p w14:paraId="3BBDF9E6" w14:textId="77777777" w:rsidR="00A50DCB" w:rsidRDefault="00A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1C52ECAC"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EC6FC3">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17CD7B06" w:rsidR="00354A9C" w:rsidRPr="00EC6FC3" w:rsidRDefault="00354A9C" w:rsidP="00056DC1">
    <w:pPr>
      <w:pStyle w:val="Footer"/>
      <w:ind w:right="-367"/>
      <w:jc w:val="center"/>
      <w:rPr>
        <w:rFonts w:cs="Arial"/>
        <w:szCs w:val="18"/>
      </w:rPr>
    </w:pPr>
    <w:r w:rsidRPr="00EC6FC3">
      <w:rPr>
        <w:rFonts w:cs="Arial"/>
        <w:szCs w:val="18"/>
      </w:rPr>
      <w:fldChar w:fldCharType="begin"/>
    </w:r>
    <w:r w:rsidRPr="00EC6FC3">
      <w:rPr>
        <w:rFonts w:cs="Arial"/>
        <w:szCs w:val="18"/>
      </w:rPr>
      <w:instrText xml:space="preserve"> PAGE   \* MERGEFORMAT </w:instrText>
    </w:r>
    <w:r w:rsidRPr="00EC6FC3">
      <w:rPr>
        <w:rFonts w:cs="Arial"/>
        <w:szCs w:val="18"/>
      </w:rPr>
      <w:fldChar w:fldCharType="separate"/>
    </w:r>
    <w:r w:rsidR="00EC6FC3">
      <w:rPr>
        <w:rFonts w:cs="Arial"/>
        <w:noProof/>
        <w:szCs w:val="18"/>
      </w:rPr>
      <w:t>5</w:t>
    </w:r>
    <w:r w:rsidRPr="00EC6FC3">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1FABA747" w:rsidR="00D605A4" w:rsidRPr="00EC6FC3" w:rsidRDefault="00015E07" w:rsidP="00015E07">
    <w:pPr>
      <w:pStyle w:val="Footer"/>
      <w:tabs>
        <w:tab w:val="clear" w:pos="8640"/>
        <w:tab w:val="right" w:pos="9083"/>
      </w:tabs>
      <w:jc w:val="center"/>
      <w:rPr>
        <w:rFonts w:cs="Arial"/>
        <w:szCs w:val="18"/>
      </w:rPr>
    </w:pPr>
    <w:r w:rsidRPr="00EC6FC3">
      <w:rPr>
        <w:rFonts w:cs="Arial"/>
        <w:noProof/>
        <w:szCs w:val="18"/>
      </w:rPr>
      <w:tab/>
    </w:r>
    <w:r w:rsidRPr="00EC6FC3">
      <w:rPr>
        <w:rFonts w:cs="Arial"/>
        <w:szCs w:val="18"/>
      </w:rPr>
      <w:fldChar w:fldCharType="begin"/>
    </w:r>
    <w:r w:rsidRPr="00EC6FC3">
      <w:rPr>
        <w:rFonts w:cs="Arial"/>
        <w:szCs w:val="18"/>
      </w:rPr>
      <w:instrText xml:space="preserve"> PAGE   \* MERGEFORMAT </w:instrText>
    </w:r>
    <w:r w:rsidRPr="00EC6FC3">
      <w:rPr>
        <w:rFonts w:cs="Arial"/>
        <w:szCs w:val="18"/>
      </w:rPr>
      <w:fldChar w:fldCharType="separate"/>
    </w:r>
    <w:r w:rsidR="00EC6FC3">
      <w:rPr>
        <w:rFonts w:cs="Arial"/>
        <w:noProof/>
        <w:szCs w:val="18"/>
      </w:rPr>
      <w:t>6</w:t>
    </w:r>
    <w:r w:rsidRPr="00EC6FC3">
      <w:rPr>
        <w:rFonts w:cs="Arial"/>
        <w:noProof/>
        <w:szCs w:val="18"/>
      </w:rPr>
      <w:fldChar w:fldCharType="end"/>
    </w:r>
    <w:r w:rsidRPr="00EC6FC3">
      <w:rPr>
        <w:rFonts w:cs="Arial"/>
        <w:noProof/>
        <w:szCs w:val="18"/>
      </w:rPr>
      <w:tab/>
    </w:r>
  </w:p>
  <w:p w14:paraId="4849B7C7"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603C" w14:textId="77777777" w:rsidR="00A50DCB" w:rsidRDefault="00A50DCB">
      <w:r>
        <w:separator/>
      </w:r>
    </w:p>
  </w:footnote>
  <w:footnote w:type="continuationSeparator" w:id="0">
    <w:p w14:paraId="753ADD2C" w14:textId="77777777" w:rsidR="00A50DCB" w:rsidRDefault="00A5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0887" w14:textId="77777777" w:rsidR="00EC6FC3" w:rsidRPr="00D605A4" w:rsidRDefault="00EC6FC3" w:rsidP="00EC6FC3">
    <w:pPr>
      <w:pStyle w:val="Header"/>
      <w:pBdr>
        <w:bottom w:val="single" w:sz="4" w:space="1" w:color="auto"/>
      </w:pBdr>
      <w:rPr>
        <w:rFonts w:cs="Arial"/>
        <w:i/>
        <w:szCs w:val="18"/>
        <w:lang w:val="de-DE"/>
      </w:rPr>
    </w:pPr>
    <w:r w:rsidRPr="00D605A4">
      <w:rPr>
        <w:rFonts w:cs="Arial"/>
        <w:i/>
        <w:szCs w:val="18"/>
        <w:lang w:val="de-DE"/>
      </w:rPr>
      <w:t>UNEP/CMS/COP12/Doc.</w:t>
    </w:r>
    <w:r w:rsidRPr="00642B21">
      <w:rPr>
        <w:rFonts w:cs="Arial"/>
        <w:i/>
        <w:szCs w:val="18"/>
        <w:lang w:val="de-DE"/>
      </w:rPr>
      <w:t>24.4.6</w:t>
    </w:r>
  </w:p>
  <w:p w14:paraId="28825F75" w14:textId="446A9E70" w:rsidR="00354A9C" w:rsidRPr="00EC6FC3" w:rsidRDefault="00354A9C" w:rsidP="00EC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444B953C" w:rsidR="00254721" w:rsidRPr="00497E66" w:rsidRDefault="00254721" w:rsidP="00EC6FC3">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5567CA">
      <w:rPr>
        <w:rFonts w:cs="Arial"/>
        <w:b w:val="0"/>
        <w:i/>
        <w:sz w:val="18"/>
        <w:szCs w:val="18"/>
        <w:lang w:val="fr-FR"/>
      </w:rPr>
      <w:t>24.4.6</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22A9091F" w:rsidR="00D605A4" w:rsidRPr="00D605A4" w:rsidRDefault="00D605A4" w:rsidP="00EC6FC3">
    <w:pPr>
      <w:pStyle w:val="Header"/>
      <w:pBdr>
        <w:bottom w:val="single" w:sz="4" w:space="1" w:color="auto"/>
      </w:pBdr>
      <w:rPr>
        <w:rFonts w:cs="Arial"/>
        <w:i/>
        <w:szCs w:val="18"/>
        <w:lang w:val="de-DE"/>
      </w:rPr>
    </w:pPr>
    <w:r w:rsidRPr="00D605A4">
      <w:rPr>
        <w:rFonts w:cs="Arial"/>
        <w:i/>
        <w:szCs w:val="18"/>
        <w:lang w:val="de-DE"/>
      </w:rPr>
      <w:t>UNEP/CMS/COP12/Doc.</w:t>
    </w:r>
    <w:r w:rsidR="005567CA" w:rsidRPr="00642B21">
      <w:rPr>
        <w:rFonts w:cs="Arial"/>
        <w:i/>
        <w:szCs w:val="18"/>
        <w:lang w:val="de-DE"/>
      </w:rPr>
      <w:t>24.4.6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AC1A" w14:textId="7619472C" w:rsidR="00EC6FC3" w:rsidRPr="00D605A4" w:rsidRDefault="00EC6FC3" w:rsidP="00EC6FC3">
    <w:pPr>
      <w:pStyle w:val="Header"/>
      <w:pBdr>
        <w:bottom w:val="single" w:sz="4" w:space="1" w:color="auto"/>
      </w:pBdr>
      <w:rPr>
        <w:rFonts w:cs="Arial"/>
        <w:i/>
        <w:szCs w:val="18"/>
        <w:lang w:val="de-DE"/>
      </w:rPr>
    </w:pPr>
    <w:r w:rsidRPr="00D605A4">
      <w:rPr>
        <w:rFonts w:cs="Arial"/>
        <w:i/>
        <w:szCs w:val="18"/>
        <w:lang w:val="de-DE"/>
      </w:rPr>
      <w:t>UNEP/CMS/COP12/Doc.</w:t>
    </w:r>
    <w:r w:rsidRPr="00642B21">
      <w:rPr>
        <w:rFonts w:cs="Arial"/>
        <w:i/>
        <w:szCs w:val="18"/>
        <w:lang w:val="de-DE"/>
      </w:rPr>
      <w:t>24.4.6</w:t>
    </w:r>
    <w:r>
      <w:rPr>
        <w:rFonts w:cs="Arial"/>
        <w:i/>
        <w:szCs w:val="18"/>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337743"/>
    <w:multiLevelType w:val="hybridMultilevel"/>
    <w:tmpl w:val="42E8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807B23"/>
    <w:multiLevelType w:val="hybridMultilevel"/>
    <w:tmpl w:val="62AAAED8"/>
    <w:lvl w:ilvl="0" w:tplc="FAB0E0B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5EAF"/>
    <w:multiLevelType w:val="hybridMultilevel"/>
    <w:tmpl w:val="42005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0E7BC5"/>
    <w:multiLevelType w:val="hybridMultilevel"/>
    <w:tmpl w:val="35BCBB94"/>
    <w:lvl w:ilvl="0" w:tplc="7064083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96A58"/>
    <w:multiLevelType w:val="hybridMultilevel"/>
    <w:tmpl w:val="AEFC8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B6076"/>
    <w:multiLevelType w:val="hybridMultilevel"/>
    <w:tmpl w:val="95161ABA"/>
    <w:lvl w:ilvl="0" w:tplc="FAB0E0B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605515"/>
    <w:multiLevelType w:val="hybridMultilevel"/>
    <w:tmpl w:val="97868F92"/>
    <w:lvl w:ilvl="0" w:tplc="FAB0E0B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564857"/>
    <w:multiLevelType w:val="hybridMultilevel"/>
    <w:tmpl w:val="C5DA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23F83"/>
    <w:multiLevelType w:val="hybridMultilevel"/>
    <w:tmpl w:val="15FE1772"/>
    <w:lvl w:ilvl="0" w:tplc="F8EAD8B2">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19832AF"/>
    <w:multiLevelType w:val="hybridMultilevel"/>
    <w:tmpl w:val="2A568B0A"/>
    <w:lvl w:ilvl="0" w:tplc="04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1"/>
  </w:num>
  <w:num w:numId="13">
    <w:abstractNumId w:val="7"/>
  </w:num>
  <w:num w:numId="14">
    <w:abstractNumId w:val="1"/>
  </w:num>
  <w:num w:numId="15">
    <w:abstractNumId w:val="13"/>
  </w:num>
  <w:num w:numId="16">
    <w:abstractNumId w:val="16"/>
  </w:num>
  <w:num w:numId="17">
    <w:abstractNumId w:val="5"/>
  </w:num>
  <w:num w:numId="18">
    <w:abstractNumId w:val="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609D"/>
    <w:rsid w:val="000518C2"/>
    <w:rsid w:val="00056DC1"/>
    <w:rsid w:val="00060156"/>
    <w:rsid w:val="0006289C"/>
    <w:rsid w:val="00070BBC"/>
    <w:rsid w:val="00072C44"/>
    <w:rsid w:val="00073C92"/>
    <w:rsid w:val="00080F03"/>
    <w:rsid w:val="00085CC7"/>
    <w:rsid w:val="000900E1"/>
    <w:rsid w:val="000905FF"/>
    <w:rsid w:val="0009076A"/>
    <w:rsid w:val="000A5570"/>
    <w:rsid w:val="000B05A6"/>
    <w:rsid w:val="000B3EED"/>
    <w:rsid w:val="000B6220"/>
    <w:rsid w:val="000C1A02"/>
    <w:rsid w:val="000C21B1"/>
    <w:rsid w:val="000C3C87"/>
    <w:rsid w:val="000C4A98"/>
    <w:rsid w:val="000C7460"/>
    <w:rsid w:val="000E01C1"/>
    <w:rsid w:val="000E09AD"/>
    <w:rsid w:val="000E5378"/>
    <w:rsid w:val="000F0694"/>
    <w:rsid w:val="000F0B93"/>
    <w:rsid w:val="000F0D2D"/>
    <w:rsid w:val="000F1156"/>
    <w:rsid w:val="000F52BA"/>
    <w:rsid w:val="000F5784"/>
    <w:rsid w:val="000F5EED"/>
    <w:rsid w:val="00103E55"/>
    <w:rsid w:val="00106461"/>
    <w:rsid w:val="001111A9"/>
    <w:rsid w:val="00113FE7"/>
    <w:rsid w:val="00114B15"/>
    <w:rsid w:val="001151A3"/>
    <w:rsid w:val="0011776E"/>
    <w:rsid w:val="001245DF"/>
    <w:rsid w:val="001308EC"/>
    <w:rsid w:val="00130BFD"/>
    <w:rsid w:val="00134864"/>
    <w:rsid w:val="001419C7"/>
    <w:rsid w:val="00150AC4"/>
    <w:rsid w:val="001610CA"/>
    <w:rsid w:val="00161BDC"/>
    <w:rsid w:val="00162D88"/>
    <w:rsid w:val="0016698F"/>
    <w:rsid w:val="00166ABA"/>
    <w:rsid w:val="00171F0C"/>
    <w:rsid w:val="001743FD"/>
    <w:rsid w:val="001764E6"/>
    <w:rsid w:val="001808F1"/>
    <w:rsid w:val="00187068"/>
    <w:rsid w:val="00187634"/>
    <w:rsid w:val="0018764B"/>
    <w:rsid w:val="001A33B6"/>
    <w:rsid w:val="001B21E8"/>
    <w:rsid w:val="001B3512"/>
    <w:rsid w:val="001C069F"/>
    <w:rsid w:val="001C6038"/>
    <w:rsid w:val="001D0529"/>
    <w:rsid w:val="001D7C28"/>
    <w:rsid w:val="001F60A1"/>
    <w:rsid w:val="00200759"/>
    <w:rsid w:val="00200A67"/>
    <w:rsid w:val="00201F88"/>
    <w:rsid w:val="00202332"/>
    <w:rsid w:val="00215A1A"/>
    <w:rsid w:val="002210F4"/>
    <w:rsid w:val="0022261A"/>
    <w:rsid w:val="00224DAD"/>
    <w:rsid w:val="00254721"/>
    <w:rsid w:val="00257709"/>
    <w:rsid w:val="002600D2"/>
    <w:rsid w:val="00263159"/>
    <w:rsid w:val="0026465B"/>
    <w:rsid w:val="002779F7"/>
    <w:rsid w:val="002825DA"/>
    <w:rsid w:val="00283152"/>
    <w:rsid w:val="00287939"/>
    <w:rsid w:val="00291D46"/>
    <w:rsid w:val="00293E87"/>
    <w:rsid w:val="002A0A1C"/>
    <w:rsid w:val="002A380C"/>
    <w:rsid w:val="002A75B9"/>
    <w:rsid w:val="002B06A0"/>
    <w:rsid w:val="002B6B1A"/>
    <w:rsid w:val="002B7B52"/>
    <w:rsid w:val="002C187A"/>
    <w:rsid w:val="002C20F1"/>
    <w:rsid w:val="002C75CC"/>
    <w:rsid w:val="002D2863"/>
    <w:rsid w:val="002D5EC0"/>
    <w:rsid w:val="002E3DEA"/>
    <w:rsid w:val="002E7CC2"/>
    <w:rsid w:val="002F4474"/>
    <w:rsid w:val="002F50FF"/>
    <w:rsid w:val="002F6A9E"/>
    <w:rsid w:val="002F6F9B"/>
    <w:rsid w:val="0031011F"/>
    <w:rsid w:val="003271D4"/>
    <w:rsid w:val="003331C6"/>
    <w:rsid w:val="003408E9"/>
    <w:rsid w:val="00345044"/>
    <w:rsid w:val="00351095"/>
    <w:rsid w:val="00353880"/>
    <w:rsid w:val="00354A9C"/>
    <w:rsid w:val="0036307C"/>
    <w:rsid w:val="00364973"/>
    <w:rsid w:val="00364C8C"/>
    <w:rsid w:val="00372347"/>
    <w:rsid w:val="00376331"/>
    <w:rsid w:val="003779D4"/>
    <w:rsid w:val="00382398"/>
    <w:rsid w:val="003909E4"/>
    <w:rsid w:val="00392EBC"/>
    <w:rsid w:val="003A207B"/>
    <w:rsid w:val="003A3E30"/>
    <w:rsid w:val="003A70FE"/>
    <w:rsid w:val="003B0C35"/>
    <w:rsid w:val="003B219E"/>
    <w:rsid w:val="003C0016"/>
    <w:rsid w:val="003C115D"/>
    <w:rsid w:val="003C773E"/>
    <w:rsid w:val="003D3404"/>
    <w:rsid w:val="003E0954"/>
    <w:rsid w:val="003E21B3"/>
    <w:rsid w:val="003E75AF"/>
    <w:rsid w:val="003F13E3"/>
    <w:rsid w:val="003F1ED6"/>
    <w:rsid w:val="003F5A47"/>
    <w:rsid w:val="00411CF3"/>
    <w:rsid w:val="00411E65"/>
    <w:rsid w:val="00412DE9"/>
    <w:rsid w:val="00416DB7"/>
    <w:rsid w:val="00420040"/>
    <w:rsid w:val="004228B7"/>
    <w:rsid w:val="00423388"/>
    <w:rsid w:val="00426D73"/>
    <w:rsid w:val="00427917"/>
    <w:rsid w:val="00447D75"/>
    <w:rsid w:val="004522F5"/>
    <w:rsid w:val="00454913"/>
    <w:rsid w:val="00457441"/>
    <w:rsid w:val="004579F6"/>
    <w:rsid w:val="004656D0"/>
    <w:rsid w:val="004659B1"/>
    <w:rsid w:val="00465B53"/>
    <w:rsid w:val="004706C9"/>
    <w:rsid w:val="00473ABD"/>
    <w:rsid w:val="0048048D"/>
    <w:rsid w:val="00482DCA"/>
    <w:rsid w:val="00497E66"/>
    <w:rsid w:val="004B5D10"/>
    <w:rsid w:val="004B6CFD"/>
    <w:rsid w:val="004C204D"/>
    <w:rsid w:val="004C2726"/>
    <w:rsid w:val="004C5BB1"/>
    <w:rsid w:val="004C719A"/>
    <w:rsid w:val="004D0436"/>
    <w:rsid w:val="004D0936"/>
    <w:rsid w:val="004E4C34"/>
    <w:rsid w:val="004E7ED7"/>
    <w:rsid w:val="004F243D"/>
    <w:rsid w:val="004F3D8D"/>
    <w:rsid w:val="004F60F5"/>
    <w:rsid w:val="0050154D"/>
    <w:rsid w:val="00504C1C"/>
    <w:rsid w:val="005076F1"/>
    <w:rsid w:val="00512B91"/>
    <w:rsid w:val="005158EB"/>
    <w:rsid w:val="0052082F"/>
    <w:rsid w:val="00534D99"/>
    <w:rsid w:val="00542FCC"/>
    <w:rsid w:val="005567CA"/>
    <w:rsid w:val="0055762E"/>
    <w:rsid w:val="00565445"/>
    <w:rsid w:val="00575334"/>
    <w:rsid w:val="00583768"/>
    <w:rsid w:val="00590B80"/>
    <w:rsid w:val="00593736"/>
    <w:rsid w:val="005A3019"/>
    <w:rsid w:val="005A3181"/>
    <w:rsid w:val="005A453E"/>
    <w:rsid w:val="005B0F06"/>
    <w:rsid w:val="005B5547"/>
    <w:rsid w:val="005B6141"/>
    <w:rsid w:val="005C3F15"/>
    <w:rsid w:val="005D0671"/>
    <w:rsid w:val="005E4999"/>
    <w:rsid w:val="005F3989"/>
    <w:rsid w:val="005F4303"/>
    <w:rsid w:val="005F7B20"/>
    <w:rsid w:val="00601B52"/>
    <w:rsid w:val="0060280B"/>
    <w:rsid w:val="00604422"/>
    <w:rsid w:val="00620809"/>
    <w:rsid w:val="00623F5D"/>
    <w:rsid w:val="0064189B"/>
    <w:rsid w:val="00642B21"/>
    <w:rsid w:val="00647BE0"/>
    <w:rsid w:val="00651341"/>
    <w:rsid w:val="00652CF4"/>
    <w:rsid w:val="00653575"/>
    <w:rsid w:val="00653619"/>
    <w:rsid w:val="0066571C"/>
    <w:rsid w:val="00666C79"/>
    <w:rsid w:val="00666F8B"/>
    <w:rsid w:val="00667C8E"/>
    <w:rsid w:val="00670E5F"/>
    <w:rsid w:val="006815B2"/>
    <w:rsid w:val="006826E0"/>
    <w:rsid w:val="00682B31"/>
    <w:rsid w:val="006864E1"/>
    <w:rsid w:val="00691001"/>
    <w:rsid w:val="006975EB"/>
    <w:rsid w:val="006979C5"/>
    <w:rsid w:val="006A421D"/>
    <w:rsid w:val="006B1037"/>
    <w:rsid w:val="006C0915"/>
    <w:rsid w:val="006C542F"/>
    <w:rsid w:val="006D1D79"/>
    <w:rsid w:val="006E0B0E"/>
    <w:rsid w:val="006E11CE"/>
    <w:rsid w:val="006E56AD"/>
    <w:rsid w:val="006E5763"/>
    <w:rsid w:val="006F426A"/>
    <w:rsid w:val="007044EF"/>
    <w:rsid w:val="00705F89"/>
    <w:rsid w:val="007101BB"/>
    <w:rsid w:val="00713308"/>
    <w:rsid w:val="00715B47"/>
    <w:rsid w:val="007164DF"/>
    <w:rsid w:val="00725A91"/>
    <w:rsid w:val="00727E01"/>
    <w:rsid w:val="00732DAE"/>
    <w:rsid w:val="007343FB"/>
    <w:rsid w:val="00742591"/>
    <w:rsid w:val="00745222"/>
    <w:rsid w:val="00747AAB"/>
    <w:rsid w:val="00752E19"/>
    <w:rsid w:val="00757614"/>
    <w:rsid w:val="007728B4"/>
    <w:rsid w:val="0077622E"/>
    <w:rsid w:val="00777FE4"/>
    <w:rsid w:val="00780D3D"/>
    <w:rsid w:val="0079075D"/>
    <w:rsid w:val="007907B8"/>
    <w:rsid w:val="007910DD"/>
    <w:rsid w:val="00794C7C"/>
    <w:rsid w:val="007954BD"/>
    <w:rsid w:val="007B026E"/>
    <w:rsid w:val="007C1468"/>
    <w:rsid w:val="007C41D7"/>
    <w:rsid w:val="007D4781"/>
    <w:rsid w:val="007F16FB"/>
    <w:rsid w:val="007F1BBA"/>
    <w:rsid w:val="00803BDE"/>
    <w:rsid w:val="0081600F"/>
    <w:rsid w:val="00823EC9"/>
    <w:rsid w:val="0082722D"/>
    <w:rsid w:val="008274F7"/>
    <w:rsid w:val="0083080E"/>
    <w:rsid w:val="00843843"/>
    <w:rsid w:val="008441F9"/>
    <w:rsid w:val="00846A99"/>
    <w:rsid w:val="008622D2"/>
    <w:rsid w:val="008641D1"/>
    <w:rsid w:val="00866821"/>
    <w:rsid w:val="00870FB9"/>
    <w:rsid w:val="00872F67"/>
    <w:rsid w:val="008735EB"/>
    <w:rsid w:val="008874D9"/>
    <w:rsid w:val="008879E9"/>
    <w:rsid w:val="00893346"/>
    <w:rsid w:val="00894D19"/>
    <w:rsid w:val="008A0D8D"/>
    <w:rsid w:val="008A11D6"/>
    <w:rsid w:val="008B1A69"/>
    <w:rsid w:val="008C1A39"/>
    <w:rsid w:val="008C4DC5"/>
    <w:rsid w:val="008C5A34"/>
    <w:rsid w:val="008C6F5E"/>
    <w:rsid w:val="008C7AB5"/>
    <w:rsid w:val="008D1B43"/>
    <w:rsid w:val="008E49B6"/>
    <w:rsid w:val="008E7DFB"/>
    <w:rsid w:val="008F07A3"/>
    <w:rsid w:val="008F165B"/>
    <w:rsid w:val="008F52A4"/>
    <w:rsid w:val="008F7327"/>
    <w:rsid w:val="0090059C"/>
    <w:rsid w:val="009076C8"/>
    <w:rsid w:val="00915BBE"/>
    <w:rsid w:val="00921D62"/>
    <w:rsid w:val="00922791"/>
    <w:rsid w:val="00927CD6"/>
    <w:rsid w:val="0093261E"/>
    <w:rsid w:val="00933572"/>
    <w:rsid w:val="009363C7"/>
    <w:rsid w:val="0095504B"/>
    <w:rsid w:val="00972D36"/>
    <w:rsid w:val="00973BFB"/>
    <w:rsid w:val="00980406"/>
    <w:rsid w:val="0098250F"/>
    <w:rsid w:val="00984C1D"/>
    <w:rsid w:val="00994621"/>
    <w:rsid w:val="00996D85"/>
    <w:rsid w:val="009A005D"/>
    <w:rsid w:val="009A1FBB"/>
    <w:rsid w:val="009A2C8F"/>
    <w:rsid w:val="009A7B65"/>
    <w:rsid w:val="009D2AD6"/>
    <w:rsid w:val="009D3A07"/>
    <w:rsid w:val="009D3EEA"/>
    <w:rsid w:val="009D4711"/>
    <w:rsid w:val="009D59AF"/>
    <w:rsid w:val="009D5DA6"/>
    <w:rsid w:val="009E3A84"/>
    <w:rsid w:val="009E72D7"/>
    <w:rsid w:val="009E7ACC"/>
    <w:rsid w:val="009F450E"/>
    <w:rsid w:val="009F54DA"/>
    <w:rsid w:val="00A05B01"/>
    <w:rsid w:val="00A06984"/>
    <w:rsid w:val="00A12338"/>
    <w:rsid w:val="00A1324E"/>
    <w:rsid w:val="00A23865"/>
    <w:rsid w:val="00A27BE3"/>
    <w:rsid w:val="00A339B9"/>
    <w:rsid w:val="00A36C77"/>
    <w:rsid w:val="00A40EDF"/>
    <w:rsid w:val="00A50DCB"/>
    <w:rsid w:val="00A53652"/>
    <w:rsid w:val="00A55C8C"/>
    <w:rsid w:val="00A568DF"/>
    <w:rsid w:val="00A654B6"/>
    <w:rsid w:val="00A702A1"/>
    <w:rsid w:val="00A72541"/>
    <w:rsid w:val="00A73A79"/>
    <w:rsid w:val="00A75CB5"/>
    <w:rsid w:val="00A933CA"/>
    <w:rsid w:val="00A93C52"/>
    <w:rsid w:val="00AA488A"/>
    <w:rsid w:val="00AA7368"/>
    <w:rsid w:val="00AB4FF9"/>
    <w:rsid w:val="00AB563E"/>
    <w:rsid w:val="00AD0289"/>
    <w:rsid w:val="00AD1D8E"/>
    <w:rsid w:val="00AD3CD8"/>
    <w:rsid w:val="00AE4600"/>
    <w:rsid w:val="00AE7B21"/>
    <w:rsid w:val="00AF1980"/>
    <w:rsid w:val="00AF2021"/>
    <w:rsid w:val="00AF79FC"/>
    <w:rsid w:val="00B002BC"/>
    <w:rsid w:val="00B011DB"/>
    <w:rsid w:val="00B016F8"/>
    <w:rsid w:val="00B025B7"/>
    <w:rsid w:val="00B05A07"/>
    <w:rsid w:val="00B13830"/>
    <w:rsid w:val="00B2226C"/>
    <w:rsid w:val="00B30A04"/>
    <w:rsid w:val="00B347E0"/>
    <w:rsid w:val="00B471BD"/>
    <w:rsid w:val="00B50C2D"/>
    <w:rsid w:val="00B64904"/>
    <w:rsid w:val="00B70B4A"/>
    <w:rsid w:val="00B71654"/>
    <w:rsid w:val="00B749E5"/>
    <w:rsid w:val="00B8022A"/>
    <w:rsid w:val="00B97CF4"/>
    <w:rsid w:val="00BA60CE"/>
    <w:rsid w:val="00BB7AB8"/>
    <w:rsid w:val="00BC0BB6"/>
    <w:rsid w:val="00BC5607"/>
    <w:rsid w:val="00BD1EB8"/>
    <w:rsid w:val="00BE0D1D"/>
    <w:rsid w:val="00BE144C"/>
    <w:rsid w:val="00BE2448"/>
    <w:rsid w:val="00BE24D4"/>
    <w:rsid w:val="00BF2BE7"/>
    <w:rsid w:val="00BF4512"/>
    <w:rsid w:val="00C05102"/>
    <w:rsid w:val="00C06ABC"/>
    <w:rsid w:val="00C07142"/>
    <w:rsid w:val="00C07B32"/>
    <w:rsid w:val="00C1353E"/>
    <w:rsid w:val="00C13FA6"/>
    <w:rsid w:val="00C169ED"/>
    <w:rsid w:val="00C26E6B"/>
    <w:rsid w:val="00C276A7"/>
    <w:rsid w:val="00C412ED"/>
    <w:rsid w:val="00C434C6"/>
    <w:rsid w:val="00C44645"/>
    <w:rsid w:val="00C44D89"/>
    <w:rsid w:val="00C45F84"/>
    <w:rsid w:val="00C5440A"/>
    <w:rsid w:val="00C5484D"/>
    <w:rsid w:val="00C618F2"/>
    <w:rsid w:val="00C667BA"/>
    <w:rsid w:val="00C73207"/>
    <w:rsid w:val="00C75731"/>
    <w:rsid w:val="00C7602A"/>
    <w:rsid w:val="00C776F1"/>
    <w:rsid w:val="00C80124"/>
    <w:rsid w:val="00C82160"/>
    <w:rsid w:val="00C82ED9"/>
    <w:rsid w:val="00C8332A"/>
    <w:rsid w:val="00C858E8"/>
    <w:rsid w:val="00C87D68"/>
    <w:rsid w:val="00C9281B"/>
    <w:rsid w:val="00CA367A"/>
    <w:rsid w:val="00CA7AC3"/>
    <w:rsid w:val="00CA7BC6"/>
    <w:rsid w:val="00CB1D26"/>
    <w:rsid w:val="00CB321E"/>
    <w:rsid w:val="00CC3515"/>
    <w:rsid w:val="00CC3A63"/>
    <w:rsid w:val="00CC4C21"/>
    <w:rsid w:val="00CC57AD"/>
    <w:rsid w:val="00CC5FCF"/>
    <w:rsid w:val="00CD0FE9"/>
    <w:rsid w:val="00CD6CE4"/>
    <w:rsid w:val="00CD7355"/>
    <w:rsid w:val="00CE5B83"/>
    <w:rsid w:val="00CF6EDD"/>
    <w:rsid w:val="00D03D59"/>
    <w:rsid w:val="00D05922"/>
    <w:rsid w:val="00D107A3"/>
    <w:rsid w:val="00D14233"/>
    <w:rsid w:val="00D147EA"/>
    <w:rsid w:val="00D21383"/>
    <w:rsid w:val="00D32450"/>
    <w:rsid w:val="00D3271A"/>
    <w:rsid w:val="00D4164A"/>
    <w:rsid w:val="00D42AE1"/>
    <w:rsid w:val="00D46C91"/>
    <w:rsid w:val="00D47D91"/>
    <w:rsid w:val="00D503EA"/>
    <w:rsid w:val="00D51DF6"/>
    <w:rsid w:val="00D53DE9"/>
    <w:rsid w:val="00D605A4"/>
    <w:rsid w:val="00D61B13"/>
    <w:rsid w:val="00D624EC"/>
    <w:rsid w:val="00D7746A"/>
    <w:rsid w:val="00D77638"/>
    <w:rsid w:val="00D838FE"/>
    <w:rsid w:val="00D8406F"/>
    <w:rsid w:val="00D859C7"/>
    <w:rsid w:val="00D876AC"/>
    <w:rsid w:val="00D87EDB"/>
    <w:rsid w:val="00D9021F"/>
    <w:rsid w:val="00D96650"/>
    <w:rsid w:val="00DA1080"/>
    <w:rsid w:val="00DA12C2"/>
    <w:rsid w:val="00DB30A6"/>
    <w:rsid w:val="00DB4337"/>
    <w:rsid w:val="00DB60A7"/>
    <w:rsid w:val="00DD2310"/>
    <w:rsid w:val="00DD5541"/>
    <w:rsid w:val="00DD6A9E"/>
    <w:rsid w:val="00E0080C"/>
    <w:rsid w:val="00E0114B"/>
    <w:rsid w:val="00E12853"/>
    <w:rsid w:val="00E21C3D"/>
    <w:rsid w:val="00E23367"/>
    <w:rsid w:val="00E31B92"/>
    <w:rsid w:val="00E43D6E"/>
    <w:rsid w:val="00E467C6"/>
    <w:rsid w:val="00E475D4"/>
    <w:rsid w:val="00E50FB9"/>
    <w:rsid w:val="00E56175"/>
    <w:rsid w:val="00E60399"/>
    <w:rsid w:val="00E6515B"/>
    <w:rsid w:val="00E672F8"/>
    <w:rsid w:val="00E7026A"/>
    <w:rsid w:val="00E72283"/>
    <w:rsid w:val="00E74D1C"/>
    <w:rsid w:val="00E8776E"/>
    <w:rsid w:val="00E918B5"/>
    <w:rsid w:val="00E9237A"/>
    <w:rsid w:val="00EA0B88"/>
    <w:rsid w:val="00EA36BD"/>
    <w:rsid w:val="00EB0B55"/>
    <w:rsid w:val="00EB2285"/>
    <w:rsid w:val="00EB2C01"/>
    <w:rsid w:val="00EB6283"/>
    <w:rsid w:val="00EC3BB5"/>
    <w:rsid w:val="00EC4294"/>
    <w:rsid w:val="00EC681E"/>
    <w:rsid w:val="00EC6CD8"/>
    <w:rsid w:val="00EC6FC3"/>
    <w:rsid w:val="00ED02D3"/>
    <w:rsid w:val="00ED477B"/>
    <w:rsid w:val="00ED5E31"/>
    <w:rsid w:val="00ED7FF0"/>
    <w:rsid w:val="00EE4815"/>
    <w:rsid w:val="00EE64C1"/>
    <w:rsid w:val="00F05AA0"/>
    <w:rsid w:val="00F061CB"/>
    <w:rsid w:val="00F11793"/>
    <w:rsid w:val="00F24050"/>
    <w:rsid w:val="00F248AA"/>
    <w:rsid w:val="00F306C5"/>
    <w:rsid w:val="00F31539"/>
    <w:rsid w:val="00F42178"/>
    <w:rsid w:val="00F43CAF"/>
    <w:rsid w:val="00F444EC"/>
    <w:rsid w:val="00F4530F"/>
    <w:rsid w:val="00F45FE3"/>
    <w:rsid w:val="00F54D03"/>
    <w:rsid w:val="00F62146"/>
    <w:rsid w:val="00F6347A"/>
    <w:rsid w:val="00F6660A"/>
    <w:rsid w:val="00F7503A"/>
    <w:rsid w:val="00F76B75"/>
    <w:rsid w:val="00F81FEF"/>
    <w:rsid w:val="00F978B9"/>
    <w:rsid w:val="00FA4C8C"/>
    <w:rsid w:val="00FA61AF"/>
    <w:rsid w:val="00FB2C17"/>
    <w:rsid w:val="00FB5474"/>
    <w:rsid w:val="00FC0371"/>
    <w:rsid w:val="00FC7633"/>
    <w:rsid w:val="00FD3A06"/>
    <w:rsid w:val="00FD7D14"/>
    <w:rsid w:val="00FE0805"/>
    <w:rsid w:val="00FE6F1E"/>
    <w:rsid w:val="00FE79B8"/>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99"/>
    <w:locked/>
    <w:rsid w:val="00CC5FC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9297">
      <w:bodyDiv w:val="1"/>
      <w:marLeft w:val="0"/>
      <w:marRight w:val="0"/>
      <w:marTop w:val="0"/>
      <w:marBottom w:val="0"/>
      <w:divBdr>
        <w:top w:val="none" w:sz="0" w:space="0" w:color="auto"/>
        <w:left w:val="none" w:sz="0" w:space="0" w:color="auto"/>
        <w:bottom w:val="none" w:sz="0" w:space="0" w:color="auto"/>
        <w:right w:val="none" w:sz="0" w:space="0" w:color="auto"/>
      </w:divBdr>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760029058">
      <w:bodyDiv w:val="1"/>
      <w:marLeft w:val="0"/>
      <w:marRight w:val="0"/>
      <w:marTop w:val="0"/>
      <w:marBottom w:val="0"/>
      <w:divBdr>
        <w:top w:val="none" w:sz="0" w:space="0" w:color="auto"/>
        <w:left w:val="none" w:sz="0" w:space="0" w:color="auto"/>
        <w:bottom w:val="none" w:sz="0" w:space="0" w:color="auto"/>
        <w:right w:val="none" w:sz="0" w:space="0" w:color="auto"/>
      </w:divBdr>
      <w:divsChild>
        <w:div w:id="1774520232">
          <w:marLeft w:val="0"/>
          <w:marRight w:val="0"/>
          <w:marTop w:val="0"/>
          <w:marBottom w:val="0"/>
          <w:divBdr>
            <w:top w:val="none" w:sz="0" w:space="0" w:color="auto"/>
            <w:left w:val="none" w:sz="0" w:space="0" w:color="auto"/>
            <w:bottom w:val="none" w:sz="0" w:space="0" w:color="auto"/>
            <w:right w:val="none" w:sz="0" w:space="0" w:color="auto"/>
          </w:divBdr>
        </w:div>
        <w:div w:id="978847043">
          <w:marLeft w:val="0"/>
          <w:marRight w:val="0"/>
          <w:marTop w:val="0"/>
          <w:marBottom w:val="0"/>
          <w:divBdr>
            <w:top w:val="none" w:sz="0" w:space="0" w:color="auto"/>
            <w:left w:val="none" w:sz="0" w:space="0" w:color="auto"/>
            <w:bottom w:val="none" w:sz="0" w:space="0" w:color="auto"/>
            <w:right w:val="none" w:sz="0" w:space="0" w:color="auto"/>
          </w:divBdr>
        </w:div>
        <w:div w:id="1442846477">
          <w:marLeft w:val="0"/>
          <w:marRight w:val="0"/>
          <w:marTop w:val="0"/>
          <w:marBottom w:val="0"/>
          <w:divBdr>
            <w:top w:val="none" w:sz="0" w:space="0" w:color="auto"/>
            <w:left w:val="none" w:sz="0" w:space="0" w:color="auto"/>
            <w:bottom w:val="none" w:sz="0" w:space="0" w:color="auto"/>
            <w:right w:val="none" w:sz="0" w:space="0" w:color="auto"/>
          </w:divBdr>
        </w:div>
        <w:div w:id="1855269962">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nepineurope.org/index.php?option=com_content&amp;view=article&amp;id=552:unea-2-green-energy-and-migratory-species-can-coexist&amp;catid=117&amp;Itemid=108" TargetMode="External"/><Relationship Id="rId3" Type="http://schemas.openxmlformats.org/officeDocument/2006/relationships/styles" Target="styles.xml"/><Relationship Id="rId21" Type="http://schemas.openxmlformats.org/officeDocument/2006/relationships/hyperlink" Target="http://www.cms.int/sites/default/files/document/ETF1_Meeting_Report_Final.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http://www.unep-aewa.org/en/news/making-energy-bird-friendly-highlights-aewa-mop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ms.int/en/taskforce/energy-task-for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ub.bund.de/en/" TargetMode="External"/><Relationship Id="rId24" Type="http://schemas.openxmlformats.org/officeDocument/2006/relationships/hyperlink" Target="http://www.cms.int/sites/default/files/uploads/meetings/energy-taskforce/ETF1_CapeTownDeclaratio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ms.int/manage/sites/default/files/document/ETF_Work-Plan-2017-2018.pdf" TargetMode="Externa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cms.int/en/taskforce/energy-task-for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gratoryspecies.org/en/champion" TargetMode="External"/><Relationship Id="rId14" Type="http://schemas.openxmlformats.org/officeDocument/2006/relationships/header" Target="header2.xml"/><Relationship Id="rId22" Type="http://schemas.openxmlformats.org/officeDocument/2006/relationships/hyperlink" Target="http://www.cms.int/sites/default/files/uploads/meetings/energy-taskforce/Modus_Operandi_post-ETF1_Final.pdf" TargetMode="External"/><Relationship Id="rId27" Type="http://schemas.openxmlformats.org/officeDocument/2006/relationships/hyperlink" Target="http://www.cms.int/es/node/12076" TargetMode="Externa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BDF8-AF7A-4A5A-8F6B-6B3A32F2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1823</Words>
  <Characters>10395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2017-06-02T10:23:00Z</cp:lastPrinted>
  <dcterms:created xsi:type="dcterms:W3CDTF">2017-06-08T06:41:00Z</dcterms:created>
  <dcterms:modified xsi:type="dcterms:W3CDTF">2017-06-08T06:41:00Z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