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B02557" w14:textId="77777777" w:rsidR="00682B31" w:rsidRPr="00682B31" w:rsidRDefault="00682B31" w:rsidP="00682B31">
      <w:pPr>
        <w:tabs>
          <w:tab w:val="left" w:pos="-1057"/>
          <w:tab w:val="left" w:pos="-720"/>
        </w:tabs>
        <w:ind w:left="-90"/>
        <w:rPr>
          <w:rFonts w:cs="Arial"/>
          <w:spacing w:val="-8"/>
          <w:sz w:val="12"/>
          <w:szCs w:val="12"/>
          <w:lang w:val="en-GB"/>
        </w:rPr>
      </w:pPr>
    </w:p>
    <w:p w14:paraId="7A954B60" w14:textId="77777777" w:rsidR="0081600F" w:rsidRPr="00420040" w:rsidRDefault="00921D62" w:rsidP="009E72D7">
      <w:pPr>
        <w:tabs>
          <w:tab w:val="left" w:pos="-1057"/>
          <w:tab w:val="left" w:pos="-720"/>
        </w:tabs>
        <w:rPr>
          <w:rFonts w:cs="Arial"/>
          <w:sz w:val="22"/>
          <w:szCs w:val="22"/>
          <w:lang w:val="en-GB"/>
        </w:rPr>
      </w:pPr>
      <w:r w:rsidRPr="00420040">
        <w:rPr>
          <w:rFonts w:cs="Arial"/>
          <w:sz w:val="22"/>
          <w:szCs w:val="22"/>
          <w:lang w:val="en-GB"/>
        </w:rPr>
        <w:t>1</w:t>
      </w:r>
      <w:r w:rsidR="00ED02D3" w:rsidRPr="00420040">
        <w:rPr>
          <w:rFonts w:cs="Arial"/>
          <w:sz w:val="22"/>
          <w:szCs w:val="22"/>
          <w:lang w:val="en-GB"/>
        </w:rPr>
        <w:t>2</w:t>
      </w:r>
      <w:r w:rsidR="005F3989" w:rsidRPr="00420040">
        <w:rPr>
          <w:rFonts w:cs="Arial"/>
          <w:sz w:val="22"/>
          <w:szCs w:val="22"/>
          <w:vertAlign w:val="superscript"/>
          <w:lang w:val="en-GB"/>
        </w:rPr>
        <w:t>th</w:t>
      </w:r>
      <w:r w:rsidR="0081600F" w:rsidRPr="00420040">
        <w:rPr>
          <w:rFonts w:cs="Arial"/>
          <w:sz w:val="22"/>
          <w:szCs w:val="22"/>
          <w:lang w:val="en-GB"/>
        </w:rPr>
        <w:t xml:space="preserve"> MEETING OF THE</w:t>
      </w:r>
      <w:r w:rsidRPr="00420040">
        <w:rPr>
          <w:rFonts w:cs="Arial"/>
          <w:sz w:val="22"/>
          <w:szCs w:val="22"/>
          <w:lang w:val="en-GB"/>
        </w:rPr>
        <w:t xml:space="preserve"> CONFERENCE OF THE PARTIES</w:t>
      </w:r>
    </w:p>
    <w:p w14:paraId="4C799ABC" w14:textId="77777777" w:rsidR="0081600F" w:rsidRPr="00420040" w:rsidRDefault="003909E4" w:rsidP="009E72D7">
      <w:pPr>
        <w:pStyle w:val="Heading2"/>
        <w:keepNext w:val="0"/>
        <w:spacing w:line="228" w:lineRule="auto"/>
        <w:rPr>
          <w:rFonts w:cs="Arial"/>
          <w:b w:val="0"/>
          <w:bCs w:val="0"/>
          <w:sz w:val="22"/>
          <w:szCs w:val="22"/>
          <w:lang w:val="pt-PT"/>
        </w:rPr>
      </w:pPr>
      <w:r w:rsidRPr="00420040">
        <w:rPr>
          <w:rFonts w:cs="Arial"/>
          <w:b w:val="0"/>
          <w:sz w:val="22"/>
          <w:szCs w:val="22"/>
          <w:lang w:val="pt-PT"/>
        </w:rPr>
        <w:t>Manil</w:t>
      </w:r>
      <w:r w:rsidR="00ED02D3" w:rsidRPr="00420040">
        <w:rPr>
          <w:rFonts w:cs="Arial"/>
          <w:b w:val="0"/>
          <w:sz w:val="22"/>
          <w:szCs w:val="22"/>
          <w:lang w:val="pt-PT"/>
        </w:rPr>
        <w:t>a</w:t>
      </w:r>
      <w:r w:rsidR="00921D62" w:rsidRPr="00420040">
        <w:rPr>
          <w:rFonts w:cs="Arial"/>
          <w:b w:val="0"/>
          <w:sz w:val="22"/>
          <w:szCs w:val="22"/>
          <w:lang w:val="pt-PT"/>
        </w:rPr>
        <w:t xml:space="preserve">, </w:t>
      </w:r>
      <w:r w:rsidR="00ED02D3" w:rsidRPr="00420040">
        <w:rPr>
          <w:rFonts w:cs="Arial"/>
          <w:b w:val="0"/>
          <w:sz w:val="22"/>
          <w:szCs w:val="22"/>
          <w:lang w:val="pt-PT"/>
        </w:rPr>
        <w:t>Philippines</w:t>
      </w:r>
      <w:r w:rsidR="00F7503A" w:rsidRPr="00420040">
        <w:rPr>
          <w:rFonts w:cs="Arial"/>
          <w:b w:val="0"/>
          <w:sz w:val="22"/>
          <w:szCs w:val="22"/>
          <w:lang w:val="pt-PT"/>
        </w:rPr>
        <w:t>,</w:t>
      </w:r>
      <w:r w:rsidR="00ED02D3" w:rsidRPr="00420040">
        <w:rPr>
          <w:rFonts w:cs="Arial"/>
          <w:b w:val="0"/>
          <w:sz w:val="22"/>
          <w:szCs w:val="22"/>
          <w:lang w:val="pt-PT"/>
        </w:rPr>
        <w:t xml:space="preserve"> 23 - 28</w:t>
      </w:r>
      <w:r w:rsidR="009F450E" w:rsidRPr="00420040">
        <w:rPr>
          <w:rFonts w:cs="Arial"/>
          <w:b w:val="0"/>
          <w:sz w:val="22"/>
          <w:szCs w:val="22"/>
          <w:lang w:val="pt-PT"/>
        </w:rPr>
        <w:t xml:space="preserve"> </w:t>
      </w:r>
      <w:r w:rsidR="00ED02D3" w:rsidRPr="00420040">
        <w:rPr>
          <w:rFonts w:cs="Arial"/>
          <w:b w:val="0"/>
          <w:sz w:val="22"/>
          <w:szCs w:val="22"/>
          <w:lang w:val="pt-PT"/>
        </w:rPr>
        <w:t>October</w:t>
      </w:r>
      <w:r w:rsidR="009F450E" w:rsidRPr="00420040">
        <w:rPr>
          <w:rFonts w:cs="Arial"/>
          <w:b w:val="0"/>
          <w:sz w:val="22"/>
          <w:szCs w:val="22"/>
          <w:lang w:val="pt-PT"/>
        </w:rPr>
        <w:t xml:space="preserve"> 201</w:t>
      </w:r>
      <w:r w:rsidR="00EA0B88">
        <w:rPr>
          <w:rFonts w:cs="Arial"/>
          <w:b w:val="0"/>
          <w:sz w:val="22"/>
          <w:szCs w:val="22"/>
          <w:lang w:val="pt-PT"/>
        </w:rPr>
        <w:t>7</w:t>
      </w:r>
    </w:p>
    <w:p w14:paraId="7031F7AF" w14:textId="07C686B5" w:rsidR="0081600F" w:rsidRPr="00420040" w:rsidRDefault="0081600F" w:rsidP="009E72D7">
      <w:pPr>
        <w:spacing w:line="228" w:lineRule="auto"/>
        <w:rPr>
          <w:rFonts w:cs="Arial"/>
          <w:iCs/>
          <w:sz w:val="22"/>
          <w:szCs w:val="22"/>
          <w:lang w:val="pt-PT"/>
        </w:rPr>
      </w:pPr>
      <w:r w:rsidRPr="00420040">
        <w:rPr>
          <w:rFonts w:cs="Arial"/>
          <w:iCs/>
          <w:sz w:val="22"/>
          <w:szCs w:val="22"/>
          <w:lang w:val="pt-PT"/>
        </w:rPr>
        <w:t xml:space="preserve">Agenda Item </w:t>
      </w:r>
      <w:r w:rsidR="00E21143">
        <w:rPr>
          <w:rFonts w:cs="Arial"/>
          <w:iCs/>
          <w:sz w:val="22"/>
          <w:szCs w:val="22"/>
          <w:lang w:val="pt-PT"/>
        </w:rPr>
        <w:t>14.3</w:t>
      </w: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81600F" w:rsidRPr="002F6F9B" w14:paraId="26118B12" w14:textId="77777777" w:rsidTr="00972D36">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14:paraId="47F7E92A" w14:textId="77777777" w:rsidR="0081600F" w:rsidRPr="00FA61AF" w:rsidRDefault="00EB2285" w:rsidP="00EB2285">
            <w:pPr>
              <w:tabs>
                <w:tab w:val="left" w:pos="-1057"/>
                <w:tab w:val="left" w:pos="-720"/>
                <w:tab w:val="left" w:pos="0"/>
                <w:tab w:val="left" w:pos="141"/>
                <w:tab w:val="left" w:pos="720"/>
                <w:tab w:val="left" w:pos="1155"/>
                <w:tab w:val="right" w:pos="9072"/>
                <w:tab w:val="right" w:pos="9432"/>
              </w:tabs>
              <w:rPr>
                <w:rFonts w:cs="Arial"/>
                <w:sz w:val="22"/>
                <w:szCs w:val="22"/>
                <w:lang w:val="en-GB"/>
              </w:rPr>
            </w:pPr>
            <w:r>
              <w:rPr>
                <w:rFonts w:cs="Arial"/>
                <w:b/>
                <w:sz w:val="28"/>
                <w:szCs w:val="28"/>
                <w:lang w:val="en-GB"/>
              </w:rPr>
              <w:tab/>
            </w:r>
            <w:r>
              <w:rPr>
                <w:rFonts w:cs="Arial"/>
                <w:b/>
                <w:sz w:val="28"/>
                <w:szCs w:val="28"/>
                <w:lang w:val="en-GB"/>
              </w:rPr>
              <w:tab/>
            </w:r>
            <w:r>
              <w:rPr>
                <w:rFonts w:cs="Arial"/>
                <w:b/>
                <w:sz w:val="28"/>
                <w:szCs w:val="28"/>
                <w:lang w:val="en-GB"/>
              </w:rPr>
              <w:tab/>
            </w:r>
            <w:r>
              <w:rPr>
                <w:rFonts w:cs="Arial"/>
                <w:b/>
                <w:sz w:val="28"/>
                <w:szCs w:val="28"/>
                <w:lang w:val="en-GB"/>
              </w:rPr>
              <w:tab/>
            </w:r>
            <w:r w:rsidR="00FA61AF" w:rsidRPr="002F6F9B">
              <w:rPr>
                <w:rFonts w:cs="Arial"/>
                <w:b/>
                <w:sz w:val="28"/>
                <w:szCs w:val="28"/>
                <w:lang w:val="en-GB"/>
              </w:rPr>
              <w:t>CMS</w:t>
            </w:r>
          </w:p>
          <w:p w14:paraId="0CB8BC04" w14:textId="77777777" w:rsidR="00FA61AF" w:rsidRPr="002F6F9B" w:rsidRDefault="00FA61AF" w:rsidP="00972D36">
            <w:pPr>
              <w:tabs>
                <w:tab w:val="left" w:pos="-1057"/>
                <w:tab w:val="left" w:pos="-720"/>
                <w:tab w:val="left" w:pos="0"/>
                <w:tab w:val="left" w:pos="141"/>
                <w:tab w:val="left" w:pos="720"/>
                <w:tab w:val="right" w:pos="9072"/>
              </w:tabs>
              <w:rPr>
                <w:rFonts w:cs="Arial"/>
                <w:sz w:val="22"/>
                <w:szCs w:val="22"/>
                <w:lang w:val="en-GB"/>
              </w:rPr>
            </w:pPr>
          </w:p>
        </w:tc>
      </w:tr>
      <w:tr w:rsidR="0081600F" w:rsidRPr="00682B31" w14:paraId="709A3B7C" w14:textId="77777777" w:rsidTr="00682B31">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14:paraId="0A10EC10" w14:textId="77777777" w:rsidR="0081600F" w:rsidRPr="00682B31" w:rsidRDefault="00745222">
            <w:pPr>
              <w:rPr>
                <w:rFonts w:cs="Arial"/>
                <w:sz w:val="22"/>
                <w:szCs w:val="22"/>
                <w:lang w:val="en-GB"/>
              </w:rPr>
            </w:pPr>
            <w:r w:rsidRPr="00682B31">
              <w:rPr>
                <w:rFonts w:cs="Arial"/>
                <w:noProof/>
                <w:sz w:val="22"/>
                <w:szCs w:val="22"/>
              </w:rPr>
              <w:drawing>
                <wp:inline distT="0" distB="0" distL="0" distR="0" wp14:anchorId="0B6CCA60" wp14:editId="679C840A">
                  <wp:extent cx="752475" cy="77152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14:paraId="463CCFF8" w14:textId="77777777" w:rsidR="0081600F" w:rsidRPr="00682B31" w:rsidRDefault="0081600F">
            <w:pPr>
              <w:rPr>
                <w:rFonts w:cs="Arial"/>
                <w:sz w:val="22"/>
                <w:szCs w:val="22"/>
                <w:lang w:val="en-GB"/>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14:paraId="260332BD" w14:textId="77777777" w:rsidR="00682B31" w:rsidRPr="00682B31" w:rsidRDefault="00682B31" w:rsidP="006B1037">
            <w:pPr>
              <w:pStyle w:val="Heading2"/>
              <w:pBdr>
                <w:top w:val="none" w:sz="0" w:space="0" w:color="auto"/>
                <w:left w:val="none" w:sz="0" w:space="0" w:color="auto"/>
                <w:bottom w:val="none" w:sz="0" w:space="0" w:color="auto"/>
                <w:right w:val="none" w:sz="0" w:space="0" w:color="auto"/>
              </w:pBdr>
              <w:ind w:left="-108"/>
              <w:rPr>
                <w:rFonts w:cs="Arial"/>
                <w:b w:val="0"/>
                <w:bCs w:val="0"/>
                <w:sz w:val="12"/>
                <w:szCs w:val="12"/>
              </w:rPr>
            </w:pPr>
          </w:p>
          <w:p w14:paraId="63BE47BD" w14:textId="77777777" w:rsidR="0081600F" w:rsidRPr="00972D36" w:rsidRDefault="0081600F" w:rsidP="006B1037">
            <w:pPr>
              <w:pStyle w:val="Heading2"/>
              <w:pBdr>
                <w:top w:val="none" w:sz="0" w:space="0" w:color="auto"/>
                <w:left w:val="none" w:sz="0" w:space="0" w:color="auto"/>
                <w:bottom w:val="none" w:sz="0" w:space="0" w:color="auto"/>
                <w:right w:val="none" w:sz="0" w:space="0" w:color="auto"/>
              </w:pBdr>
              <w:ind w:left="-108"/>
              <w:rPr>
                <w:rFonts w:cs="Arial"/>
                <w:bCs w:val="0"/>
                <w:sz w:val="32"/>
                <w:szCs w:val="32"/>
              </w:rPr>
            </w:pPr>
            <w:r w:rsidRPr="00972D36">
              <w:rPr>
                <w:rFonts w:cs="Arial"/>
                <w:bCs w:val="0"/>
                <w:sz w:val="32"/>
                <w:szCs w:val="32"/>
              </w:rPr>
              <w:t>CONVENTION ON</w:t>
            </w:r>
          </w:p>
          <w:p w14:paraId="15D2F7A7" w14:textId="77777777" w:rsidR="0081600F" w:rsidRPr="00972D36" w:rsidRDefault="0081600F" w:rsidP="006B1037">
            <w:pPr>
              <w:pStyle w:val="Heading2"/>
              <w:pBdr>
                <w:top w:val="none" w:sz="0" w:space="0" w:color="auto"/>
                <w:left w:val="none" w:sz="0" w:space="0" w:color="auto"/>
                <w:bottom w:val="none" w:sz="0" w:space="0" w:color="auto"/>
                <w:right w:val="none" w:sz="0" w:space="0" w:color="auto"/>
              </w:pBdr>
              <w:ind w:left="-108"/>
              <w:rPr>
                <w:rFonts w:cs="Arial"/>
                <w:bCs w:val="0"/>
                <w:sz w:val="32"/>
                <w:szCs w:val="32"/>
              </w:rPr>
            </w:pPr>
            <w:r w:rsidRPr="00972D36">
              <w:rPr>
                <w:rFonts w:cs="Arial"/>
                <w:bCs w:val="0"/>
                <w:sz w:val="32"/>
                <w:szCs w:val="32"/>
              </w:rPr>
              <w:t>MIGRATORY</w:t>
            </w:r>
          </w:p>
          <w:p w14:paraId="59737AE9" w14:textId="77777777" w:rsidR="0081600F" w:rsidRPr="00682B31" w:rsidRDefault="0081600F" w:rsidP="006B1037">
            <w:pPr>
              <w:pStyle w:val="Heading2"/>
              <w:pBdr>
                <w:top w:val="none" w:sz="0" w:space="0" w:color="auto"/>
                <w:left w:val="none" w:sz="0" w:space="0" w:color="auto"/>
                <w:bottom w:val="none" w:sz="0" w:space="0" w:color="auto"/>
                <w:right w:val="none" w:sz="0" w:space="0" w:color="auto"/>
              </w:pBdr>
              <w:ind w:left="-108"/>
              <w:rPr>
                <w:rFonts w:cs="Arial"/>
                <w:b w:val="0"/>
                <w:bCs w:val="0"/>
                <w:sz w:val="22"/>
                <w:szCs w:val="22"/>
                <w:lang w:val="en-GB"/>
              </w:rPr>
            </w:pPr>
            <w:r w:rsidRPr="00972D36">
              <w:rPr>
                <w:rFonts w:cs="Arial"/>
                <w:bCs w:val="0"/>
                <w:sz w:val="32"/>
                <w:szCs w:val="32"/>
              </w:rPr>
              <w:t>SPECIES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14:paraId="3E3F3428" w14:textId="77777777" w:rsidR="00682B31" w:rsidRPr="00682B31" w:rsidRDefault="00682B31" w:rsidP="000C21B1">
            <w:pPr>
              <w:tabs>
                <w:tab w:val="left" w:pos="5040"/>
                <w:tab w:val="left" w:pos="5760"/>
                <w:tab w:val="left" w:pos="6008"/>
                <w:tab w:val="left" w:pos="6480"/>
                <w:tab w:val="left" w:pos="7200"/>
                <w:tab w:val="left" w:pos="7920"/>
                <w:tab w:val="left" w:pos="8640"/>
              </w:tabs>
              <w:rPr>
                <w:rFonts w:cs="Arial"/>
                <w:sz w:val="12"/>
                <w:szCs w:val="12"/>
                <w:lang w:val="en-GB"/>
              </w:rPr>
            </w:pPr>
          </w:p>
          <w:p w14:paraId="19C0B182" w14:textId="77777777" w:rsidR="0081600F" w:rsidRPr="00420040" w:rsidRDefault="0081600F" w:rsidP="000C21B1">
            <w:pPr>
              <w:tabs>
                <w:tab w:val="left" w:pos="5040"/>
                <w:tab w:val="left" w:pos="5760"/>
                <w:tab w:val="left" w:pos="6008"/>
                <w:tab w:val="left" w:pos="6480"/>
                <w:tab w:val="left" w:pos="7200"/>
                <w:tab w:val="left" w:pos="7920"/>
                <w:tab w:val="left" w:pos="8640"/>
              </w:tabs>
              <w:rPr>
                <w:rFonts w:cs="Arial"/>
                <w:sz w:val="22"/>
                <w:szCs w:val="22"/>
                <w:lang w:val="en-GB"/>
              </w:rPr>
            </w:pPr>
            <w:r w:rsidRPr="00420040">
              <w:rPr>
                <w:rFonts w:cs="Arial"/>
                <w:sz w:val="22"/>
                <w:szCs w:val="22"/>
                <w:lang w:val="en-GB"/>
              </w:rPr>
              <w:t>Distribution: General</w:t>
            </w:r>
          </w:p>
          <w:p w14:paraId="10668CF0" w14:textId="77777777" w:rsidR="0081600F" w:rsidRPr="00420040" w:rsidRDefault="0081600F" w:rsidP="000C21B1">
            <w:pPr>
              <w:tabs>
                <w:tab w:val="left" w:pos="-1057"/>
                <w:tab w:val="left" w:pos="-720"/>
                <w:tab w:val="left" w:pos="5040"/>
                <w:tab w:val="left" w:pos="5760"/>
                <w:tab w:val="left" w:pos="6008"/>
                <w:tab w:val="left" w:pos="6480"/>
                <w:tab w:val="left" w:pos="7200"/>
                <w:tab w:val="left" w:pos="7920"/>
                <w:tab w:val="left" w:pos="8640"/>
              </w:tabs>
              <w:rPr>
                <w:rFonts w:cs="Arial"/>
                <w:sz w:val="12"/>
                <w:szCs w:val="12"/>
                <w:lang w:val="en-GB"/>
              </w:rPr>
            </w:pPr>
          </w:p>
          <w:p w14:paraId="49399C51" w14:textId="7880286B" w:rsidR="0081600F" w:rsidRPr="00420040" w:rsidRDefault="00921D62" w:rsidP="000C21B1">
            <w:pPr>
              <w:tabs>
                <w:tab w:val="left" w:pos="5040"/>
                <w:tab w:val="left" w:pos="5760"/>
                <w:tab w:val="left" w:pos="6008"/>
                <w:tab w:val="left" w:pos="6480"/>
                <w:tab w:val="left" w:pos="7200"/>
                <w:tab w:val="left" w:pos="7920"/>
                <w:tab w:val="left" w:pos="8640"/>
              </w:tabs>
              <w:rPr>
                <w:rFonts w:cs="Arial"/>
                <w:sz w:val="22"/>
                <w:szCs w:val="22"/>
                <w:lang w:val="en-GB"/>
              </w:rPr>
            </w:pPr>
            <w:r w:rsidRPr="00420040">
              <w:rPr>
                <w:rFonts w:cs="Arial"/>
                <w:sz w:val="22"/>
                <w:szCs w:val="22"/>
                <w:lang w:val="en-GB"/>
              </w:rPr>
              <w:t>UNEP/CMS/</w:t>
            </w:r>
            <w:r w:rsidR="00ED02D3" w:rsidRPr="00420040">
              <w:rPr>
                <w:rFonts w:cs="Arial"/>
                <w:sz w:val="22"/>
                <w:szCs w:val="22"/>
                <w:lang w:val="en-GB"/>
              </w:rPr>
              <w:t>COP12</w:t>
            </w:r>
            <w:r w:rsidR="00A27BE3" w:rsidRPr="00420040">
              <w:rPr>
                <w:rFonts w:cs="Arial"/>
                <w:sz w:val="22"/>
                <w:szCs w:val="22"/>
                <w:lang w:val="en-GB"/>
              </w:rPr>
              <w:t>/</w:t>
            </w:r>
            <w:r w:rsidR="0079075D" w:rsidRPr="00420040">
              <w:rPr>
                <w:rFonts w:cs="Arial"/>
                <w:sz w:val="22"/>
                <w:szCs w:val="22"/>
                <w:lang w:val="en-GB"/>
              </w:rPr>
              <w:t>Doc.</w:t>
            </w:r>
            <w:r w:rsidR="00E21143">
              <w:rPr>
                <w:rFonts w:cs="Arial"/>
                <w:sz w:val="22"/>
                <w:szCs w:val="22"/>
                <w:lang w:val="en-GB"/>
              </w:rPr>
              <w:t>14.3</w:t>
            </w:r>
          </w:p>
          <w:p w14:paraId="422EB40E" w14:textId="4ADDAF1E" w:rsidR="0081600F" w:rsidRPr="00420040" w:rsidRDefault="00E21143" w:rsidP="000C21B1">
            <w:pPr>
              <w:tabs>
                <w:tab w:val="left" w:pos="5040"/>
                <w:tab w:val="left" w:pos="5760"/>
                <w:tab w:val="left" w:pos="6008"/>
                <w:tab w:val="left" w:pos="6480"/>
                <w:tab w:val="left" w:pos="7200"/>
                <w:tab w:val="left" w:pos="7920"/>
                <w:tab w:val="left" w:pos="8640"/>
              </w:tabs>
              <w:rPr>
                <w:rFonts w:cs="Arial"/>
                <w:sz w:val="22"/>
                <w:szCs w:val="22"/>
                <w:lang w:val="en-GB"/>
              </w:rPr>
            </w:pPr>
            <w:r>
              <w:rPr>
                <w:rFonts w:cs="Arial"/>
                <w:sz w:val="22"/>
                <w:szCs w:val="22"/>
                <w:lang w:val="en-GB"/>
              </w:rPr>
              <w:t>24 July</w:t>
            </w:r>
            <w:r w:rsidR="0079075D" w:rsidRPr="00420040">
              <w:rPr>
                <w:rFonts w:cs="Arial"/>
                <w:sz w:val="22"/>
                <w:szCs w:val="22"/>
                <w:lang w:val="en-GB"/>
              </w:rPr>
              <w:t xml:space="preserve"> </w:t>
            </w:r>
            <w:r w:rsidR="00EA0B88">
              <w:rPr>
                <w:rFonts w:cs="Arial"/>
                <w:sz w:val="22"/>
                <w:szCs w:val="22"/>
                <w:lang w:val="en-GB"/>
              </w:rPr>
              <w:t>2017</w:t>
            </w:r>
          </w:p>
          <w:p w14:paraId="64C63785" w14:textId="77777777" w:rsidR="00E8776E" w:rsidRPr="00420040" w:rsidRDefault="00E8776E" w:rsidP="000C21B1">
            <w:pPr>
              <w:rPr>
                <w:rFonts w:cs="Arial"/>
                <w:sz w:val="12"/>
                <w:szCs w:val="12"/>
                <w:lang w:val="en-GB"/>
              </w:rPr>
            </w:pPr>
          </w:p>
          <w:p w14:paraId="234CC721" w14:textId="77777777" w:rsidR="0081600F" w:rsidRPr="00420040" w:rsidRDefault="0081600F" w:rsidP="000C21B1">
            <w:pPr>
              <w:rPr>
                <w:rFonts w:cs="Arial"/>
                <w:sz w:val="22"/>
                <w:szCs w:val="22"/>
                <w:lang w:val="en-GB"/>
              </w:rPr>
            </w:pPr>
            <w:r w:rsidRPr="00420040">
              <w:rPr>
                <w:rFonts w:cs="Arial"/>
                <w:sz w:val="22"/>
                <w:szCs w:val="22"/>
                <w:lang w:val="en-GB"/>
              </w:rPr>
              <w:t>Original: English</w:t>
            </w:r>
          </w:p>
          <w:p w14:paraId="53800059" w14:textId="77777777" w:rsidR="00682B31" w:rsidRPr="00682B31" w:rsidRDefault="00682B31" w:rsidP="000C21B1">
            <w:pPr>
              <w:rPr>
                <w:rFonts w:cs="Arial"/>
                <w:sz w:val="12"/>
                <w:szCs w:val="12"/>
                <w:lang w:val="en-GB"/>
              </w:rPr>
            </w:pPr>
          </w:p>
        </w:tc>
      </w:tr>
    </w:tbl>
    <w:p w14:paraId="6CD150FC" w14:textId="77777777" w:rsidR="00354A9C" w:rsidRPr="00682B31" w:rsidRDefault="00354A9C" w:rsidP="00922791">
      <w:pPr>
        <w:tabs>
          <w:tab w:val="left" w:pos="7020"/>
        </w:tabs>
        <w:rPr>
          <w:rFonts w:cs="Arial"/>
          <w:sz w:val="22"/>
          <w:szCs w:val="22"/>
        </w:rPr>
      </w:pPr>
    </w:p>
    <w:p w14:paraId="351CBAF3" w14:textId="77777777" w:rsidR="0052082F" w:rsidRPr="00682B31" w:rsidRDefault="0052082F" w:rsidP="00354A9C">
      <w:pPr>
        <w:rPr>
          <w:rFonts w:cs="Arial"/>
          <w:sz w:val="22"/>
          <w:szCs w:val="22"/>
        </w:rPr>
      </w:pPr>
    </w:p>
    <w:p w14:paraId="2A3CC93B" w14:textId="48E27A42" w:rsidR="00B64904" w:rsidRPr="00420040" w:rsidRDefault="00E21143" w:rsidP="004A7FF9">
      <w:pPr>
        <w:pStyle w:val="Heading2"/>
        <w:keepNext w:val="0"/>
        <w:ind w:right="-367"/>
        <w:jc w:val="center"/>
        <w:rPr>
          <w:rFonts w:cs="Arial"/>
          <w:sz w:val="22"/>
          <w:szCs w:val="22"/>
          <w:lang w:val="en-GB"/>
        </w:rPr>
      </w:pPr>
      <w:r>
        <w:rPr>
          <w:rFonts w:cs="Arial"/>
          <w:sz w:val="22"/>
          <w:szCs w:val="22"/>
          <w:lang w:val="en-GB"/>
        </w:rPr>
        <w:t>RESOURCE MOBILIZATION</w:t>
      </w:r>
    </w:p>
    <w:p w14:paraId="7900A4D0" w14:textId="77777777" w:rsidR="00593736" w:rsidRPr="004D0936" w:rsidRDefault="00593736" w:rsidP="00593736">
      <w:pPr>
        <w:rPr>
          <w:sz w:val="8"/>
          <w:szCs w:val="8"/>
          <w:lang w:val="en-GB"/>
        </w:rPr>
      </w:pPr>
    </w:p>
    <w:p w14:paraId="28BFAB3C" w14:textId="6F301723" w:rsidR="00B64904" w:rsidRDefault="00B64904" w:rsidP="00185922">
      <w:pPr>
        <w:jc w:val="center"/>
        <w:rPr>
          <w:rFonts w:cs="Arial"/>
          <w:i/>
          <w:sz w:val="22"/>
          <w:szCs w:val="22"/>
          <w:lang w:val="en-GB"/>
        </w:rPr>
      </w:pPr>
      <w:r w:rsidRPr="00E21143">
        <w:rPr>
          <w:rFonts w:cs="Arial"/>
          <w:i/>
          <w:sz w:val="22"/>
          <w:szCs w:val="22"/>
          <w:lang w:val="en-GB"/>
        </w:rPr>
        <w:t>(</w:t>
      </w:r>
      <w:r w:rsidR="00F11793" w:rsidRPr="00E21143">
        <w:rPr>
          <w:rFonts w:cs="Arial"/>
          <w:i/>
          <w:sz w:val="22"/>
          <w:szCs w:val="22"/>
          <w:lang w:val="en-GB"/>
        </w:rPr>
        <w:t>P</w:t>
      </w:r>
      <w:r w:rsidR="0079075D" w:rsidRPr="00E21143">
        <w:rPr>
          <w:rFonts w:cs="Arial"/>
          <w:i/>
          <w:sz w:val="22"/>
          <w:szCs w:val="22"/>
          <w:lang w:val="en-GB"/>
        </w:rPr>
        <w:t xml:space="preserve">repared by </w:t>
      </w:r>
      <w:r w:rsidR="00870FB9" w:rsidRPr="00E21143">
        <w:rPr>
          <w:rFonts w:cs="Arial"/>
          <w:i/>
          <w:sz w:val="22"/>
          <w:szCs w:val="22"/>
          <w:lang w:val="en-GB"/>
        </w:rPr>
        <w:t>the Secretariat</w:t>
      </w:r>
      <w:r w:rsidRPr="00E21143">
        <w:rPr>
          <w:rFonts w:cs="Arial"/>
          <w:i/>
          <w:sz w:val="22"/>
          <w:szCs w:val="22"/>
          <w:lang w:val="en-GB"/>
        </w:rPr>
        <w:t>)</w:t>
      </w:r>
    </w:p>
    <w:p w14:paraId="5C18F762" w14:textId="77777777" w:rsidR="00870FB9" w:rsidRPr="004D0936" w:rsidRDefault="00870FB9" w:rsidP="00870FB9">
      <w:pPr>
        <w:rPr>
          <w:sz w:val="8"/>
          <w:szCs w:val="8"/>
          <w:lang w:val="en-GB"/>
        </w:rPr>
      </w:pPr>
    </w:p>
    <w:p w14:paraId="14E1ACC4" w14:textId="77777777" w:rsidR="00870FB9" w:rsidRPr="00420040" w:rsidRDefault="00870FB9" w:rsidP="00B64904">
      <w:pPr>
        <w:jc w:val="center"/>
        <w:rPr>
          <w:rFonts w:cs="Arial"/>
          <w:i/>
          <w:sz w:val="22"/>
          <w:szCs w:val="22"/>
          <w:lang w:val="en-GB"/>
        </w:rPr>
      </w:pPr>
    </w:p>
    <w:p w14:paraId="30AD86D0" w14:textId="77777777" w:rsidR="001764E6" w:rsidRPr="00C169ED" w:rsidRDefault="001764E6" w:rsidP="001764E6">
      <w:pPr>
        <w:jc w:val="both"/>
        <w:rPr>
          <w:rFonts w:cs="Arial"/>
          <w:sz w:val="21"/>
          <w:szCs w:val="21"/>
          <w:lang w:val="en-GB"/>
        </w:rPr>
      </w:pPr>
    </w:p>
    <w:p w14:paraId="0C19A877" w14:textId="77777777" w:rsidR="001764E6" w:rsidRPr="00C169ED" w:rsidRDefault="001764E6" w:rsidP="00D605A4">
      <w:pPr>
        <w:tabs>
          <w:tab w:val="left" w:pos="8295"/>
        </w:tabs>
        <w:jc w:val="both"/>
        <w:rPr>
          <w:rFonts w:cs="Arial"/>
          <w:sz w:val="21"/>
          <w:szCs w:val="21"/>
        </w:rPr>
      </w:pPr>
    </w:p>
    <w:p w14:paraId="4F609AF9" w14:textId="77777777" w:rsidR="00D605A4" w:rsidRPr="00C169ED" w:rsidRDefault="00745222" w:rsidP="00D605A4">
      <w:pPr>
        <w:rPr>
          <w:rFonts w:cs="Arial"/>
          <w:sz w:val="21"/>
          <w:szCs w:val="21"/>
        </w:rPr>
      </w:pPr>
      <w:r w:rsidRPr="00C169ED">
        <w:rPr>
          <w:rFonts w:cs="Arial"/>
          <w:noProof/>
          <w:sz w:val="21"/>
          <w:szCs w:val="21"/>
        </w:rPr>
        <mc:AlternateContent>
          <mc:Choice Requires="wps">
            <w:drawing>
              <wp:anchor distT="0" distB="0" distL="114300" distR="114300" simplePos="0" relativeHeight="251657728" behindDoc="0" locked="0" layoutInCell="1" allowOverlap="1" wp14:anchorId="7A825230" wp14:editId="5AC2009E">
                <wp:simplePos x="0" y="0"/>
                <wp:positionH relativeFrom="column">
                  <wp:posOffset>779196</wp:posOffset>
                </wp:positionH>
                <wp:positionV relativeFrom="paragraph">
                  <wp:posOffset>147980</wp:posOffset>
                </wp:positionV>
                <wp:extent cx="4305300" cy="2267712"/>
                <wp:effectExtent l="0" t="0" r="19050" b="1841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2267712"/>
                        </a:xfrm>
                        <a:prstGeom prst="rect">
                          <a:avLst/>
                        </a:prstGeom>
                        <a:solidFill>
                          <a:srgbClr val="FFFFFF"/>
                        </a:solidFill>
                        <a:ln w="3175">
                          <a:solidFill>
                            <a:srgbClr val="000000"/>
                          </a:solidFill>
                          <a:miter lim="800000"/>
                          <a:headEnd/>
                          <a:tailEnd/>
                        </a:ln>
                      </wps:spPr>
                      <wps:txbx>
                        <w:txbxContent>
                          <w:p w14:paraId="22DE6AB6" w14:textId="77777777" w:rsidR="00E475D4" w:rsidRPr="00420040" w:rsidRDefault="00E475D4" w:rsidP="00E475D4">
                            <w:pPr>
                              <w:rPr>
                                <w:rFonts w:cs="Arial"/>
                                <w:sz w:val="22"/>
                                <w:szCs w:val="22"/>
                              </w:rPr>
                            </w:pPr>
                            <w:r w:rsidRPr="00420040">
                              <w:rPr>
                                <w:rFonts w:cs="Arial"/>
                                <w:sz w:val="22"/>
                                <w:szCs w:val="22"/>
                              </w:rPr>
                              <w:t>Summary:</w:t>
                            </w:r>
                          </w:p>
                          <w:p w14:paraId="49B07BE4" w14:textId="5BA83D19" w:rsidR="00F11793" w:rsidRDefault="00F11793" w:rsidP="00E8776E">
                            <w:pPr>
                              <w:rPr>
                                <w:rFonts w:cs="Arial"/>
                                <w:i/>
                                <w:sz w:val="22"/>
                                <w:szCs w:val="22"/>
                                <w:lang w:val="en-GB"/>
                              </w:rPr>
                            </w:pPr>
                          </w:p>
                          <w:p w14:paraId="633D275B" w14:textId="022D395D" w:rsidR="004B7F3D" w:rsidRPr="004B7F3D" w:rsidRDefault="005831E6" w:rsidP="001C0810">
                            <w:pPr>
                              <w:jc w:val="both"/>
                              <w:rPr>
                                <w:rFonts w:cs="Arial"/>
                                <w:sz w:val="22"/>
                                <w:szCs w:val="22"/>
                              </w:rPr>
                            </w:pPr>
                            <w:r>
                              <w:rPr>
                                <w:rFonts w:cs="Arial"/>
                                <w:sz w:val="22"/>
                                <w:szCs w:val="22"/>
                              </w:rPr>
                              <w:t>The present document</w:t>
                            </w:r>
                            <w:r w:rsidR="004B7F3D" w:rsidRPr="004B7F3D">
                              <w:rPr>
                                <w:rFonts w:cs="Arial"/>
                                <w:sz w:val="22"/>
                                <w:szCs w:val="22"/>
                              </w:rPr>
                              <w:t xml:space="preserve"> provides the state of resources mobilized, as at July 201</w:t>
                            </w:r>
                            <w:r>
                              <w:rPr>
                                <w:rFonts w:cs="Arial"/>
                                <w:sz w:val="22"/>
                                <w:szCs w:val="22"/>
                              </w:rPr>
                              <w:t>7, since the Elev</w:t>
                            </w:r>
                            <w:r w:rsidR="004B7F3D" w:rsidRPr="004B7F3D">
                              <w:rPr>
                                <w:rFonts w:cs="Arial"/>
                                <w:sz w:val="22"/>
                                <w:szCs w:val="22"/>
                              </w:rPr>
                              <w:t>enth Meeting of the Conference of the Parties (</w:t>
                            </w:r>
                            <w:r>
                              <w:rPr>
                                <w:rFonts w:cs="Arial"/>
                                <w:sz w:val="22"/>
                                <w:szCs w:val="22"/>
                              </w:rPr>
                              <w:t>Quito, Ecuador</w:t>
                            </w:r>
                            <w:r w:rsidR="004B7F3D" w:rsidRPr="004B7F3D">
                              <w:rPr>
                                <w:rFonts w:cs="Arial"/>
                                <w:sz w:val="22"/>
                                <w:szCs w:val="22"/>
                              </w:rPr>
                              <w:t xml:space="preserve"> 201</w:t>
                            </w:r>
                            <w:r>
                              <w:rPr>
                                <w:rFonts w:cs="Arial"/>
                                <w:sz w:val="22"/>
                                <w:szCs w:val="22"/>
                              </w:rPr>
                              <w:t>4</w:t>
                            </w:r>
                            <w:r w:rsidR="004B7F3D" w:rsidRPr="004B7F3D">
                              <w:rPr>
                                <w:rFonts w:cs="Arial"/>
                                <w:sz w:val="22"/>
                                <w:szCs w:val="22"/>
                              </w:rPr>
                              <w:t>).</w:t>
                            </w:r>
                          </w:p>
                          <w:p w14:paraId="3C1BC7BE" w14:textId="13D46556" w:rsidR="004B7F3D" w:rsidRDefault="004B7F3D" w:rsidP="001C0810">
                            <w:pPr>
                              <w:jc w:val="both"/>
                              <w:rPr>
                                <w:rFonts w:cs="Arial"/>
                                <w:sz w:val="22"/>
                                <w:szCs w:val="22"/>
                              </w:rPr>
                            </w:pPr>
                          </w:p>
                          <w:p w14:paraId="1642131A" w14:textId="1A0E0A7F" w:rsidR="000545FA" w:rsidRPr="005831E6" w:rsidRDefault="000545FA" w:rsidP="001C0810">
                            <w:pPr>
                              <w:pStyle w:val="ListParagraph"/>
                              <w:tabs>
                                <w:tab w:val="left" w:pos="720"/>
                              </w:tabs>
                              <w:ind w:left="0"/>
                              <w:jc w:val="both"/>
                              <w:rPr>
                                <w:sz w:val="22"/>
                                <w:szCs w:val="22"/>
                              </w:rPr>
                            </w:pPr>
                            <w:r w:rsidRPr="005831E6">
                              <w:rPr>
                                <w:sz w:val="22"/>
                                <w:szCs w:val="22"/>
                              </w:rPr>
                              <w:t xml:space="preserve">These resources (both financial and in-kind) </w:t>
                            </w:r>
                            <w:r w:rsidR="00A265FE">
                              <w:rPr>
                                <w:sz w:val="22"/>
                                <w:szCs w:val="22"/>
                              </w:rPr>
                              <w:t xml:space="preserve">have </w:t>
                            </w:r>
                            <w:r w:rsidRPr="005831E6">
                              <w:rPr>
                                <w:sz w:val="22"/>
                                <w:szCs w:val="22"/>
                              </w:rPr>
                              <w:t>contribute</w:t>
                            </w:r>
                            <w:r w:rsidR="00A265FE">
                              <w:rPr>
                                <w:sz w:val="22"/>
                                <w:szCs w:val="22"/>
                              </w:rPr>
                              <w:t>d</w:t>
                            </w:r>
                            <w:r w:rsidRPr="005831E6">
                              <w:rPr>
                                <w:sz w:val="22"/>
                                <w:szCs w:val="22"/>
                              </w:rPr>
                              <w:t xml:space="preserve"> t</w:t>
                            </w:r>
                            <w:r w:rsidR="005831E6" w:rsidRPr="005831E6">
                              <w:rPr>
                                <w:sz w:val="22"/>
                                <w:szCs w:val="22"/>
                              </w:rPr>
                              <w:t xml:space="preserve">o the implementation of the </w:t>
                            </w:r>
                            <w:r w:rsidRPr="005831E6">
                              <w:rPr>
                                <w:sz w:val="22"/>
                                <w:szCs w:val="22"/>
                              </w:rPr>
                              <w:t xml:space="preserve">Secretariat </w:t>
                            </w:r>
                            <w:proofErr w:type="spellStart"/>
                            <w:r w:rsidRPr="005831E6">
                              <w:rPr>
                                <w:sz w:val="22"/>
                                <w:szCs w:val="22"/>
                              </w:rPr>
                              <w:t>Programme</w:t>
                            </w:r>
                            <w:proofErr w:type="spellEnd"/>
                            <w:r w:rsidRPr="005831E6">
                              <w:rPr>
                                <w:sz w:val="22"/>
                                <w:szCs w:val="22"/>
                              </w:rPr>
                              <w:t xml:space="preserve"> of Work for the Triennium 2015 – 2017 (</w:t>
                            </w:r>
                            <w:r w:rsidR="00233F6F" w:rsidRPr="00420040">
                              <w:rPr>
                                <w:rFonts w:cs="Arial"/>
                                <w:sz w:val="22"/>
                                <w:szCs w:val="22"/>
                                <w:lang w:val="en-GB"/>
                              </w:rPr>
                              <w:t>UNEP/CMS/COP12/Doc.</w:t>
                            </w:r>
                            <w:r w:rsidR="00233F6F">
                              <w:rPr>
                                <w:rFonts w:cs="Arial"/>
                                <w:sz w:val="22"/>
                                <w:szCs w:val="22"/>
                                <w:lang w:val="en-GB"/>
                              </w:rPr>
                              <w:t>18</w:t>
                            </w:r>
                            <w:r w:rsidRPr="005831E6">
                              <w:rPr>
                                <w:sz w:val="22"/>
                                <w:szCs w:val="22"/>
                              </w:rPr>
                              <w:t>).</w:t>
                            </w:r>
                          </w:p>
                          <w:p w14:paraId="56405654" w14:textId="77777777" w:rsidR="000545FA" w:rsidRPr="004B7F3D" w:rsidRDefault="000545FA" w:rsidP="001C0810">
                            <w:pPr>
                              <w:jc w:val="both"/>
                              <w:rPr>
                                <w:rFonts w:cs="Arial"/>
                                <w:sz w:val="22"/>
                                <w:szCs w:val="22"/>
                              </w:rPr>
                            </w:pPr>
                          </w:p>
                          <w:p w14:paraId="603CD8FF" w14:textId="56433FDA" w:rsidR="004B7F3D" w:rsidRPr="004B7F3D" w:rsidRDefault="004B7F3D" w:rsidP="001C0810">
                            <w:pPr>
                              <w:jc w:val="both"/>
                              <w:rPr>
                                <w:rFonts w:cs="Arial"/>
                                <w:i/>
                                <w:sz w:val="22"/>
                                <w:szCs w:val="22"/>
                                <w:lang w:val="en-GB"/>
                              </w:rPr>
                            </w:pPr>
                            <w:r w:rsidRPr="004B7F3D">
                              <w:rPr>
                                <w:rFonts w:cs="Arial"/>
                                <w:sz w:val="22"/>
                                <w:szCs w:val="22"/>
                              </w:rPr>
                              <w:t xml:space="preserve">These resources (both financial and in-kind) </w:t>
                            </w:r>
                            <w:r w:rsidR="005831E6">
                              <w:rPr>
                                <w:rFonts w:cs="Arial"/>
                                <w:sz w:val="22"/>
                                <w:szCs w:val="22"/>
                              </w:rPr>
                              <w:t xml:space="preserve">also </w:t>
                            </w:r>
                            <w:r w:rsidRPr="004B7F3D">
                              <w:rPr>
                                <w:rFonts w:cs="Arial"/>
                                <w:sz w:val="22"/>
                                <w:szCs w:val="22"/>
                              </w:rPr>
                              <w:t xml:space="preserve">contribute to the </w:t>
                            </w:r>
                            <w:r w:rsidR="003A5496">
                              <w:rPr>
                                <w:rFonts w:cs="Arial"/>
                                <w:sz w:val="22"/>
                                <w:szCs w:val="22"/>
                              </w:rPr>
                              <w:t>implementation</w:t>
                            </w:r>
                            <w:r w:rsidR="003A5496" w:rsidRPr="004B7F3D">
                              <w:rPr>
                                <w:rFonts w:cs="Arial"/>
                                <w:sz w:val="22"/>
                                <w:szCs w:val="22"/>
                              </w:rPr>
                              <w:t xml:space="preserve"> </w:t>
                            </w:r>
                            <w:r w:rsidRPr="004B7F3D">
                              <w:rPr>
                                <w:rFonts w:cs="Arial"/>
                                <w:sz w:val="22"/>
                                <w:szCs w:val="22"/>
                              </w:rPr>
                              <w:t>of many Resolutions</w:t>
                            </w:r>
                            <w:r w:rsidR="00125893">
                              <w:rPr>
                                <w:rFonts w:cs="Arial"/>
                                <w:sz w:val="22"/>
                                <w:szCs w:val="22"/>
                              </w:rPr>
                              <w:t xml:space="preserve"> as well as</w:t>
                            </w:r>
                            <w:r w:rsidRPr="004B7F3D">
                              <w:rPr>
                                <w:rFonts w:cs="Arial"/>
                                <w:sz w:val="22"/>
                                <w:szCs w:val="22"/>
                              </w:rPr>
                              <w:t xml:space="preserve"> all targets of the Strategic Plan </w:t>
                            </w:r>
                            <w:r w:rsidR="00125893">
                              <w:rPr>
                                <w:rFonts w:cs="Arial"/>
                                <w:sz w:val="22"/>
                                <w:szCs w:val="22"/>
                              </w:rPr>
                              <w:t xml:space="preserve">for Migratory Species </w:t>
                            </w:r>
                            <w:r w:rsidR="005831E6">
                              <w:rPr>
                                <w:rFonts w:cs="Arial"/>
                                <w:sz w:val="22"/>
                                <w:szCs w:val="22"/>
                              </w:rPr>
                              <w:t>2015-2023.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825230" id="_x0000_t202" coordsize="21600,21600" o:spt="202" path="m,l,21600r21600,l21600,xe">
                <v:stroke joinstyle="miter"/>
                <v:path gradientshapeok="t" o:connecttype="rect"/>
              </v:shapetype>
              <v:shape id="Text Box 4" o:spid="_x0000_s1026" type="#_x0000_t202" style="position:absolute;margin-left:61.35pt;margin-top:11.65pt;width:339pt;height:178.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" strokeweight=".25pt">
                <v:textbox>
                  <w:txbxContent>
                    <w:p w14:paraId="22DE6AB6" w14:textId="77777777" w:rsidR="00E475D4" w:rsidRPr="00420040" w:rsidRDefault="00E475D4" w:rsidP="00E475D4">
                      <w:pPr>
                        <w:rPr>
                          <w:rFonts w:cs="Arial"/>
                          <w:sz w:val="22"/>
                          <w:szCs w:val="22"/>
                        </w:rPr>
                      </w:pPr>
                      <w:r w:rsidRPr="00420040">
                        <w:rPr>
                          <w:rFonts w:cs="Arial"/>
                          <w:sz w:val="22"/>
                          <w:szCs w:val="22"/>
                        </w:rPr>
                        <w:t>Summary:</w:t>
                      </w:r>
                    </w:p>
                    <w:p w14:paraId="49B07BE4" w14:textId="5BA83D19" w:rsidR="00F11793" w:rsidRDefault="00F11793" w:rsidP="00E8776E">
                      <w:pPr>
                        <w:rPr>
                          <w:rFonts w:cs="Arial"/>
                          <w:i/>
                          <w:sz w:val="22"/>
                          <w:szCs w:val="22"/>
                          <w:lang w:val="en-GB"/>
                        </w:rPr>
                      </w:pPr>
                    </w:p>
                    <w:p w14:paraId="633D275B" w14:textId="022D395D" w:rsidR="004B7F3D" w:rsidRPr="004B7F3D" w:rsidRDefault="005831E6" w:rsidP="001C0810">
                      <w:pPr>
                        <w:jc w:val="both"/>
                        <w:rPr>
                          <w:rFonts w:cs="Arial"/>
                          <w:sz w:val="22"/>
                          <w:szCs w:val="22"/>
                        </w:rPr>
                      </w:pPr>
                      <w:r>
                        <w:rPr>
                          <w:rFonts w:cs="Arial"/>
                          <w:sz w:val="22"/>
                          <w:szCs w:val="22"/>
                        </w:rPr>
                        <w:t>The present document</w:t>
                      </w:r>
                      <w:r w:rsidR="004B7F3D" w:rsidRPr="004B7F3D">
                        <w:rPr>
                          <w:rFonts w:cs="Arial"/>
                          <w:sz w:val="22"/>
                          <w:szCs w:val="22"/>
                        </w:rPr>
                        <w:t xml:space="preserve"> provides the state of resources mobilized, as at July 201</w:t>
                      </w:r>
                      <w:r>
                        <w:rPr>
                          <w:rFonts w:cs="Arial"/>
                          <w:sz w:val="22"/>
                          <w:szCs w:val="22"/>
                        </w:rPr>
                        <w:t>7, since the Elev</w:t>
                      </w:r>
                      <w:r w:rsidR="004B7F3D" w:rsidRPr="004B7F3D">
                        <w:rPr>
                          <w:rFonts w:cs="Arial"/>
                          <w:sz w:val="22"/>
                          <w:szCs w:val="22"/>
                        </w:rPr>
                        <w:t>enth Meeting of the Conference of the Parties (</w:t>
                      </w:r>
                      <w:r>
                        <w:rPr>
                          <w:rFonts w:cs="Arial"/>
                          <w:sz w:val="22"/>
                          <w:szCs w:val="22"/>
                        </w:rPr>
                        <w:t>Quito, Ecuador</w:t>
                      </w:r>
                      <w:r w:rsidR="004B7F3D" w:rsidRPr="004B7F3D">
                        <w:rPr>
                          <w:rFonts w:cs="Arial"/>
                          <w:sz w:val="22"/>
                          <w:szCs w:val="22"/>
                        </w:rPr>
                        <w:t xml:space="preserve"> 201</w:t>
                      </w:r>
                      <w:r>
                        <w:rPr>
                          <w:rFonts w:cs="Arial"/>
                          <w:sz w:val="22"/>
                          <w:szCs w:val="22"/>
                        </w:rPr>
                        <w:t>4</w:t>
                      </w:r>
                      <w:r w:rsidR="004B7F3D" w:rsidRPr="004B7F3D">
                        <w:rPr>
                          <w:rFonts w:cs="Arial"/>
                          <w:sz w:val="22"/>
                          <w:szCs w:val="22"/>
                        </w:rPr>
                        <w:t>).</w:t>
                      </w:r>
                    </w:p>
                    <w:p w14:paraId="3C1BC7BE" w14:textId="13D46556" w:rsidR="004B7F3D" w:rsidRDefault="004B7F3D" w:rsidP="001C0810">
                      <w:pPr>
                        <w:jc w:val="both"/>
                        <w:rPr>
                          <w:rFonts w:cs="Arial"/>
                          <w:sz w:val="22"/>
                          <w:szCs w:val="22"/>
                        </w:rPr>
                      </w:pPr>
                    </w:p>
                    <w:p w14:paraId="1642131A" w14:textId="1A0E0A7F" w:rsidR="000545FA" w:rsidRPr="005831E6" w:rsidRDefault="000545FA" w:rsidP="001C0810">
                      <w:pPr>
                        <w:pStyle w:val="ListParagraph"/>
                        <w:tabs>
                          <w:tab w:val="left" w:pos="720"/>
                        </w:tabs>
                        <w:ind w:left="0"/>
                        <w:jc w:val="both"/>
                        <w:rPr>
                          <w:sz w:val="22"/>
                          <w:szCs w:val="22"/>
                        </w:rPr>
                      </w:pPr>
                      <w:r w:rsidRPr="005831E6">
                        <w:rPr>
                          <w:sz w:val="22"/>
                          <w:szCs w:val="22"/>
                        </w:rPr>
                        <w:t xml:space="preserve">These resources (both financial and in-kind) </w:t>
                      </w:r>
                      <w:r w:rsidR="00A265FE">
                        <w:rPr>
                          <w:sz w:val="22"/>
                          <w:szCs w:val="22"/>
                        </w:rPr>
                        <w:t xml:space="preserve">have </w:t>
                      </w:r>
                      <w:r w:rsidRPr="005831E6">
                        <w:rPr>
                          <w:sz w:val="22"/>
                          <w:szCs w:val="22"/>
                        </w:rPr>
                        <w:t>contribute</w:t>
                      </w:r>
                      <w:r w:rsidR="00A265FE">
                        <w:rPr>
                          <w:sz w:val="22"/>
                          <w:szCs w:val="22"/>
                        </w:rPr>
                        <w:t>d</w:t>
                      </w:r>
                      <w:r w:rsidRPr="005831E6">
                        <w:rPr>
                          <w:sz w:val="22"/>
                          <w:szCs w:val="22"/>
                        </w:rPr>
                        <w:t xml:space="preserve"> t</w:t>
                      </w:r>
                      <w:r w:rsidR="005831E6" w:rsidRPr="005831E6">
                        <w:rPr>
                          <w:sz w:val="22"/>
                          <w:szCs w:val="22"/>
                        </w:rPr>
                        <w:t xml:space="preserve">o the implementation of the </w:t>
                      </w:r>
                      <w:r w:rsidRPr="005831E6">
                        <w:rPr>
                          <w:sz w:val="22"/>
                          <w:szCs w:val="22"/>
                        </w:rPr>
                        <w:t xml:space="preserve">Secretariat </w:t>
                      </w:r>
                      <w:proofErr w:type="spellStart"/>
                      <w:r w:rsidRPr="005831E6">
                        <w:rPr>
                          <w:sz w:val="22"/>
                          <w:szCs w:val="22"/>
                        </w:rPr>
                        <w:t>Programme</w:t>
                      </w:r>
                      <w:proofErr w:type="spellEnd"/>
                      <w:r w:rsidRPr="005831E6">
                        <w:rPr>
                          <w:sz w:val="22"/>
                          <w:szCs w:val="22"/>
                        </w:rPr>
                        <w:t xml:space="preserve"> of Work for the Triennium 2015 – 2017 (</w:t>
                      </w:r>
                      <w:r w:rsidR="00233F6F" w:rsidRPr="00420040">
                        <w:rPr>
                          <w:rFonts w:cs="Arial"/>
                          <w:sz w:val="22"/>
                          <w:szCs w:val="22"/>
                          <w:lang w:val="en-GB"/>
                        </w:rPr>
                        <w:t>UNEP/CMS/COP12/Doc.</w:t>
                      </w:r>
                      <w:r w:rsidR="00233F6F">
                        <w:rPr>
                          <w:rFonts w:cs="Arial"/>
                          <w:sz w:val="22"/>
                          <w:szCs w:val="22"/>
                          <w:lang w:val="en-GB"/>
                        </w:rPr>
                        <w:t>18</w:t>
                      </w:r>
                      <w:r w:rsidRPr="005831E6">
                        <w:rPr>
                          <w:sz w:val="22"/>
                          <w:szCs w:val="22"/>
                        </w:rPr>
                        <w:t>).</w:t>
                      </w:r>
                    </w:p>
                    <w:p w14:paraId="56405654" w14:textId="77777777" w:rsidR="000545FA" w:rsidRPr="004B7F3D" w:rsidRDefault="000545FA" w:rsidP="001C0810">
                      <w:pPr>
                        <w:jc w:val="both"/>
                        <w:rPr>
                          <w:rFonts w:cs="Arial"/>
                          <w:sz w:val="22"/>
                          <w:szCs w:val="22"/>
                        </w:rPr>
                      </w:pPr>
                    </w:p>
                    <w:p w14:paraId="603CD8FF" w14:textId="56433FDA" w:rsidR="004B7F3D" w:rsidRPr="004B7F3D" w:rsidRDefault="004B7F3D" w:rsidP="001C0810">
                      <w:pPr>
                        <w:jc w:val="both"/>
                        <w:rPr>
                          <w:rFonts w:cs="Arial"/>
                          <w:i/>
                          <w:sz w:val="22"/>
                          <w:szCs w:val="22"/>
                          <w:lang w:val="en-GB"/>
                        </w:rPr>
                      </w:pPr>
                      <w:r w:rsidRPr="004B7F3D">
                        <w:rPr>
                          <w:rFonts w:cs="Arial"/>
                          <w:sz w:val="22"/>
                          <w:szCs w:val="22"/>
                        </w:rPr>
                        <w:t xml:space="preserve">These resources (both financial and in-kind) </w:t>
                      </w:r>
                      <w:r w:rsidR="005831E6">
                        <w:rPr>
                          <w:rFonts w:cs="Arial"/>
                          <w:sz w:val="22"/>
                          <w:szCs w:val="22"/>
                        </w:rPr>
                        <w:t xml:space="preserve">also </w:t>
                      </w:r>
                      <w:r w:rsidRPr="004B7F3D">
                        <w:rPr>
                          <w:rFonts w:cs="Arial"/>
                          <w:sz w:val="22"/>
                          <w:szCs w:val="22"/>
                        </w:rPr>
                        <w:t xml:space="preserve">contribute to the </w:t>
                      </w:r>
                      <w:r w:rsidR="003A5496">
                        <w:rPr>
                          <w:rFonts w:cs="Arial"/>
                          <w:sz w:val="22"/>
                          <w:szCs w:val="22"/>
                        </w:rPr>
                        <w:t>implementation</w:t>
                      </w:r>
                      <w:r w:rsidR="003A5496" w:rsidRPr="004B7F3D">
                        <w:rPr>
                          <w:rFonts w:cs="Arial"/>
                          <w:sz w:val="22"/>
                          <w:szCs w:val="22"/>
                        </w:rPr>
                        <w:t xml:space="preserve"> </w:t>
                      </w:r>
                      <w:r w:rsidRPr="004B7F3D">
                        <w:rPr>
                          <w:rFonts w:cs="Arial"/>
                          <w:sz w:val="22"/>
                          <w:szCs w:val="22"/>
                        </w:rPr>
                        <w:t>of many Resolutions</w:t>
                      </w:r>
                      <w:r w:rsidR="00125893">
                        <w:rPr>
                          <w:rFonts w:cs="Arial"/>
                          <w:sz w:val="22"/>
                          <w:szCs w:val="22"/>
                        </w:rPr>
                        <w:t xml:space="preserve"> as well as</w:t>
                      </w:r>
                      <w:r w:rsidRPr="004B7F3D">
                        <w:rPr>
                          <w:rFonts w:cs="Arial"/>
                          <w:sz w:val="22"/>
                          <w:szCs w:val="22"/>
                        </w:rPr>
                        <w:t xml:space="preserve"> all targets of the Strategic Plan </w:t>
                      </w:r>
                      <w:r w:rsidR="00125893">
                        <w:rPr>
                          <w:rFonts w:cs="Arial"/>
                          <w:sz w:val="22"/>
                          <w:szCs w:val="22"/>
                        </w:rPr>
                        <w:t xml:space="preserve">for Migratory Species </w:t>
                      </w:r>
                      <w:r w:rsidR="005831E6">
                        <w:rPr>
                          <w:rFonts w:cs="Arial"/>
                          <w:sz w:val="22"/>
                          <w:szCs w:val="22"/>
                        </w:rPr>
                        <w:t>2015-2023.</w:t>
                      </w:r>
                    </w:p>
                  </w:txbxContent>
                </v:textbox>
              </v:shape>
            </w:pict>
          </mc:Fallback>
        </mc:AlternateContent>
      </w:r>
    </w:p>
    <w:p w14:paraId="48260FB5" w14:textId="77777777" w:rsidR="00D605A4" w:rsidRPr="00C169ED" w:rsidRDefault="00D605A4" w:rsidP="00D605A4">
      <w:pPr>
        <w:rPr>
          <w:rFonts w:cs="Arial"/>
          <w:sz w:val="21"/>
          <w:szCs w:val="21"/>
        </w:rPr>
      </w:pPr>
    </w:p>
    <w:p w14:paraId="77357701" w14:textId="77777777" w:rsidR="00D605A4" w:rsidRPr="00C169ED" w:rsidRDefault="00D605A4" w:rsidP="00D605A4">
      <w:pPr>
        <w:rPr>
          <w:rFonts w:cs="Arial"/>
          <w:sz w:val="21"/>
          <w:szCs w:val="21"/>
        </w:rPr>
      </w:pPr>
    </w:p>
    <w:p w14:paraId="592362EA" w14:textId="77777777" w:rsidR="00D605A4" w:rsidRPr="00C169ED" w:rsidRDefault="00D605A4" w:rsidP="00D605A4">
      <w:pPr>
        <w:rPr>
          <w:rFonts w:cs="Arial"/>
          <w:sz w:val="21"/>
          <w:szCs w:val="21"/>
        </w:rPr>
      </w:pPr>
    </w:p>
    <w:p w14:paraId="3D968718" w14:textId="77777777" w:rsidR="00D605A4" w:rsidRPr="00C169ED" w:rsidRDefault="00D605A4" w:rsidP="00D605A4">
      <w:pPr>
        <w:rPr>
          <w:rFonts w:cs="Arial"/>
          <w:sz w:val="21"/>
          <w:szCs w:val="21"/>
        </w:rPr>
      </w:pPr>
    </w:p>
    <w:p w14:paraId="52C986A0" w14:textId="77777777" w:rsidR="00D605A4" w:rsidRPr="00C169ED" w:rsidRDefault="00D605A4" w:rsidP="00D605A4">
      <w:pPr>
        <w:rPr>
          <w:rFonts w:cs="Arial"/>
          <w:sz w:val="21"/>
          <w:szCs w:val="21"/>
        </w:rPr>
      </w:pPr>
    </w:p>
    <w:p w14:paraId="183E78FA" w14:textId="77777777" w:rsidR="00D605A4" w:rsidRPr="00C169ED" w:rsidRDefault="00D605A4" w:rsidP="00D605A4">
      <w:pPr>
        <w:rPr>
          <w:rFonts w:cs="Arial"/>
          <w:sz w:val="21"/>
          <w:szCs w:val="21"/>
        </w:rPr>
      </w:pPr>
    </w:p>
    <w:p w14:paraId="2FB3C1EC" w14:textId="77777777" w:rsidR="00D605A4" w:rsidRPr="00C169ED" w:rsidRDefault="00D605A4" w:rsidP="00D605A4">
      <w:pPr>
        <w:rPr>
          <w:rFonts w:cs="Arial"/>
          <w:sz w:val="21"/>
          <w:szCs w:val="21"/>
        </w:rPr>
      </w:pPr>
    </w:p>
    <w:p w14:paraId="1E234FEE" w14:textId="77777777" w:rsidR="00D605A4" w:rsidRPr="00C169ED" w:rsidRDefault="00D605A4" w:rsidP="00D605A4">
      <w:pPr>
        <w:rPr>
          <w:rFonts w:cs="Arial"/>
          <w:sz w:val="21"/>
          <w:szCs w:val="21"/>
        </w:rPr>
      </w:pPr>
    </w:p>
    <w:p w14:paraId="4BBE2518" w14:textId="77777777" w:rsidR="00D605A4" w:rsidRPr="00C169ED" w:rsidRDefault="00D605A4" w:rsidP="00D605A4">
      <w:pPr>
        <w:rPr>
          <w:rFonts w:cs="Arial"/>
          <w:sz w:val="21"/>
          <w:szCs w:val="21"/>
        </w:rPr>
      </w:pPr>
    </w:p>
    <w:p w14:paraId="58A1D612" w14:textId="77777777" w:rsidR="00D605A4" w:rsidRPr="00C169ED" w:rsidRDefault="00D605A4" w:rsidP="00D605A4">
      <w:pPr>
        <w:rPr>
          <w:rFonts w:cs="Arial"/>
          <w:sz w:val="21"/>
          <w:szCs w:val="21"/>
        </w:rPr>
      </w:pPr>
    </w:p>
    <w:p w14:paraId="539E4DE6" w14:textId="77777777" w:rsidR="00D605A4" w:rsidRPr="00C169ED" w:rsidRDefault="00D605A4" w:rsidP="00D605A4">
      <w:pPr>
        <w:rPr>
          <w:rFonts w:cs="Arial"/>
          <w:sz w:val="21"/>
          <w:szCs w:val="21"/>
        </w:rPr>
      </w:pPr>
    </w:p>
    <w:p w14:paraId="7B1F56D4" w14:textId="77777777" w:rsidR="00D605A4" w:rsidRPr="00C169ED" w:rsidRDefault="00D605A4" w:rsidP="00D605A4">
      <w:pPr>
        <w:rPr>
          <w:rFonts w:cs="Arial"/>
          <w:sz w:val="21"/>
          <w:szCs w:val="21"/>
        </w:rPr>
      </w:pPr>
    </w:p>
    <w:p w14:paraId="7C5300E4" w14:textId="77777777" w:rsidR="00D605A4" w:rsidRPr="00C169ED" w:rsidRDefault="00D605A4" w:rsidP="00D605A4">
      <w:pPr>
        <w:rPr>
          <w:rFonts w:cs="Arial"/>
          <w:sz w:val="21"/>
          <w:szCs w:val="21"/>
        </w:rPr>
      </w:pPr>
    </w:p>
    <w:p w14:paraId="17563107" w14:textId="77777777" w:rsidR="00D605A4" w:rsidRPr="00C169ED" w:rsidRDefault="00D605A4" w:rsidP="00D605A4">
      <w:pPr>
        <w:rPr>
          <w:rFonts w:cs="Arial"/>
          <w:sz w:val="21"/>
          <w:szCs w:val="21"/>
        </w:rPr>
      </w:pPr>
    </w:p>
    <w:p w14:paraId="60A3994E" w14:textId="77777777" w:rsidR="00D605A4" w:rsidRPr="00C169ED" w:rsidRDefault="00D605A4" w:rsidP="00D605A4">
      <w:pPr>
        <w:rPr>
          <w:rFonts w:cs="Arial"/>
          <w:sz w:val="21"/>
          <w:szCs w:val="21"/>
        </w:rPr>
      </w:pPr>
    </w:p>
    <w:p w14:paraId="7F3D3546" w14:textId="77777777" w:rsidR="00D605A4" w:rsidRPr="00C169ED" w:rsidRDefault="00D605A4" w:rsidP="00D605A4">
      <w:pPr>
        <w:rPr>
          <w:rFonts w:cs="Arial"/>
          <w:sz w:val="21"/>
          <w:szCs w:val="21"/>
        </w:rPr>
      </w:pPr>
    </w:p>
    <w:p w14:paraId="6A31CCDE" w14:textId="77777777" w:rsidR="00D605A4" w:rsidRPr="00C169ED" w:rsidRDefault="00D605A4" w:rsidP="00D605A4">
      <w:pPr>
        <w:rPr>
          <w:rFonts w:cs="Arial"/>
          <w:sz w:val="21"/>
          <w:szCs w:val="21"/>
        </w:rPr>
      </w:pPr>
    </w:p>
    <w:p w14:paraId="138D4608" w14:textId="77777777" w:rsidR="00D605A4" w:rsidRPr="00C169ED" w:rsidRDefault="00D605A4" w:rsidP="00D605A4">
      <w:pPr>
        <w:rPr>
          <w:rFonts w:cs="Arial"/>
          <w:sz w:val="21"/>
          <w:szCs w:val="21"/>
        </w:rPr>
      </w:pPr>
    </w:p>
    <w:p w14:paraId="2DC44B2B" w14:textId="77777777" w:rsidR="00D605A4" w:rsidRDefault="00D605A4" w:rsidP="00D605A4">
      <w:pPr>
        <w:rPr>
          <w:rFonts w:cs="Arial"/>
          <w:sz w:val="22"/>
          <w:szCs w:val="22"/>
        </w:rPr>
      </w:pPr>
    </w:p>
    <w:p w14:paraId="5E84752E" w14:textId="77777777" w:rsidR="00031A88" w:rsidRDefault="00031A88" w:rsidP="00D605A4">
      <w:pPr>
        <w:rPr>
          <w:rFonts w:cs="Arial"/>
          <w:sz w:val="22"/>
          <w:szCs w:val="22"/>
        </w:rPr>
      </w:pPr>
    </w:p>
    <w:p w14:paraId="1A904745" w14:textId="77777777" w:rsidR="00031A88" w:rsidRDefault="00031A88" w:rsidP="00D605A4">
      <w:pPr>
        <w:rPr>
          <w:rFonts w:cs="Arial"/>
          <w:sz w:val="22"/>
          <w:szCs w:val="22"/>
        </w:rPr>
      </w:pPr>
    </w:p>
    <w:p w14:paraId="2C0AE893" w14:textId="77777777" w:rsidR="00031A88" w:rsidRDefault="00031A88" w:rsidP="00D605A4">
      <w:pPr>
        <w:rPr>
          <w:rFonts w:cs="Arial"/>
          <w:sz w:val="22"/>
          <w:szCs w:val="22"/>
        </w:rPr>
      </w:pPr>
    </w:p>
    <w:p w14:paraId="39892652" w14:textId="77777777" w:rsidR="00031A88" w:rsidRDefault="00031A88" w:rsidP="00D605A4">
      <w:pPr>
        <w:rPr>
          <w:rFonts w:cs="Arial"/>
          <w:sz w:val="22"/>
          <w:szCs w:val="22"/>
        </w:rPr>
      </w:pPr>
    </w:p>
    <w:p w14:paraId="5D8FE63D" w14:textId="77777777" w:rsidR="00031A88" w:rsidRDefault="00031A88" w:rsidP="00D605A4">
      <w:pPr>
        <w:rPr>
          <w:rFonts w:cs="Arial"/>
          <w:sz w:val="22"/>
          <w:szCs w:val="22"/>
        </w:rPr>
      </w:pPr>
    </w:p>
    <w:p w14:paraId="748092D1" w14:textId="77777777" w:rsidR="00031A88" w:rsidRDefault="00031A88" w:rsidP="00D605A4">
      <w:pPr>
        <w:rPr>
          <w:rFonts w:cs="Arial"/>
          <w:sz w:val="22"/>
          <w:szCs w:val="22"/>
        </w:rPr>
      </w:pPr>
    </w:p>
    <w:p w14:paraId="038D41E8" w14:textId="77777777" w:rsidR="00031A88" w:rsidRDefault="00031A88" w:rsidP="00D605A4">
      <w:pPr>
        <w:rPr>
          <w:rFonts w:cs="Arial"/>
          <w:sz w:val="22"/>
          <w:szCs w:val="22"/>
        </w:rPr>
      </w:pPr>
    </w:p>
    <w:p w14:paraId="5D261CFF" w14:textId="77777777" w:rsidR="00031A88" w:rsidRDefault="00031A88" w:rsidP="00D605A4">
      <w:pPr>
        <w:rPr>
          <w:rFonts w:cs="Arial"/>
          <w:sz w:val="22"/>
          <w:szCs w:val="22"/>
        </w:rPr>
      </w:pPr>
    </w:p>
    <w:p w14:paraId="1A3359ED" w14:textId="77777777" w:rsidR="00031A88" w:rsidRDefault="00031A88" w:rsidP="00D605A4">
      <w:pPr>
        <w:rPr>
          <w:rFonts w:cs="Arial"/>
          <w:sz w:val="22"/>
          <w:szCs w:val="22"/>
        </w:rPr>
      </w:pPr>
    </w:p>
    <w:p w14:paraId="3F0D932B" w14:textId="77777777" w:rsidR="00031A88" w:rsidRDefault="00031A88" w:rsidP="00D605A4">
      <w:pPr>
        <w:rPr>
          <w:rFonts w:cs="Arial"/>
          <w:sz w:val="22"/>
          <w:szCs w:val="22"/>
        </w:rPr>
      </w:pPr>
    </w:p>
    <w:p w14:paraId="06D3A9B3" w14:textId="77777777" w:rsidR="00031A88" w:rsidRPr="00D605A4" w:rsidRDefault="00031A88" w:rsidP="00D605A4">
      <w:pPr>
        <w:rPr>
          <w:rFonts w:cs="Arial"/>
          <w:sz w:val="22"/>
          <w:szCs w:val="22"/>
        </w:rPr>
      </w:pPr>
    </w:p>
    <w:p w14:paraId="0121D9AD" w14:textId="77777777" w:rsidR="00D605A4" w:rsidRDefault="00D605A4" w:rsidP="00D605A4">
      <w:pPr>
        <w:rPr>
          <w:rFonts w:cs="Arial"/>
          <w:sz w:val="22"/>
          <w:szCs w:val="22"/>
        </w:rPr>
      </w:pPr>
    </w:p>
    <w:p w14:paraId="0AA86451" w14:textId="77777777" w:rsidR="00D605A4" w:rsidRDefault="00D605A4" w:rsidP="00D605A4">
      <w:pPr>
        <w:tabs>
          <w:tab w:val="left" w:pos="1020"/>
        </w:tabs>
        <w:rPr>
          <w:rFonts w:cs="Arial"/>
          <w:sz w:val="22"/>
          <w:szCs w:val="22"/>
        </w:rPr>
        <w:sectPr w:rsidR="00D605A4" w:rsidSect="0052082F">
          <w:headerReference w:type="even" r:id="rId9"/>
          <w:headerReference w:type="default" r:id="rId10"/>
          <w:footerReference w:type="even" r:id="rId11"/>
          <w:footerReference w:type="default" r:id="rId12"/>
          <w:headerReference w:type="first" r:id="rId13"/>
          <w:footerReference w:type="first" r:id="rId14"/>
          <w:endnotePr>
            <w:numFmt w:val="decimal"/>
          </w:endnotePr>
          <w:pgSz w:w="11905" w:h="16837" w:code="9"/>
          <w:pgMar w:top="1008" w:right="1411" w:bottom="1152" w:left="1411" w:header="432" w:footer="432" w:gutter="0"/>
          <w:cols w:space="720"/>
          <w:noEndnote/>
          <w:titlePg/>
          <w:docGrid w:linePitch="272"/>
        </w:sectPr>
      </w:pPr>
    </w:p>
    <w:p w14:paraId="783D9FF9" w14:textId="38C84036" w:rsidR="00E21143" w:rsidRPr="00420040" w:rsidRDefault="00E21143" w:rsidP="00E21143">
      <w:pPr>
        <w:pStyle w:val="Heading2"/>
        <w:keepNext w:val="0"/>
        <w:ind w:left="-90" w:right="-367"/>
        <w:jc w:val="center"/>
        <w:rPr>
          <w:rFonts w:cs="Arial"/>
          <w:sz w:val="22"/>
          <w:szCs w:val="22"/>
          <w:lang w:val="en-GB"/>
        </w:rPr>
      </w:pPr>
      <w:r>
        <w:rPr>
          <w:rFonts w:cs="Arial"/>
          <w:sz w:val="22"/>
          <w:szCs w:val="22"/>
          <w:lang w:val="en-GB"/>
        </w:rPr>
        <w:lastRenderedPageBreak/>
        <w:t>RESOURCE MOBILIZATION</w:t>
      </w:r>
    </w:p>
    <w:p w14:paraId="0FAA13C6" w14:textId="77777777" w:rsidR="00C14D58" w:rsidRDefault="00C14D58" w:rsidP="00C14D58">
      <w:pPr>
        <w:jc w:val="both"/>
        <w:rPr>
          <w:rFonts w:cs="Arial"/>
          <w:sz w:val="22"/>
          <w:szCs w:val="22"/>
          <w:u w:val="single"/>
          <w:lang w:val="en-GB"/>
        </w:rPr>
      </w:pPr>
    </w:p>
    <w:p w14:paraId="272526B7" w14:textId="5A627EDF" w:rsidR="00C14D58" w:rsidRDefault="00C14D58" w:rsidP="00C14D58">
      <w:pPr>
        <w:jc w:val="both"/>
        <w:rPr>
          <w:rFonts w:cs="Arial"/>
          <w:sz w:val="22"/>
          <w:szCs w:val="22"/>
          <w:u w:val="single"/>
          <w:lang w:val="en-GB"/>
        </w:rPr>
      </w:pPr>
      <w:r>
        <w:rPr>
          <w:rFonts w:cs="Arial"/>
          <w:sz w:val="22"/>
          <w:szCs w:val="22"/>
          <w:u w:val="single"/>
          <w:lang w:val="en-GB"/>
        </w:rPr>
        <w:t>Background</w:t>
      </w:r>
    </w:p>
    <w:p w14:paraId="574B0F26" w14:textId="77777777" w:rsidR="00C14D58" w:rsidRDefault="00C14D58" w:rsidP="00C14D58">
      <w:pPr>
        <w:jc w:val="both"/>
        <w:rPr>
          <w:rFonts w:cs="Arial"/>
          <w:sz w:val="22"/>
          <w:szCs w:val="22"/>
          <w:lang w:val="en-GB"/>
        </w:rPr>
      </w:pPr>
    </w:p>
    <w:p w14:paraId="30BF1435" w14:textId="0A9A8670" w:rsidR="002B3A7C" w:rsidRPr="00563310" w:rsidRDefault="004B7F3D" w:rsidP="003571C9">
      <w:pPr>
        <w:pStyle w:val="ListParagraph"/>
        <w:numPr>
          <w:ilvl w:val="0"/>
          <w:numId w:val="10"/>
        </w:numPr>
        <w:autoSpaceDE/>
        <w:adjustRightInd/>
        <w:ind w:left="360" w:hanging="360"/>
        <w:jc w:val="both"/>
        <w:rPr>
          <w:sz w:val="22"/>
          <w:szCs w:val="22"/>
          <w:lang w:val="en-GB"/>
        </w:rPr>
      </w:pPr>
      <w:r w:rsidRPr="00563310">
        <w:rPr>
          <w:sz w:val="22"/>
          <w:szCs w:val="22"/>
          <w:lang w:val="en-GB"/>
        </w:rPr>
        <w:t xml:space="preserve">The </w:t>
      </w:r>
      <w:r w:rsidR="006D784D" w:rsidRPr="00563310">
        <w:rPr>
          <w:sz w:val="22"/>
          <w:szCs w:val="22"/>
          <w:lang w:val="en-GB"/>
        </w:rPr>
        <w:t xml:space="preserve">Strategic Plan for Migratory Species 2015-2023 and </w:t>
      </w:r>
      <w:r w:rsidRPr="00563310">
        <w:rPr>
          <w:sz w:val="22"/>
          <w:szCs w:val="22"/>
          <w:lang w:val="en-GB"/>
        </w:rPr>
        <w:t xml:space="preserve">Resolutions adopted by </w:t>
      </w:r>
      <w:r w:rsidR="006B4C28" w:rsidRPr="00563310">
        <w:rPr>
          <w:sz w:val="22"/>
          <w:szCs w:val="22"/>
          <w:lang w:val="en-GB"/>
        </w:rPr>
        <w:t xml:space="preserve">the meetings of the Conference of the Parties guide the work of the Convention </w:t>
      </w:r>
      <w:r w:rsidRPr="00563310">
        <w:rPr>
          <w:sz w:val="22"/>
          <w:szCs w:val="22"/>
          <w:lang w:val="en-GB"/>
        </w:rPr>
        <w:t>set</w:t>
      </w:r>
      <w:r w:rsidR="006B4C28" w:rsidRPr="00563310">
        <w:rPr>
          <w:sz w:val="22"/>
          <w:szCs w:val="22"/>
          <w:lang w:val="en-GB"/>
        </w:rPr>
        <w:t>ting</w:t>
      </w:r>
      <w:r w:rsidRPr="00563310">
        <w:rPr>
          <w:sz w:val="22"/>
          <w:szCs w:val="22"/>
          <w:lang w:val="en-GB"/>
        </w:rPr>
        <w:t xml:space="preserve"> the goals for </w:t>
      </w:r>
      <w:r w:rsidR="006B4C28" w:rsidRPr="00563310">
        <w:rPr>
          <w:sz w:val="22"/>
          <w:szCs w:val="22"/>
          <w:lang w:val="en-GB"/>
        </w:rPr>
        <w:t>its</w:t>
      </w:r>
      <w:r w:rsidRPr="00563310">
        <w:rPr>
          <w:sz w:val="22"/>
          <w:szCs w:val="22"/>
          <w:lang w:val="en-GB"/>
        </w:rPr>
        <w:t xml:space="preserve"> implementation at national, regional and global levels.  Although many of these provisions </w:t>
      </w:r>
      <w:r w:rsidR="006B4C28" w:rsidRPr="00563310">
        <w:rPr>
          <w:sz w:val="22"/>
          <w:szCs w:val="22"/>
          <w:lang w:val="en-GB"/>
        </w:rPr>
        <w:t>are</w:t>
      </w:r>
      <w:r w:rsidRPr="00563310">
        <w:rPr>
          <w:sz w:val="22"/>
          <w:szCs w:val="22"/>
          <w:lang w:val="en-GB"/>
        </w:rPr>
        <w:t xml:space="preserve"> primarily to be met by Parties, some of them f</w:t>
      </w:r>
      <w:r w:rsidR="006B4C28" w:rsidRPr="00563310">
        <w:rPr>
          <w:sz w:val="22"/>
          <w:szCs w:val="22"/>
          <w:lang w:val="en-GB"/>
        </w:rPr>
        <w:t>a</w:t>
      </w:r>
      <w:r w:rsidRPr="00563310">
        <w:rPr>
          <w:sz w:val="22"/>
          <w:szCs w:val="22"/>
          <w:lang w:val="en-GB"/>
        </w:rPr>
        <w:t xml:space="preserve">ll under the responsibility of the Secretariat. </w:t>
      </w:r>
      <w:r w:rsidR="002D4D05" w:rsidRPr="00563310">
        <w:rPr>
          <w:sz w:val="22"/>
          <w:szCs w:val="22"/>
          <w:lang w:val="en-GB"/>
        </w:rPr>
        <w:t>The 11</w:t>
      </w:r>
      <w:r w:rsidR="002D4D05" w:rsidRPr="00563310">
        <w:rPr>
          <w:sz w:val="22"/>
          <w:szCs w:val="22"/>
          <w:vertAlign w:val="superscript"/>
          <w:lang w:val="en-GB"/>
        </w:rPr>
        <w:t>th</w:t>
      </w:r>
      <w:r w:rsidR="002D4D05" w:rsidRPr="00563310">
        <w:rPr>
          <w:sz w:val="22"/>
          <w:szCs w:val="22"/>
          <w:lang w:val="en-GB"/>
        </w:rPr>
        <w:t xml:space="preserve"> Meeting of the </w:t>
      </w:r>
      <w:r w:rsidR="00563310" w:rsidRPr="00563310">
        <w:rPr>
          <w:sz w:val="22"/>
          <w:szCs w:val="22"/>
          <w:lang w:val="en-GB"/>
        </w:rPr>
        <w:t>C</w:t>
      </w:r>
      <w:r w:rsidR="002D4D05" w:rsidRPr="00563310">
        <w:rPr>
          <w:sz w:val="22"/>
          <w:szCs w:val="22"/>
          <w:lang w:val="en-GB"/>
        </w:rPr>
        <w:t xml:space="preserve">onference of the Parties (COP11), which was held in November 2014, adopted a </w:t>
      </w:r>
      <w:proofErr w:type="spellStart"/>
      <w:r w:rsidR="002D4D05" w:rsidRPr="00563310">
        <w:rPr>
          <w:sz w:val="22"/>
          <w:szCs w:val="22"/>
        </w:rPr>
        <w:t>Programme</w:t>
      </w:r>
      <w:proofErr w:type="spellEnd"/>
      <w:r w:rsidR="002D4D05" w:rsidRPr="00563310">
        <w:rPr>
          <w:sz w:val="22"/>
          <w:szCs w:val="22"/>
        </w:rPr>
        <w:t xml:space="preserve"> of Work </w:t>
      </w:r>
      <w:r w:rsidR="00563310" w:rsidRPr="00563310">
        <w:rPr>
          <w:sz w:val="22"/>
          <w:szCs w:val="22"/>
        </w:rPr>
        <w:t xml:space="preserve">for </w:t>
      </w:r>
      <w:r w:rsidR="002D4D05" w:rsidRPr="00563310">
        <w:rPr>
          <w:sz w:val="22"/>
          <w:szCs w:val="22"/>
        </w:rPr>
        <w:t>2015-</w:t>
      </w:r>
      <w:r w:rsidR="002D4D05" w:rsidRPr="00563310">
        <w:rPr>
          <w:sz w:val="22"/>
          <w:szCs w:val="22"/>
          <w:lang w:val="en-GB"/>
        </w:rPr>
        <w:t>2017</w:t>
      </w:r>
      <w:r w:rsidR="002D4D05" w:rsidRPr="00563310">
        <w:rPr>
          <w:lang w:val="en-GB"/>
        </w:rPr>
        <w:t xml:space="preserve"> </w:t>
      </w:r>
      <w:proofErr w:type="spellStart"/>
      <w:r w:rsidR="002D4D05" w:rsidRPr="00563310">
        <w:rPr>
          <w:sz w:val="22"/>
          <w:szCs w:val="22"/>
          <w:lang w:val="en-GB"/>
        </w:rPr>
        <w:t>t</w:t>
      </w:r>
      <w:bookmarkStart w:id="0" w:name="_GoBack"/>
      <w:bookmarkEnd w:id="0"/>
      <w:r w:rsidR="002D4D05" w:rsidRPr="00563310">
        <w:rPr>
          <w:sz w:val="22"/>
          <w:szCs w:val="22"/>
          <w:lang w:val="en-GB"/>
        </w:rPr>
        <w:t>h</w:t>
      </w:r>
      <w:proofErr w:type="spellEnd"/>
      <w:r w:rsidR="002D4D05" w:rsidRPr="00563310">
        <w:rPr>
          <w:sz w:val="22"/>
          <w:szCs w:val="22"/>
        </w:rPr>
        <w:t xml:space="preserve">rough </w:t>
      </w:r>
      <w:hyperlink r:id="rId15" w:history="1">
        <w:r w:rsidR="002D4D05" w:rsidRPr="00563310">
          <w:rPr>
            <w:rStyle w:val="Hyperlink"/>
            <w:sz w:val="22"/>
            <w:szCs w:val="22"/>
          </w:rPr>
          <w:t>Resolution 11.1 on Financial and Administrative matters</w:t>
        </w:r>
      </w:hyperlink>
      <w:r w:rsidR="002D4D05" w:rsidRPr="00563310">
        <w:rPr>
          <w:sz w:val="22"/>
          <w:szCs w:val="22"/>
        </w:rPr>
        <w:t xml:space="preserve">, </w:t>
      </w:r>
      <w:r w:rsidR="00563310" w:rsidRPr="00563310">
        <w:rPr>
          <w:sz w:val="22"/>
          <w:szCs w:val="22"/>
        </w:rPr>
        <w:t>detailing a list of activities to be carried out by the</w:t>
      </w:r>
      <w:r w:rsidR="002D4D05" w:rsidRPr="00563310">
        <w:rPr>
          <w:sz w:val="22"/>
          <w:szCs w:val="22"/>
        </w:rPr>
        <w:t xml:space="preserve"> Secretariat</w:t>
      </w:r>
      <w:r w:rsidR="00563310" w:rsidRPr="00563310">
        <w:rPr>
          <w:rStyle w:val="Emphasis"/>
          <w:i w:val="0"/>
          <w:sz w:val="22"/>
          <w:szCs w:val="22"/>
        </w:rPr>
        <w:t xml:space="preserve"> including the provision of </w:t>
      </w:r>
      <w:r w:rsidR="00563310" w:rsidRPr="00563310">
        <w:rPr>
          <w:sz w:val="22"/>
          <w:szCs w:val="22"/>
          <w:lang w:val="en-GB"/>
        </w:rPr>
        <w:t xml:space="preserve">administrative services and </w:t>
      </w:r>
      <w:r w:rsidR="00563310">
        <w:rPr>
          <w:sz w:val="22"/>
          <w:szCs w:val="22"/>
          <w:lang w:val="en-GB"/>
        </w:rPr>
        <w:t xml:space="preserve">coordination </w:t>
      </w:r>
      <w:r w:rsidR="00563310" w:rsidRPr="00563310">
        <w:rPr>
          <w:sz w:val="22"/>
          <w:szCs w:val="22"/>
          <w:lang w:val="en-GB"/>
        </w:rPr>
        <w:t xml:space="preserve">to </w:t>
      </w:r>
      <w:r w:rsidR="00563310">
        <w:rPr>
          <w:sz w:val="22"/>
          <w:szCs w:val="22"/>
          <w:lang w:val="en-GB"/>
        </w:rPr>
        <w:t>a number</w:t>
      </w:r>
      <w:r w:rsidR="00563310" w:rsidRPr="00563310">
        <w:rPr>
          <w:sz w:val="22"/>
          <w:szCs w:val="22"/>
          <w:lang w:val="en-GB"/>
        </w:rPr>
        <w:t xml:space="preserve"> of </w:t>
      </w:r>
      <w:r w:rsidR="00563310">
        <w:rPr>
          <w:sz w:val="22"/>
          <w:szCs w:val="22"/>
          <w:lang w:val="en-GB"/>
        </w:rPr>
        <w:t>its daughter agreements</w:t>
      </w:r>
      <w:r w:rsidR="00563310" w:rsidRPr="00563310">
        <w:rPr>
          <w:sz w:val="22"/>
          <w:szCs w:val="22"/>
          <w:lang w:val="en-GB"/>
        </w:rPr>
        <w:t xml:space="preserve"> which have no core </w:t>
      </w:r>
      <w:r w:rsidR="00563310">
        <w:rPr>
          <w:sz w:val="22"/>
          <w:szCs w:val="22"/>
          <w:lang w:val="en-GB"/>
        </w:rPr>
        <w:t>budget</w:t>
      </w:r>
      <w:r w:rsidR="00563310" w:rsidRPr="00563310">
        <w:rPr>
          <w:sz w:val="22"/>
          <w:szCs w:val="22"/>
          <w:lang w:val="en-GB"/>
        </w:rPr>
        <w:t xml:space="preserve">. </w:t>
      </w:r>
      <w:r w:rsidRPr="00563310">
        <w:rPr>
          <w:sz w:val="22"/>
          <w:szCs w:val="22"/>
          <w:lang w:val="en-GB"/>
        </w:rPr>
        <w:t xml:space="preserve">The COP-approved triennial budget </w:t>
      </w:r>
      <w:r w:rsidR="00A512ED" w:rsidRPr="00563310">
        <w:rPr>
          <w:sz w:val="22"/>
          <w:szCs w:val="22"/>
          <w:lang w:val="en-GB"/>
        </w:rPr>
        <w:t>for 2015-2017</w:t>
      </w:r>
      <w:r w:rsidR="009F6CFD">
        <w:rPr>
          <w:sz w:val="22"/>
          <w:szCs w:val="22"/>
          <w:lang w:val="en-GB"/>
        </w:rPr>
        <w:t>,</w:t>
      </w:r>
      <w:r w:rsidR="00A512ED" w:rsidRPr="00563310">
        <w:rPr>
          <w:sz w:val="22"/>
          <w:szCs w:val="22"/>
          <w:lang w:val="en-GB"/>
        </w:rPr>
        <w:t xml:space="preserve"> </w:t>
      </w:r>
      <w:r w:rsidR="00563310" w:rsidRPr="00563310">
        <w:rPr>
          <w:sz w:val="22"/>
          <w:szCs w:val="22"/>
          <w:lang w:val="en-GB"/>
        </w:rPr>
        <w:t>however</w:t>
      </w:r>
      <w:r w:rsidR="009F6CFD">
        <w:rPr>
          <w:sz w:val="22"/>
          <w:szCs w:val="22"/>
          <w:lang w:val="en-GB"/>
        </w:rPr>
        <w:t>,</w:t>
      </w:r>
      <w:r w:rsidR="00563310" w:rsidRPr="00563310">
        <w:rPr>
          <w:sz w:val="22"/>
          <w:szCs w:val="22"/>
          <w:lang w:val="en-GB"/>
        </w:rPr>
        <w:t xml:space="preserve"> </w:t>
      </w:r>
      <w:r w:rsidRPr="00563310">
        <w:rPr>
          <w:sz w:val="22"/>
          <w:szCs w:val="22"/>
          <w:lang w:val="en-GB"/>
        </w:rPr>
        <w:t xml:space="preserve">was mainly earmarked for staff salaries, </w:t>
      </w:r>
      <w:r w:rsidR="000007D2" w:rsidRPr="00563310">
        <w:rPr>
          <w:sz w:val="22"/>
          <w:szCs w:val="22"/>
          <w:lang w:val="en-GB"/>
        </w:rPr>
        <w:t xml:space="preserve">operational costs and some </w:t>
      </w:r>
      <w:r w:rsidRPr="00563310">
        <w:rPr>
          <w:sz w:val="22"/>
          <w:szCs w:val="22"/>
          <w:lang w:val="en-GB"/>
        </w:rPr>
        <w:t>activities, while voluntary contributions were to be sought for most of the mandated activities.</w:t>
      </w:r>
    </w:p>
    <w:p w14:paraId="056018C1" w14:textId="77777777" w:rsidR="000545FA" w:rsidRPr="00E61104" w:rsidRDefault="000545FA" w:rsidP="003571C9">
      <w:pPr>
        <w:ind w:left="360" w:hanging="360"/>
        <w:rPr>
          <w:rFonts w:cs="Arial"/>
          <w:sz w:val="22"/>
          <w:szCs w:val="22"/>
        </w:rPr>
      </w:pPr>
    </w:p>
    <w:p w14:paraId="6CACD998" w14:textId="19496D34" w:rsidR="00C14D58" w:rsidRDefault="008E1D46" w:rsidP="003571C9">
      <w:pPr>
        <w:ind w:left="360" w:hanging="360"/>
        <w:rPr>
          <w:rFonts w:cs="Arial"/>
          <w:sz w:val="22"/>
          <w:szCs w:val="22"/>
          <w:u w:val="single"/>
          <w:lang w:val="en-GB"/>
        </w:rPr>
      </w:pPr>
      <w:r>
        <w:rPr>
          <w:rFonts w:cs="Arial"/>
          <w:sz w:val="22"/>
          <w:szCs w:val="22"/>
          <w:u w:val="single"/>
          <w:lang w:val="en-GB"/>
        </w:rPr>
        <w:t>Efforts</w:t>
      </w:r>
    </w:p>
    <w:p w14:paraId="6E6EFEB4" w14:textId="77777777" w:rsidR="00EB3799" w:rsidRPr="004B7F3D" w:rsidRDefault="00EB3799" w:rsidP="003571C9">
      <w:pPr>
        <w:ind w:left="360" w:hanging="360"/>
        <w:rPr>
          <w:rFonts w:cs="Arial"/>
          <w:sz w:val="22"/>
          <w:szCs w:val="22"/>
          <w:lang w:val="en-GB"/>
        </w:rPr>
      </w:pPr>
    </w:p>
    <w:p w14:paraId="7237B0AB" w14:textId="5474C853" w:rsidR="004B7F3D" w:rsidRPr="004B7F3D" w:rsidRDefault="004B7F3D" w:rsidP="003571C9">
      <w:pPr>
        <w:pStyle w:val="ListParagraph"/>
        <w:numPr>
          <w:ilvl w:val="0"/>
          <w:numId w:val="10"/>
        </w:numPr>
        <w:autoSpaceDE/>
        <w:adjustRightInd/>
        <w:ind w:left="360" w:hanging="360"/>
        <w:jc w:val="both"/>
        <w:rPr>
          <w:rFonts w:cs="Arial"/>
          <w:sz w:val="22"/>
          <w:szCs w:val="22"/>
          <w:lang w:val="en-GB"/>
        </w:rPr>
      </w:pPr>
      <w:r w:rsidRPr="004B7F3D">
        <w:rPr>
          <w:rFonts w:cs="Arial"/>
          <w:sz w:val="22"/>
          <w:szCs w:val="22"/>
          <w:lang w:val="en-GB"/>
        </w:rPr>
        <w:t xml:space="preserve">In the triennium </w:t>
      </w:r>
      <w:r w:rsidR="006D784D">
        <w:rPr>
          <w:rFonts w:cs="Arial"/>
          <w:sz w:val="22"/>
          <w:szCs w:val="22"/>
          <w:lang w:val="en-GB"/>
        </w:rPr>
        <w:t>2015-2017</w:t>
      </w:r>
      <w:r w:rsidRPr="004B7F3D">
        <w:rPr>
          <w:rFonts w:cs="Arial"/>
          <w:sz w:val="22"/>
          <w:szCs w:val="22"/>
          <w:lang w:val="en-GB"/>
        </w:rPr>
        <w:t xml:space="preserve">, the resource mobilization efforts of the Secretariat have </w:t>
      </w:r>
      <w:r w:rsidR="00EB3799">
        <w:rPr>
          <w:rFonts w:cs="Arial"/>
          <w:sz w:val="22"/>
          <w:szCs w:val="22"/>
          <w:lang w:val="en-GB"/>
        </w:rPr>
        <w:t xml:space="preserve">been </w:t>
      </w:r>
      <w:r w:rsidRPr="004B7F3D">
        <w:rPr>
          <w:rFonts w:cs="Arial"/>
          <w:sz w:val="22"/>
          <w:szCs w:val="22"/>
          <w:lang w:val="en-GB"/>
        </w:rPr>
        <w:t>guided and were based on the elements</w:t>
      </w:r>
      <w:r w:rsidR="00EB3799">
        <w:rPr>
          <w:rFonts w:cs="Arial"/>
          <w:sz w:val="22"/>
          <w:szCs w:val="22"/>
          <w:lang w:val="en-GB"/>
        </w:rPr>
        <w:t xml:space="preserve"> of the following basic logical framework:</w:t>
      </w:r>
    </w:p>
    <w:p w14:paraId="784CC2B0" w14:textId="0894F1E9" w:rsidR="00101D7D" w:rsidRDefault="00101D7D" w:rsidP="003571C9">
      <w:pPr>
        <w:pStyle w:val="ListParagraph"/>
        <w:ind w:left="360" w:hanging="360"/>
        <w:jc w:val="both"/>
        <w:rPr>
          <w:rFonts w:cs="Arial"/>
          <w:i/>
          <w:sz w:val="22"/>
          <w:szCs w:val="22"/>
          <w:lang w:val="en-GB"/>
        </w:rPr>
      </w:pPr>
    </w:p>
    <w:tbl>
      <w:tblPr>
        <w:tblStyle w:val="TableGrid"/>
        <w:tblW w:w="0" w:type="auto"/>
        <w:tblLook w:val="04A0" w:firstRow="1" w:lastRow="0" w:firstColumn="1" w:lastColumn="0" w:noHBand="0" w:noVBand="1"/>
      </w:tblPr>
      <w:tblGrid>
        <w:gridCol w:w="1255"/>
        <w:gridCol w:w="7818"/>
      </w:tblGrid>
      <w:tr w:rsidR="00101D7D" w:rsidRPr="00F34F33" w14:paraId="6A9FD1DF" w14:textId="77777777" w:rsidTr="00EB3799">
        <w:trPr>
          <w:trHeight w:val="665"/>
        </w:trPr>
        <w:tc>
          <w:tcPr>
            <w:tcW w:w="1255" w:type="dxa"/>
            <w:shd w:val="clear" w:color="auto" w:fill="F7CAAC" w:themeFill="accent2" w:themeFillTint="66"/>
            <w:vAlign w:val="center"/>
          </w:tcPr>
          <w:p w14:paraId="1659D10D" w14:textId="740BE569" w:rsidR="00101D7D" w:rsidRPr="00EB3799" w:rsidRDefault="00D755FD" w:rsidP="006471FE">
            <w:pPr>
              <w:pStyle w:val="ListParagraph"/>
              <w:ind w:left="0"/>
              <w:rPr>
                <w:rFonts w:cs="Arial"/>
                <w:b/>
                <w:i/>
                <w:sz w:val="22"/>
                <w:szCs w:val="22"/>
                <w:lang w:val="en-GB"/>
              </w:rPr>
            </w:pPr>
            <w:r w:rsidRPr="00EB3799">
              <w:rPr>
                <w:rFonts w:cs="Arial"/>
                <w:b/>
                <w:i/>
                <w:sz w:val="22"/>
                <w:szCs w:val="22"/>
                <w:lang w:val="en-GB"/>
              </w:rPr>
              <w:t>GOAL</w:t>
            </w:r>
          </w:p>
        </w:tc>
        <w:tc>
          <w:tcPr>
            <w:tcW w:w="7818" w:type="dxa"/>
            <w:vAlign w:val="center"/>
          </w:tcPr>
          <w:p w14:paraId="0EB5AC4D" w14:textId="7DE29EA2" w:rsidR="00101D7D" w:rsidRPr="00EB3799" w:rsidRDefault="00B936CA" w:rsidP="006471FE">
            <w:pPr>
              <w:pStyle w:val="ListParagraph"/>
              <w:ind w:left="0"/>
              <w:rPr>
                <w:rFonts w:cs="Arial"/>
                <w:i/>
                <w:sz w:val="22"/>
                <w:szCs w:val="22"/>
                <w:lang w:val="en-GB"/>
              </w:rPr>
            </w:pPr>
            <w:r>
              <w:rPr>
                <w:rFonts w:cs="Arial"/>
                <w:i/>
                <w:sz w:val="22"/>
                <w:szCs w:val="22"/>
                <w:lang w:val="en-GB"/>
              </w:rPr>
              <w:t>Secure</w:t>
            </w:r>
            <w:r w:rsidR="00125893">
              <w:rPr>
                <w:rFonts w:cs="Arial"/>
                <w:i/>
                <w:sz w:val="22"/>
                <w:szCs w:val="22"/>
                <w:lang w:val="en-GB"/>
              </w:rPr>
              <w:t xml:space="preserve"> </w:t>
            </w:r>
            <w:r>
              <w:rPr>
                <w:rFonts w:cs="Arial"/>
                <w:i/>
                <w:sz w:val="22"/>
                <w:szCs w:val="22"/>
                <w:lang w:val="en-GB"/>
              </w:rPr>
              <w:t xml:space="preserve">as </w:t>
            </w:r>
            <w:r w:rsidR="009F6CFD">
              <w:rPr>
                <w:rFonts w:cs="Arial"/>
                <w:i/>
                <w:sz w:val="22"/>
                <w:szCs w:val="22"/>
                <w:lang w:val="en-GB"/>
              </w:rPr>
              <w:t xml:space="preserve">many </w:t>
            </w:r>
            <w:r w:rsidR="00EB3799" w:rsidRPr="00EB3799">
              <w:rPr>
                <w:rFonts w:cs="Arial"/>
                <w:i/>
                <w:sz w:val="22"/>
                <w:szCs w:val="22"/>
                <w:lang w:val="en-GB"/>
              </w:rPr>
              <w:t xml:space="preserve">resources </w:t>
            </w:r>
            <w:r>
              <w:rPr>
                <w:rFonts w:cs="Arial"/>
                <w:i/>
                <w:sz w:val="22"/>
                <w:szCs w:val="22"/>
                <w:lang w:val="en-GB"/>
              </w:rPr>
              <w:t xml:space="preserve">as possible </w:t>
            </w:r>
            <w:r w:rsidR="008E1D46">
              <w:rPr>
                <w:rFonts w:cs="Arial"/>
                <w:i/>
                <w:sz w:val="22"/>
                <w:szCs w:val="22"/>
                <w:lang w:val="en-GB"/>
              </w:rPr>
              <w:t>for the implementation of the Strategic Plan for</w:t>
            </w:r>
            <w:r w:rsidR="00EB3799">
              <w:rPr>
                <w:rFonts w:cs="Arial"/>
                <w:i/>
                <w:sz w:val="22"/>
                <w:szCs w:val="22"/>
                <w:lang w:val="en-GB"/>
              </w:rPr>
              <w:t xml:space="preserve"> </w:t>
            </w:r>
            <w:r w:rsidR="008E1D46">
              <w:rPr>
                <w:rFonts w:cs="Arial"/>
                <w:i/>
                <w:sz w:val="22"/>
                <w:szCs w:val="22"/>
                <w:lang w:val="en-GB"/>
              </w:rPr>
              <w:t>M</w:t>
            </w:r>
            <w:r w:rsidR="00EB3799">
              <w:rPr>
                <w:rFonts w:cs="Arial"/>
                <w:i/>
                <w:sz w:val="22"/>
                <w:szCs w:val="22"/>
                <w:lang w:val="en-GB"/>
              </w:rPr>
              <w:t>igratory</w:t>
            </w:r>
            <w:r w:rsidR="008E1D46">
              <w:rPr>
                <w:rFonts w:cs="Arial"/>
                <w:i/>
                <w:sz w:val="22"/>
                <w:szCs w:val="22"/>
                <w:lang w:val="en-GB"/>
              </w:rPr>
              <w:t xml:space="preserve"> S</w:t>
            </w:r>
            <w:r w:rsidR="00EB3799">
              <w:rPr>
                <w:rFonts w:cs="Arial"/>
                <w:i/>
                <w:sz w:val="22"/>
                <w:szCs w:val="22"/>
                <w:lang w:val="en-GB"/>
              </w:rPr>
              <w:t>pecies</w:t>
            </w:r>
          </w:p>
        </w:tc>
      </w:tr>
    </w:tbl>
    <w:p w14:paraId="7E5B32D3" w14:textId="77777777" w:rsidR="00EB3799" w:rsidRDefault="00EB3799"/>
    <w:tbl>
      <w:tblPr>
        <w:tblStyle w:val="TableGrid"/>
        <w:tblW w:w="0" w:type="auto"/>
        <w:tblLook w:val="04A0" w:firstRow="1" w:lastRow="0" w:firstColumn="1" w:lastColumn="0" w:noHBand="0" w:noVBand="1"/>
      </w:tblPr>
      <w:tblGrid>
        <w:gridCol w:w="1255"/>
        <w:gridCol w:w="1440"/>
        <w:gridCol w:w="1170"/>
        <w:gridCol w:w="5208"/>
      </w:tblGrid>
      <w:tr w:rsidR="00D755FD" w:rsidRPr="00F34F33" w14:paraId="413BF3B8" w14:textId="77777777" w:rsidTr="006471FE">
        <w:trPr>
          <w:trHeight w:val="665"/>
        </w:trPr>
        <w:tc>
          <w:tcPr>
            <w:tcW w:w="1255" w:type="dxa"/>
            <w:shd w:val="clear" w:color="auto" w:fill="FFE599" w:themeFill="accent4" w:themeFillTint="66"/>
            <w:vAlign w:val="center"/>
          </w:tcPr>
          <w:p w14:paraId="38F45EFC" w14:textId="14ABFE64" w:rsidR="00D755FD" w:rsidRPr="00F34F33" w:rsidRDefault="00D755FD" w:rsidP="00D755FD">
            <w:pPr>
              <w:pStyle w:val="ListParagraph"/>
              <w:ind w:left="0"/>
              <w:rPr>
                <w:rFonts w:cs="Arial"/>
                <w:bCs/>
                <w:sz w:val="20"/>
                <w:szCs w:val="20"/>
                <w:lang w:val="en-GB"/>
              </w:rPr>
            </w:pPr>
            <w:r w:rsidRPr="00F34F33">
              <w:rPr>
                <w:rFonts w:cs="Arial"/>
                <w:bCs/>
                <w:sz w:val="20"/>
                <w:szCs w:val="20"/>
                <w:lang w:val="en-GB"/>
              </w:rPr>
              <w:t>Objective 1</w:t>
            </w:r>
          </w:p>
        </w:tc>
        <w:tc>
          <w:tcPr>
            <w:tcW w:w="7818" w:type="dxa"/>
            <w:gridSpan w:val="3"/>
            <w:vAlign w:val="center"/>
          </w:tcPr>
          <w:p w14:paraId="11ECB72D" w14:textId="254AEFD0" w:rsidR="00D755FD" w:rsidRPr="00F34F33" w:rsidRDefault="00D755FD" w:rsidP="00D755FD">
            <w:pPr>
              <w:pStyle w:val="ListParagraph"/>
              <w:ind w:left="0"/>
              <w:rPr>
                <w:rFonts w:cs="Arial"/>
                <w:bCs/>
                <w:sz w:val="20"/>
                <w:szCs w:val="20"/>
              </w:rPr>
            </w:pPr>
            <w:r w:rsidRPr="00F34F33">
              <w:rPr>
                <w:rFonts w:cs="Arial"/>
                <w:bCs/>
                <w:sz w:val="20"/>
                <w:szCs w:val="20"/>
              </w:rPr>
              <w:t>Ensure predictable, adequate and regular funding and multi-year commitment</w:t>
            </w:r>
            <w:r>
              <w:rPr>
                <w:rFonts w:cs="Arial"/>
                <w:bCs/>
                <w:sz w:val="20"/>
                <w:szCs w:val="20"/>
              </w:rPr>
              <w:t>s</w:t>
            </w:r>
          </w:p>
        </w:tc>
      </w:tr>
      <w:tr w:rsidR="00D755FD" w:rsidRPr="00F34F33" w14:paraId="2524D4F3" w14:textId="77777777" w:rsidTr="00950B16">
        <w:trPr>
          <w:gridBefore w:val="1"/>
          <w:wBefore w:w="1255" w:type="dxa"/>
          <w:trHeight w:val="548"/>
        </w:trPr>
        <w:tc>
          <w:tcPr>
            <w:tcW w:w="1440" w:type="dxa"/>
            <w:shd w:val="clear" w:color="auto" w:fill="BDD6EE" w:themeFill="accent1" w:themeFillTint="66"/>
            <w:vAlign w:val="center"/>
          </w:tcPr>
          <w:p w14:paraId="1043584B" w14:textId="1C6ED245" w:rsidR="00D755FD" w:rsidRPr="006471FE" w:rsidRDefault="00D755FD" w:rsidP="00D755FD">
            <w:pPr>
              <w:pStyle w:val="ListParagraph"/>
              <w:ind w:left="0"/>
              <w:rPr>
                <w:rFonts w:cs="Arial"/>
                <w:sz w:val="19"/>
                <w:szCs w:val="19"/>
                <w:lang w:val="en-GB"/>
              </w:rPr>
            </w:pPr>
            <w:r w:rsidRPr="006471FE">
              <w:rPr>
                <w:rFonts w:cs="Arial"/>
                <w:sz w:val="19"/>
                <w:szCs w:val="19"/>
                <w:lang w:val="en-GB"/>
              </w:rPr>
              <w:t>Approach 1.1</w:t>
            </w:r>
          </w:p>
        </w:tc>
        <w:tc>
          <w:tcPr>
            <w:tcW w:w="6378" w:type="dxa"/>
            <w:gridSpan w:val="2"/>
            <w:vAlign w:val="center"/>
          </w:tcPr>
          <w:p w14:paraId="029EE787" w14:textId="6958A13F" w:rsidR="00D755FD" w:rsidRPr="00F34F33" w:rsidRDefault="00D755FD" w:rsidP="00D755FD">
            <w:pPr>
              <w:pStyle w:val="ListParagraph"/>
              <w:ind w:left="0"/>
              <w:jc w:val="both"/>
              <w:rPr>
                <w:rFonts w:cs="Arial"/>
                <w:bCs/>
                <w:sz w:val="19"/>
                <w:szCs w:val="19"/>
              </w:rPr>
            </w:pPr>
            <w:r w:rsidRPr="00F34F33">
              <w:rPr>
                <w:rFonts w:cs="Arial"/>
                <w:bCs/>
                <w:sz w:val="19"/>
                <w:szCs w:val="19"/>
              </w:rPr>
              <w:t>Prioritiz</w:t>
            </w:r>
            <w:r>
              <w:rPr>
                <w:rFonts w:cs="Arial"/>
                <w:bCs/>
                <w:sz w:val="19"/>
                <w:szCs w:val="19"/>
              </w:rPr>
              <w:t>ing</w:t>
            </w:r>
            <w:r w:rsidRPr="00F34F33">
              <w:rPr>
                <w:rFonts w:cs="Arial"/>
                <w:bCs/>
                <w:sz w:val="19"/>
                <w:szCs w:val="19"/>
              </w:rPr>
              <w:t xml:space="preserve">: mapping funding needs against capacity for delivery e.g. overview of funding needs </w:t>
            </w:r>
            <w:r>
              <w:rPr>
                <w:rFonts w:cs="Arial"/>
                <w:bCs/>
                <w:sz w:val="19"/>
                <w:szCs w:val="19"/>
              </w:rPr>
              <w:t xml:space="preserve">deriving from the </w:t>
            </w:r>
            <w:proofErr w:type="spellStart"/>
            <w:r>
              <w:rPr>
                <w:rFonts w:cs="Arial"/>
                <w:bCs/>
                <w:sz w:val="19"/>
                <w:szCs w:val="19"/>
              </w:rPr>
              <w:t>Pr</w:t>
            </w:r>
            <w:r w:rsidR="00EB3799">
              <w:rPr>
                <w:rFonts w:cs="Arial"/>
                <w:bCs/>
                <w:sz w:val="19"/>
                <w:szCs w:val="19"/>
              </w:rPr>
              <w:t>o</w:t>
            </w:r>
            <w:r>
              <w:rPr>
                <w:rFonts w:cs="Arial"/>
                <w:bCs/>
                <w:sz w:val="19"/>
                <w:szCs w:val="19"/>
              </w:rPr>
              <w:t>gramme</w:t>
            </w:r>
            <w:proofErr w:type="spellEnd"/>
            <w:r>
              <w:rPr>
                <w:rFonts w:cs="Arial"/>
                <w:bCs/>
                <w:sz w:val="19"/>
                <w:szCs w:val="19"/>
              </w:rPr>
              <w:t xml:space="preserve"> of Work </w:t>
            </w:r>
            <w:r w:rsidRPr="00F34F33">
              <w:rPr>
                <w:rFonts w:cs="Arial"/>
                <w:bCs/>
                <w:sz w:val="19"/>
                <w:szCs w:val="19"/>
              </w:rPr>
              <w:t>(POW)</w:t>
            </w:r>
          </w:p>
        </w:tc>
      </w:tr>
      <w:tr w:rsidR="00D755FD" w:rsidRPr="00101D7D" w14:paraId="18B7BF21" w14:textId="77777777" w:rsidTr="00950B16">
        <w:trPr>
          <w:gridBefore w:val="2"/>
          <w:wBefore w:w="2695" w:type="dxa"/>
          <w:trHeight w:val="440"/>
        </w:trPr>
        <w:tc>
          <w:tcPr>
            <w:tcW w:w="1170" w:type="dxa"/>
            <w:shd w:val="clear" w:color="auto" w:fill="C5E0B3" w:themeFill="accent6" w:themeFillTint="66"/>
            <w:vAlign w:val="center"/>
          </w:tcPr>
          <w:p w14:paraId="110A3CE2" w14:textId="5ADB0058" w:rsidR="00D755FD" w:rsidRPr="00101D7D" w:rsidRDefault="00D755FD" w:rsidP="00D755FD">
            <w:pPr>
              <w:pStyle w:val="ListParagraph"/>
              <w:ind w:left="0"/>
              <w:rPr>
                <w:rFonts w:cs="Arial"/>
                <w:i/>
                <w:szCs w:val="18"/>
                <w:lang w:val="en-GB"/>
              </w:rPr>
            </w:pPr>
            <w:r>
              <w:rPr>
                <w:rFonts w:cs="Arial"/>
                <w:i/>
                <w:szCs w:val="18"/>
                <w:lang w:val="en-GB"/>
              </w:rPr>
              <w:t>Tool 1.1.1</w:t>
            </w:r>
          </w:p>
        </w:tc>
        <w:tc>
          <w:tcPr>
            <w:tcW w:w="5208" w:type="dxa"/>
            <w:vAlign w:val="center"/>
          </w:tcPr>
          <w:p w14:paraId="50CE62F9" w14:textId="3CF91FB7" w:rsidR="00D755FD" w:rsidRPr="00101D7D" w:rsidRDefault="00D755FD" w:rsidP="00D755FD">
            <w:pPr>
              <w:pStyle w:val="ListParagraph"/>
              <w:ind w:left="0"/>
              <w:jc w:val="both"/>
              <w:rPr>
                <w:rFonts w:cs="Arial"/>
                <w:bCs/>
                <w:szCs w:val="18"/>
              </w:rPr>
            </w:pPr>
            <w:r w:rsidRPr="00101D7D">
              <w:rPr>
                <w:rFonts w:cs="Arial"/>
                <w:bCs/>
                <w:szCs w:val="18"/>
              </w:rPr>
              <w:t>General appeals</w:t>
            </w:r>
            <w:r>
              <w:rPr>
                <w:rFonts w:cs="Arial"/>
                <w:bCs/>
                <w:szCs w:val="18"/>
              </w:rPr>
              <w:t xml:space="preserve"> - </w:t>
            </w:r>
            <w:r w:rsidRPr="00101D7D">
              <w:rPr>
                <w:rFonts w:cs="Arial"/>
                <w:bCs/>
                <w:szCs w:val="18"/>
              </w:rPr>
              <w:t xml:space="preserve">letters to </w:t>
            </w:r>
            <w:r>
              <w:rPr>
                <w:rFonts w:cs="Arial"/>
                <w:bCs/>
                <w:szCs w:val="18"/>
              </w:rPr>
              <w:t xml:space="preserve">potential donors including CMS Parties and MOU Signatories </w:t>
            </w:r>
            <w:r w:rsidRPr="00101D7D">
              <w:rPr>
                <w:rFonts w:cs="Arial"/>
                <w:bCs/>
                <w:szCs w:val="18"/>
              </w:rPr>
              <w:t xml:space="preserve">with funding needs (POW) </w:t>
            </w:r>
          </w:p>
        </w:tc>
      </w:tr>
      <w:tr w:rsidR="00D755FD" w:rsidRPr="00101D7D" w14:paraId="0E99C7AE" w14:textId="77777777" w:rsidTr="00950B16">
        <w:trPr>
          <w:gridBefore w:val="2"/>
          <w:wBefore w:w="2695" w:type="dxa"/>
          <w:trHeight w:val="530"/>
        </w:trPr>
        <w:tc>
          <w:tcPr>
            <w:tcW w:w="1170" w:type="dxa"/>
            <w:shd w:val="clear" w:color="auto" w:fill="C5E0B3" w:themeFill="accent6" w:themeFillTint="66"/>
            <w:vAlign w:val="center"/>
          </w:tcPr>
          <w:p w14:paraId="415B132C" w14:textId="01AFA123" w:rsidR="00D755FD" w:rsidRPr="00101D7D" w:rsidRDefault="00D755FD" w:rsidP="00D755FD">
            <w:pPr>
              <w:pStyle w:val="ListParagraph"/>
              <w:ind w:left="0"/>
              <w:rPr>
                <w:rFonts w:cs="Arial"/>
                <w:i/>
                <w:szCs w:val="18"/>
                <w:lang w:val="en-GB"/>
              </w:rPr>
            </w:pPr>
            <w:r>
              <w:rPr>
                <w:rFonts w:cs="Arial"/>
                <w:i/>
                <w:szCs w:val="18"/>
                <w:lang w:val="en-GB"/>
              </w:rPr>
              <w:t>Tool 1.1.2</w:t>
            </w:r>
          </w:p>
        </w:tc>
        <w:tc>
          <w:tcPr>
            <w:tcW w:w="5208" w:type="dxa"/>
            <w:vAlign w:val="center"/>
          </w:tcPr>
          <w:p w14:paraId="5DFB5932" w14:textId="4BC86FF3" w:rsidR="00D755FD" w:rsidRPr="00101D7D" w:rsidRDefault="00D755FD" w:rsidP="00D755FD">
            <w:pPr>
              <w:pStyle w:val="ListParagraph"/>
              <w:ind w:left="0"/>
              <w:jc w:val="both"/>
              <w:rPr>
                <w:rFonts w:cs="Arial"/>
                <w:bCs/>
                <w:szCs w:val="18"/>
              </w:rPr>
            </w:pPr>
            <w:r w:rsidRPr="00101D7D">
              <w:rPr>
                <w:rFonts w:cs="Arial"/>
                <w:bCs/>
                <w:szCs w:val="18"/>
              </w:rPr>
              <w:t>Tailored contacts</w:t>
            </w:r>
            <w:r>
              <w:rPr>
                <w:rFonts w:cs="Arial"/>
                <w:bCs/>
                <w:szCs w:val="18"/>
              </w:rPr>
              <w:t xml:space="preserve"> - </w:t>
            </w:r>
            <w:r w:rsidRPr="00101D7D">
              <w:rPr>
                <w:rFonts w:cs="Arial"/>
                <w:bCs/>
                <w:szCs w:val="18"/>
              </w:rPr>
              <w:t>written communications and direct and personal contacts with specific proposals with potential donors</w:t>
            </w:r>
          </w:p>
        </w:tc>
      </w:tr>
      <w:tr w:rsidR="00D755FD" w:rsidRPr="00F34F33" w14:paraId="5A31D318" w14:textId="77777777" w:rsidTr="00950B16">
        <w:trPr>
          <w:gridBefore w:val="1"/>
          <w:wBefore w:w="1255" w:type="dxa"/>
          <w:trHeight w:val="530"/>
        </w:trPr>
        <w:tc>
          <w:tcPr>
            <w:tcW w:w="1440" w:type="dxa"/>
            <w:shd w:val="clear" w:color="auto" w:fill="BDD6EE" w:themeFill="accent1" w:themeFillTint="66"/>
            <w:vAlign w:val="center"/>
          </w:tcPr>
          <w:p w14:paraId="5C2C1234" w14:textId="3C6EB7B3" w:rsidR="00D755FD" w:rsidRPr="00F34F33" w:rsidRDefault="00D755FD" w:rsidP="00D755FD">
            <w:pPr>
              <w:pStyle w:val="ListParagraph"/>
              <w:ind w:left="0"/>
              <w:rPr>
                <w:rFonts w:cs="Arial"/>
                <w:sz w:val="19"/>
                <w:szCs w:val="19"/>
                <w:lang w:val="en-GB"/>
              </w:rPr>
            </w:pPr>
            <w:r w:rsidRPr="00F34F33">
              <w:rPr>
                <w:rFonts w:cs="Arial"/>
                <w:sz w:val="19"/>
                <w:szCs w:val="19"/>
                <w:lang w:val="en-GB"/>
              </w:rPr>
              <w:t>Approach 1.2</w:t>
            </w:r>
          </w:p>
        </w:tc>
        <w:tc>
          <w:tcPr>
            <w:tcW w:w="6378" w:type="dxa"/>
            <w:gridSpan w:val="2"/>
            <w:vAlign w:val="center"/>
          </w:tcPr>
          <w:p w14:paraId="21C33E18" w14:textId="0EF3F0C7" w:rsidR="00D755FD" w:rsidRPr="00F34F33" w:rsidRDefault="00D755FD" w:rsidP="00D755FD">
            <w:pPr>
              <w:pStyle w:val="ListParagraph"/>
              <w:ind w:left="0"/>
              <w:jc w:val="both"/>
              <w:rPr>
                <w:rFonts w:cs="Arial"/>
                <w:sz w:val="19"/>
                <w:szCs w:val="19"/>
                <w:lang w:val="en-GB"/>
              </w:rPr>
            </w:pPr>
            <w:r w:rsidRPr="00F34F33">
              <w:rPr>
                <w:rFonts w:cs="Arial"/>
                <w:sz w:val="19"/>
                <w:szCs w:val="19"/>
                <w:lang w:val="en-GB"/>
              </w:rPr>
              <w:t>Engag</w:t>
            </w:r>
            <w:r>
              <w:rPr>
                <w:rFonts w:cs="Arial"/>
                <w:sz w:val="19"/>
                <w:szCs w:val="19"/>
                <w:lang w:val="en-GB"/>
              </w:rPr>
              <w:t>ing</w:t>
            </w:r>
            <w:r w:rsidRPr="00F34F33">
              <w:rPr>
                <w:rFonts w:cs="Arial"/>
                <w:sz w:val="19"/>
                <w:szCs w:val="19"/>
                <w:lang w:val="en-GB"/>
              </w:rPr>
              <w:t xml:space="preserve"> with multi-year funding arrangements e.g. with EC</w:t>
            </w:r>
            <w:r w:rsidR="008E1D46" w:rsidRPr="00EA7D4B">
              <w:rPr>
                <w:rStyle w:val="FootnoteReference"/>
                <w:sz w:val="19"/>
                <w:szCs w:val="19"/>
                <w:vertAlign w:val="superscript"/>
                <w:lang w:val="en-GB"/>
              </w:rPr>
              <w:footnoteReference w:id="1"/>
            </w:r>
            <w:r w:rsidRPr="00F34F33">
              <w:rPr>
                <w:rFonts w:cs="Arial"/>
                <w:sz w:val="19"/>
                <w:szCs w:val="19"/>
                <w:lang w:val="en-GB"/>
              </w:rPr>
              <w:t xml:space="preserve"> </w:t>
            </w:r>
            <w:r>
              <w:rPr>
                <w:rFonts w:cs="Arial"/>
                <w:sz w:val="19"/>
                <w:szCs w:val="19"/>
                <w:lang w:val="en-GB"/>
              </w:rPr>
              <w:t>grants, IKI</w:t>
            </w:r>
            <w:r w:rsidR="008E1D46" w:rsidRPr="00EA7D4B">
              <w:rPr>
                <w:rStyle w:val="FootnoteReference"/>
                <w:sz w:val="19"/>
                <w:szCs w:val="19"/>
                <w:vertAlign w:val="superscript"/>
                <w:lang w:val="en-GB"/>
              </w:rPr>
              <w:footnoteReference w:id="2"/>
            </w:r>
          </w:p>
        </w:tc>
      </w:tr>
      <w:tr w:rsidR="00D755FD" w:rsidRPr="00101D7D" w14:paraId="44272903" w14:textId="77777777" w:rsidTr="00950B16">
        <w:trPr>
          <w:gridBefore w:val="2"/>
          <w:wBefore w:w="2695" w:type="dxa"/>
          <w:trHeight w:val="440"/>
        </w:trPr>
        <w:tc>
          <w:tcPr>
            <w:tcW w:w="1170" w:type="dxa"/>
            <w:shd w:val="clear" w:color="auto" w:fill="C5E0B3" w:themeFill="accent6" w:themeFillTint="66"/>
            <w:vAlign w:val="center"/>
          </w:tcPr>
          <w:p w14:paraId="447C1849" w14:textId="36C47A7F" w:rsidR="00D755FD" w:rsidRPr="004A7FF9" w:rsidRDefault="00D755FD" w:rsidP="00D755FD">
            <w:pPr>
              <w:pStyle w:val="ListParagraph"/>
              <w:ind w:left="0"/>
              <w:rPr>
                <w:rFonts w:cs="Arial"/>
                <w:i/>
                <w:szCs w:val="18"/>
                <w:lang w:val="en-GB"/>
              </w:rPr>
            </w:pPr>
            <w:r w:rsidRPr="004A7FF9">
              <w:rPr>
                <w:rFonts w:cs="Arial"/>
                <w:i/>
                <w:szCs w:val="18"/>
                <w:lang w:val="en-GB"/>
              </w:rPr>
              <w:t>Tool 1.2.1</w:t>
            </w:r>
          </w:p>
        </w:tc>
        <w:tc>
          <w:tcPr>
            <w:tcW w:w="5208" w:type="dxa"/>
            <w:vAlign w:val="center"/>
          </w:tcPr>
          <w:p w14:paraId="67BC76D1" w14:textId="179F2E75" w:rsidR="00D755FD" w:rsidRPr="00101D7D" w:rsidRDefault="00D755FD" w:rsidP="00D755FD">
            <w:pPr>
              <w:pStyle w:val="ListParagraph"/>
              <w:ind w:left="0"/>
              <w:jc w:val="both"/>
              <w:rPr>
                <w:rFonts w:cs="Arial"/>
                <w:bCs/>
                <w:szCs w:val="18"/>
              </w:rPr>
            </w:pPr>
            <w:r w:rsidRPr="00101D7D">
              <w:rPr>
                <w:rFonts w:cs="Arial"/>
                <w:bCs/>
                <w:szCs w:val="18"/>
              </w:rPr>
              <w:t>Consultations an</w:t>
            </w:r>
            <w:r>
              <w:rPr>
                <w:rFonts w:cs="Arial"/>
                <w:bCs/>
                <w:szCs w:val="18"/>
              </w:rPr>
              <w:t>d</w:t>
            </w:r>
            <w:r w:rsidRPr="00101D7D">
              <w:rPr>
                <w:rFonts w:cs="Arial"/>
                <w:bCs/>
                <w:szCs w:val="18"/>
              </w:rPr>
              <w:t xml:space="preserve"> submission of project proposals</w:t>
            </w:r>
          </w:p>
        </w:tc>
      </w:tr>
      <w:tr w:rsidR="00D755FD" w:rsidRPr="00101D7D" w14:paraId="3B68965D" w14:textId="77777777" w:rsidTr="00950B16">
        <w:trPr>
          <w:gridBefore w:val="1"/>
          <w:wBefore w:w="1255" w:type="dxa"/>
          <w:trHeight w:val="530"/>
        </w:trPr>
        <w:tc>
          <w:tcPr>
            <w:tcW w:w="1440" w:type="dxa"/>
            <w:shd w:val="clear" w:color="auto" w:fill="BDD6EE" w:themeFill="accent1" w:themeFillTint="66"/>
            <w:vAlign w:val="center"/>
          </w:tcPr>
          <w:p w14:paraId="3193AE8B" w14:textId="05364E02" w:rsidR="00D755FD" w:rsidRDefault="00D755FD" w:rsidP="00D755FD">
            <w:pPr>
              <w:pStyle w:val="ListParagraph"/>
              <w:ind w:left="0"/>
              <w:jc w:val="right"/>
              <w:rPr>
                <w:rFonts w:cs="Arial"/>
                <w:i/>
                <w:szCs w:val="18"/>
                <w:lang w:val="en-GB"/>
              </w:rPr>
            </w:pPr>
            <w:r w:rsidRPr="00F34F33">
              <w:rPr>
                <w:rFonts w:cs="Arial"/>
                <w:sz w:val="19"/>
                <w:szCs w:val="19"/>
                <w:lang w:val="en-GB"/>
              </w:rPr>
              <w:t xml:space="preserve">Approach </w:t>
            </w:r>
            <w:r>
              <w:rPr>
                <w:rFonts w:cs="Arial"/>
                <w:sz w:val="19"/>
                <w:szCs w:val="19"/>
                <w:lang w:val="en-GB"/>
              </w:rPr>
              <w:t>1.3</w:t>
            </w:r>
          </w:p>
        </w:tc>
        <w:tc>
          <w:tcPr>
            <w:tcW w:w="6378" w:type="dxa"/>
            <w:gridSpan w:val="2"/>
            <w:vAlign w:val="center"/>
          </w:tcPr>
          <w:p w14:paraId="099BDC8C" w14:textId="77777777" w:rsidR="00D755FD" w:rsidRPr="00101D7D" w:rsidRDefault="00D755FD" w:rsidP="00D755FD">
            <w:pPr>
              <w:pStyle w:val="ListParagraph"/>
              <w:ind w:left="0"/>
              <w:jc w:val="both"/>
              <w:rPr>
                <w:rFonts w:cs="Arial"/>
                <w:bCs/>
                <w:szCs w:val="18"/>
              </w:rPr>
            </w:pPr>
            <w:r w:rsidRPr="00101D7D">
              <w:rPr>
                <w:rFonts w:cs="Arial"/>
                <w:bCs/>
                <w:szCs w:val="18"/>
              </w:rPr>
              <w:t xml:space="preserve">Migratory Species Champion </w:t>
            </w:r>
            <w:proofErr w:type="spellStart"/>
            <w:r w:rsidRPr="00101D7D">
              <w:rPr>
                <w:rFonts w:cs="Arial"/>
                <w:bCs/>
                <w:szCs w:val="18"/>
              </w:rPr>
              <w:t>Programme</w:t>
            </w:r>
            <w:proofErr w:type="spellEnd"/>
          </w:p>
        </w:tc>
      </w:tr>
    </w:tbl>
    <w:p w14:paraId="4DF6C16C" w14:textId="77777777" w:rsidR="006471FE" w:rsidRPr="006471FE" w:rsidRDefault="006471FE">
      <w:pPr>
        <w:rPr>
          <w:sz w:val="22"/>
          <w:szCs w:val="22"/>
        </w:rPr>
      </w:pPr>
    </w:p>
    <w:tbl>
      <w:tblPr>
        <w:tblStyle w:val="TableGrid"/>
        <w:tblW w:w="0" w:type="auto"/>
        <w:tblLook w:val="04A0" w:firstRow="1" w:lastRow="0" w:firstColumn="1" w:lastColumn="0" w:noHBand="0" w:noVBand="1"/>
      </w:tblPr>
      <w:tblGrid>
        <w:gridCol w:w="1255"/>
        <w:gridCol w:w="1440"/>
        <w:gridCol w:w="6378"/>
      </w:tblGrid>
      <w:tr w:rsidR="00F34F33" w:rsidRPr="00F34F33" w14:paraId="5A941040" w14:textId="77777777" w:rsidTr="00C21E90">
        <w:trPr>
          <w:trHeight w:val="620"/>
        </w:trPr>
        <w:tc>
          <w:tcPr>
            <w:tcW w:w="1255" w:type="dxa"/>
            <w:shd w:val="clear" w:color="auto" w:fill="FFE599" w:themeFill="accent4" w:themeFillTint="66"/>
            <w:vAlign w:val="center"/>
          </w:tcPr>
          <w:p w14:paraId="70C5621B" w14:textId="77777777" w:rsidR="00F34F33" w:rsidRPr="00F34F33" w:rsidRDefault="00F34F33" w:rsidP="00E22050">
            <w:pPr>
              <w:pStyle w:val="ListParagraph"/>
              <w:ind w:left="0"/>
              <w:jc w:val="both"/>
              <w:rPr>
                <w:rFonts w:cs="Arial"/>
                <w:bCs/>
                <w:sz w:val="20"/>
                <w:szCs w:val="20"/>
                <w:lang w:val="en-GB"/>
              </w:rPr>
            </w:pPr>
            <w:r w:rsidRPr="00F34F33">
              <w:rPr>
                <w:rFonts w:cs="Arial"/>
                <w:bCs/>
                <w:sz w:val="20"/>
                <w:szCs w:val="20"/>
                <w:lang w:val="en-GB"/>
              </w:rPr>
              <w:t>Objective 2</w:t>
            </w:r>
          </w:p>
        </w:tc>
        <w:tc>
          <w:tcPr>
            <w:tcW w:w="7818" w:type="dxa"/>
            <w:gridSpan w:val="2"/>
            <w:vAlign w:val="center"/>
          </w:tcPr>
          <w:p w14:paraId="5F51A782" w14:textId="58585BA1" w:rsidR="00F34F33" w:rsidRPr="00F34F33" w:rsidRDefault="00F34F33" w:rsidP="00E22050">
            <w:pPr>
              <w:pStyle w:val="ListParagraph"/>
              <w:ind w:left="0"/>
              <w:jc w:val="both"/>
              <w:rPr>
                <w:rFonts w:cs="Arial"/>
                <w:bCs/>
                <w:sz w:val="20"/>
                <w:szCs w:val="20"/>
                <w:lang w:val="en-GB"/>
              </w:rPr>
            </w:pPr>
            <w:r w:rsidRPr="00F34F33">
              <w:rPr>
                <w:rFonts w:cs="Arial"/>
                <w:bCs/>
                <w:sz w:val="20"/>
                <w:szCs w:val="20"/>
                <w:lang w:val="en-GB"/>
              </w:rPr>
              <w:t>Broaden the donor base</w:t>
            </w:r>
          </w:p>
        </w:tc>
      </w:tr>
      <w:tr w:rsidR="008C6D0F" w:rsidRPr="00101D7D" w14:paraId="06547DA8" w14:textId="77777777" w:rsidTr="00950B16">
        <w:trPr>
          <w:gridBefore w:val="1"/>
          <w:wBefore w:w="1255" w:type="dxa"/>
          <w:trHeight w:val="530"/>
        </w:trPr>
        <w:tc>
          <w:tcPr>
            <w:tcW w:w="1440" w:type="dxa"/>
            <w:shd w:val="clear" w:color="auto" w:fill="BDD6EE" w:themeFill="accent1" w:themeFillTint="66"/>
            <w:vAlign w:val="center"/>
          </w:tcPr>
          <w:p w14:paraId="4F25603B" w14:textId="31129D2F" w:rsidR="008C6D0F" w:rsidRDefault="008C6D0F" w:rsidP="00B827F2">
            <w:pPr>
              <w:pStyle w:val="ListParagraph"/>
              <w:ind w:left="0"/>
              <w:jc w:val="both"/>
              <w:rPr>
                <w:rFonts w:cs="Arial"/>
                <w:i/>
                <w:szCs w:val="18"/>
                <w:lang w:val="en-GB"/>
              </w:rPr>
            </w:pPr>
            <w:r w:rsidRPr="00F34F33">
              <w:rPr>
                <w:rFonts w:cs="Arial"/>
                <w:sz w:val="19"/>
                <w:szCs w:val="19"/>
                <w:lang w:val="en-GB"/>
              </w:rPr>
              <w:t xml:space="preserve">Approach </w:t>
            </w:r>
            <w:r>
              <w:rPr>
                <w:rFonts w:cs="Arial"/>
                <w:sz w:val="19"/>
                <w:szCs w:val="19"/>
                <w:lang w:val="en-GB"/>
              </w:rPr>
              <w:t>2.1</w:t>
            </w:r>
          </w:p>
        </w:tc>
        <w:tc>
          <w:tcPr>
            <w:tcW w:w="6378" w:type="dxa"/>
            <w:vAlign w:val="center"/>
          </w:tcPr>
          <w:p w14:paraId="67E9905F" w14:textId="77777777" w:rsidR="008C6D0F" w:rsidRPr="00101D7D" w:rsidRDefault="008C6D0F" w:rsidP="00B827F2">
            <w:pPr>
              <w:pStyle w:val="ListParagraph"/>
              <w:ind w:left="0"/>
              <w:jc w:val="both"/>
              <w:rPr>
                <w:rFonts w:cs="Arial"/>
                <w:bCs/>
                <w:szCs w:val="18"/>
              </w:rPr>
            </w:pPr>
            <w:r w:rsidRPr="00101D7D">
              <w:rPr>
                <w:rFonts w:cs="Arial"/>
                <w:bCs/>
                <w:szCs w:val="18"/>
              </w:rPr>
              <w:t xml:space="preserve">Migratory Species Champion </w:t>
            </w:r>
            <w:proofErr w:type="spellStart"/>
            <w:r w:rsidRPr="00101D7D">
              <w:rPr>
                <w:rFonts w:cs="Arial"/>
                <w:bCs/>
                <w:szCs w:val="18"/>
              </w:rPr>
              <w:t>Programme</w:t>
            </w:r>
            <w:proofErr w:type="spellEnd"/>
          </w:p>
        </w:tc>
      </w:tr>
    </w:tbl>
    <w:p w14:paraId="5414E1A8" w14:textId="36B7AE3B" w:rsidR="007B4C83" w:rsidRDefault="007B4C83">
      <w:pPr>
        <w:rPr>
          <w:sz w:val="22"/>
          <w:szCs w:val="22"/>
        </w:rPr>
      </w:pPr>
    </w:p>
    <w:tbl>
      <w:tblPr>
        <w:tblStyle w:val="TableGrid"/>
        <w:tblW w:w="0" w:type="auto"/>
        <w:tblLook w:val="04A0" w:firstRow="1" w:lastRow="0" w:firstColumn="1" w:lastColumn="0" w:noHBand="0" w:noVBand="1"/>
      </w:tblPr>
      <w:tblGrid>
        <w:gridCol w:w="1251"/>
        <w:gridCol w:w="1444"/>
        <w:gridCol w:w="1170"/>
        <w:gridCol w:w="5208"/>
      </w:tblGrid>
      <w:tr w:rsidR="00101D7D" w:rsidRPr="00F34F33" w14:paraId="466C30FB" w14:textId="77777777" w:rsidTr="004A7FF9">
        <w:trPr>
          <w:trHeight w:val="620"/>
        </w:trPr>
        <w:tc>
          <w:tcPr>
            <w:tcW w:w="1251" w:type="dxa"/>
            <w:shd w:val="clear" w:color="auto" w:fill="FFE599" w:themeFill="accent4" w:themeFillTint="66"/>
            <w:vAlign w:val="center"/>
          </w:tcPr>
          <w:p w14:paraId="2D5D1FF3" w14:textId="5D5CE38F" w:rsidR="00101D7D" w:rsidRPr="00F34F33" w:rsidRDefault="00101D7D" w:rsidP="00101D7D">
            <w:pPr>
              <w:pStyle w:val="ListParagraph"/>
              <w:ind w:left="0"/>
              <w:jc w:val="both"/>
              <w:rPr>
                <w:rFonts w:cs="Arial"/>
                <w:bCs/>
                <w:sz w:val="20"/>
                <w:szCs w:val="20"/>
                <w:lang w:val="en-GB"/>
              </w:rPr>
            </w:pPr>
            <w:r w:rsidRPr="00F34F33">
              <w:rPr>
                <w:rFonts w:cs="Arial"/>
                <w:bCs/>
                <w:sz w:val="20"/>
                <w:szCs w:val="20"/>
                <w:lang w:val="en-GB"/>
              </w:rPr>
              <w:t xml:space="preserve">Objective </w:t>
            </w:r>
            <w:r w:rsidR="00F34F33" w:rsidRPr="00F34F33">
              <w:rPr>
                <w:rFonts w:cs="Arial"/>
                <w:bCs/>
                <w:sz w:val="20"/>
                <w:szCs w:val="20"/>
                <w:lang w:val="en-GB"/>
              </w:rPr>
              <w:t>3</w:t>
            </w:r>
          </w:p>
        </w:tc>
        <w:tc>
          <w:tcPr>
            <w:tcW w:w="7822" w:type="dxa"/>
            <w:gridSpan w:val="3"/>
            <w:vAlign w:val="center"/>
          </w:tcPr>
          <w:p w14:paraId="689F682B" w14:textId="0D6D1C30" w:rsidR="00101D7D" w:rsidRPr="00F34F33" w:rsidRDefault="00101D7D" w:rsidP="00101D7D">
            <w:pPr>
              <w:pStyle w:val="ListParagraph"/>
              <w:ind w:left="0"/>
              <w:jc w:val="both"/>
              <w:rPr>
                <w:rFonts w:cs="Arial"/>
                <w:bCs/>
                <w:sz w:val="20"/>
                <w:szCs w:val="20"/>
                <w:lang w:val="en-GB"/>
              </w:rPr>
            </w:pPr>
            <w:r w:rsidRPr="00F34F33">
              <w:rPr>
                <w:rFonts w:cs="Arial"/>
                <w:bCs/>
                <w:sz w:val="20"/>
                <w:szCs w:val="20"/>
                <w:lang w:val="en-GB"/>
              </w:rPr>
              <w:t xml:space="preserve">Increase synergistic work with </w:t>
            </w:r>
            <w:r w:rsidR="00125893">
              <w:rPr>
                <w:rFonts w:cs="Arial"/>
                <w:bCs/>
                <w:sz w:val="20"/>
                <w:szCs w:val="20"/>
                <w:lang w:val="en-GB"/>
              </w:rPr>
              <w:t xml:space="preserve">the CMS </w:t>
            </w:r>
            <w:r w:rsidRPr="00F34F33">
              <w:rPr>
                <w:rFonts w:cs="Arial"/>
                <w:bCs/>
                <w:sz w:val="20"/>
                <w:szCs w:val="20"/>
                <w:lang w:val="en-GB"/>
              </w:rPr>
              <w:t xml:space="preserve">Family and </w:t>
            </w:r>
            <w:r w:rsidR="00125893">
              <w:rPr>
                <w:rFonts w:cs="Arial"/>
                <w:bCs/>
                <w:sz w:val="20"/>
                <w:szCs w:val="20"/>
                <w:lang w:val="en-GB"/>
              </w:rPr>
              <w:t xml:space="preserve">other </w:t>
            </w:r>
            <w:r w:rsidRPr="00F34F33">
              <w:rPr>
                <w:rFonts w:cs="Arial"/>
                <w:bCs/>
                <w:sz w:val="20"/>
                <w:szCs w:val="20"/>
                <w:lang w:val="en-GB"/>
              </w:rPr>
              <w:t>relevant organizations</w:t>
            </w:r>
          </w:p>
        </w:tc>
      </w:tr>
      <w:tr w:rsidR="00101D7D" w:rsidRPr="00F34F33" w14:paraId="4B333CCB" w14:textId="77777777" w:rsidTr="00950B16">
        <w:trPr>
          <w:gridBefore w:val="1"/>
          <w:wBefore w:w="1251" w:type="dxa"/>
          <w:trHeight w:val="638"/>
        </w:trPr>
        <w:tc>
          <w:tcPr>
            <w:tcW w:w="1444" w:type="dxa"/>
            <w:shd w:val="clear" w:color="auto" w:fill="BDD6EE" w:themeFill="accent1" w:themeFillTint="66"/>
            <w:vAlign w:val="center"/>
          </w:tcPr>
          <w:p w14:paraId="3F9FF496" w14:textId="511756EB" w:rsidR="00101D7D" w:rsidRPr="00F34F33" w:rsidRDefault="00101D7D" w:rsidP="00C21E90">
            <w:pPr>
              <w:pStyle w:val="ListParagraph"/>
              <w:ind w:left="0"/>
              <w:rPr>
                <w:rFonts w:cs="Arial"/>
                <w:sz w:val="19"/>
                <w:szCs w:val="19"/>
                <w:lang w:val="en-GB"/>
              </w:rPr>
            </w:pPr>
            <w:r w:rsidRPr="00F34F33">
              <w:rPr>
                <w:rFonts w:cs="Arial"/>
                <w:sz w:val="19"/>
                <w:szCs w:val="19"/>
                <w:lang w:val="en-GB"/>
              </w:rPr>
              <w:t xml:space="preserve">Approach </w:t>
            </w:r>
            <w:r w:rsidR="00882BE1">
              <w:rPr>
                <w:rFonts w:cs="Arial"/>
                <w:sz w:val="19"/>
                <w:szCs w:val="19"/>
                <w:lang w:val="en-GB"/>
              </w:rPr>
              <w:t>3</w:t>
            </w:r>
            <w:r w:rsidRPr="00F34F33">
              <w:rPr>
                <w:rFonts w:cs="Arial"/>
                <w:sz w:val="19"/>
                <w:szCs w:val="19"/>
                <w:lang w:val="en-GB"/>
              </w:rPr>
              <w:t>.1</w:t>
            </w:r>
          </w:p>
        </w:tc>
        <w:tc>
          <w:tcPr>
            <w:tcW w:w="6378" w:type="dxa"/>
            <w:gridSpan w:val="2"/>
            <w:vAlign w:val="center"/>
          </w:tcPr>
          <w:p w14:paraId="7676EB71" w14:textId="40DE4642" w:rsidR="00101D7D" w:rsidRPr="00F34F33" w:rsidRDefault="00ED0B17" w:rsidP="00B03D54">
            <w:pPr>
              <w:pStyle w:val="ListParagraph"/>
              <w:ind w:left="0"/>
              <w:jc w:val="both"/>
              <w:rPr>
                <w:rFonts w:cs="Arial"/>
                <w:sz w:val="19"/>
                <w:szCs w:val="19"/>
                <w:lang w:val="en-GB"/>
              </w:rPr>
            </w:pPr>
            <w:r>
              <w:rPr>
                <w:rFonts w:cs="Arial"/>
                <w:sz w:val="19"/>
                <w:szCs w:val="19"/>
                <w:lang w:val="en-GB"/>
              </w:rPr>
              <w:t xml:space="preserve">Cooperating </w:t>
            </w:r>
            <w:r w:rsidR="00B03D54">
              <w:rPr>
                <w:rFonts w:cs="Arial"/>
                <w:sz w:val="19"/>
                <w:szCs w:val="19"/>
                <w:lang w:val="en-GB"/>
              </w:rPr>
              <w:t>to s</w:t>
            </w:r>
            <w:r w:rsidR="00101D7D" w:rsidRPr="00F34F33">
              <w:rPr>
                <w:rFonts w:cs="Arial"/>
                <w:sz w:val="19"/>
                <w:szCs w:val="19"/>
                <w:lang w:val="en-GB"/>
              </w:rPr>
              <w:t xml:space="preserve">trategize on activities </w:t>
            </w:r>
            <w:r w:rsidR="00B03D54">
              <w:rPr>
                <w:rFonts w:cs="Arial"/>
                <w:sz w:val="19"/>
                <w:szCs w:val="19"/>
                <w:lang w:val="en-GB"/>
              </w:rPr>
              <w:t>and</w:t>
            </w:r>
            <w:r w:rsidR="00101D7D" w:rsidRPr="00F34F33">
              <w:rPr>
                <w:rFonts w:cs="Arial"/>
                <w:sz w:val="19"/>
                <w:szCs w:val="19"/>
                <w:lang w:val="en-GB"/>
              </w:rPr>
              <w:t xml:space="preserve"> align priorities </w:t>
            </w:r>
          </w:p>
        </w:tc>
      </w:tr>
      <w:tr w:rsidR="00101D7D" w:rsidRPr="00F34F33" w14:paraId="62E13BE2" w14:textId="77777777" w:rsidTr="00950B16">
        <w:trPr>
          <w:gridBefore w:val="1"/>
          <w:wBefore w:w="1251" w:type="dxa"/>
          <w:trHeight w:val="548"/>
        </w:trPr>
        <w:tc>
          <w:tcPr>
            <w:tcW w:w="1444" w:type="dxa"/>
            <w:shd w:val="clear" w:color="auto" w:fill="BDD6EE" w:themeFill="accent1" w:themeFillTint="66"/>
            <w:vAlign w:val="center"/>
          </w:tcPr>
          <w:p w14:paraId="4A40F300" w14:textId="02436C72" w:rsidR="00101D7D" w:rsidRPr="00F34F33" w:rsidRDefault="00101D7D" w:rsidP="00C21E90">
            <w:pPr>
              <w:pStyle w:val="ListParagraph"/>
              <w:ind w:left="0"/>
              <w:rPr>
                <w:rFonts w:cs="Arial"/>
                <w:sz w:val="19"/>
                <w:szCs w:val="19"/>
                <w:lang w:val="en-GB"/>
              </w:rPr>
            </w:pPr>
            <w:r w:rsidRPr="00F34F33">
              <w:rPr>
                <w:rFonts w:cs="Arial"/>
                <w:sz w:val="19"/>
                <w:szCs w:val="19"/>
                <w:lang w:val="en-GB"/>
              </w:rPr>
              <w:t>Approach</w:t>
            </w:r>
            <w:r w:rsidR="00882BE1">
              <w:rPr>
                <w:rFonts w:cs="Arial"/>
                <w:sz w:val="19"/>
                <w:szCs w:val="19"/>
                <w:lang w:val="en-GB"/>
              </w:rPr>
              <w:t xml:space="preserve"> 3.2</w:t>
            </w:r>
          </w:p>
        </w:tc>
        <w:tc>
          <w:tcPr>
            <w:tcW w:w="6378" w:type="dxa"/>
            <w:gridSpan w:val="2"/>
            <w:vAlign w:val="center"/>
          </w:tcPr>
          <w:p w14:paraId="38B7165A" w14:textId="057EB45F" w:rsidR="00101D7D" w:rsidRPr="00F34F33" w:rsidRDefault="00B03D54" w:rsidP="00101D7D">
            <w:pPr>
              <w:pStyle w:val="ListParagraph"/>
              <w:ind w:left="0"/>
              <w:jc w:val="both"/>
              <w:rPr>
                <w:rFonts w:cs="Arial"/>
                <w:sz w:val="19"/>
                <w:szCs w:val="19"/>
                <w:lang w:val="en-GB"/>
              </w:rPr>
            </w:pPr>
            <w:r>
              <w:rPr>
                <w:rFonts w:cs="Arial"/>
                <w:sz w:val="19"/>
                <w:szCs w:val="19"/>
                <w:lang w:val="en-GB"/>
              </w:rPr>
              <w:t>Cooperati</w:t>
            </w:r>
            <w:r w:rsidR="00ED0B17">
              <w:rPr>
                <w:rFonts w:cs="Arial"/>
                <w:sz w:val="19"/>
                <w:szCs w:val="19"/>
                <w:lang w:val="en-GB"/>
              </w:rPr>
              <w:t>ng</w:t>
            </w:r>
            <w:r>
              <w:rPr>
                <w:rFonts w:cs="Arial"/>
                <w:sz w:val="19"/>
                <w:szCs w:val="19"/>
                <w:lang w:val="en-GB"/>
              </w:rPr>
              <w:t xml:space="preserve"> to </w:t>
            </w:r>
            <w:r w:rsidR="009F6CFD">
              <w:rPr>
                <w:rFonts w:cs="Arial"/>
                <w:sz w:val="19"/>
                <w:szCs w:val="19"/>
                <w:lang w:val="en-GB"/>
              </w:rPr>
              <w:t>combine</w:t>
            </w:r>
            <w:r w:rsidR="009F6CFD" w:rsidRPr="00F34F33">
              <w:rPr>
                <w:rFonts w:cs="Arial"/>
                <w:sz w:val="19"/>
                <w:szCs w:val="19"/>
                <w:lang w:val="en-GB"/>
              </w:rPr>
              <w:t xml:space="preserve"> </w:t>
            </w:r>
            <w:r w:rsidR="00101D7D" w:rsidRPr="00F34F33">
              <w:rPr>
                <w:rFonts w:cs="Arial"/>
                <w:sz w:val="19"/>
                <w:szCs w:val="19"/>
                <w:lang w:val="en-GB"/>
              </w:rPr>
              <w:t>available resources</w:t>
            </w:r>
          </w:p>
        </w:tc>
      </w:tr>
      <w:tr w:rsidR="00101D7D" w:rsidRPr="00F34F33" w14:paraId="51181300" w14:textId="77777777" w:rsidTr="00950B16">
        <w:trPr>
          <w:gridBefore w:val="1"/>
          <w:wBefore w:w="1251" w:type="dxa"/>
          <w:trHeight w:val="503"/>
        </w:trPr>
        <w:tc>
          <w:tcPr>
            <w:tcW w:w="1444" w:type="dxa"/>
            <w:shd w:val="clear" w:color="auto" w:fill="BDD6EE" w:themeFill="accent1" w:themeFillTint="66"/>
            <w:vAlign w:val="center"/>
          </w:tcPr>
          <w:p w14:paraId="024FB53A" w14:textId="2EE055A9" w:rsidR="00101D7D" w:rsidRPr="00F34F33" w:rsidRDefault="00101D7D" w:rsidP="00C21E90">
            <w:pPr>
              <w:pStyle w:val="ListParagraph"/>
              <w:ind w:left="0"/>
              <w:rPr>
                <w:rFonts w:cs="Arial"/>
                <w:sz w:val="19"/>
                <w:szCs w:val="19"/>
                <w:lang w:val="en-GB"/>
              </w:rPr>
            </w:pPr>
            <w:r w:rsidRPr="00F34F33">
              <w:rPr>
                <w:rFonts w:cs="Arial"/>
                <w:sz w:val="19"/>
                <w:szCs w:val="19"/>
                <w:lang w:val="en-GB"/>
              </w:rPr>
              <w:t xml:space="preserve">Approach </w:t>
            </w:r>
            <w:r w:rsidR="00882BE1">
              <w:rPr>
                <w:rFonts w:cs="Arial"/>
                <w:sz w:val="19"/>
                <w:szCs w:val="19"/>
                <w:lang w:val="en-GB"/>
              </w:rPr>
              <w:t>3.3</w:t>
            </w:r>
          </w:p>
        </w:tc>
        <w:tc>
          <w:tcPr>
            <w:tcW w:w="6378" w:type="dxa"/>
            <w:gridSpan w:val="2"/>
            <w:vAlign w:val="center"/>
          </w:tcPr>
          <w:p w14:paraId="46E8191C" w14:textId="1A082583" w:rsidR="00101D7D" w:rsidRPr="00F34F33" w:rsidRDefault="00ED0B17" w:rsidP="00101D7D">
            <w:pPr>
              <w:pStyle w:val="ListParagraph"/>
              <w:ind w:left="0"/>
              <w:jc w:val="both"/>
              <w:rPr>
                <w:rFonts w:cs="Arial"/>
                <w:sz w:val="19"/>
                <w:szCs w:val="19"/>
                <w:lang w:val="en-GB"/>
              </w:rPr>
            </w:pPr>
            <w:r>
              <w:rPr>
                <w:rFonts w:cs="Arial"/>
                <w:sz w:val="19"/>
                <w:szCs w:val="19"/>
                <w:lang w:val="en-GB"/>
              </w:rPr>
              <w:t>Cooperating</w:t>
            </w:r>
            <w:r w:rsidR="00B03D54">
              <w:rPr>
                <w:rFonts w:cs="Arial"/>
                <w:sz w:val="19"/>
                <w:szCs w:val="19"/>
                <w:lang w:val="en-GB"/>
              </w:rPr>
              <w:t xml:space="preserve"> to g</w:t>
            </w:r>
            <w:r w:rsidR="00101D7D" w:rsidRPr="00F34F33">
              <w:rPr>
                <w:rFonts w:cs="Arial"/>
                <w:sz w:val="19"/>
                <w:szCs w:val="19"/>
                <w:lang w:val="en-GB"/>
              </w:rPr>
              <w:t>enerate financial and in</w:t>
            </w:r>
            <w:r w:rsidR="00101D7D" w:rsidRPr="00F34F33">
              <w:rPr>
                <w:rFonts w:ascii="Cambria Math" w:hAnsi="Cambria Math" w:cs="Cambria Math"/>
                <w:sz w:val="19"/>
                <w:szCs w:val="19"/>
                <w:lang w:val="en-GB"/>
              </w:rPr>
              <w:t>‐</w:t>
            </w:r>
            <w:r w:rsidR="00101D7D" w:rsidRPr="00F34F33">
              <w:rPr>
                <w:rFonts w:cs="Arial"/>
                <w:sz w:val="19"/>
                <w:szCs w:val="19"/>
                <w:lang w:val="en-GB"/>
              </w:rPr>
              <w:t>kind support for common activities</w:t>
            </w:r>
          </w:p>
        </w:tc>
      </w:tr>
      <w:tr w:rsidR="00101D7D" w:rsidRPr="00F34F33" w14:paraId="2F537587" w14:textId="77777777" w:rsidTr="00950B16">
        <w:trPr>
          <w:gridBefore w:val="2"/>
          <w:wBefore w:w="2695" w:type="dxa"/>
          <w:trHeight w:val="431"/>
        </w:trPr>
        <w:tc>
          <w:tcPr>
            <w:tcW w:w="1170" w:type="dxa"/>
            <w:shd w:val="clear" w:color="auto" w:fill="C5E0B3" w:themeFill="accent6" w:themeFillTint="66"/>
            <w:vAlign w:val="center"/>
          </w:tcPr>
          <w:p w14:paraId="547AA2CD" w14:textId="1A1A29D3" w:rsidR="00101D7D" w:rsidRPr="004A7FF9" w:rsidRDefault="00101D7D" w:rsidP="00C21E90">
            <w:pPr>
              <w:pStyle w:val="ListParagraph"/>
              <w:ind w:left="0"/>
              <w:rPr>
                <w:rFonts w:cs="Arial"/>
                <w:i/>
                <w:szCs w:val="18"/>
                <w:lang w:val="en-GB"/>
              </w:rPr>
            </w:pPr>
            <w:r w:rsidRPr="004A7FF9">
              <w:rPr>
                <w:rFonts w:cs="Arial"/>
                <w:i/>
                <w:szCs w:val="18"/>
                <w:lang w:val="en-GB"/>
              </w:rPr>
              <w:lastRenderedPageBreak/>
              <w:t xml:space="preserve">Tool </w:t>
            </w:r>
            <w:r w:rsidR="00882BE1" w:rsidRPr="004A7FF9">
              <w:rPr>
                <w:rFonts w:cs="Arial"/>
                <w:i/>
                <w:szCs w:val="18"/>
                <w:lang w:val="en-GB"/>
              </w:rPr>
              <w:t>3.</w:t>
            </w:r>
            <w:r w:rsidR="00F463EB">
              <w:rPr>
                <w:rFonts w:cs="Arial"/>
                <w:i/>
                <w:szCs w:val="18"/>
                <w:lang w:val="en-GB"/>
              </w:rPr>
              <w:t>3</w:t>
            </w:r>
            <w:r w:rsidR="00882BE1" w:rsidRPr="004A7FF9">
              <w:rPr>
                <w:rFonts w:cs="Arial"/>
                <w:i/>
                <w:szCs w:val="18"/>
                <w:lang w:val="en-GB"/>
              </w:rPr>
              <w:t>.1</w:t>
            </w:r>
            <w:r w:rsidR="00F463EB" w:rsidRPr="004A7FF9">
              <w:rPr>
                <w:rFonts w:cs="Arial"/>
                <w:i/>
                <w:szCs w:val="18"/>
                <w:lang w:val="en-GB"/>
              </w:rPr>
              <w:t>-3</w:t>
            </w:r>
          </w:p>
        </w:tc>
        <w:tc>
          <w:tcPr>
            <w:tcW w:w="5208" w:type="dxa"/>
            <w:vAlign w:val="center"/>
          </w:tcPr>
          <w:p w14:paraId="7FC47899" w14:textId="76E39209" w:rsidR="00101D7D" w:rsidRPr="00F34F33" w:rsidRDefault="00101D7D" w:rsidP="00101D7D">
            <w:pPr>
              <w:pStyle w:val="ListParagraph"/>
              <w:ind w:left="0"/>
              <w:jc w:val="both"/>
              <w:rPr>
                <w:rFonts w:cs="Arial"/>
                <w:szCs w:val="18"/>
                <w:lang w:val="en-GB"/>
              </w:rPr>
            </w:pPr>
            <w:r w:rsidRPr="00F34F33">
              <w:rPr>
                <w:rFonts w:cs="Arial"/>
                <w:szCs w:val="18"/>
                <w:lang w:val="en-GB"/>
              </w:rPr>
              <w:t>Consultations</w:t>
            </w:r>
          </w:p>
        </w:tc>
      </w:tr>
      <w:tr w:rsidR="00101D7D" w:rsidRPr="00F34F33" w14:paraId="0E8275EB" w14:textId="77777777" w:rsidTr="00950B16">
        <w:trPr>
          <w:gridBefore w:val="1"/>
          <w:wBefore w:w="1251" w:type="dxa"/>
          <w:trHeight w:val="701"/>
        </w:trPr>
        <w:tc>
          <w:tcPr>
            <w:tcW w:w="1444" w:type="dxa"/>
            <w:shd w:val="clear" w:color="auto" w:fill="BDD6EE" w:themeFill="accent1" w:themeFillTint="66"/>
            <w:vAlign w:val="center"/>
          </w:tcPr>
          <w:p w14:paraId="1D7CED17" w14:textId="45A6B704" w:rsidR="00101D7D" w:rsidRPr="00F34F33" w:rsidRDefault="00101D7D" w:rsidP="00101D7D">
            <w:pPr>
              <w:pStyle w:val="ListParagraph"/>
              <w:ind w:left="0"/>
              <w:jc w:val="both"/>
              <w:rPr>
                <w:rFonts w:cs="Arial"/>
                <w:sz w:val="19"/>
                <w:szCs w:val="19"/>
                <w:lang w:val="en-GB"/>
              </w:rPr>
            </w:pPr>
            <w:r w:rsidRPr="00F34F33">
              <w:rPr>
                <w:rFonts w:cs="Arial"/>
                <w:sz w:val="19"/>
                <w:szCs w:val="19"/>
                <w:lang w:val="en-GB"/>
              </w:rPr>
              <w:t xml:space="preserve">Approach </w:t>
            </w:r>
            <w:r w:rsidR="00882BE1">
              <w:rPr>
                <w:rFonts w:cs="Arial"/>
                <w:sz w:val="19"/>
                <w:szCs w:val="19"/>
                <w:lang w:val="en-GB"/>
              </w:rPr>
              <w:t>3.4</w:t>
            </w:r>
          </w:p>
        </w:tc>
        <w:tc>
          <w:tcPr>
            <w:tcW w:w="6378" w:type="dxa"/>
            <w:gridSpan w:val="2"/>
            <w:vAlign w:val="center"/>
          </w:tcPr>
          <w:p w14:paraId="5CA058FB" w14:textId="4844AC31" w:rsidR="00101D7D" w:rsidRPr="00F34F33" w:rsidRDefault="00ED0B17" w:rsidP="00101D7D">
            <w:pPr>
              <w:pStyle w:val="ListParagraph"/>
              <w:ind w:left="0"/>
              <w:jc w:val="both"/>
              <w:rPr>
                <w:rFonts w:cs="Arial"/>
                <w:sz w:val="19"/>
                <w:szCs w:val="19"/>
                <w:lang w:val="en-GB"/>
              </w:rPr>
            </w:pPr>
            <w:r>
              <w:rPr>
                <w:rFonts w:cs="Arial"/>
                <w:sz w:val="19"/>
                <w:szCs w:val="19"/>
                <w:lang w:val="en-GB"/>
              </w:rPr>
              <w:t>Contributing</w:t>
            </w:r>
            <w:r w:rsidR="00101D7D" w:rsidRPr="00F34F33">
              <w:rPr>
                <w:rFonts w:cs="Arial"/>
                <w:sz w:val="19"/>
                <w:szCs w:val="19"/>
                <w:lang w:val="en-GB"/>
              </w:rPr>
              <w:t xml:space="preserve"> to higher level processes to ensure that our work receives recognition and funding e.g. UN</w:t>
            </w:r>
            <w:r>
              <w:rPr>
                <w:rFonts w:cs="Arial"/>
                <w:sz w:val="19"/>
                <w:szCs w:val="19"/>
                <w:lang w:val="en-GB"/>
              </w:rPr>
              <w:t xml:space="preserve"> Environment</w:t>
            </w:r>
            <w:r w:rsidR="00101D7D" w:rsidRPr="00F34F33">
              <w:rPr>
                <w:rFonts w:cs="Arial"/>
                <w:sz w:val="19"/>
                <w:szCs w:val="19"/>
                <w:lang w:val="en-GB"/>
              </w:rPr>
              <w:t xml:space="preserve"> MTS and POW</w:t>
            </w:r>
            <w:r w:rsidR="008E1D46" w:rsidRPr="00EA7D4B">
              <w:rPr>
                <w:rStyle w:val="FootnoteReference"/>
                <w:sz w:val="19"/>
                <w:szCs w:val="19"/>
                <w:vertAlign w:val="superscript"/>
                <w:lang w:val="en-GB"/>
              </w:rPr>
              <w:footnoteReference w:id="3"/>
            </w:r>
            <w:r w:rsidR="00101D7D" w:rsidRPr="00EA7D4B">
              <w:rPr>
                <w:rFonts w:cs="Arial"/>
                <w:sz w:val="19"/>
                <w:szCs w:val="19"/>
                <w:vertAlign w:val="superscript"/>
                <w:lang w:val="en-GB"/>
              </w:rPr>
              <w:t>,</w:t>
            </w:r>
            <w:r w:rsidR="00101D7D" w:rsidRPr="00F34F33">
              <w:rPr>
                <w:rFonts w:cs="Arial"/>
                <w:sz w:val="19"/>
                <w:szCs w:val="19"/>
                <w:lang w:val="en-GB"/>
              </w:rPr>
              <w:t xml:space="preserve"> </w:t>
            </w:r>
            <w:r>
              <w:rPr>
                <w:rFonts w:cs="Arial"/>
                <w:sz w:val="19"/>
                <w:szCs w:val="19"/>
                <w:lang w:val="en-GB"/>
              </w:rPr>
              <w:t>EC</w:t>
            </w:r>
            <w:r w:rsidR="00101D7D" w:rsidRPr="00F34F33">
              <w:rPr>
                <w:rFonts w:cs="Arial"/>
                <w:sz w:val="19"/>
                <w:szCs w:val="19"/>
                <w:lang w:val="en-GB"/>
              </w:rPr>
              <w:t xml:space="preserve"> Strategies for Africa, GEF</w:t>
            </w:r>
            <w:r w:rsidR="00825025" w:rsidRPr="00EA7D4B">
              <w:rPr>
                <w:rStyle w:val="FootnoteReference"/>
                <w:sz w:val="19"/>
                <w:szCs w:val="19"/>
                <w:vertAlign w:val="superscript"/>
                <w:lang w:val="en-GB"/>
              </w:rPr>
              <w:footnoteReference w:id="4"/>
            </w:r>
            <w:r w:rsidR="00101D7D" w:rsidRPr="00F34F33">
              <w:rPr>
                <w:rFonts w:cs="Arial"/>
                <w:sz w:val="19"/>
                <w:szCs w:val="19"/>
                <w:lang w:val="en-GB"/>
              </w:rPr>
              <w:t xml:space="preserve"> allocations</w:t>
            </w:r>
          </w:p>
        </w:tc>
      </w:tr>
      <w:tr w:rsidR="00101D7D" w:rsidRPr="00F34F33" w14:paraId="2F347E3E" w14:textId="77777777" w:rsidTr="00950B16">
        <w:trPr>
          <w:gridBefore w:val="2"/>
          <w:wBefore w:w="2695" w:type="dxa"/>
          <w:trHeight w:val="440"/>
        </w:trPr>
        <w:tc>
          <w:tcPr>
            <w:tcW w:w="1170" w:type="dxa"/>
            <w:shd w:val="clear" w:color="auto" w:fill="C5E0B3" w:themeFill="accent6" w:themeFillTint="66"/>
            <w:vAlign w:val="center"/>
          </w:tcPr>
          <w:p w14:paraId="53D90C67" w14:textId="1161DE80" w:rsidR="00101D7D" w:rsidRPr="004A7FF9" w:rsidRDefault="00101D7D" w:rsidP="00101D7D">
            <w:pPr>
              <w:pStyle w:val="ListParagraph"/>
              <w:ind w:left="0"/>
              <w:jc w:val="both"/>
              <w:rPr>
                <w:rFonts w:cs="Arial"/>
                <w:i/>
                <w:szCs w:val="18"/>
                <w:lang w:val="en-GB"/>
              </w:rPr>
            </w:pPr>
            <w:r w:rsidRPr="004A7FF9">
              <w:rPr>
                <w:rFonts w:cs="Arial"/>
                <w:i/>
                <w:szCs w:val="18"/>
                <w:lang w:val="en-GB"/>
              </w:rPr>
              <w:t xml:space="preserve">Tool </w:t>
            </w:r>
            <w:r w:rsidR="00882BE1" w:rsidRPr="004A7FF9">
              <w:rPr>
                <w:rFonts w:cs="Arial"/>
                <w:i/>
                <w:szCs w:val="18"/>
                <w:lang w:val="en-GB"/>
              </w:rPr>
              <w:t>3.4.1</w:t>
            </w:r>
          </w:p>
        </w:tc>
        <w:tc>
          <w:tcPr>
            <w:tcW w:w="5208" w:type="dxa"/>
            <w:vAlign w:val="center"/>
          </w:tcPr>
          <w:p w14:paraId="48BDAA21" w14:textId="50C8D0E8" w:rsidR="00101D7D" w:rsidRPr="00F34F33" w:rsidRDefault="00101D7D" w:rsidP="00101D7D">
            <w:pPr>
              <w:pStyle w:val="ListParagraph"/>
              <w:ind w:left="0"/>
              <w:jc w:val="both"/>
              <w:rPr>
                <w:rFonts w:cs="Arial"/>
                <w:szCs w:val="18"/>
                <w:lang w:val="en-GB"/>
              </w:rPr>
            </w:pPr>
            <w:r w:rsidRPr="00F34F33">
              <w:rPr>
                <w:rFonts w:cs="Arial"/>
                <w:szCs w:val="18"/>
                <w:lang w:val="en-GB"/>
              </w:rPr>
              <w:t>Consultations and provision of inputs</w:t>
            </w:r>
            <w:r w:rsidR="00B03D54">
              <w:rPr>
                <w:rFonts w:cs="Arial"/>
                <w:szCs w:val="18"/>
                <w:lang w:val="en-GB"/>
              </w:rPr>
              <w:t xml:space="preserve"> and proposals</w:t>
            </w:r>
          </w:p>
        </w:tc>
      </w:tr>
    </w:tbl>
    <w:p w14:paraId="47746426" w14:textId="77777777" w:rsidR="006471FE" w:rsidRPr="006471FE" w:rsidRDefault="006471FE">
      <w:pPr>
        <w:rPr>
          <w:sz w:val="22"/>
          <w:szCs w:val="22"/>
        </w:rPr>
      </w:pPr>
    </w:p>
    <w:tbl>
      <w:tblPr>
        <w:tblStyle w:val="TableGrid"/>
        <w:tblW w:w="0" w:type="auto"/>
        <w:tblLook w:val="04A0" w:firstRow="1" w:lastRow="0" w:firstColumn="1" w:lastColumn="0" w:noHBand="0" w:noVBand="1"/>
      </w:tblPr>
      <w:tblGrid>
        <w:gridCol w:w="1255"/>
        <w:gridCol w:w="1350"/>
        <w:gridCol w:w="1260"/>
        <w:gridCol w:w="5208"/>
      </w:tblGrid>
      <w:tr w:rsidR="00F34F33" w:rsidRPr="00F34F33" w14:paraId="7B0C26BB" w14:textId="77777777" w:rsidTr="00825025">
        <w:trPr>
          <w:trHeight w:val="620"/>
        </w:trPr>
        <w:tc>
          <w:tcPr>
            <w:tcW w:w="1255" w:type="dxa"/>
            <w:shd w:val="clear" w:color="auto" w:fill="FFE599" w:themeFill="accent4" w:themeFillTint="66"/>
            <w:vAlign w:val="center"/>
          </w:tcPr>
          <w:p w14:paraId="73DA6067" w14:textId="4F297F9B" w:rsidR="00F34F33" w:rsidRPr="00F34F33" w:rsidRDefault="00F34F33" w:rsidP="00F34F33">
            <w:pPr>
              <w:pStyle w:val="ListParagraph"/>
              <w:ind w:left="0"/>
              <w:jc w:val="both"/>
              <w:rPr>
                <w:rFonts w:cs="Arial"/>
                <w:bCs/>
                <w:sz w:val="20"/>
                <w:szCs w:val="20"/>
                <w:lang w:val="en-GB"/>
              </w:rPr>
            </w:pPr>
            <w:r w:rsidRPr="00F34F33">
              <w:rPr>
                <w:rFonts w:cs="Arial"/>
                <w:bCs/>
                <w:sz w:val="20"/>
                <w:szCs w:val="20"/>
                <w:lang w:val="en-GB"/>
              </w:rPr>
              <w:t>Objective 4</w:t>
            </w:r>
          </w:p>
        </w:tc>
        <w:tc>
          <w:tcPr>
            <w:tcW w:w="7818" w:type="dxa"/>
            <w:gridSpan w:val="3"/>
            <w:vAlign w:val="center"/>
          </w:tcPr>
          <w:p w14:paraId="1BB14761" w14:textId="633D7876" w:rsidR="00F34F33" w:rsidRPr="00F34F33" w:rsidRDefault="00F34F33" w:rsidP="00F34F33">
            <w:pPr>
              <w:pStyle w:val="ListParagraph"/>
              <w:ind w:left="0"/>
              <w:jc w:val="both"/>
              <w:rPr>
                <w:rFonts w:cs="Arial"/>
                <w:bCs/>
                <w:sz w:val="20"/>
                <w:szCs w:val="20"/>
                <w:lang w:val="en-GB"/>
              </w:rPr>
            </w:pPr>
            <w:r w:rsidRPr="00F34F33">
              <w:rPr>
                <w:rFonts w:cs="Arial"/>
                <w:bCs/>
                <w:sz w:val="20"/>
                <w:szCs w:val="20"/>
                <w:lang w:val="en-GB"/>
              </w:rPr>
              <w:t>Promote mobilization of resources for action on the ground</w:t>
            </w:r>
          </w:p>
        </w:tc>
      </w:tr>
      <w:tr w:rsidR="00F34F33" w:rsidRPr="00882BE1" w14:paraId="0B9A9F48" w14:textId="77777777" w:rsidTr="00C21E90">
        <w:trPr>
          <w:gridBefore w:val="1"/>
          <w:wBefore w:w="1255" w:type="dxa"/>
          <w:trHeight w:val="620"/>
        </w:trPr>
        <w:tc>
          <w:tcPr>
            <w:tcW w:w="1350" w:type="dxa"/>
            <w:shd w:val="clear" w:color="auto" w:fill="BDD6EE" w:themeFill="accent1" w:themeFillTint="66"/>
            <w:vAlign w:val="center"/>
          </w:tcPr>
          <w:p w14:paraId="383BFFF5" w14:textId="6C761943" w:rsidR="00F34F33" w:rsidRPr="00882BE1" w:rsidRDefault="00882BE1" w:rsidP="00F34F33">
            <w:pPr>
              <w:pStyle w:val="ListParagraph"/>
              <w:ind w:left="0"/>
              <w:jc w:val="both"/>
              <w:rPr>
                <w:rFonts w:cs="Arial"/>
                <w:sz w:val="19"/>
                <w:szCs w:val="19"/>
                <w:lang w:val="en-GB"/>
              </w:rPr>
            </w:pPr>
            <w:r w:rsidRPr="00F34F33">
              <w:rPr>
                <w:rFonts w:cs="Arial"/>
                <w:sz w:val="19"/>
                <w:szCs w:val="19"/>
                <w:lang w:val="en-GB"/>
              </w:rPr>
              <w:t xml:space="preserve">Approach </w:t>
            </w:r>
            <w:r>
              <w:rPr>
                <w:rFonts w:cs="Arial"/>
                <w:sz w:val="19"/>
                <w:szCs w:val="19"/>
                <w:lang w:val="en-GB"/>
              </w:rPr>
              <w:t>4.1</w:t>
            </w:r>
          </w:p>
        </w:tc>
        <w:tc>
          <w:tcPr>
            <w:tcW w:w="6468" w:type="dxa"/>
            <w:gridSpan w:val="2"/>
            <w:vAlign w:val="center"/>
          </w:tcPr>
          <w:p w14:paraId="70D73860" w14:textId="2CA1CDA5" w:rsidR="00F34F33" w:rsidRPr="00882BE1" w:rsidRDefault="00ED0B17" w:rsidP="00F34F33">
            <w:pPr>
              <w:pStyle w:val="ListParagraph"/>
              <w:ind w:left="0"/>
              <w:jc w:val="both"/>
              <w:rPr>
                <w:rFonts w:cs="Arial"/>
                <w:sz w:val="19"/>
                <w:szCs w:val="19"/>
                <w:lang w:val="en-GB"/>
              </w:rPr>
            </w:pPr>
            <w:r>
              <w:rPr>
                <w:rFonts w:cs="Arial"/>
                <w:sz w:val="19"/>
                <w:szCs w:val="19"/>
                <w:lang w:val="en-GB"/>
              </w:rPr>
              <w:t xml:space="preserve">Promoting external grants and funding </w:t>
            </w:r>
            <w:r w:rsidR="00F34F33" w:rsidRPr="00882BE1">
              <w:rPr>
                <w:rFonts w:cs="Arial"/>
                <w:sz w:val="19"/>
                <w:szCs w:val="19"/>
                <w:lang w:val="en-GB"/>
              </w:rPr>
              <w:t xml:space="preserve">and encouraging </w:t>
            </w:r>
            <w:r>
              <w:rPr>
                <w:rFonts w:cs="Arial"/>
                <w:sz w:val="19"/>
                <w:szCs w:val="19"/>
                <w:lang w:val="en-GB"/>
              </w:rPr>
              <w:t xml:space="preserve">partner organizations </w:t>
            </w:r>
            <w:r w:rsidR="00F34F33" w:rsidRPr="00882BE1">
              <w:rPr>
                <w:rFonts w:cs="Arial"/>
                <w:sz w:val="19"/>
                <w:szCs w:val="19"/>
                <w:lang w:val="en-GB"/>
              </w:rPr>
              <w:t>to submit proposals relevant to CMS</w:t>
            </w:r>
          </w:p>
        </w:tc>
      </w:tr>
      <w:tr w:rsidR="00F34F33" w:rsidRPr="00101D7D" w14:paraId="0DD58BC0" w14:textId="77777777" w:rsidTr="004A7FF9">
        <w:trPr>
          <w:gridBefore w:val="2"/>
          <w:wBefore w:w="2605" w:type="dxa"/>
          <w:trHeight w:val="440"/>
        </w:trPr>
        <w:tc>
          <w:tcPr>
            <w:tcW w:w="1260" w:type="dxa"/>
            <w:shd w:val="clear" w:color="auto" w:fill="C5E0B3" w:themeFill="accent6" w:themeFillTint="66"/>
            <w:vAlign w:val="center"/>
          </w:tcPr>
          <w:p w14:paraId="0D13F008" w14:textId="27AFCA95" w:rsidR="00F34F33" w:rsidRPr="004A7FF9" w:rsidRDefault="00882BE1" w:rsidP="00F34F33">
            <w:pPr>
              <w:pStyle w:val="ListParagraph"/>
              <w:ind w:left="0"/>
              <w:jc w:val="both"/>
              <w:rPr>
                <w:rFonts w:cs="Arial"/>
                <w:i/>
                <w:szCs w:val="18"/>
                <w:lang w:val="en-GB"/>
              </w:rPr>
            </w:pPr>
            <w:r w:rsidRPr="004A7FF9">
              <w:rPr>
                <w:rFonts w:cs="Arial"/>
                <w:i/>
                <w:szCs w:val="18"/>
                <w:lang w:val="en-GB"/>
              </w:rPr>
              <w:t>Tool 4.1.1</w:t>
            </w:r>
          </w:p>
        </w:tc>
        <w:tc>
          <w:tcPr>
            <w:tcW w:w="5208" w:type="dxa"/>
            <w:vAlign w:val="center"/>
          </w:tcPr>
          <w:p w14:paraId="50EC21B2" w14:textId="1FD9D1FB" w:rsidR="00F34F33" w:rsidRPr="00101D7D" w:rsidRDefault="00F34F33" w:rsidP="00F34F33">
            <w:pPr>
              <w:pStyle w:val="ListParagraph"/>
              <w:ind w:left="0"/>
              <w:jc w:val="both"/>
              <w:rPr>
                <w:rFonts w:cs="Arial"/>
                <w:bCs/>
                <w:szCs w:val="18"/>
              </w:rPr>
            </w:pPr>
            <w:r w:rsidRPr="00101D7D">
              <w:rPr>
                <w:rFonts w:cs="Arial"/>
                <w:bCs/>
                <w:szCs w:val="18"/>
              </w:rPr>
              <w:t>Notifications about funding opportunities within e.g. Foundations</w:t>
            </w:r>
            <w:r w:rsidR="009F6CFD">
              <w:rPr>
                <w:rFonts w:cs="Arial"/>
                <w:bCs/>
                <w:szCs w:val="18"/>
              </w:rPr>
              <w:t>,</w:t>
            </w:r>
            <w:r w:rsidRPr="00101D7D">
              <w:rPr>
                <w:rFonts w:cs="Arial"/>
                <w:bCs/>
                <w:szCs w:val="18"/>
              </w:rPr>
              <w:t xml:space="preserve"> USFWS</w:t>
            </w:r>
            <w:r w:rsidR="0081416E" w:rsidRPr="0081416E">
              <w:rPr>
                <w:rStyle w:val="FootnoteReference"/>
                <w:bCs/>
                <w:szCs w:val="18"/>
                <w:vertAlign w:val="superscript"/>
              </w:rPr>
              <w:footnoteReference w:id="5"/>
            </w:r>
            <w:r w:rsidR="0081416E">
              <w:rPr>
                <w:rFonts w:cs="Arial"/>
                <w:bCs/>
                <w:szCs w:val="18"/>
              </w:rPr>
              <w:t xml:space="preserve"> grants</w:t>
            </w:r>
            <w:r w:rsidRPr="00101D7D">
              <w:rPr>
                <w:rFonts w:cs="Arial"/>
                <w:bCs/>
                <w:szCs w:val="18"/>
              </w:rPr>
              <w:t>, SOS</w:t>
            </w:r>
            <w:r w:rsidR="0081416E" w:rsidRPr="0081416E">
              <w:rPr>
                <w:rStyle w:val="FootnoteReference"/>
                <w:bCs/>
                <w:szCs w:val="18"/>
                <w:vertAlign w:val="superscript"/>
              </w:rPr>
              <w:footnoteReference w:id="6"/>
            </w:r>
            <w:r w:rsidR="00ED0B17">
              <w:rPr>
                <w:rFonts w:cs="Arial"/>
                <w:bCs/>
                <w:szCs w:val="18"/>
              </w:rPr>
              <w:t xml:space="preserve">, </w:t>
            </w:r>
            <w:proofErr w:type="spellStart"/>
            <w:r w:rsidR="00125893">
              <w:rPr>
                <w:rFonts w:cs="Arial"/>
                <w:bCs/>
                <w:szCs w:val="18"/>
              </w:rPr>
              <w:t>etc</w:t>
            </w:r>
            <w:proofErr w:type="spellEnd"/>
          </w:p>
        </w:tc>
      </w:tr>
      <w:tr w:rsidR="00F34F33" w:rsidRPr="00101D7D" w14:paraId="3CA23A31" w14:textId="77777777" w:rsidTr="004A7FF9">
        <w:trPr>
          <w:gridBefore w:val="2"/>
          <w:wBefore w:w="2605" w:type="dxa"/>
          <w:trHeight w:val="413"/>
        </w:trPr>
        <w:tc>
          <w:tcPr>
            <w:tcW w:w="1260" w:type="dxa"/>
            <w:shd w:val="clear" w:color="auto" w:fill="C5E0B3" w:themeFill="accent6" w:themeFillTint="66"/>
            <w:vAlign w:val="center"/>
          </w:tcPr>
          <w:p w14:paraId="0F618010" w14:textId="4D052CDB" w:rsidR="00F34F33" w:rsidRPr="004A7FF9" w:rsidRDefault="00882BE1" w:rsidP="00F34F33">
            <w:pPr>
              <w:pStyle w:val="ListParagraph"/>
              <w:ind w:left="0"/>
              <w:jc w:val="both"/>
              <w:rPr>
                <w:rFonts w:cs="Arial"/>
                <w:i/>
                <w:szCs w:val="18"/>
                <w:lang w:val="en-GB"/>
              </w:rPr>
            </w:pPr>
            <w:r w:rsidRPr="004A7FF9">
              <w:rPr>
                <w:rFonts w:cs="Arial"/>
                <w:i/>
                <w:szCs w:val="18"/>
                <w:lang w:val="en-GB"/>
              </w:rPr>
              <w:t>Tool 4.1.2</w:t>
            </w:r>
          </w:p>
        </w:tc>
        <w:tc>
          <w:tcPr>
            <w:tcW w:w="5208" w:type="dxa"/>
            <w:vAlign w:val="center"/>
          </w:tcPr>
          <w:p w14:paraId="2A7A9B3D" w14:textId="639ACF62" w:rsidR="00F34F33" w:rsidRPr="00101D7D" w:rsidRDefault="00F34F33" w:rsidP="00F34F33">
            <w:pPr>
              <w:pStyle w:val="ListParagraph"/>
              <w:ind w:left="0"/>
              <w:jc w:val="both"/>
              <w:rPr>
                <w:rFonts w:cs="Arial"/>
                <w:bCs/>
                <w:szCs w:val="18"/>
              </w:rPr>
            </w:pPr>
            <w:r w:rsidRPr="00101D7D">
              <w:rPr>
                <w:rFonts w:cs="Arial"/>
                <w:bCs/>
                <w:szCs w:val="18"/>
              </w:rPr>
              <w:t>Letters of endorsement</w:t>
            </w:r>
          </w:p>
        </w:tc>
      </w:tr>
      <w:tr w:rsidR="00F34F33" w:rsidRPr="00882BE1" w14:paraId="4DF0D9CA" w14:textId="77777777" w:rsidTr="00C21E90">
        <w:trPr>
          <w:gridBefore w:val="1"/>
          <w:wBefore w:w="1255" w:type="dxa"/>
          <w:trHeight w:val="530"/>
        </w:trPr>
        <w:tc>
          <w:tcPr>
            <w:tcW w:w="1350" w:type="dxa"/>
            <w:shd w:val="clear" w:color="auto" w:fill="BDD6EE" w:themeFill="accent1" w:themeFillTint="66"/>
            <w:vAlign w:val="center"/>
          </w:tcPr>
          <w:p w14:paraId="07C43EEA" w14:textId="2C889A02" w:rsidR="00F34F33" w:rsidRPr="00882BE1" w:rsidRDefault="00882BE1" w:rsidP="00F34F33">
            <w:pPr>
              <w:pStyle w:val="ListParagraph"/>
              <w:ind w:left="0"/>
              <w:jc w:val="both"/>
              <w:rPr>
                <w:rFonts w:cs="Arial"/>
                <w:sz w:val="19"/>
                <w:szCs w:val="19"/>
                <w:lang w:val="en-GB"/>
              </w:rPr>
            </w:pPr>
            <w:r w:rsidRPr="00F34F33">
              <w:rPr>
                <w:rFonts w:cs="Arial"/>
                <w:sz w:val="19"/>
                <w:szCs w:val="19"/>
                <w:lang w:val="en-GB"/>
              </w:rPr>
              <w:t xml:space="preserve">Approach </w:t>
            </w:r>
            <w:r>
              <w:rPr>
                <w:rFonts w:cs="Arial"/>
                <w:sz w:val="19"/>
                <w:szCs w:val="19"/>
                <w:lang w:val="en-GB"/>
              </w:rPr>
              <w:t>4.2</w:t>
            </w:r>
          </w:p>
        </w:tc>
        <w:tc>
          <w:tcPr>
            <w:tcW w:w="6468" w:type="dxa"/>
            <w:gridSpan w:val="2"/>
            <w:vAlign w:val="center"/>
          </w:tcPr>
          <w:p w14:paraId="0EAE4099" w14:textId="5CBA3CDB" w:rsidR="00F34F33" w:rsidRPr="00882BE1" w:rsidRDefault="00F34F33" w:rsidP="00F34F33">
            <w:pPr>
              <w:pStyle w:val="ListParagraph"/>
              <w:ind w:left="0"/>
              <w:jc w:val="both"/>
              <w:rPr>
                <w:rFonts w:cs="Arial"/>
                <w:sz w:val="19"/>
                <w:szCs w:val="19"/>
                <w:lang w:val="en-GB"/>
              </w:rPr>
            </w:pPr>
            <w:r w:rsidRPr="00882BE1">
              <w:rPr>
                <w:rFonts w:cs="Arial"/>
                <w:sz w:val="19"/>
                <w:szCs w:val="19"/>
                <w:lang w:val="en-GB"/>
              </w:rPr>
              <w:t>Liais</w:t>
            </w:r>
            <w:r w:rsidR="00ED0B17">
              <w:rPr>
                <w:rFonts w:cs="Arial"/>
                <w:sz w:val="19"/>
                <w:szCs w:val="19"/>
                <w:lang w:val="en-GB"/>
              </w:rPr>
              <w:t>ing</w:t>
            </w:r>
            <w:r w:rsidRPr="00882BE1">
              <w:rPr>
                <w:rFonts w:cs="Arial"/>
                <w:sz w:val="19"/>
                <w:szCs w:val="19"/>
                <w:lang w:val="en-GB"/>
              </w:rPr>
              <w:t xml:space="preserve"> with external funding programmes to try to match priorities</w:t>
            </w:r>
          </w:p>
        </w:tc>
      </w:tr>
      <w:tr w:rsidR="00F34F33" w:rsidRPr="00101D7D" w14:paraId="2864C0DD" w14:textId="77777777" w:rsidTr="004A7FF9">
        <w:trPr>
          <w:gridBefore w:val="2"/>
          <w:wBefore w:w="2605" w:type="dxa"/>
          <w:trHeight w:val="431"/>
        </w:trPr>
        <w:tc>
          <w:tcPr>
            <w:tcW w:w="1260" w:type="dxa"/>
            <w:shd w:val="clear" w:color="auto" w:fill="C5E0B3" w:themeFill="accent6" w:themeFillTint="66"/>
            <w:vAlign w:val="center"/>
          </w:tcPr>
          <w:p w14:paraId="61E48C65" w14:textId="20BD62F8" w:rsidR="00F34F33" w:rsidRPr="004A7FF9" w:rsidRDefault="00882BE1" w:rsidP="00F34F33">
            <w:pPr>
              <w:pStyle w:val="ListParagraph"/>
              <w:ind w:left="0"/>
              <w:jc w:val="both"/>
              <w:rPr>
                <w:rFonts w:cs="Arial"/>
                <w:i/>
                <w:szCs w:val="18"/>
                <w:lang w:val="en-GB"/>
              </w:rPr>
            </w:pPr>
            <w:r w:rsidRPr="004A7FF9">
              <w:rPr>
                <w:rFonts w:cs="Arial"/>
                <w:i/>
                <w:szCs w:val="18"/>
                <w:lang w:val="en-GB"/>
              </w:rPr>
              <w:t>Tool 4.2.1</w:t>
            </w:r>
          </w:p>
        </w:tc>
        <w:tc>
          <w:tcPr>
            <w:tcW w:w="5208" w:type="dxa"/>
            <w:vAlign w:val="center"/>
          </w:tcPr>
          <w:p w14:paraId="17EADE74" w14:textId="6AA9A3B6" w:rsidR="00F34F33" w:rsidRPr="00101D7D" w:rsidRDefault="00F34F33" w:rsidP="00F34F33">
            <w:pPr>
              <w:pStyle w:val="ListParagraph"/>
              <w:ind w:left="0"/>
              <w:jc w:val="both"/>
              <w:rPr>
                <w:rFonts w:cs="Arial"/>
                <w:bCs/>
                <w:szCs w:val="18"/>
              </w:rPr>
            </w:pPr>
            <w:r w:rsidRPr="00101D7D">
              <w:rPr>
                <w:rFonts w:cs="Arial"/>
                <w:bCs/>
                <w:szCs w:val="18"/>
              </w:rPr>
              <w:t>Consultations</w:t>
            </w:r>
          </w:p>
        </w:tc>
      </w:tr>
    </w:tbl>
    <w:p w14:paraId="3C8A48C5" w14:textId="77777777" w:rsidR="006471FE" w:rsidRPr="006471FE" w:rsidRDefault="006471FE">
      <w:pPr>
        <w:rPr>
          <w:sz w:val="22"/>
          <w:szCs w:val="22"/>
        </w:rPr>
      </w:pPr>
    </w:p>
    <w:tbl>
      <w:tblPr>
        <w:tblStyle w:val="TableGrid"/>
        <w:tblW w:w="0" w:type="auto"/>
        <w:tblLook w:val="04A0" w:firstRow="1" w:lastRow="0" w:firstColumn="1" w:lastColumn="0" w:noHBand="0" w:noVBand="1"/>
      </w:tblPr>
      <w:tblGrid>
        <w:gridCol w:w="1255"/>
        <w:gridCol w:w="1350"/>
        <w:gridCol w:w="6468"/>
      </w:tblGrid>
      <w:tr w:rsidR="00F34F33" w:rsidRPr="00F34F33" w14:paraId="38A39A76" w14:textId="77777777" w:rsidTr="00825025">
        <w:trPr>
          <w:trHeight w:val="620"/>
        </w:trPr>
        <w:tc>
          <w:tcPr>
            <w:tcW w:w="1255" w:type="dxa"/>
            <w:shd w:val="clear" w:color="auto" w:fill="FFE599" w:themeFill="accent4" w:themeFillTint="66"/>
            <w:vAlign w:val="center"/>
          </w:tcPr>
          <w:p w14:paraId="423B7483" w14:textId="756E747B" w:rsidR="00F34F33" w:rsidRPr="00F34F33" w:rsidRDefault="00F34F33" w:rsidP="00F34F33">
            <w:pPr>
              <w:pStyle w:val="ListParagraph"/>
              <w:ind w:left="0"/>
              <w:jc w:val="both"/>
              <w:rPr>
                <w:rFonts w:cs="Arial"/>
                <w:bCs/>
                <w:sz w:val="20"/>
                <w:szCs w:val="20"/>
                <w:lang w:val="en-GB"/>
              </w:rPr>
            </w:pPr>
            <w:r w:rsidRPr="00F34F33">
              <w:rPr>
                <w:rFonts w:cs="Arial"/>
                <w:bCs/>
                <w:sz w:val="20"/>
                <w:szCs w:val="20"/>
                <w:lang w:val="en-GB"/>
              </w:rPr>
              <w:t>Objective 5</w:t>
            </w:r>
          </w:p>
        </w:tc>
        <w:tc>
          <w:tcPr>
            <w:tcW w:w="7818" w:type="dxa"/>
            <w:gridSpan w:val="2"/>
            <w:vAlign w:val="center"/>
          </w:tcPr>
          <w:p w14:paraId="7DF199BB" w14:textId="4437A989" w:rsidR="00F34F33" w:rsidRPr="00F34F33" w:rsidRDefault="00ED0B17" w:rsidP="00F34F33">
            <w:pPr>
              <w:pStyle w:val="ListParagraph"/>
              <w:ind w:left="0"/>
              <w:jc w:val="both"/>
              <w:rPr>
                <w:rFonts w:cs="Arial"/>
                <w:bCs/>
                <w:sz w:val="20"/>
                <w:szCs w:val="20"/>
                <w:lang w:val="en-GB"/>
              </w:rPr>
            </w:pPr>
            <w:r>
              <w:rPr>
                <w:rFonts w:cs="Arial"/>
                <w:bCs/>
                <w:sz w:val="20"/>
                <w:szCs w:val="20"/>
                <w:lang w:val="en-GB"/>
              </w:rPr>
              <w:t>Develop</w:t>
            </w:r>
            <w:r w:rsidR="00F34F33" w:rsidRPr="00F34F33">
              <w:rPr>
                <w:rFonts w:cs="Arial"/>
                <w:bCs/>
                <w:sz w:val="20"/>
                <w:szCs w:val="20"/>
                <w:lang w:val="en-GB"/>
              </w:rPr>
              <w:t xml:space="preserve"> </w:t>
            </w:r>
            <w:r w:rsidR="008C6D0F">
              <w:rPr>
                <w:rFonts w:cs="Arial"/>
                <w:bCs/>
                <w:sz w:val="20"/>
                <w:szCs w:val="20"/>
                <w:lang w:val="en-GB"/>
              </w:rPr>
              <w:t xml:space="preserve">and apply </w:t>
            </w:r>
            <w:r w:rsidR="00F34F33" w:rsidRPr="00F34F33">
              <w:rPr>
                <w:rFonts w:cs="Arial"/>
                <w:bCs/>
                <w:sz w:val="20"/>
                <w:szCs w:val="20"/>
                <w:lang w:val="en-GB"/>
              </w:rPr>
              <w:t xml:space="preserve">new and innovative approaches </w:t>
            </w:r>
          </w:p>
        </w:tc>
      </w:tr>
      <w:tr w:rsidR="00F34F33" w:rsidRPr="00882BE1" w14:paraId="77BDD645" w14:textId="77777777" w:rsidTr="00825025">
        <w:trPr>
          <w:gridBefore w:val="1"/>
          <w:wBefore w:w="1255" w:type="dxa"/>
          <w:trHeight w:val="530"/>
        </w:trPr>
        <w:tc>
          <w:tcPr>
            <w:tcW w:w="1350" w:type="dxa"/>
            <w:shd w:val="clear" w:color="auto" w:fill="BDD6EE" w:themeFill="accent1" w:themeFillTint="66"/>
            <w:vAlign w:val="center"/>
          </w:tcPr>
          <w:p w14:paraId="510E1FAF" w14:textId="55260BAE" w:rsidR="00F34F33" w:rsidRPr="00882BE1" w:rsidRDefault="00882BE1" w:rsidP="00F34F33">
            <w:pPr>
              <w:pStyle w:val="ListParagraph"/>
              <w:ind w:left="0"/>
              <w:jc w:val="both"/>
              <w:rPr>
                <w:rFonts w:cs="Arial"/>
                <w:sz w:val="19"/>
                <w:szCs w:val="19"/>
                <w:lang w:val="en-GB"/>
              </w:rPr>
            </w:pPr>
            <w:r w:rsidRPr="00F34F33">
              <w:rPr>
                <w:rFonts w:cs="Arial"/>
                <w:sz w:val="19"/>
                <w:szCs w:val="19"/>
                <w:lang w:val="en-GB"/>
              </w:rPr>
              <w:t xml:space="preserve">Approach </w:t>
            </w:r>
            <w:r>
              <w:rPr>
                <w:rFonts w:cs="Arial"/>
                <w:sz w:val="19"/>
                <w:szCs w:val="19"/>
                <w:lang w:val="en-GB"/>
              </w:rPr>
              <w:t>5.1</w:t>
            </w:r>
          </w:p>
        </w:tc>
        <w:tc>
          <w:tcPr>
            <w:tcW w:w="6468" w:type="dxa"/>
            <w:vAlign w:val="center"/>
          </w:tcPr>
          <w:p w14:paraId="25E25AB0" w14:textId="6589EA4A" w:rsidR="00F34F33" w:rsidRPr="00882BE1" w:rsidRDefault="00ED0B17" w:rsidP="00F34F33">
            <w:pPr>
              <w:pStyle w:val="ListParagraph"/>
              <w:ind w:left="0"/>
              <w:jc w:val="both"/>
              <w:rPr>
                <w:rFonts w:cs="Arial"/>
                <w:sz w:val="19"/>
                <w:szCs w:val="19"/>
                <w:lang w:val="en-GB"/>
              </w:rPr>
            </w:pPr>
            <w:r>
              <w:rPr>
                <w:rFonts w:cs="Arial"/>
                <w:sz w:val="19"/>
                <w:szCs w:val="19"/>
                <w:lang w:val="en-GB"/>
              </w:rPr>
              <w:t>Organizing outreach and fundraising e</w:t>
            </w:r>
            <w:r w:rsidR="00F34F33" w:rsidRPr="00882BE1">
              <w:rPr>
                <w:rFonts w:cs="Arial"/>
                <w:sz w:val="19"/>
                <w:szCs w:val="19"/>
                <w:lang w:val="en-GB"/>
              </w:rPr>
              <w:t xml:space="preserve">vents and activities: e.g. </w:t>
            </w:r>
            <w:r w:rsidR="008E1D46" w:rsidRPr="00882BE1">
              <w:rPr>
                <w:rFonts w:cs="Arial"/>
                <w:sz w:val="19"/>
                <w:szCs w:val="19"/>
                <w:lang w:val="en-GB"/>
              </w:rPr>
              <w:t>W</w:t>
            </w:r>
            <w:r w:rsidR="008E1D46">
              <w:rPr>
                <w:rFonts w:cs="Arial"/>
                <w:sz w:val="19"/>
                <w:szCs w:val="19"/>
                <w:lang w:val="en-GB"/>
              </w:rPr>
              <w:t>o</w:t>
            </w:r>
            <w:r w:rsidR="009F6CFD">
              <w:rPr>
                <w:rFonts w:cs="Arial"/>
                <w:sz w:val="19"/>
                <w:szCs w:val="19"/>
                <w:lang w:val="en-GB"/>
              </w:rPr>
              <w:t>r</w:t>
            </w:r>
            <w:r w:rsidR="008E1D46">
              <w:rPr>
                <w:rFonts w:cs="Arial"/>
                <w:sz w:val="19"/>
                <w:szCs w:val="19"/>
                <w:lang w:val="en-GB"/>
              </w:rPr>
              <w:t>ld Migratory Bird Day</w:t>
            </w:r>
            <w:r w:rsidR="00F34F33" w:rsidRPr="00882BE1">
              <w:rPr>
                <w:rFonts w:cs="Arial"/>
                <w:sz w:val="19"/>
                <w:szCs w:val="19"/>
                <w:lang w:val="en-GB"/>
              </w:rPr>
              <w:t xml:space="preserve"> Concert</w:t>
            </w:r>
          </w:p>
        </w:tc>
      </w:tr>
      <w:tr w:rsidR="00F34F33" w:rsidRPr="00882BE1" w14:paraId="5242B746" w14:textId="77777777" w:rsidTr="00825025">
        <w:trPr>
          <w:gridBefore w:val="1"/>
          <w:wBefore w:w="1255" w:type="dxa"/>
          <w:trHeight w:val="530"/>
        </w:trPr>
        <w:tc>
          <w:tcPr>
            <w:tcW w:w="1350" w:type="dxa"/>
            <w:shd w:val="clear" w:color="auto" w:fill="BDD6EE" w:themeFill="accent1" w:themeFillTint="66"/>
            <w:vAlign w:val="center"/>
          </w:tcPr>
          <w:p w14:paraId="71A07037" w14:textId="71EE3B26" w:rsidR="00F34F33" w:rsidRPr="00882BE1" w:rsidRDefault="008C6D0F" w:rsidP="00F34F33">
            <w:pPr>
              <w:pStyle w:val="ListParagraph"/>
              <w:ind w:left="0"/>
              <w:jc w:val="both"/>
              <w:rPr>
                <w:rFonts w:cs="Arial"/>
                <w:sz w:val="19"/>
                <w:szCs w:val="19"/>
                <w:lang w:val="en-GB"/>
              </w:rPr>
            </w:pPr>
            <w:r w:rsidRPr="00F34F33">
              <w:rPr>
                <w:rFonts w:cs="Arial"/>
                <w:sz w:val="19"/>
                <w:szCs w:val="19"/>
                <w:lang w:val="en-GB"/>
              </w:rPr>
              <w:t xml:space="preserve">Approach </w:t>
            </w:r>
            <w:r>
              <w:rPr>
                <w:rFonts w:cs="Arial"/>
                <w:sz w:val="19"/>
                <w:szCs w:val="19"/>
                <w:lang w:val="en-GB"/>
              </w:rPr>
              <w:t>5.2</w:t>
            </w:r>
          </w:p>
        </w:tc>
        <w:tc>
          <w:tcPr>
            <w:tcW w:w="6468" w:type="dxa"/>
            <w:vAlign w:val="center"/>
          </w:tcPr>
          <w:p w14:paraId="32FDEB90" w14:textId="1741D5E0" w:rsidR="00F34F33" w:rsidRPr="00882BE1" w:rsidRDefault="00ED0B17" w:rsidP="00F34F33">
            <w:pPr>
              <w:pStyle w:val="ListParagraph"/>
              <w:ind w:left="0"/>
              <w:jc w:val="both"/>
              <w:rPr>
                <w:rFonts w:cs="Arial"/>
                <w:sz w:val="19"/>
                <w:szCs w:val="19"/>
                <w:lang w:val="en-GB"/>
              </w:rPr>
            </w:pPr>
            <w:r>
              <w:rPr>
                <w:rFonts w:cs="Arial"/>
                <w:sz w:val="19"/>
                <w:szCs w:val="19"/>
                <w:lang w:val="en-GB"/>
              </w:rPr>
              <w:t>Engaging with private sector</w:t>
            </w:r>
          </w:p>
        </w:tc>
      </w:tr>
      <w:tr w:rsidR="00F34F33" w:rsidRPr="00101D7D" w14:paraId="79A17251" w14:textId="77777777" w:rsidTr="00825025">
        <w:trPr>
          <w:gridBefore w:val="1"/>
          <w:wBefore w:w="1255" w:type="dxa"/>
          <w:trHeight w:val="530"/>
        </w:trPr>
        <w:tc>
          <w:tcPr>
            <w:tcW w:w="1350" w:type="dxa"/>
            <w:shd w:val="clear" w:color="auto" w:fill="BDD6EE" w:themeFill="accent1" w:themeFillTint="66"/>
            <w:vAlign w:val="center"/>
          </w:tcPr>
          <w:p w14:paraId="09AA9FDD" w14:textId="2433DD10" w:rsidR="00F34F33" w:rsidRDefault="008C6D0F" w:rsidP="00F34F33">
            <w:pPr>
              <w:pStyle w:val="ListParagraph"/>
              <w:ind w:left="0"/>
              <w:jc w:val="both"/>
              <w:rPr>
                <w:rFonts w:cs="Arial"/>
                <w:i/>
                <w:szCs w:val="18"/>
                <w:lang w:val="en-GB"/>
              </w:rPr>
            </w:pPr>
            <w:r w:rsidRPr="00F34F33">
              <w:rPr>
                <w:rFonts w:cs="Arial"/>
                <w:sz w:val="19"/>
                <w:szCs w:val="19"/>
                <w:lang w:val="en-GB"/>
              </w:rPr>
              <w:t xml:space="preserve">Approach </w:t>
            </w:r>
            <w:r>
              <w:rPr>
                <w:rFonts w:cs="Arial"/>
                <w:sz w:val="19"/>
                <w:szCs w:val="19"/>
                <w:lang w:val="en-GB"/>
              </w:rPr>
              <w:t>5.3</w:t>
            </w:r>
          </w:p>
        </w:tc>
        <w:tc>
          <w:tcPr>
            <w:tcW w:w="6468" w:type="dxa"/>
            <w:vAlign w:val="center"/>
          </w:tcPr>
          <w:p w14:paraId="71C3A518" w14:textId="764AE181" w:rsidR="00F34F33" w:rsidRPr="00101D7D" w:rsidRDefault="00F34F33" w:rsidP="00F34F33">
            <w:pPr>
              <w:pStyle w:val="ListParagraph"/>
              <w:ind w:left="0"/>
              <w:jc w:val="both"/>
              <w:rPr>
                <w:rFonts w:cs="Arial"/>
                <w:bCs/>
                <w:szCs w:val="18"/>
              </w:rPr>
            </w:pPr>
            <w:r w:rsidRPr="00101D7D">
              <w:rPr>
                <w:rFonts w:cs="Arial"/>
                <w:bCs/>
                <w:szCs w:val="18"/>
              </w:rPr>
              <w:t xml:space="preserve">Migratory Species Champion </w:t>
            </w:r>
            <w:proofErr w:type="spellStart"/>
            <w:r w:rsidRPr="00101D7D">
              <w:rPr>
                <w:rFonts w:cs="Arial"/>
                <w:bCs/>
                <w:szCs w:val="18"/>
              </w:rPr>
              <w:t>Programme</w:t>
            </w:r>
            <w:proofErr w:type="spellEnd"/>
          </w:p>
        </w:tc>
      </w:tr>
    </w:tbl>
    <w:p w14:paraId="0D7C4AAA" w14:textId="77777777" w:rsidR="00552F3F" w:rsidRPr="004B7F3D" w:rsidRDefault="00552F3F" w:rsidP="004B7F3D">
      <w:pPr>
        <w:jc w:val="both"/>
        <w:rPr>
          <w:rFonts w:cs="Arial"/>
          <w:bCs/>
          <w:sz w:val="22"/>
          <w:szCs w:val="22"/>
          <w:lang w:val="en-GB"/>
        </w:rPr>
      </w:pPr>
    </w:p>
    <w:p w14:paraId="22EB33D1" w14:textId="77777777" w:rsidR="004B7F3D" w:rsidRPr="009B2A20" w:rsidRDefault="004B7F3D" w:rsidP="009B2A20">
      <w:pPr>
        <w:pStyle w:val="ListParagraph"/>
        <w:ind w:left="0"/>
        <w:jc w:val="both"/>
        <w:rPr>
          <w:rFonts w:cs="Arial"/>
          <w:sz w:val="22"/>
          <w:szCs w:val="22"/>
          <w:u w:val="single"/>
          <w:lang w:val="en-GB"/>
        </w:rPr>
      </w:pPr>
      <w:r w:rsidRPr="009B2A20">
        <w:rPr>
          <w:rFonts w:cs="Arial"/>
          <w:sz w:val="22"/>
          <w:szCs w:val="22"/>
          <w:u w:val="single"/>
          <w:lang w:val="en-GB"/>
        </w:rPr>
        <w:t>Results</w:t>
      </w:r>
    </w:p>
    <w:p w14:paraId="342F8E80" w14:textId="77777777" w:rsidR="004B7F3D" w:rsidRPr="004B7F3D" w:rsidRDefault="004B7F3D" w:rsidP="004B7F3D">
      <w:pPr>
        <w:jc w:val="both"/>
        <w:rPr>
          <w:rFonts w:cs="Arial"/>
          <w:b/>
          <w:sz w:val="22"/>
          <w:szCs w:val="22"/>
        </w:rPr>
      </w:pPr>
    </w:p>
    <w:p w14:paraId="1F7A9979" w14:textId="641021C6" w:rsidR="004B7F3D" w:rsidRPr="004B7F3D" w:rsidRDefault="004B7F3D" w:rsidP="003571C9">
      <w:pPr>
        <w:pStyle w:val="ListParagraph"/>
        <w:numPr>
          <w:ilvl w:val="0"/>
          <w:numId w:val="10"/>
        </w:numPr>
        <w:autoSpaceDE/>
        <w:adjustRightInd/>
        <w:ind w:left="360" w:hanging="360"/>
        <w:jc w:val="both"/>
        <w:rPr>
          <w:rFonts w:cs="Arial"/>
          <w:sz w:val="22"/>
          <w:szCs w:val="22"/>
          <w:lang w:val="en-GB"/>
        </w:rPr>
      </w:pPr>
      <w:r w:rsidRPr="004B7F3D">
        <w:rPr>
          <w:rFonts w:cs="Arial"/>
          <w:sz w:val="22"/>
          <w:szCs w:val="22"/>
          <w:lang w:val="en-GB"/>
        </w:rPr>
        <w:t xml:space="preserve">The Secretariat has raised considerable resources, which enabled the implementation of </w:t>
      </w:r>
      <w:proofErr w:type="gramStart"/>
      <w:r w:rsidRPr="004B7F3D">
        <w:rPr>
          <w:rFonts w:cs="Arial"/>
          <w:sz w:val="22"/>
          <w:szCs w:val="22"/>
          <w:lang w:val="en-GB"/>
        </w:rPr>
        <w:t>a number of</w:t>
      </w:r>
      <w:proofErr w:type="gramEnd"/>
      <w:r w:rsidRPr="004B7F3D">
        <w:rPr>
          <w:rFonts w:cs="Arial"/>
          <w:sz w:val="22"/>
          <w:szCs w:val="22"/>
          <w:lang w:val="en-GB"/>
        </w:rPr>
        <w:t xml:space="preserve"> priority actions</w:t>
      </w:r>
      <w:r w:rsidR="009F6CFD">
        <w:rPr>
          <w:rFonts w:cs="Arial"/>
          <w:sz w:val="22"/>
          <w:szCs w:val="22"/>
          <w:lang w:val="en-GB"/>
        </w:rPr>
        <w:t>,</w:t>
      </w:r>
      <w:r w:rsidRPr="004B7F3D">
        <w:rPr>
          <w:rFonts w:cs="Arial"/>
          <w:sz w:val="22"/>
          <w:szCs w:val="22"/>
          <w:lang w:val="en-GB"/>
        </w:rPr>
        <w:t xml:space="preserve"> and is grateful for the support received, especially given the current economic circumstances. The following paragraphs provide an overview of the financial and in-kind co</w:t>
      </w:r>
      <w:r w:rsidR="00E61104">
        <w:rPr>
          <w:rFonts w:cs="Arial"/>
          <w:sz w:val="22"/>
          <w:szCs w:val="22"/>
          <w:lang w:val="en-GB"/>
        </w:rPr>
        <w:t xml:space="preserve">ntributions received since </w:t>
      </w:r>
      <w:r w:rsidR="00F463EB">
        <w:rPr>
          <w:rFonts w:cs="Arial"/>
          <w:sz w:val="22"/>
          <w:szCs w:val="22"/>
          <w:lang w:val="en-GB"/>
        </w:rPr>
        <w:t xml:space="preserve">COP11 </w:t>
      </w:r>
      <w:r w:rsidR="00BF6CD1">
        <w:rPr>
          <w:rFonts w:cs="Arial"/>
          <w:sz w:val="22"/>
          <w:szCs w:val="22"/>
          <w:lang w:val="en-GB"/>
        </w:rPr>
        <w:t>as well as their sources.</w:t>
      </w:r>
    </w:p>
    <w:p w14:paraId="5939D2F3" w14:textId="77777777" w:rsidR="00E54EDE" w:rsidRDefault="00E54EDE" w:rsidP="004B7F3D">
      <w:pPr>
        <w:pStyle w:val="ListParagraph"/>
        <w:ind w:left="0"/>
        <w:jc w:val="both"/>
        <w:rPr>
          <w:rFonts w:cs="Arial"/>
          <w:b/>
          <w:sz w:val="20"/>
          <w:szCs w:val="20"/>
          <w:lang w:val="en-GB"/>
        </w:rPr>
      </w:pPr>
    </w:p>
    <w:p w14:paraId="6A093749" w14:textId="0D96474B" w:rsidR="004B7F3D" w:rsidRPr="00A30286" w:rsidRDefault="004B7F3D" w:rsidP="004B7F3D">
      <w:pPr>
        <w:pStyle w:val="ListParagraph"/>
        <w:ind w:left="0"/>
        <w:jc w:val="both"/>
        <w:rPr>
          <w:rFonts w:cs="Arial"/>
          <w:b/>
          <w:sz w:val="20"/>
          <w:szCs w:val="20"/>
          <w:lang w:val="en-GB"/>
        </w:rPr>
      </w:pPr>
      <w:r w:rsidRPr="00A30286">
        <w:rPr>
          <w:rFonts w:cs="Arial"/>
          <w:b/>
          <w:sz w:val="20"/>
          <w:szCs w:val="20"/>
          <w:lang w:val="en-GB"/>
        </w:rPr>
        <w:t>Funds received</w:t>
      </w:r>
    </w:p>
    <w:p w14:paraId="7E9AEE1E" w14:textId="77777777" w:rsidR="004B7F3D" w:rsidRPr="004B7F3D" w:rsidRDefault="004B7F3D" w:rsidP="004B7F3D">
      <w:pPr>
        <w:pStyle w:val="ListParagraph"/>
        <w:ind w:left="0"/>
        <w:jc w:val="both"/>
        <w:rPr>
          <w:rFonts w:cs="Arial"/>
          <w:sz w:val="22"/>
          <w:szCs w:val="22"/>
          <w:u w:val="single"/>
          <w:lang w:val="en-GB"/>
        </w:rPr>
      </w:pPr>
    </w:p>
    <w:p w14:paraId="7C304EE1" w14:textId="36992307" w:rsidR="00110F6F" w:rsidRDefault="004B7F3D" w:rsidP="003571C9">
      <w:pPr>
        <w:pStyle w:val="ListParagraph"/>
        <w:numPr>
          <w:ilvl w:val="0"/>
          <w:numId w:val="10"/>
        </w:numPr>
        <w:autoSpaceDE/>
        <w:adjustRightInd/>
        <w:ind w:left="360" w:hanging="360"/>
        <w:jc w:val="both"/>
        <w:rPr>
          <w:rFonts w:cs="Arial"/>
          <w:sz w:val="22"/>
          <w:szCs w:val="22"/>
          <w:lang w:val="en-GB"/>
        </w:rPr>
      </w:pPr>
      <w:r w:rsidRPr="004B7F3D">
        <w:rPr>
          <w:rFonts w:cs="Arial"/>
          <w:sz w:val="22"/>
          <w:szCs w:val="22"/>
          <w:lang w:val="en-GB"/>
        </w:rPr>
        <w:t xml:space="preserve">The total of voluntary contributions received from Governments and organizations to implement the Convention and some of its instruments amounts to </w:t>
      </w:r>
      <w:r w:rsidRPr="00B93184">
        <w:rPr>
          <w:rFonts w:cs="Arial"/>
          <w:sz w:val="22"/>
          <w:szCs w:val="22"/>
          <w:lang w:val="en-GB"/>
        </w:rPr>
        <w:t>€</w:t>
      </w:r>
      <w:r w:rsidR="00E61104" w:rsidRPr="00B93184">
        <w:rPr>
          <w:rFonts w:cs="Arial"/>
          <w:sz w:val="22"/>
          <w:szCs w:val="22"/>
          <w:lang w:val="en-GB"/>
        </w:rPr>
        <w:t>3,</w:t>
      </w:r>
      <w:r w:rsidR="007C03A2">
        <w:rPr>
          <w:rFonts w:cs="Arial"/>
          <w:sz w:val="22"/>
          <w:szCs w:val="22"/>
          <w:lang w:val="en-GB"/>
        </w:rPr>
        <w:t>9</w:t>
      </w:r>
      <w:r w:rsidR="00E61104" w:rsidRPr="00B93184">
        <w:rPr>
          <w:rFonts w:cs="Arial"/>
          <w:sz w:val="22"/>
          <w:szCs w:val="22"/>
          <w:lang w:val="en-GB"/>
        </w:rPr>
        <w:t>15,500</w:t>
      </w:r>
      <w:r w:rsidRPr="004B7F3D">
        <w:rPr>
          <w:rFonts w:cs="Arial"/>
          <w:sz w:val="22"/>
          <w:szCs w:val="22"/>
          <w:lang w:val="en-GB"/>
        </w:rPr>
        <w:t xml:space="preserve"> (13 per cent UN</w:t>
      </w:r>
      <w:r w:rsidR="00882BE1">
        <w:rPr>
          <w:rFonts w:cs="Arial"/>
          <w:sz w:val="22"/>
          <w:szCs w:val="22"/>
          <w:lang w:val="en-GB"/>
        </w:rPr>
        <w:t xml:space="preserve"> Environment</w:t>
      </w:r>
      <w:r w:rsidRPr="004B7F3D">
        <w:rPr>
          <w:rFonts w:cs="Arial"/>
          <w:sz w:val="22"/>
          <w:szCs w:val="22"/>
          <w:lang w:val="en-GB"/>
        </w:rPr>
        <w:t xml:space="preserve"> </w:t>
      </w:r>
      <w:r w:rsidR="00882BE1">
        <w:rPr>
          <w:rFonts w:cs="Arial"/>
          <w:sz w:val="22"/>
          <w:szCs w:val="22"/>
          <w:lang w:val="en-GB"/>
        </w:rPr>
        <w:t>Programme Support Cost (</w:t>
      </w:r>
      <w:r w:rsidRPr="004B7F3D">
        <w:rPr>
          <w:rFonts w:cs="Arial"/>
          <w:sz w:val="22"/>
          <w:szCs w:val="22"/>
          <w:lang w:val="en-GB"/>
        </w:rPr>
        <w:t>PSC</w:t>
      </w:r>
      <w:r w:rsidR="00882BE1">
        <w:rPr>
          <w:rFonts w:cs="Arial"/>
          <w:sz w:val="22"/>
          <w:szCs w:val="22"/>
          <w:lang w:val="en-GB"/>
        </w:rPr>
        <w:t>)</w:t>
      </w:r>
      <w:r w:rsidRPr="004B7F3D">
        <w:rPr>
          <w:rFonts w:cs="Arial"/>
          <w:sz w:val="22"/>
          <w:szCs w:val="22"/>
          <w:lang w:val="en-GB"/>
        </w:rPr>
        <w:t xml:space="preserve"> to be deducted). </w:t>
      </w:r>
    </w:p>
    <w:p w14:paraId="625372C7" w14:textId="77777777" w:rsidR="004B7F3D" w:rsidRPr="004B7F3D" w:rsidRDefault="004B7F3D" w:rsidP="003571C9">
      <w:pPr>
        <w:pStyle w:val="ListParagraph"/>
        <w:autoSpaceDE/>
        <w:adjustRightInd/>
        <w:ind w:left="360" w:hanging="360"/>
        <w:jc w:val="both"/>
        <w:rPr>
          <w:rFonts w:cs="Arial"/>
          <w:sz w:val="22"/>
          <w:szCs w:val="22"/>
          <w:lang w:val="en-GB"/>
        </w:rPr>
      </w:pPr>
    </w:p>
    <w:p w14:paraId="36672472" w14:textId="56DAC535" w:rsidR="004B7F3D" w:rsidRPr="004B7F3D" w:rsidRDefault="004B7F3D" w:rsidP="003571C9">
      <w:pPr>
        <w:pStyle w:val="ListParagraph"/>
        <w:numPr>
          <w:ilvl w:val="0"/>
          <w:numId w:val="10"/>
        </w:numPr>
        <w:autoSpaceDE/>
        <w:adjustRightInd/>
        <w:ind w:left="360" w:hanging="360"/>
        <w:jc w:val="both"/>
        <w:rPr>
          <w:rFonts w:cs="Arial"/>
          <w:sz w:val="22"/>
          <w:szCs w:val="22"/>
          <w:lang w:val="en-GB"/>
        </w:rPr>
      </w:pPr>
      <w:r w:rsidRPr="004B7F3D">
        <w:rPr>
          <w:rFonts w:cs="Arial"/>
          <w:sz w:val="22"/>
          <w:szCs w:val="22"/>
          <w:lang w:val="en-GB"/>
        </w:rPr>
        <w:t xml:space="preserve">These resources were provided by the Governments of Australia, Finland, Germany, </w:t>
      </w:r>
      <w:r w:rsidR="00E61104">
        <w:rPr>
          <w:rFonts w:cs="Arial"/>
          <w:sz w:val="22"/>
          <w:szCs w:val="22"/>
          <w:lang w:val="en-GB"/>
        </w:rPr>
        <w:t xml:space="preserve">Italy, </w:t>
      </w:r>
      <w:r w:rsidRPr="004B7F3D">
        <w:rPr>
          <w:rFonts w:cs="Arial"/>
          <w:sz w:val="22"/>
          <w:szCs w:val="22"/>
          <w:lang w:val="en-GB"/>
        </w:rPr>
        <w:t xml:space="preserve">Monaco, </w:t>
      </w:r>
      <w:r w:rsidR="009F6CFD">
        <w:rPr>
          <w:rFonts w:cs="Arial"/>
          <w:sz w:val="22"/>
          <w:szCs w:val="22"/>
          <w:lang w:val="en-GB"/>
        </w:rPr>
        <w:t xml:space="preserve">the </w:t>
      </w:r>
      <w:r w:rsidR="00E61104">
        <w:rPr>
          <w:rFonts w:cs="Arial"/>
          <w:sz w:val="22"/>
          <w:szCs w:val="22"/>
          <w:lang w:val="en-GB"/>
        </w:rPr>
        <w:t xml:space="preserve">Netherlands, </w:t>
      </w:r>
      <w:r w:rsidRPr="004B7F3D">
        <w:rPr>
          <w:rFonts w:cs="Arial"/>
          <w:sz w:val="22"/>
          <w:szCs w:val="22"/>
          <w:lang w:val="en-GB"/>
        </w:rPr>
        <w:t xml:space="preserve">Norway </w:t>
      </w:r>
      <w:r w:rsidR="00F74AC2" w:rsidRPr="004B7F3D">
        <w:rPr>
          <w:rFonts w:cs="Arial"/>
          <w:sz w:val="22"/>
          <w:szCs w:val="22"/>
          <w:lang w:val="en-GB"/>
        </w:rPr>
        <w:t xml:space="preserve">and </w:t>
      </w:r>
      <w:r w:rsidRPr="004B7F3D">
        <w:rPr>
          <w:rFonts w:cs="Arial"/>
          <w:sz w:val="22"/>
          <w:szCs w:val="22"/>
          <w:lang w:val="en-GB"/>
        </w:rPr>
        <w:t xml:space="preserve">Switzerland; the European Commission; </w:t>
      </w:r>
      <w:r w:rsidR="009F6CFD">
        <w:rPr>
          <w:rFonts w:cs="Arial"/>
          <w:sz w:val="22"/>
          <w:szCs w:val="22"/>
          <w:lang w:val="en-GB"/>
        </w:rPr>
        <w:t xml:space="preserve">and the </w:t>
      </w:r>
      <w:r w:rsidRPr="004B7F3D">
        <w:rPr>
          <w:rFonts w:cs="Arial"/>
          <w:sz w:val="22"/>
          <w:szCs w:val="22"/>
          <w:lang w:val="en-GB"/>
        </w:rPr>
        <w:t>UN</w:t>
      </w:r>
      <w:r w:rsidR="00E61104">
        <w:rPr>
          <w:rFonts w:cs="Arial"/>
          <w:sz w:val="22"/>
          <w:szCs w:val="22"/>
          <w:lang w:val="en-GB"/>
        </w:rPr>
        <w:t xml:space="preserve"> Environment Law Division and Regional Office for Europe</w:t>
      </w:r>
      <w:r w:rsidRPr="004B7F3D">
        <w:rPr>
          <w:rFonts w:cs="Arial"/>
          <w:sz w:val="22"/>
          <w:szCs w:val="22"/>
          <w:lang w:val="en-GB"/>
        </w:rPr>
        <w:t xml:space="preserve">. </w:t>
      </w:r>
      <w:r w:rsidR="001018D1" w:rsidRPr="00233F6F">
        <w:rPr>
          <w:rFonts w:cs="Arial"/>
          <w:sz w:val="22"/>
          <w:szCs w:val="22"/>
          <w:lang w:val="en-GB"/>
        </w:rPr>
        <w:t xml:space="preserve">Further details are provided in </w:t>
      </w:r>
      <w:r w:rsidR="001018D1">
        <w:rPr>
          <w:rFonts w:cs="Arial"/>
          <w:sz w:val="22"/>
          <w:szCs w:val="22"/>
          <w:lang w:val="en-GB"/>
        </w:rPr>
        <w:t xml:space="preserve">the document on </w:t>
      </w:r>
      <w:r w:rsidR="001018D1" w:rsidRPr="00233F6F">
        <w:rPr>
          <w:rFonts w:cs="Arial"/>
          <w:sz w:val="22"/>
          <w:szCs w:val="22"/>
          <w:lang w:val="en-GB"/>
        </w:rPr>
        <w:t>Implementation of the Programme of Work 2015-2017 (UNEP/CMS/COP12/Doc.18).</w:t>
      </w:r>
    </w:p>
    <w:p w14:paraId="2FCE014F" w14:textId="4B9C9D80" w:rsidR="00110F6F" w:rsidRPr="00110F6F" w:rsidRDefault="00110F6F" w:rsidP="003571C9">
      <w:pPr>
        <w:widowControl/>
        <w:ind w:left="360" w:hanging="360"/>
        <w:rPr>
          <w:rFonts w:ascii="Times New Roman" w:hAnsi="Times New Roman"/>
          <w:color w:val="000000"/>
          <w:sz w:val="24"/>
        </w:rPr>
      </w:pPr>
    </w:p>
    <w:p w14:paraId="64590EB4" w14:textId="158A2215" w:rsidR="003258A1" w:rsidRPr="00451D7B" w:rsidRDefault="00110F6F" w:rsidP="003571C9">
      <w:pPr>
        <w:pStyle w:val="ListParagraph"/>
        <w:numPr>
          <w:ilvl w:val="0"/>
          <w:numId w:val="10"/>
        </w:numPr>
        <w:autoSpaceDE/>
        <w:adjustRightInd/>
        <w:ind w:left="360" w:hanging="360"/>
        <w:jc w:val="both"/>
        <w:rPr>
          <w:rFonts w:cs="Arial"/>
          <w:sz w:val="22"/>
          <w:szCs w:val="22"/>
          <w:lang w:val="en-GB"/>
        </w:rPr>
      </w:pPr>
      <w:r w:rsidRPr="00110F6F">
        <w:rPr>
          <w:rFonts w:cs="Arial"/>
          <w:sz w:val="22"/>
          <w:szCs w:val="22"/>
          <w:lang w:val="en-GB"/>
        </w:rPr>
        <w:t xml:space="preserve">Funds obtained are grouped by the areas identified in the </w:t>
      </w:r>
      <w:r w:rsidR="00C615A9">
        <w:rPr>
          <w:rFonts w:cs="Arial"/>
          <w:sz w:val="22"/>
          <w:szCs w:val="22"/>
          <w:lang w:val="en-GB"/>
        </w:rPr>
        <w:t>POW</w:t>
      </w:r>
      <w:r w:rsidR="004E487F">
        <w:rPr>
          <w:rFonts w:cs="Arial"/>
          <w:sz w:val="22"/>
          <w:szCs w:val="22"/>
          <w:lang w:val="en-GB"/>
        </w:rPr>
        <w:t>. I</w:t>
      </w:r>
      <w:r w:rsidR="00550D73">
        <w:rPr>
          <w:rFonts w:cs="Arial"/>
          <w:sz w:val="22"/>
          <w:szCs w:val="22"/>
          <w:lang w:val="en-GB"/>
        </w:rPr>
        <w:t>t</w:t>
      </w:r>
      <w:r w:rsidR="004E487F">
        <w:rPr>
          <w:rFonts w:cs="Arial"/>
          <w:sz w:val="22"/>
          <w:szCs w:val="22"/>
          <w:lang w:val="en-GB"/>
        </w:rPr>
        <w:t xml:space="preserve"> </w:t>
      </w:r>
      <w:proofErr w:type="gramStart"/>
      <w:r w:rsidR="004E487F">
        <w:rPr>
          <w:rFonts w:cs="Arial"/>
          <w:sz w:val="22"/>
          <w:szCs w:val="22"/>
          <w:lang w:val="en-GB"/>
        </w:rPr>
        <w:t>has to</w:t>
      </w:r>
      <w:proofErr w:type="gramEnd"/>
      <w:r w:rsidR="004E487F">
        <w:rPr>
          <w:rFonts w:cs="Arial"/>
          <w:sz w:val="22"/>
          <w:szCs w:val="22"/>
          <w:lang w:val="en-GB"/>
        </w:rPr>
        <w:t xml:space="preserve"> </w:t>
      </w:r>
      <w:r w:rsidR="00986ED7">
        <w:rPr>
          <w:rFonts w:cs="Arial"/>
          <w:sz w:val="22"/>
          <w:szCs w:val="22"/>
          <w:lang w:val="en-GB"/>
        </w:rPr>
        <w:t xml:space="preserve">be highlighted that a significant portion of these resources </w:t>
      </w:r>
      <w:r w:rsidR="00F463EB">
        <w:rPr>
          <w:rFonts w:cs="Arial"/>
          <w:sz w:val="22"/>
          <w:szCs w:val="22"/>
          <w:lang w:val="en-GB"/>
        </w:rPr>
        <w:t>is allocated to activities to be implemented</w:t>
      </w:r>
      <w:r w:rsidR="00986ED7">
        <w:rPr>
          <w:rFonts w:cs="Arial"/>
          <w:sz w:val="22"/>
          <w:szCs w:val="22"/>
          <w:lang w:val="en-GB"/>
        </w:rPr>
        <w:t xml:space="preserve"> </w:t>
      </w:r>
      <w:r w:rsidR="004E487F">
        <w:rPr>
          <w:rFonts w:cs="Arial"/>
          <w:sz w:val="22"/>
          <w:szCs w:val="22"/>
          <w:lang w:val="en-GB"/>
        </w:rPr>
        <w:t>in the triennium 2018-202</w:t>
      </w:r>
      <w:r w:rsidR="001018D1">
        <w:rPr>
          <w:rFonts w:cs="Arial"/>
          <w:sz w:val="22"/>
          <w:szCs w:val="22"/>
          <w:lang w:val="en-GB"/>
        </w:rPr>
        <w:t>0</w:t>
      </w:r>
      <w:r w:rsidR="004E487F">
        <w:rPr>
          <w:rFonts w:cs="Arial"/>
          <w:sz w:val="22"/>
          <w:szCs w:val="22"/>
          <w:lang w:val="en-GB"/>
        </w:rPr>
        <w:t>.</w:t>
      </w:r>
      <w:r w:rsidR="004F050D" w:rsidRPr="004F050D">
        <w:rPr>
          <w:noProof/>
        </w:rPr>
        <w:t xml:space="preserve"> </w:t>
      </w:r>
    </w:p>
    <w:p w14:paraId="667F353C" w14:textId="1B8F24E9" w:rsidR="00451D7B" w:rsidRPr="00451D7B" w:rsidRDefault="00F454A4" w:rsidP="00451D7B">
      <w:pPr>
        <w:pStyle w:val="ListParagraph"/>
        <w:rPr>
          <w:rFonts w:cs="Arial"/>
          <w:sz w:val="22"/>
          <w:szCs w:val="22"/>
          <w:lang w:val="en-GB"/>
        </w:rPr>
      </w:pPr>
      <w:r w:rsidRPr="00F454A4">
        <w:rPr>
          <w:noProof/>
        </w:rPr>
        <w:lastRenderedPageBreak/>
        <w:drawing>
          <wp:anchor distT="0" distB="0" distL="114300" distR="114300" simplePos="0" relativeHeight="251664896" behindDoc="0" locked="0" layoutInCell="1" allowOverlap="1" wp14:anchorId="64868EF3" wp14:editId="6EF72775">
            <wp:simplePos x="0" y="0"/>
            <wp:positionH relativeFrom="column">
              <wp:posOffset>113030</wp:posOffset>
            </wp:positionH>
            <wp:positionV relativeFrom="paragraph">
              <wp:posOffset>102870</wp:posOffset>
            </wp:positionV>
            <wp:extent cx="2886075" cy="2202815"/>
            <wp:effectExtent l="0" t="0" r="9525" b="698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27084" t="7862" r="34768" b="3226"/>
                    <a:stretch/>
                  </pic:blipFill>
                  <pic:spPr bwMode="auto">
                    <a:xfrm>
                      <a:off x="0" y="0"/>
                      <a:ext cx="2886075" cy="22028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161E931" w14:textId="1E90295A" w:rsidR="00451D7B" w:rsidRPr="00A236F0" w:rsidRDefault="00451D7B" w:rsidP="00F454A4">
      <w:pPr>
        <w:pStyle w:val="ListParagraph"/>
        <w:autoSpaceDE/>
        <w:adjustRightInd/>
        <w:ind w:left="450"/>
        <w:jc w:val="both"/>
        <w:rPr>
          <w:rFonts w:cs="Arial"/>
          <w:sz w:val="22"/>
          <w:szCs w:val="22"/>
          <w:lang w:val="en-GB"/>
        </w:rPr>
      </w:pPr>
    </w:p>
    <w:p w14:paraId="359FE38E" w14:textId="28BDF785" w:rsidR="004A7FF9" w:rsidRDefault="004A7FF9" w:rsidP="007F0C0D">
      <w:pPr>
        <w:autoSpaceDE/>
        <w:adjustRightInd/>
        <w:jc w:val="both"/>
        <w:rPr>
          <w:rFonts w:cs="Arial"/>
          <w:sz w:val="22"/>
          <w:szCs w:val="22"/>
          <w:lang w:val="en-GB"/>
        </w:rPr>
      </w:pPr>
    </w:p>
    <w:p w14:paraId="06E1A58F" w14:textId="7CE601D1" w:rsidR="004A7FF9" w:rsidRDefault="004A7FF9" w:rsidP="001C0810">
      <w:pPr>
        <w:pStyle w:val="ListParagraph"/>
        <w:autoSpaceDE/>
        <w:adjustRightInd/>
        <w:ind w:left="450"/>
        <w:jc w:val="both"/>
        <w:rPr>
          <w:rFonts w:cs="Arial"/>
          <w:sz w:val="22"/>
          <w:szCs w:val="22"/>
          <w:lang w:val="en-GB"/>
        </w:rPr>
      </w:pPr>
    </w:p>
    <w:p w14:paraId="38D2D634" w14:textId="23FFBC0E" w:rsidR="00F454A4" w:rsidRDefault="00905383" w:rsidP="001C0810">
      <w:pPr>
        <w:pStyle w:val="ListParagraph"/>
        <w:autoSpaceDE/>
        <w:adjustRightInd/>
        <w:ind w:left="450"/>
        <w:jc w:val="both"/>
        <w:rPr>
          <w:rFonts w:cs="Arial"/>
          <w:sz w:val="22"/>
          <w:szCs w:val="22"/>
          <w:lang w:val="en-GB"/>
        </w:rPr>
      </w:pPr>
      <w:r w:rsidRPr="00F454A4">
        <w:rPr>
          <w:noProof/>
        </w:rPr>
        <w:drawing>
          <wp:anchor distT="0" distB="0" distL="114300" distR="114300" simplePos="0" relativeHeight="251665920" behindDoc="0" locked="0" layoutInCell="1" allowOverlap="1" wp14:anchorId="4AE89E83" wp14:editId="1504DEFF">
            <wp:simplePos x="0" y="0"/>
            <wp:positionH relativeFrom="column">
              <wp:posOffset>218440</wp:posOffset>
            </wp:positionH>
            <wp:positionV relativeFrom="paragraph">
              <wp:posOffset>1679575</wp:posOffset>
            </wp:positionV>
            <wp:extent cx="2781300" cy="2296160"/>
            <wp:effectExtent l="0" t="0" r="0" b="889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31708" t="10056" r="32787" b="2028"/>
                    <a:stretch/>
                  </pic:blipFill>
                  <pic:spPr bwMode="auto">
                    <a:xfrm>
                      <a:off x="0" y="0"/>
                      <a:ext cx="2781300" cy="22961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454A4" w:rsidRPr="00F454A4">
        <w:rPr>
          <w:noProof/>
        </w:rPr>
        <w:drawing>
          <wp:anchor distT="0" distB="0" distL="114300" distR="114300" simplePos="0" relativeHeight="251663872" behindDoc="0" locked="0" layoutInCell="1" allowOverlap="1" wp14:anchorId="3A745ED3" wp14:editId="391F878A">
            <wp:simplePos x="0" y="0"/>
            <wp:positionH relativeFrom="column">
              <wp:posOffset>2913380</wp:posOffset>
            </wp:positionH>
            <wp:positionV relativeFrom="paragraph">
              <wp:posOffset>203200</wp:posOffset>
            </wp:positionV>
            <wp:extent cx="3604895" cy="2428875"/>
            <wp:effectExtent l="0" t="0" r="0" b="952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68865" t="22178" b="13810"/>
                    <a:stretch/>
                  </pic:blipFill>
                  <pic:spPr bwMode="auto">
                    <a:xfrm>
                      <a:off x="0" y="0"/>
                      <a:ext cx="3604895" cy="24288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2894A17" w14:textId="598C14FA" w:rsidR="00F454A4" w:rsidRDefault="00F454A4" w:rsidP="001C0810">
      <w:pPr>
        <w:pStyle w:val="ListParagraph"/>
        <w:autoSpaceDE/>
        <w:adjustRightInd/>
        <w:ind w:left="450"/>
        <w:jc w:val="both"/>
        <w:rPr>
          <w:rFonts w:cs="Arial"/>
          <w:sz w:val="22"/>
          <w:szCs w:val="22"/>
          <w:lang w:val="en-GB"/>
        </w:rPr>
      </w:pPr>
    </w:p>
    <w:p w14:paraId="5CA66AC4" w14:textId="0CEC2EAF" w:rsidR="00F454A4" w:rsidRDefault="00F454A4" w:rsidP="001C0810">
      <w:pPr>
        <w:pStyle w:val="ListParagraph"/>
        <w:autoSpaceDE/>
        <w:adjustRightInd/>
        <w:ind w:left="450"/>
        <w:jc w:val="both"/>
        <w:rPr>
          <w:rFonts w:cs="Arial"/>
          <w:sz w:val="22"/>
          <w:szCs w:val="22"/>
          <w:lang w:val="en-GB"/>
        </w:rPr>
      </w:pPr>
    </w:p>
    <w:p w14:paraId="67E0D95B" w14:textId="7D0A9643" w:rsidR="00F454A4" w:rsidRDefault="00F454A4" w:rsidP="001C0810">
      <w:pPr>
        <w:pStyle w:val="ListParagraph"/>
        <w:autoSpaceDE/>
        <w:adjustRightInd/>
        <w:ind w:left="450"/>
        <w:jc w:val="both"/>
        <w:rPr>
          <w:rFonts w:cs="Arial"/>
          <w:sz w:val="22"/>
          <w:szCs w:val="22"/>
          <w:lang w:val="en-GB"/>
        </w:rPr>
      </w:pPr>
    </w:p>
    <w:p w14:paraId="42B38CB9" w14:textId="3F600C8D" w:rsidR="00F454A4" w:rsidRDefault="00F454A4" w:rsidP="001C0810">
      <w:pPr>
        <w:pStyle w:val="ListParagraph"/>
        <w:autoSpaceDE/>
        <w:adjustRightInd/>
        <w:ind w:left="450"/>
        <w:jc w:val="both"/>
        <w:rPr>
          <w:rFonts w:cs="Arial"/>
          <w:sz w:val="22"/>
          <w:szCs w:val="22"/>
          <w:lang w:val="en-GB"/>
        </w:rPr>
      </w:pPr>
    </w:p>
    <w:p w14:paraId="38208666" w14:textId="1240D6FC" w:rsidR="00F454A4" w:rsidRDefault="00F454A4" w:rsidP="001C0810">
      <w:pPr>
        <w:pStyle w:val="ListParagraph"/>
        <w:autoSpaceDE/>
        <w:adjustRightInd/>
        <w:ind w:left="450"/>
        <w:jc w:val="both"/>
        <w:rPr>
          <w:rFonts w:cs="Arial"/>
          <w:sz w:val="22"/>
          <w:szCs w:val="22"/>
          <w:lang w:val="en-GB"/>
        </w:rPr>
      </w:pPr>
    </w:p>
    <w:p w14:paraId="372297C9" w14:textId="4454E628" w:rsidR="00F454A4" w:rsidRDefault="00F454A4" w:rsidP="001C0810">
      <w:pPr>
        <w:pStyle w:val="ListParagraph"/>
        <w:autoSpaceDE/>
        <w:adjustRightInd/>
        <w:ind w:left="450"/>
        <w:jc w:val="both"/>
        <w:rPr>
          <w:rFonts w:cs="Arial"/>
          <w:sz w:val="22"/>
          <w:szCs w:val="22"/>
          <w:lang w:val="en-GB"/>
        </w:rPr>
      </w:pPr>
    </w:p>
    <w:p w14:paraId="55B9628F" w14:textId="7AE531DC" w:rsidR="00F454A4" w:rsidRDefault="00F454A4" w:rsidP="001C0810">
      <w:pPr>
        <w:pStyle w:val="ListParagraph"/>
        <w:autoSpaceDE/>
        <w:adjustRightInd/>
        <w:ind w:left="450"/>
        <w:jc w:val="both"/>
        <w:rPr>
          <w:rFonts w:cs="Arial"/>
          <w:sz w:val="22"/>
          <w:szCs w:val="22"/>
          <w:lang w:val="en-GB"/>
        </w:rPr>
      </w:pPr>
    </w:p>
    <w:p w14:paraId="150FD3F7" w14:textId="2A57EAC1" w:rsidR="00F454A4" w:rsidRDefault="00F454A4" w:rsidP="001C0810">
      <w:pPr>
        <w:pStyle w:val="ListParagraph"/>
        <w:autoSpaceDE/>
        <w:adjustRightInd/>
        <w:ind w:left="450"/>
        <w:jc w:val="both"/>
        <w:rPr>
          <w:rFonts w:cs="Arial"/>
          <w:sz w:val="22"/>
          <w:szCs w:val="22"/>
          <w:lang w:val="en-GB"/>
        </w:rPr>
      </w:pPr>
    </w:p>
    <w:p w14:paraId="09D5BD3E" w14:textId="2FAA137E" w:rsidR="00F454A4" w:rsidRDefault="00F454A4" w:rsidP="001C0810">
      <w:pPr>
        <w:pStyle w:val="ListParagraph"/>
        <w:autoSpaceDE/>
        <w:adjustRightInd/>
        <w:ind w:left="450"/>
        <w:jc w:val="both"/>
        <w:rPr>
          <w:rFonts w:cs="Arial"/>
          <w:sz w:val="22"/>
          <w:szCs w:val="22"/>
          <w:lang w:val="en-GB"/>
        </w:rPr>
      </w:pPr>
    </w:p>
    <w:p w14:paraId="42587878" w14:textId="738C80F9" w:rsidR="001C0810" w:rsidRDefault="00110F6F" w:rsidP="00A85639">
      <w:pPr>
        <w:pStyle w:val="ListParagraph"/>
        <w:autoSpaceDE/>
        <w:adjustRightInd/>
        <w:ind w:left="360"/>
        <w:jc w:val="both"/>
        <w:rPr>
          <w:rFonts w:cs="Arial"/>
          <w:sz w:val="22"/>
          <w:szCs w:val="22"/>
          <w:lang w:val="en-GB"/>
        </w:rPr>
      </w:pPr>
      <w:r w:rsidRPr="00E7620E">
        <w:rPr>
          <w:rFonts w:cs="Arial"/>
          <w:sz w:val="22"/>
          <w:szCs w:val="22"/>
          <w:lang w:val="en-GB"/>
        </w:rPr>
        <w:t>The contributions towards the conservation of “Avian Species” include the provision of a Junior Programme Officer (JPO) generously offered by the Government of Germany to assist with the numerous tasks of the Unit including to further the work on preventing bird poisoning</w:t>
      </w:r>
      <w:r w:rsidR="00A863A5">
        <w:rPr>
          <w:rFonts w:cs="Arial"/>
          <w:sz w:val="22"/>
          <w:szCs w:val="22"/>
          <w:lang w:val="en-GB"/>
        </w:rPr>
        <w:t xml:space="preserve"> from </w:t>
      </w:r>
      <w:r w:rsidR="007C03A2">
        <w:rPr>
          <w:rFonts w:cs="Arial"/>
          <w:sz w:val="22"/>
          <w:szCs w:val="22"/>
          <w:lang w:val="en-GB"/>
        </w:rPr>
        <w:t>October 2016 to October 2018</w:t>
      </w:r>
      <w:r w:rsidRPr="00E7620E">
        <w:rPr>
          <w:rFonts w:cs="Arial"/>
          <w:sz w:val="22"/>
          <w:szCs w:val="22"/>
          <w:lang w:val="en-GB"/>
        </w:rPr>
        <w:t xml:space="preserve">. </w:t>
      </w:r>
    </w:p>
    <w:p w14:paraId="2A9F9BD4" w14:textId="77777777" w:rsidR="001C0810" w:rsidRDefault="001C0810" w:rsidP="001C0810">
      <w:pPr>
        <w:pStyle w:val="ListParagraph"/>
        <w:autoSpaceDE/>
        <w:adjustRightInd/>
        <w:ind w:left="450"/>
        <w:jc w:val="both"/>
        <w:rPr>
          <w:rFonts w:cs="Arial"/>
          <w:sz w:val="22"/>
          <w:szCs w:val="22"/>
          <w:lang w:val="en-GB"/>
        </w:rPr>
      </w:pPr>
    </w:p>
    <w:p w14:paraId="65036CF8" w14:textId="1AF76108" w:rsidR="009C7023" w:rsidRDefault="001C0810" w:rsidP="003571C9">
      <w:pPr>
        <w:pStyle w:val="ListParagraph"/>
        <w:numPr>
          <w:ilvl w:val="0"/>
          <w:numId w:val="10"/>
        </w:numPr>
        <w:autoSpaceDE/>
        <w:adjustRightInd/>
        <w:ind w:left="360" w:hanging="360"/>
        <w:jc w:val="both"/>
        <w:rPr>
          <w:rFonts w:cs="Arial"/>
          <w:sz w:val="22"/>
          <w:szCs w:val="22"/>
          <w:lang w:val="en-GB"/>
        </w:rPr>
      </w:pPr>
      <w:r w:rsidRPr="009C7023">
        <w:rPr>
          <w:rFonts w:cs="Arial"/>
          <w:sz w:val="22"/>
          <w:szCs w:val="22"/>
          <w:lang w:val="en-GB"/>
        </w:rPr>
        <w:t xml:space="preserve">The amount indicated above however does not include the significant pledge for 2016-2019 of approximately US$ 8.1 million from the Environment Agency – Abu Dhabi (EAD) received in September 2015 towards the operation of </w:t>
      </w:r>
      <w:r w:rsidR="00F463EB" w:rsidRPr="009C7023">
        <w:rPr>
          <w:rFonts w:cs="Arial"/>
          <w:sz w:val="22"/>
          <w:szCs w:val="22"/>
          <w:lang w:val="en-GB"/>
        </w:rPr>
        <w:t xml:space="preserve">the </w:t>
      </w:r>
      <w:r w:rsidRPr="009C7023">
        <w:rPr>
          <w:rFonts w:cs="Arial"/>
          <w:sz w:val="22"/>
          <w:szCs w:val="22"/>
          <w:lang w:val="en-GB"/>
        </w:rPr>
        <w:t xml:space="preserve">CMS Office – Abu Dhabi which coordinates the </w:t>
      </w:r>
      <w:r w:rsidR="00F463EB" w:rsidRPr="009C7023">
        <w:rPr>
          <w:rFonts w:cs="Arial"/>
          <w:sz w:val="22"/>
          <w:szCs w:val="22"/>
          <w:lang w:val="en-GB"/>
        </w:rPr>
        <w:t xml:space="preserve">Memoranda of Understanding (MOUs) for </w:t>
      </w:r>
      <w:r w:rsidRPr="009C7023">
        <w:rPr>
          <w:rFonts w:cs="Arial"/>
          <w:sz w:val="22"/>
          <w:szCs w:val="22"/>
          <w:lang w:val="en-GB"/>
        </w:rPr>
        <w:t xml:space="preserve">Raptors and Dugongs. This very generous grant </w:t>
      </w:r>
      <w:r w:rsidR="009F6CFD">
        <w:rPr>
          <w:rFonts w:cs="Arial"/>
          <w:sz w:val="22"/>
          <w:szCs w:val="22"/>
          <w:lang w:val="en-GB"/>
        </w:rPr>
        <w:t xml:space="preserve">is </w:t>
      </w:r>
      <w:r w:rsidRPr="009C7023">
        <w:rPr>
          <w:rFonts w:cs="Arial"/>
          <w:sz w:val="22"/>
          <w:szCs w:val="22"/>
          <w:lang w:val="en-GB"/>
        </w:rPr>
        <w:t xml:space="preserve">provided by EAD on behalf of the Government of the United Arab Emirates. EAD also accommodates the Office at its headquarters providing world class office space and other practical support. </w:t>
      </w:r>
    </w:p>
    <w:p w14:paraId="7B576948" w14:textId="77777777" w:rsidR="009C7023" w:rsidRDefault="009C7023" w:rsidP="003571C9">
      <w:pPr>
        <w:pStyle w:val="ListParagraph"/>
        <w:autoSpaceDE/>
        <w:adjustRightInd/>
        <w:ind w:left="360" w:hanging="360"/>
        <w:jc w:val="both"/>
        <w:rPr>
          <w:rFonts w:cs="Arial"/>
          <w:sz w:val="22"/>
          <w:szCs w:val="22"/>
          <w:lang w:val="en-GB"/>
        </w:rPr>
      </w:pPr>
    </w:p>
    <w:p w14:paraId="0AC2C1A3" w14:textId="1807C3AE" w:rsidR="001C0810" w:rsidRPr="009C7023" w:rsidRDefault="001C0810" w:rsidP="003571C9">
      <w:pPr>
        <w:pStyle w:val="ListParagraph"/>
        <w:numPr>
          <w:ilvl w:val="0"/>
          <w:numId w:val="10"/>
        </w:numPr>
        <w:autoSpaceDE/>
        <w:adjustRightInd/>
        <w:ind w:left="360" w:hanging="360"/>
        <w:jc w:val="both"/>
        <w:rPr>
          <w:rFonts w:cs="Arial"/>
          <w:sz w:val="22"/>
          <w:szCs w:val="22"/>
          <w:lang w:val="en-GB"/>
        </w:rPr>
      </w:pPr>
      <w:r w:rsidRPr="009C7023">
        <w:rPr>
          <w:rFonts w:cs="Arial"/>
          <w:sz w:val="22"/>
          <w:szCs w:val="22"/>
          <w:lang w:val="en-GB"/>
        </w:rPr>
        <w:t xml:space="preserve">The resources raised by these two instruments and the “assessed voluntary” contributions towards the implementation of the </w:t>
      </w:r>
      <w:r w:rsidR="00F463EB" w:rsidRPr="009C7023">
        <w:rPr>
          <w:rFonts w:cs="Arial"/>
          <w:sz w:val="22"/>
          <w:szCs w:val="22"/>
          <w:lang w:val="en-GB"/>
        </w:rPr>
        <w:t xml:space="preserve">MOUs for </w:t>
      </w:r>
      <w:r w:rsidRPr="009C7023">
        <w:rPr>
          <w:rFonts w:cs="Arial"/>
          <w:sz w:val="22"/>
          <w:szCs w:val="22"/>
          <w:lang w:val="en-GB"/>
        </w:rPr>
        <w:t xml:space="preserve">Sharks and </w:t>
      </w:r>
      <w:r w:rsidR="004A7FF9" w:rsidRPr="009C7023">
        <w:rPr>
          <w:rFonts w:cs="Arial"/>
          <w:sz w:val="22"/>
          <w:szCs w:val="22"/>
          <w:lang w:val="en-GB"/>
        </w:rPr>
        <w:t xml:space="preserve">Marine Turtles and their Habitats of the Indian Ocean and South-East Asia </w:t>
      </w:r>
      <w:r w:rsidR="00F463EB" w:rsidRPr="009C7023">
        <w:rPr>
          <w:rFonts w:cs="Arial"/>
          <w:sz w:val="22"/>
          <w:szCs w:val="22"/>
          <w:lang w:val="en-GB"/>
        </w:rPr>
        <w:t>(</w:t>
      </w:r>
      <w:r w:rsidRPr="009C7023">
        <w:rPr>
          <w:rFonts w:cs="Arial"/>
          <w:sz w:val="22"/>
          <w:szCs w:val="22"/>
          <w:lang w:val="en-GB"/>
        </w:rPr>
        <w:t>IOSEA</w:t>
      </w:r>
      <w:r w:rsidR="00F463EB" w:rsidRPr="009C7023">
        <w:rPr>
          <w:rFonts w:cs="Arial"/>
          <w:sz w:val="22"/>
          <w:szCs w:val="22"/>
          <w:lang w:val="en-GB"/>
        </w:rPr>
        <w:t>)</w:t>
      </w:r>
      <w:r w:rsidRPr="009C7023">
        <w:rPr>
          <w:rFonts w:cs="Arial"/>
          <w:sz w:val="22"/>
          <w:szCs w:val="22"/>
          <w:lang w:val="en-GB"/>
        </w:rPr>
        <w:t xml:space="preserve"> are </w:t>
      </w:r>
      <w:r w:rsidR="009F6CFD">
        <w:rPr>
          <w:rFonts w:cs="Arial"/>
          <w:sz w:val="22"/>
          <w:szCs w:val="22"/>
          <w:lang w:val="en-GB"/>
        </w:rPr>
        <w:t xml:space="preserve">also </w:t>
      </w:r>
      <w:r w:rsidRPr="009C7023">
        <w:rPr>
          <w:rFonts w:cs="Arial"/>
          <w:sz w:val="22"/>
          <w:szCs w:val="22"/>
          <w:lang w:val="en-GB"/>
        </w:rPr>
        <w:t xml:space="preserve">excluded </w:t>
      </w:r>
      <w:r w:rsidR="004A7FF9" w:rsidRPr="009C7023">
        <w:rPr>
          <w:rFonts w:cs="Arial"/>
          <w:sz w:val="22"/>
          <w:szCs w:val="22"/>
          <w:lang w:val="en-GB"/>
        </w:rPr>
        <w:t>from the total amount indicated above</w:t>
      </w:r>
      <w:r w:rsidRPr="009C7023">
        <w:rPr>
          <w:rFonts w:cs="Arial"/>
          <w:sz w:val="22"/>
          <w:szCs w:val="22"/>
          <w:lang w:val="en-GB"/>
        </w:rPr>
        <w:t>. The contributions obtained in 2015-</w:t>
      </w:r>
      <w:r w:rsidR="00F463EB" w:rsidRPr="009C7023">
        <w:rPr>
          <w:rFonts w:cs="Arial"/>
          <w:sz w:val="22"/>
          <w:szCs w:val="22"/>
          <w:lang w:val="en-GB"/>
        </w:rPr>
        <w:t>20</w:t>
      </w:r>
      <w:r w:rsidRPr="009C7023">
        <w:rPr>
          <w:rFonts w:cs="Arial"/>
          <w:sz w:val="22"/>
          <w:szCs w:val="22"/>
          <w:lang w:val="en-GB"/>
        </w:rPr>
        <w:t xml:space="preserve">17 in support of the Sharks MOU budget and its </w:t>
      </w:r>
      <w:r w:rsidR="00C615A9">
        <w:rPr>
          <w:rFonts w:cs="Arial"/>
          <w:sz w:val="22"/>
          <w:szCs w:val="22"/>
          <w:lang w:val="en-GB"/>
        </w:rPr>
        <w:t>POW</w:t>
      </w:r>
      <w:r w:rsidRPr="009C7023">
        <w:rPr>
          <w:rFonts w:cs="Arial"/>
          <w:sz w:val="22"/>
          <w:szCs w:val="22"/>
          <w:lang w:val="en-GB"/>
        </w:rPr>
        <w:t xml:space="preserve"> amount to US$</w:t>
      </w:r>
      <w:r w:rsidRPr="00A85639">
        <w:rPr>
          <w:rFonts w:cs="Arial"/>
          <w:sz w:val="22"/>
          <w:szCs w:val="22"/>
          <w:lang w:val="en-GB"/>
        </w:rPr>
        <w:t>584,436 and</w:t>
      </w:r>
      <w:r w:rsidRPr="009C7023">
        <w:rPr>
          <w:rFonts w:cs="Arial"/>
          <w:sz w:val="22"/>
          <w:szCs w:val="22"/>
          <w:lang w:val="en-GB"/>
        </w:rPr>
        <w:t xml:space="preserve"> those received by the IOSEA MOU amount to US$428,345. </w:t>
      </w:r>
    </w:p>
    <w:p w14:paraId="5EAF7E1D" w14:textId="33719984" w:rsidR="0081416E" w:rsidRDefault="0081416E" w:rsidP="003571C9">
      <w:pPr>
        <w:widowControl/>
        <w:autoSpaceDE/>
        <w:autoSpaceDN/>
        <w:adjustRightInd/>
        <w:ind w:left="360" w:hanging="360"/>
        <w:rPr>
          <w:rFonts w:cs="Arial"/>
          <w:b/>
          <w:sz w:val="20"/>
          <w:szCs w:val="20"/>
          <w:lang w:val="en-GB"/>
        </w:rPr>
      </w:pPr>
    </w:p>
    <w:p w14:paraId="1C0308B0" w14:textId="155AFD2E" w:rsidR="004B7F3D" w:rsidRPr="00A30286" w:rsidRDefault="004B7F3D" w:rsidP="003571C9">
      <w:pPr>
        <w:pStyle w:val="ListParagraph"/>
        <w:ind w:left="360" w:hanging="360"/>
        <w:jc w:val="both"/>
        <w:rPr>
          <w:rFonts w:cs="Arial"/>
          <w:b/>
          <w:sz w:val="20"/>
          <w:szCs w:val="20"/>
          <w:lang w:val="en-GB"/>
        </w:rPr>
      </w:pPr>
      <w:r w:rsidRPr="00A30286">
        <w:rPr>
          <w:rFonts w:cs="Arial"/>
          <w:b/>
          <w:sz w:val="20"/>
          <w:szCs w:val="20"/>
          <w:lang w:val="en-GB"/>
        </w:rPr>
        <w:t>Indirect financial contributions and in-kind contributions</w:t>
      </w:r>
    </w:p>
    <w:p w14:paraId="3B7110FE" w14:textId="77777777" w:rsidR="004B7F3D" w:rsidRPr="004B7F3D" w:rsidRDefault="004B7F3D" w:rsidP="003571C9">
      <w:pPr>
        <w:pStyle w:val="ListParagraph"/>
        <w:ind w:left="360" w:hanging="360"/>
        <w:rPr>
          <w:rFonts w:cs="Arial"/>
          <w:sz w:val="22"/>
          <w:szCs w:val="22"/>
          <w:lang w:val="en-GB"/>
        </w:rPr>
      </w:pPr>
    </w:p>
    <w:p w14:paraId="2A052F25" w14:textId="0CB4681C" w:rsidR="004B7F3D" w:rsidRDefault="004B7F3D" w:rsidP="003571C9">
      <w:pPr>
        <w:pStyle w:val="ListParagraph"/>
        <w:numPr>
          <w:ilvl w:val="0"/>
          <w:numId w:val="10"/>
        </w:numPr>
        <w:autoSpaceDE/>
        <w:adjustRightInd/>
        <w:ind w:left="360" w:hanging="360"/>
        <w:jc w:val="both"/>
        <w:rPr>
          <w:rFonts w:cs="Arial"/>
          <w:sz w:val="22"/>
          <w:szCs w:val="22"/>
          <w:lang w:val="en-GB"/>
        </w:rPr>
      </w:pPr>
      <w:r w:rsidRPr="004B7F3D">
        <w:rPr>
          <w:rFonts w:cs="Arial"/>
          <w:sz w:val="22"/>
          <w:szCs w:val="22"/>
          <w:lang w:val="en-GB"/>
        </w:rPr>
        <w:t xml:space="preserve">Further contributions were provided either in the form of financial support, which was not channelled through the Secretariat but did directly </w:t>
      </w:r>
      <w:r w:rsidR="000039B8" w:rsidRPr="004B7F3D">
        <w:rPr>
          <w:rFonts w:cs="Arial"/>
          <w:sz w:val="22"/>
          <w:szCs w:val="22"/>
          <w:lang w:val="en-GB"/>
        </w:rPr>
        <w:t>contribute</w:t>
      </w:r>
      <w:r w:rsidRPr="004B7F3D">
        <w:rPr>
          <w:rFonts w:cs="Arial"/>
          <w:sz w:val="22"/>
          <w:szCs w:val="22"/>
          <w:lang w:val="en-GB"/>
        </w:rPr>
        <w:t xml:space="preserve"> </w:t>
      </w:r>
      <w:r w:rsidR="000039B8">
        <w:rPr>
          <w:rFonts w:cs="Arial"/>
          <w:sz w:val="22"/>
          <w:szCs w:val="22"/>
          <w:lang w:val="en-GB"/>
        </w:rPr>
        <w:t xml:space="preserve">to </w:t>
      </w:r>
      <w:r w:rsidRPr="004B7F3D">
        <w:rPr>
          <w:rFonts w:cs="Arial"/>
          <w:sz w:val="22"/>
          <w:szCs w:val="22"/>
          <w:lang w:val="en-GB"/>
        </w:rPr>
        <w:t>activities, or of in-kind support through provision of personnel or services.</w:t>
      </w:r>
    </w:p>
    <w:p w14:paraId="23EE6061" w14:textId="77777777" w:rsidR="004B7F3D" w:rsidRPr="004B7F3D" w:rsidRDefault="004B7F3D" w:rsidP="003571C9">
      <w:pPr>
        <w:pStyle w:val="ListParagraph"/>
        <w:ind w:left="360" w:hanging="360"/>
        <w:jc w:val="both"/>
        <w:rPr>
          <w:rFonts w:cs="Arial"/>
          <w:sz w:val="22"/>
          <w:szCs w:val="22"/>
          <w:lang w:val="en-GB"/>
        </w:rPr>
      </w:pPr>
    </w:p>
    <w:p w14:paraId="0B30E40D" w14:textId="77777777" w:rsidR="004B7F3D" w:rsidRPr="0037339C" w:rsidRDefault="004B7F3D" w:rsidP="003571C9">
      <w:pPr>
        <w:pStyle w:val="ListParagraph"/>
        <w:ind w:left="360" w:hanging="360"/>
        <w:jc w:val="both"/>
        <w:rPr>
          <w:rFonts w:cs="Arial"/>
          <w:i/>
          <w:sz w:val="22"/>
          <w:szCs w:val="22"/>
          <w:lang w:val="en-GB"/>
        </w:rPr>
      </w:pPr>
      <w:r w:rsidRPr="0037339C">
        <w:rPr>
          <w:rFonts w:cs="Arial"/>
          <w:i/>
          <w:sz w:val="22"/>
          <w:szCs w:val="22"/>
          <w:lang w:val="en-GB"/>
        </w:rPr>
        <w:t>Activities and services</w:t>
      </w:r>
    </w:p>
    <w:p w14:paraId="6DA9794C" w14:textId="77777777" w:rsidR="004B7F3D" w:rsidRPr="004B7F3D" w:rsidRDefault="004B7F3D" w:rsidP="003571C9">
      <w:pPr>
        <w:pStyle w:val="ListParagraph"/>
        <w:ind w:left="360" w:hanging="360"/>
        <w:rPr>
          <w:rFonts w:cs="Arial"/>
          <w:sz w:val="22"/>
          <w:szCs w:val="22"/>
          <w:lang w:val="en-GB"/>
        </w:rPr>
      </w:pPr>
    </w:p>
    <w:p w14:paraId="20855C36" w14:textId="1EB82FA2" w:rsidR="000039B8" w:rsidRPr="00E95410" w:rsidRDefault="000039B8" w:rsidP="003571C9">
      <w:pPr>
        <w:pStyle w:val="ListParagraph"/>
        <w:numPr>
          <w:ilvl w:val="0"/>
          <w:numId w:val="10"/>
        </w:numPr>
        <w:autoSpaceDE/>
        <w:adjustRightInd/>
        <w:ind w:left="360" w:hanging="360"/>
        <w:jc w:val="both"/>
        <w:rPr>
          <w:rFonts w:cs="Arial"/>
          <w:sz w:val="22"/>
          <w:szCs w:val="22"/>
          <w:lang w:val="en-GB"/>
        </w:rPr>
      </w:pPr>
      <w:r w:rsidRPr="00E95410">
        <w:rPr>
          <w:rFonts w:cs="Arial"/>
          <w:sz w:val="22"/>
          <w:szCs w:val="22"/>
          <w:lang w:val="en-GB"/>
        </w:rPr>
        <w:t xml:space="preserve">The German Society for International Cooperation </w:t>
      </w:r>
      <w:r w:rsidR="00F463EB" w:rsidRPr="00E95410">
        <w:rPr>
          <w:rFonts w:cs="Arial"/>
          <w:sz w:val="22"/>
          <w:szCs w:val="22"/>
          <w:lang w:val="en-GB"/>
        </w:rPr>
        <w:t xml:space="preserve">(GIZ) </w:t>
      </w:r>
      <w:r w:rsidRPr="00E95410">
        <w:rPr>
          <w:rFonts w:cs="Arial"/>
          <w:sz w:val="22"/>
          <w:szCs w:val="22"/>
          <w:lang w:val="en-GB"/>
        </w:rPr>
        <w:t xml:space="preserve">operating on behalf of the Federal </w:t>
      </w:r>
      <w:r w:rsidRPr="00E95410">
        <w:rPr>
          <w:rFonts w:cs="Arial"/>
          <w:sz w:val="22"/>
          <w:szCs w:val="22"/>
          <w:lang w:val="en-GB"/>
        </w:rPr>
        <w:lastRenderedPageBreak/>
        <w:t>Ministry for Economic Cooperation and Development</w:t>
      </w:r>
      <w:r w:rsidR="00F463EB">
        <w:rPr>
          <w:rFonts w:cs="Arial"/>
          <w:sz w:val="22"/>
          <w:szCs w:val="22"/>
          <w:lang w:val="en-GB"/>
        </w:rPr>
        <w:t xml:space="preserve"> (BMZ)</w:t>
      </w:r>
      <w:r w:rsidRPr="00E95410">
        <w:rPr>
          <w:rFonts w:cs="Arial"/>
          <w:sz w:val="22"/>
          <w:szCs w:val="22"/>
          <w:lang w:val="en-GB"/>
        </w:rPr>
        <w:t xml:space="preserve"> covered costs for publishing the Argali Sheep Action Plan and the Guidelines on Mitigating the Impact of Linear Infrastructure and Related Disturbance on Mammals in Central Asia. NABU, the </w:t>
      </w:r>
      <w:proofErr w:type="spellStart"/>
      <w:r w:rsidRPr="00E95410">
        <w:rPr>
          <w:rFonts w:cs="Arial"/>
          <w:sz w:val="22"/>
          <w:szCs w:val="22"/>
          <w:lang w:val="en-GB"/>
        </w:rPr>
        <w:t>BirdLife</w:t>
      </w:r>
      <w:proofErr w:type="spellEnd"/>
      <w:r w:rsidRPr="00E95410">
        <w:rPr>
          <w:rFonts w:cs="Arial"/>
          <w:sz w:val="22"/>
          <w:szCs w:val="22"/>
          <w:lang w:val="en-GB"/>
        </w:rPr>
        <w:t xml:space="preserve"> Partner in Germany, and the Frankfurt Zoological Society contributed to the organization of the Third Meeting of the </w:t>
      </w:r>
      <w:r w:rsidR="009F6CFD">
        <w:rPr>
          <w:rFonts w:cs="Arial"/>
          <w:sz w:val="22"/>
          <w:szCs w:val="22"/>
          <w:lang w:val="en-GB"/>
        </w:rPr>
        <w:t xml:space="preserve">Signatories to the </w:t>
      </w:r>
      <w:r w:rsidRPr="00E95410">
        <w:rPr>
          <w:rFonts w:cs="Arial"/>
          <w:sz w:val="22"/>
          <w:szCs w:val="22"/>
          <w:lang w:val="en-GB"/>
        </w:rPr>
        <w:t xml:space="preserve">Memorandum of Understanding (MOU) concerning Conservation, Restoration and Sustainable Use of </w:t>
      </w:r>
      <w:proofErr w:type="spellStart"/>
      <w:r w:rsidRPr="00E95410">
        <w:rPr>
          <w:rFonts w:cs="Arial"/>
          <w:sz w:val="22"/>
          <w:szCs w:val="22"/>
          <w:lang w:val="en-GB"/>
        </w:rPr>
        <w:t>Saiga</w:t>
      </w:r>
      <w:proofErr w:type="spellEnd"/>
      <w:r w:rsidRPr="00E95410">
        <w:rPr>
          <w:rFonts w:cs="Arial"/>
          <w:sz w:val="22"/>
          <w:szCs w:val="22"/>
          <w:lang w:val="en-GB"/>
        </w:rPr>
        <w:t xml:space="preserve"> Antelope</w:t>
      </w:r>
      <w:r w:rsidR="00170CF5">
        <w:rPr>
          <w:rFonts w:cs="Arial"/>
          <w:sz w:val="22"/>
          <w:szCs w:val="22"/>
          <w:lang w:val="en-GB"/>
        </w:rPr>
        <w:t xml:space="preserve"> in October 2015</w:t>
      </w:r>
      <w:r w:rsidRPr="00E95410">
        <w:rPr>
          <w:rFonts w:cs="Arial"/>
          <w:sz w:val="22"/>
          <w:szCs w:val="22"/>
          <w:lang w:val="en-GB"/>
        </w:rPr>
        <w:t>.</w:t>
      </w:r>
    </w:p>
    <w:p w14:paraId="372F458E" w14:textId="77777777" w:rsidR="000039B8" w:rsidRPr="00E95410" w:rsidRDefault="000039B8" w:rsidP="003571C9">
      <w:pPr>
        <w:pStyle w:val="ListParagraph"/>
        <w:autoSpaceDE/>
        <w:adjustRightInd/>
        <w:ind w:left="360" w:hanging="360"/>
        <w:jc w:val="both"/>
        <w:rPr>
          <w:rFonts w:cs="Arial"/>
          <w:sz w:val="22"/>
          <w:szCs w:val="22"/>
          <w:lang w:val="en-GB"/>
        </w:rPr>
      </w:pPr>
    </w:p>
    <w:p w14:paraId="2B8C2C6F" w14:textId="7CEAA51A" w:rsidR="000039B8" w:rsidRDefault="000039B8" w:rsidP="003571C9">
      <w:pPr>
        <w:pStyle w:val="ListParagraph"/>
        <w:numPr>
          <w:ilvl w:val="0"/>
          <w:numId w:val="10"/>
        </w:numPr>
        <w:autoSpaceDE/>
        <w:adjustRightInd/>
        <w:ind w:left="360" w:hanging="360"/>
        <w:jc w:val="both"/>
        <w:rPr>
          <w:rFonts w:cs="Arial"/>
          <w:sz w:val="22"/>
          <w:szCs w:val="22"/>
          <w:lang w:val="en-GB"/>
        </w:rPr>
      </w:pPr>
      <w:r w:rsidRPr="00E95410">
        <w:rPr>
          <w:rFonts w:cs="Arial"/>
          <w:sz w:val="22"/>
          <w:szCs w:val="22"/>
          <w:lang w:val="en-GB"/>
        </w:rPr>
        <w:t>The Third Meeting of Signatories to the Aquatic Warbler MOU took place in Lithuania in May 2015 and was fully funded by the Baltic Environmental Forum through the LIFE Plus Project “Baltic Aquatic Warbler”.</w:t>
      </w:r>
    </w:p>
    <w:p w14:paraId="5C7CD3CC" w14:textId="77777777" w:rsidR="00DE6404" w:rsidRPr="00DE6404" w:rsidRDefault="00DE6404" w:rsidP="003571C9">
      <w:pPr>
        <w:pStyle w:val="ListParagraph"/>
        <w:ind w:left="360" w:hanging="360"/>
        <w:rPr>
          <w:rFonts w:cs="Arial"/>
          <w:sz w:val="22"/>
          <w:szCs w:val="22"/>
          <w:lang w:val="en-GB"/>
        </w:rPr>
      </w:pPr>
    </w:p>
    <w:p w14:paraId="3436113C" w14:textId="50CCCDCE" w:rsidR="00DE6404" w:rsidRDefault="00DE6404" w:rsidP="003571C9">
      <w:pPr>
        <w:pStyle w:val="ListParagraph"/>
        <w:numPr>
          <w:ilvl w:val="0"/>
          <w:numId w:val="10"/>
        </w:numPr>
        <w:autoSpaceDE/>
        <w:adjustRightInd/>
        <w:ind w:left="360" w:hanging="360"/>
        <w:jc w:val="both"/>
        <w:rPr>
          <w:rFonts w:cs="Arial"/>
          <w:sz w:val="22"/>
          <w:szCs w:val="22"/>
          <w:lang w:val="en-GB"/>
        </w:rPr>
      </w:pPr>
      <w:r>
        <w:rPr>
          <w:rFonts w:cs="Arial"/>
          <w:sz w:val="22"/>
          <w:szCs w:val="22"/>
          <w:lang w:val="en-GB"/>
        </w:rPr>
        <w:t xml:space="preserve">The </w:t>
      </w:r>
      <w:r w:rsidRPr="00DE6404">
        <w:rPr>
          <w:rFonts w:cs="Arial"/>
          <w:sz w:val="22"/>
          <w:szCs w:val="22"/>
          <w:lang w:val="en-GB"/>
        </w:rPr>
        <w:t xml:space="preserve">First Range State Workshop on the European Eel held in October 2016, </w:t>
      </w:r>
      <w:r>
        <w:rPr>
          <w:rFonts w:cs="Arial"/>
          <w:sz w:val="22"/>
          <w:szCs w:val="22"/>
          <w:lang w:val="en-GB"/>
        </w:rPr>
        <w:t>was mainly sponsored</w:t>
      </w:r>
      <w:r w:rsidRPr="00DE6404">
        <w:rPr>
          <w:rFonts w:cs="Arial"/>
          <w:sz w:val="22"/>
          <w:szCs w:val="22"/>
          <w:lang w:val="en-GB"/>
        </w:rPr>
        <w:t xml:space="preserve"> </w:t>
      </w:r>
      <w:r>
        <w:rPr>
          <w:rFonts w:cs="Arial"/>
          <w:sz w:val="22"/>
          <w:szCs w:val="22"/>
          <w:lang w:val="en-GB"/>
        </w:rPr>
        <w:t>by the</w:t>
      </w:r>
      <w:r w:rsidR="00EA7D4B" w:rsidRPr="00EA7D4B">
        <w:rPr>
          <w:rFonts w:cs="Arial"/>
          <w:sz w:val="22"/>
          <w:szCs w:val="22"/>
          <w:lang w:val="en-GB"/>
        </w:rPr>
        <w:t xml:space="preserve"> </w:t>
      </w:r>
      <w:r w:rsidR="00EA7D4B" w:rsidRPr="00DE6404">
        <w:rPr>
          <w:rFonts w:cs="Arial"/>
          <w:sz w:val="22"/>
          <w:szCs w:val="22"/>
          <w:lang w:val="en-GB"/>
        </w:rPr>
        <w:t>Sargasso</w:t>
      </w:r>
      <w:r>
        <w:rPr>
          <w:rFonts w:cs="Arial"/>
          <w:sz w:val="22"/>
          <w:szCs w:val="22"/>
          <w:lang w:val="en-GB"/>
        </w:rPr>
        <w:t xml:space="preserve"> </w:t>
      </w:r>
      <w:r w:rsidRPr="00DE6404">
        <w:rPr>
          <w:rFonts w:cs="Arial"/>
          <w:sz w:val="22"/>
          <w:szCs w:val="22"/>
          <w:lang w:val="en-GB"/>
        </w:rPr>
        <w:t>Sea Commission</w:t>
      </w:r>
      <w:r w:rsidR="009F6CFD">
        <w:rPr>
          <w:rFonts w:cs="Arial"/>
          <w:sz w:val="22"/>
          <w:szCs w:val="22"/>
          <w:lang w:val="en-GB"/>
        </w:rPr>
        <w:t>,</w:t>
      </w:r>
      <w:r>
        <w:rPr>
          <w:rFonts w:cs="Arial"/>
          <w:sz w:val="22"/>
          <w:szCs w:val="22"/>
          <w:lang w:val="en-GB"/>
        </w:rPr>
        <w:t xml:space="preserve"> while the CMS </w:t>
      </w:r>
      <w:r w:rsidR="009F6CFD">
        <w:rPr>
          <w:rFonts w:cs="Arial"/>
          <w:sz w:val="22"/>
          <w:szCs w:val="22"/>
          <w:lang w:val="en-GB"/>
        </w:rPr>
        <w:t>S</w:t>
      </w:r>
      <w:r>
        <w:rPr>
          <w:rFonts w:cs="Arial"/>
          <w:sz w:val="22"/>
          <w:szCs w:val="22"/>
          <w:lang w:val="en-GB"/>
        </w:rPr>
        <w:t>ecretariat</w:t>
      </w:r>
      <w:r w:rsidR="007430FC">
        <w:rPr>
          <w:rFonts w:cs="Arial"/>
          <w:sz w:val="22"/>
          <w:szCs w:val="22"/>
          <w:lang w:val="en-GB"/>
        </w:rPr>
        <w:t>,</w:t>
      </w:r>
      <w:r>
        <w:rPr>
          <w:rFonts w:cs="Arial"/>
          <w:sz w:val="22"/>
          <w:szCs w:val="22"/>
          <w:lang w:val="en-GB"/>
        </w:rPr>
        <w:t xml:space="preserve"> through </w:t>
      </w:r>
      <w:r w:rsidR="00233F6F">
        <w:rPr>
          <w:rFonts w:cs="Arial"/>
          <w:sz w:val="22"/>
          <w:szCs w:val="22"/>
          <w:lang w:val="en-GB"/>
        </w:rPr>
        <w:t>funding</w:t>
      </w:r>
      <w:r>
        <w:rPr>
          <w:rFonts w:cs="Arial"/>
          <w:sz w:val="22"/>
          <w:szCs w:val="22"/>
          <w:lang w:val="en-GB"/>
        </w:rPr>
        <w:t xml:space="preserve"> provide</w:t>
      </w:r>
      <w:r w:rsidR="00233F6F">
        <w:rPr>
          <w:rFonts w:cs="Arial"/>
          <w:sz w:val="22"/>
          <w:szCs w:val="22"/>
          <w:lang w:val="en-GB"/>
        </w:rPr>
        <w:t>d</w:t>
      </w:r>
      <w:r>
        <w:rPr>
          <w:rFonts w:cs="Arial"/>
          <w:sz w:val="22"/>
          <w:szCs w:val="22"/>
          <w:lang w:val="en-GB"/>
        </w:rPr>
        <w:t xml:space="preserve"> by Monaco, covered limited expenses</w:t>
      </w:r>
      <w:r w:rsidRPr="00DE6404">
        <w:rPr>
          <w:rFonts w:cs="Arial"/>
          <w:sz w:val="22"/>
          <w:szCs w:val="22"/>
          <w:lang w:val="en-GB"/>
        </w:rPr>
        <w:t xml:space="preserve">.   </w:t>
      </w:r>
    </w:p>
    <w:p w14:paraId="33CA86E1" w14:textId="77777777" w:rsidR="001C0810" w:rsidRPr="001C0810" w:rsidRDefault="001C0810" w:rsidP="003571C9">
      <w:pPr>
        <w:pStyle w:val="ListParagraph"/>
        <w:ind w:left="360" w:hanging="360"/>
        <w:rPr>
          <w:rFonts w:cs="Arial"/>
          <w:sz w:val="22"/>
          <w:szCs w:val="22"/>
          <w:lang w:val="en-GB"/>
        </w:rPr>
      </w:pPr>
    </w:p>
    <w:p w14:paraId="752246F8" w14:textId="5C003F4F" w:rsidR="001C0810" w:rsidRPr="00A257C4" w:rsidRDefault="00233F6F" w:rsidP="003571C9">
      <w:pPr>
        <w:pStyle w:val="ListParagraph"/>
        <w:numPr>
          <w:ilvl w:val="0"/>
          <w:numId w:val="10"/>
        </w:numPr>
        <w:autoSpaceDE/>
        <w:adjustRightInd/>
        <w:ind w:left="360" w:hanging="360"/>
        <w:jc w:val="both"/>
        <w:rPr>
          <w:rFonts w:cs="Arial"/>
          <w:sz w:val="22"/>
          <w:szCs w:val="22"/>
          <w:lang w:val="en-GB"/>
        </w:rPr>
      </w:pPr>
      <w:r>
        <w:rPr>
          <w:rFonts w:cs="Arial"/>
          <w:sz w:val="22"/>
          <w:szCs w:val="22"/>
          <w:lang w:val="en-GB"/>
        </w:rPr>
        <w:t xml:space="preserve">The </w:t>
      </w:r>
      <w:r w:rsidR="001C0810" w:rsidRPr="00A257C4">
        <w:rPr>
          <w:rFonts w:cs="Arial"/>
          <w:sz w:val="22"/>
          <w:szCs w:val="22"/>
          <w:lang w:val="en-GB"/>
        </w:rPr>
        <w:t>2</w:t>
      </w:r>
      <w:r w:rsidR="001C0810" w:rsidRPr="0081416E">
        <w:rPr>
          <w:rFonts w:cs="Arial"/>
          <w:sz w:val="22"/>
          <w:szCs w:val="22"/>
          <w:vertAlign w:val="superscript"/>
          <w:lang w:val="en-GB"/>
        </w:rPr>
        <w:t>nd</w:t>
      </w:r>
      <w:r w:rsidR="009F6CFD">
        <w:rPr>
          <w:rFonts w:cs="Arial"/>
          <w:sz w:val="22"/>
          <w:szCs w:val="22"/>
          <w:lang w:val="en-GB"/>
        </w:rPr>
        <w:t xml:space="preserve"> </w:t>
      </w:r>
      <w:r w:rsidR="001C0810" w:rsidRPr="00A257C4">
        <w:rPr>
          <w:rFonts w:cs="Arial"/>
          <w:sz w:val="22"/>
          <w:szCs w:val="22"/>
          <w:lang w:val="en-GB"/>
        </w:rPr>
        <w:t xml:space="preserve">Meeting of the </w:t>
      </w:r>
      <w:r>
        <w:rPr>
          <w:rFonts w:cs="Arial"/>
          <w:sz w:val="22"/>
          <w:szCs w:val="22"/>
          <w:lang w:val="en-GB"/>
        </w:rPr>
        <w:t xml:space="preserve">Preventing Bird Poisoning Working Group </w:t>
      </w:r>
      <w:r w:rsidR="001C0810" w:rsidRPr="00A257C4">
        <w:rPr>
          <w:rFonts w:cs="Arial"/>
          <w:sz w:val="22"/>
          <w:szCs w:val="22"/>
          <w:lang w:val="en-GB"/>
        </w:rPr>
        <w:t xml:space="preserve">held </w:t>
      </w:r>
      <w:r>
        <w:rPr>
          <w:rFonts w:cs="Arial"/>
          <w:sz w:val="22"/>
          <w:szCs w:val="22"/>
          <w:lang w:val="en-GB"/>
        </w:rPr>
        <w:t xml:space="preserve">in Toledo, Spain on </w:t>
      </w:r>
      <w:r w:rsidR="001C0810" w:rsidRPr="00A257C4">
        <w:rPr>
          <w:rFonts w:cs="Arial"/>
          <w:sz w:val="22"/>
          <w:szCs w:val="22"/>
          <w:lang w:val="en-GB"/>
        </w:rPr>
        <w:t>19-21 February 2017</w:t>
      </w:r>
      <w:r>
        <w:rPr>
          <w:rFonts w:cs="Arial"/>
          <w:sz w:val="22"/>
          <w:szCs w:val="22"/>
          <w:lang w:val="en-GB"/>
        </w:rPr>
        <w:t xml:space="preserve"> was sponsored by the</w:t>
      </w:r>
      <w:r w:rsidR="001C0810" w:rsidRPr="00A257C4">
        <w:rPr>
          <w:rFonts w:cs="Arial"/>
          <w:sz w:val="22"/>
          <w:szCs w:val="22"/>
          <w:lang w:val="en-GB"/>
        </w:rPr>
        <w:t xml:space="preserve"> Regional Government of Castilla-La Mancha</w:t>
      </w:r>
      <w:r w:rsidR="00A257C4">
        <w:rPr>
          <w:rFonts w:cs="Arial"/>
          <w:sz w:val="22"/>
          <w:szCs w:val="22"/>
          <w:lang w:val="en-GB"/>
        </w:rPr>
        <w:t>.</w:t>
      </w:r>
    </w:p>
    <w:p w14:paraId="3B915B9E" w14:textId="77777777" w:rsidR="000039B8" w:rsidRPr="00E95410" w:rsidRDefault="000039B8" w:rsidP="003571C9">
      <w:pPr>
        <w:pStyle w:val="ListParagraph"/>
        <w:autoSpaceDE/>
        <w:adjustRightInd/>
        <w:ind w:left="360" w:hanging="360"/>
        <w:jc w:val="both"/>
        <w:rPr>
          <w:rFonts w:cs="Arial"/>
          <w:sz w:val="22"/>
          <w:szCs w:val="22"/>
          <w:lang w:val="en-GB"/>
        </w:rPr>
      </w:pPr>
    </w:p>
    <w:p w14:paraId="52748634" w14:textId="1089B3FC" w:rsidR="000039B8" w:rsidRPr="00E95410" w:rsidRDefault="000039B8" w:rsidP="003571C9">
      <w:pPr>
        <w:pStyle w:val="ListParagraph"/>
        <w:numPr>
          <w:ilvl w:val="0"/>
          <w:numId w:val="10"/>
        </w:numPr>
        <w:autoSpaceDE/>
        <w:adjustRightInd/>
        <w:ind w:left="360" w:hanging="360"/>
        <w:jc w:val="both"/>
        <w:rPr>
          <w:rFonts w:cs="Arial"/>
          <w:sz w:val="22"/>
          <w:szCs w:val="22"/>
          <w:lang w:val="en-GB"/>
        </w:rPr>
      </w:pPr>
      <w:proofErr w:type="spellStart"/>
      <w:r w:rsidRPr="00E95410">
        <w:rPr>
          <w:rFonts w:cs="Arial"/>
          <w:sz w:val="22"/>
          <w:szCs w:val="22"/>
          <w:lang w:val="en-GB"/>
        </w:rPr>
        <w:t>Bird</w:t>
      </w:r>
      <w:r w:rsidR="009F6CFD">
        <w:rPr>
          <w:rFonts w:cs="Arial"/>
          <w:sz w:val="22"/>
          <w:szCs w:val="22"/>
          <w:lang w:val="en-GB"/>
        </w:rPr>
        <w:t>L</w:t>
      </w:r>
      <w:r w:rsidRPr="00E95410">
        <w:rPr>
          <w:rFonts w:cs="Arial"/>
          <w:sz w:val="22"/>
          <w:szCs w:val="22"/>
          <w:lang w:val="en-GB"/>
        </w:rPr>
        <w:t>ife</w:t>
      </w:r>
      <w:proofErr w:type="spellEnd"/>
      <w:r w:rsidRPr="00E95410">
        <w:rPr>
          <w:rFonts w:cs="Arial"/>
          <w:sz w:val="22"/>
          <w:szCs w:val="22"/>
          <w:lang w:val="en-GB"/>
        </w:rPr>
        <w:t xml:space="preserve"> International has been generously providing the coordination of the CMS African Eurasian Migratory </w:t>
      </w:r>
      <w:proofErr w:type="spellStart"/>
      <w:r w:rsidRPr="00E95410">
        <w:rPr>
          <w:rFonts w:cs="Arial"/>
          <w:sz w:val="22"/>
          <w:szCs w:val="22"/>
          <w:lang w:val="en-GB"/>
        </w:rPr>
        <w:t>Landbirds</w:t>
      </w:r>
      <w:proofErr w:type="spellEnd"/>
      <w:r w:rsidRPr="00E95410">
        <w:rPr>
          <w:rFonts w:cs="Arial"/>
          <w:sz w:val="22"/>
          <w:szCs w:val="22"/>
          <w:lang w:val="en-GB"/>
        </w:rPr>
        <w:t xml:space="preserve"> Action Plan for two years.</w:t>
      </w:r>
    </w:p>
    <w:p w14:paraId="5B4D4F82" w14:textId="77777777" w:rsidR="000039B8" w:rsidRPr="00E95410" w:rsidRDefault="000039B8" w:rsidP="003571C9">
      <w:pPr>
        <w:pStyle w:val="ListParagraph"/>
        <w:autoSpaceDE/>
        <w:adjustRightInd/>
        <w:ind w:left="360" w:hanging="360"/>
        <w:jc w:val="both"/>
        <w:rPr>
          <w:rFonts w:cs="Arial"/>
          <w:sz w:val="22"/>
          <w:szCs w:val="22"/>
          <w:lang w:val="en-GB"/>
        </w:rPr>
      </w:pPr>
    </w:p>
    <w:p w14:paraId="3FF0072B" w14:textId="271D1D27" w:rsidR="000039B8" w:rsidRPr="00E95410" w:rsidRDefault="000039B8" w:rsidP="003571C9">
      <w:pPr>
        <w:pStyle w:val="ListParagraph"/>
        <w:numPr>
          <w:ilvl w:val="0"/>
          <w:numId w:val="10"/>
        </w:numPr>
        <w:autoSpaceDE/>
        <w:adjustRightInd/>
        <w:ind w:left="360" w:hanging="360"/>
        <w:jc w:val="both"/>
        <w:rPr>
          <w:rFonts w:cs="Arial"/>
          <w:sz w:val="22"/>
          <w:szCs w:val="22"/>
          <w:lang w:val="en-GB"/>
        </w:rPr>
      </w:pPr>
      <w:r w:rsidRPr="00E95410">
        <w:rPr>
          <w:rFonts w:cs="Arial"/>
          <w:sz w:val="22"/>
          <w:szCs w:val="22"/>
          <w:lang w:val="en-GB"/>
        </w:rPr>
        <w:t>Thanks to the initiative of the Chair of the CMS Scientific Council, the Po Delta Interregional Park provided €50,000 for the organization of two workshops bringing together experts to discuss and advance the issue of migratory species connectivity. These discussions resulted in the submission of a resolution contained in UNEP/CMS/COP12/Doc</w:t>
      </w:r>
      <w:r w:rsidR="00187DD7">
        <w:rPr>
          <w:rFonts w:cs="Arial"/>
          <w:sz w:val="22"/>
          <w:szCs w:val="22"/>
          <w:lang w:val="en-GB"/>
        </w:rPr>
        <w:t>.</w:t>
      </w:r>
      <w:r w:rsidRPr="00E95410">
        <w:rPr>
          <w:rFonts w:cs="Arial"/>
          <w:sz w:val="22"/>
          <w:szCs w:val="22"/>
          <w:lang w:val="en-GB"/>
        </w:rPr>
        <w:t>24.4.11.</w:t>
      </w:r>
    </w:p>
    <w:p w14:paraId="764FC766" w14:textId="77777777" w:rsidR="000039B8" w:rsidRPr="00E95410" w:rsidRDefault="000039B8" w:rsidP="003571C9">
      <w:pPr>
        <w:pStyle w:val="ListParagraph"/>
        <w:autoSpaceDE/>
        <w:adjustRightInd/>
        <w:ind w:left="360" w:hanging="360"/>
        <w:jc w:val="both"/>
        <w:rPr>
          <w:rFonts w:cs="Arial"/>
          <w:sz w:val="22"/>
          <w:szCs w:val="22"/>
          <w:lang w:val="en-GB"/>
        </w:rPr>
      </w:pPr>
    </w:p>
    <w:p w14:paraId="71CF224B" w14:textId="0DCA8ECF" w:rsidR="000039B8" w:rsidRPr="00E95410" w:rsidRDefault="000039B8" w:rsidP="003571C9">
      <w:pPr>
        <w:pStyle w:val="ListParagraph"/>
        <w:numPr>
          <w:ilvl w:val="0"/>
          <w:numId w:val="10"/>
        </w:numPr>
        <w:autoSpaceDE/>
        <w:adjustRightInd/>
        <w:ind w:left="360" w:hanging="360"/>
        <w:jc w:val="both"/>
        <w:rPr>
          <w:rFonts w:cs="Arial"/>
          <w:sz w:val="22"/>
          <w:szCs w:val="22"/>
          <w:lang w:val="en-GB"/>
        </w:rPr>
      </w:pPr>
      <w:r w:rsidRPr="00E95410">
        <w:rPr>
          <w:rFonts w:cs="Arial"/>
          <w:sz w:val="22"/>
          <w:szCs w:val="22"/>
          <w:lang w:val="en-GB"/>
        </w:rPr>
        <w:t xml:space="preserve">The First Meeting of Signatories of the High Andean Flamingos MOU took place in Peru in April 2016. The meeting was largely funded by TAIEF (Technical Assistance and Information Exchange Facility). TAIEF is an EU platform </w:t>
      </w:r>
      <w:r w:rsidR="009F6CFD">
        <w:rPr>
          <w:rFonts w:cs="Arial"/>
          <w:sz w:val="22"/>
          <w:szCs w:val="22"/>
          <w:lang w:val="en-GB"/>
        </w:rPr>
        <w:t>which</w:t>
      </w:r>
      <w:r w:rsidR="009F6CFD" w:rsidRPr="00E95410">
        <w:rPr>
          <w:rFonts w:cs="Arial"/>
          <w:sz w:val="22"/>
          <w:szCs w:val="22"/>
          <w:lang w:val="en-GB"/>
        </w:rPr>
        <w:t xml:space="preserve"> </w:t>
      </w:r>
      <w:r w:rsidRPr="00E95410">
        <w:rPr>
          <w:rFonts w:cs="Arial"/>
          <w:sz w:val="22"/>
          <w:szCs w:val="22"/>
          <w:lang w:val="en-GB"/>
        </w:rPr>
        <w:t xml:space="preserve">supports the organization of workshops and seminars, and </w:t>
      </w:r>
      <w:proofErr w:type="gramStart"/>
      <w:r w:rsidRPr="00E95410">
        <w:rPr>
          <w:rFonts w:cs="Arial"/>
          <w:sz w:val="22"/>
          <w:szCs w:val="22"/>
          <w:lang w:val="en-GB"/>
        </w:rPr>
        <w:t>in particular the</w:t>
      </w:r>
      <w:proofErr w:type="gramEnd"/>
      <w:r w:rsidRPr="00E95410">
        <w:rPr>
          <w:rFonts w:cs="Arial"/>
          <w:sz w:val="22"/>
          <w:szCs w:val="22"/>
          <w:lang w:val="en-GB"/>
        </w:rPr>
        <w:t xml:space="preserve"> participation of EU experts.</w:t>
      </w:r>
    </w:p>
    <w:p w14:paraId="326383D1" w14:textId="77777777" w:rsidR="000039B8" w:rsidRPr="00E95410" w:rsidRDefault="000039B8" w:rsidP="003571C9">
      <w:pPr>
        <w:pStyle w:val="ListParagraph"/>
        <w:autoSpaceDE/>
        <w:adjustRightInd/>
        <w:ind w:left="360" w:hanging="360"/>
        <w:jc w:val="both"/>
        <w:rPr>
          <w:rFonts w:cs="Arial"/>
          <w:sz w:val="22"/>
          <w:szCs w:val="22"/>
          <w:lang w:val="en-GB"/>
        </w:rPr>
      </w:pPr>
    </w:p>
    <w:p w14:paraId="04544616" w14:textId="57C0DB61" w:rsidR="00AF7FF4" w:rsidRPr="00E95410" w:rsidRDefault="000039B8" w:rsidP="003571C9">
      <w:pPr>
        <w:pStyle w:val="ListParagraph"/>
        <w:numPr>
          <w:ilvl w:val="0"/>
          <w:numId w:val="10"/>
        </w:numPr>
        <w:autoSpaceDE/>
        <w:adjustRightInd/>
        <w:ind w:left="360" w:hanging="360"/>
        <w:jc w:val="both"/>
        <w:rPr>
          <w:rFonts w:cs="Arial"/>
          <w:sz w:val="22"/>
          <w:szCs w:val="22"/>
          <w:lang w:val="en-GB"/>
        </w:rPr>
      </w:pPr>
      <w:r w:rsidRPr="00E95410">
        <w:rPr>
          <w:rFonts w:cs="Arial"/>
          <w:sz w:val="22"/>
          <w:szCs w:val="22"/>
          <w:lang w:val="en-GB"/>
        </w:rPr>
        <w:t xml:space="preserve">Besides hosting the CMS Secretariat as well as other CMS Family Secretariats based in Bonn, and bearing all costs relating to the premises, the German Government has offered interpretation services for the </w:t>
      </w:r>
      <w:r w:rsidR="00E95410" w:rsidRPr="00E95410">
        <w:rPr>
          <w:rFonts w:cs="Arial"/>
          <w:sz w:val="22"/>
          <w:szCs w:val="22"/>
          <w:lang w:val="en-GB"/>
        </w:rPr>
        <w:t xml:space="preserve">two intersessional meetings of the </w:t>
      </w:r>
      <w:r w:rsidRPr="00E95410">
        <w:rPr>
          <w:rFonts w:cs="Arial"/>
          <w:sz w:val="22"/>
          <w:szCs w:val="22"/>
          <w:lang w:val="en-GB"/>
        </w:rPr>
        <w:t xml:space="preserve">Standing Committee </w:t>
      </w:r>
      <w:r w:rsidR="00187DD7">
        <w:rPr>
          <w:rFonts w:cs="Arial"/>
          <w:sz w:val="22"/>
          <w:szCs w:val="22"/>
          <w:lang w:val="en-GB"/>
        </w:rPr>
        <w:t xml:space="preserve">in 2015 and 2016 </w:t>
      </w:r>
      <w:r w:rsidRPr="00E95410">
        <w:rPr>
          <w:rFonts w:cs="Arial"/>
          <w:sz w:val="22"/>
          <w:szCs w:val="22"/>
          <w:lang w:val="en-GB"/>
        </w:rPr>
        <w:t xml:space="preserve">as well as for the </w:t>
      </w:r>
      <w:r w:rsidR="00E95410" w:rsidRPr="00E95410">
        <w:rPr>
          <w:rFonts w:cs="Arial"/>
          <w:sz w:val="22"/>
          <w:szCs w:val="22"/>
          <w:lang w:val="en-GB"/>
        </w:rPr>
        <w:t>two m</w:t>
      </w:r>
      <w:r w:rsidRPr="00E95410">
        <w:rPr>
          <w:rFonts w:cs="Arial"/>
          <w:sz w:val="22"/>
          <w:szCs w:val="22"/>
          <w:lang w:val="en-GB"/>
        </w:rPr>
        <w:t>eeting</w:t>
      </w:r>
      <w:r w:rsidR="00E95410" w:rsidRPr="00E95410">
        <w:rPr>
          <w:rFonts w:cs="Arial"/>
          <w:sz w:val="22"/>
          <w:szCs w:val="22"/>
          <w:lang w:val="en-GB"/>
        </w:rPr>
        <w:t>s</w:t>
      </w:r>
      <w:r w:rsidRPr="00E95410">
        <w:rPr>
          <w:rFonts w:cs="Arial"/>
          <w:sz w:val="22"/>
          <w:szCs w:val="22"/>
          <w:lang w:val="en-GB"/>
        </w:rPr>
        <w:t xml:space="preserve"> of the Sessional Committee of the CMS Scientific Council which took place </w:t>
      </w:r>
      <w:r w:rsidR="00E95410" w:rsidRPr="00E95410">
        <w:rPr>
          <w:rFonts w:cs="Arial"/>
          <w:sz w:val="22"/>
          <w:szCs w:val="22"/>
          <w:lang w:val="en-GB"/>
        </w:rPr>
        <w:t>in</w:t>
      </w:r>
      <w:r w:rsidRPr="00E95410">
        <w:rPr>
          <w:rFonts w:cs="Arial"/>
          <w:sz w:val="22"/>
          <w:szCs w:val="22"/>
          <w:lang w:val="en-GB"/>
        </w:rPr>
        <w:t xml:space="preserve"> April 2016</w:t>
      </w:r>
      <w:r w:rsidR="00E95410" w:rsidRPr="00E95410">
        <w:rPr>
          <w:rFonts w:cs="Arial"/>
          <w:sz w:val="22"/>
          <w:szCs w:val="22"/>
          <w:lang w:val="en-GB"/>
        </w:rPr>
        <w:t xml:space="preserve"> and July 2017</w:t>
      </w:r>
      <w:r w:rsidRPr="00E95410">
        <w:rPr>
          <w:rFonts w:cs="Arial"/>
          <w:sz w:val="22"/>
          <w:szCs w:val="22"/>
          <w:lang w:val="en-GB"/>
        </w:rPr>
        <w:t xml:space="preserve">. </w:t>
      </w:r>
    </w:p>
    <w:p w14:paraId="55294E96" w14:textId="77777777" w:rsidR="00AF7FF4" w:rsidRPr="00E95410" w:rsidRDefault="00AF7FF4" w:rsidP="003571C9">
      <w:pPr>
        <w:pStyle w:val="ListParagraph"/>
        <w:autoSpaceDE/>
        <w:adjustRightInd/>
        <w:ind w:left="360" w:hanging="360"/>
        <w:jc w:val="both"/>
        <w:rPr>
          <w:rFonts w:cs="Arial"/>
          <w:sz w:val="22"/>
          <w:szCs w:val="22"/>
          <w:lang w:val="en-GB"/>
        </w:rPr>
      </w:pPr>
    </w:p>
    <w:p w14:paraId="4E95DDAF" w14:textId="574E8F23" w:rsidR="000039B8" w:rsidRDefault="001C0810" w:rsidP="003571C9">
      <w:pPr>
        <w:pStyle w:val="ListParagraph"/>
        <w:numPr>
          <w:ilvl w:val="0"/>
          <w:numId w:val="10"/>
        </w:numPr>
        <w:autoSpaceDE/>
        <w:adjustRightInd/>
        <w:ind w:left="360" w:hanging="360"/>
        <w:jc w:val="both"/>
        <w:rPr>
          <w:rFonts w:cs="Arial"/>
          <w:sz w:val="22"/>
          <w:szCs w:val="22"/>
          <w:lang w:val="en-GB"/>
        </w:rPr>
      </w:pPr>
      <w:r w:rsidRPr="00233F6F">
        <w:rPr>
          <w:rFonts w:cs="Arial"/>
          <w:sz w:val="22"/>
          <w:szCs w:val="22"/>
          <w:lang w:val="en-GB"/>
        </w:rPr>
        <w:t>Several</w:t>
      </w:r>
      <w:r w:rsidR="00AF7FF4" w:rsidRPr="00233F6F">
        <w:rPr>
          <w:rFonts w:cs="Arial"/>
          <w:sz w:val="22"/>
          <w:szCs w:val="22"/>
          <w:lang w:val="en-GB"/>
        </w:rPr>
        <w:t xml:space="preserve"> Parties </w:t>
      </w:r>
      <w:proofErr w:type="gramStart"/>
      <w:r w:rsidR="00AF7FF4" w:rsidRPr="00233F6F">
        <w:rPr>
          <w:rFonts w:cs="Arial"/>
          <w:sz w:val="22"/>
          <w:szCs w:val="22"/>
          <w:lang w:val="en-GB"/>
        </w:rPr>
        <w:t>were able to</w:t>
      </w:r>
      <w:proofErr w:type="gramEnd"/>
      <w:r w:rsidR="00AF7FF4" w:rsidRPr="00233F6F">
        <w:rPr>
          <w:rFonts w:cs="Arial"/>
          <w:sz w:val="22"/>
          <w:szCs w:val="22"/>
          <w:lang w:val="en-GB"/>
        </w:rPr>
        <w:t xml:space="preserve"> contribute to the Convention’s work by hosting meetings and </w:t>
      </w:r>
      <w:r w:rsidRPr="00233F6F">
        <w:rPr>
          <w:rFonts w:cs="Arial"/>
          <w:sz w:val="22"/>
          <w:szCs w:val="22"/>
          <w:lang w:val="en-GB"/>
        </w:rPr>
        <w:t xml:space="preserve">workshops and </w:t>
      </w:r>
      <w:r w:rsidR="00AF7FF4" w:rsidRPr="00233F6F">
        <w:rPr>
          <w:rFonts w:cs="Arial"/>
          <w:sz w:val="22"/>
          <w:szCs w:val="22"/>
          <w:lang w:val="en-GB"/>
        </w:rPr>
        <w:t>assisting with related logistical arrangements.</w:t>
      </w:r>
      <w:r w:rsidR="000039B8" w:rsidRPr="00233F6F">
        <w:rPr>
          <w:rFonts w:cs="Arial"/>
          <w:sz w:val="22"/>
          <w:szCs w:val="22"/>
          <w:lang w:val="en-GB"/>
        </w:rPr>
        <w:t xml:space="preserve">  </w:t>
      </w:r>
      <w:r w:rsidR="00233F6F" w:rsidRPr="00233F6F">
        <w:rPr>
          <w:rFonts w:cs="Arial"/>
          <w:sz w:val="22"/>
          <w:szCs w:val="22"/>
          <w:lang w:val="en-GB"/>
        </w:rPr>
        <w:t xml:space="preserve">Further details are provided in </w:t>
      </w:r>
      <w:r w:rsidR="00175E2B">
        <w:rPr>
          <w:rFonts w:cs="Arial"/>
          <w:sz w:val="22"/>
          <w:szCs w:val="22"/>
          <w:lang w:val="en-GB"/>
        </w:rPr>
        <w:t xml:space="preserve">the document on </w:t>
      </w:r>
      <w:r w:rsidR="00233F6F" w:rsidRPr="00233F6F">
        <w:rPr>
          <w:rFonts w:cs="Arial"/>
          <w:sz w:val="22"/>
          <w:szCs w:val="22"/>
          <w:lang w:val="en-GB"/>
        </w:rPr>
        <w:t xml:space="preserve">Implementation of the </w:t>
      </w:r>
      <w:r w:rsidR="00C615A9">
        <w:rPr>
          <w:rFonts w:cs="Arial"/>
          <w:sz w:val="22"/>
          <w:szCs w:val="22"/>
          <w:lang w:val="en-GB"/>
        </w:rPr>
        <w:t>POW</w:t>
      </w:r>
      <w:r w:rsidR="00233F6F" w:rsidRPr="00233F6F">
        <w:rPr>
          <w:rFonts w:cs="Arial"/>
          <w:sz w:val="22"/>
          <w:szCs w:val="22"/>
          <w:lang w:val="en-GB"/>
        </w:rPr>
        <w:t xml:space="preserve"> 2015-2017 (UNEP/CMS/COP12/Doc.18). Special thanks go to the Government of the Philippines which is hosting COP12 and covering several additional related costs including coverage</w:t>
      </w:r>
      <w:r w:rsidR="009F6CFD">
        <w:rPr>
          <w:rFonts w:cs="Arial"/>
          <w:sz w:val="22"/>
          <w:szCs w:val="22"/>
          <w:lang w:val="en-GB"/>
        </w:rPr>
        <w:t xml:space="preserve"> by the Earth Negotiations Bulletin</w:t>
      </w:r>
      <w:r w:rsidR="00233F6F" w:rsidRPr="00233F6F">
        <w:rPr>
          <w:rFonts w:cs="Arial"/>
          <w:sz w:val="22"/>
          <w:szCs w:val="22"/>
          <w:lang w:val="en-GB"/>
        </w:rPr>
        <w:t xml:space="preserve">. </w:t>
      </w:r>
    </w:p>
    <w:p w14:paraId="4096FD5E" w14:textId="6AFFFA9F" w:rsidR="00233F6F" w:rsidRPr="00233F6F" w:rsidRDefault="00233F6F" w:rsidP="003571C9">
      <w:pPr>
        <w:autoSpaceDE/>
        <w:adjustRightInd/>
        <w:ind w:left="360" w:hanging="360"/>
        <w:jc w:val="both"/>
        <w:rPr>
          <w:rFonts w:cs="Arial"/>
          <w:sz w:val="22"/>
          <w:szCs w:val="22"/>
          <w:lang w:val="en-GB"/>
        </w:rPr>
      </w:pPr>
    </w:p>
    <w:p w14:paraId="02B4F34F" w14:textId="68760DBB" w:rsidR="00AF7FF4" w:rsidRPr="004A7FF9" w:rsidRDefault="00A265FE" w:rsidP="003571C9">
      <w:pPr>
        <w:pStyle w:val="ListParagraph"/>
        <w:numPr>
          <w:ilvl w:val="0"/>
          <w:numId w:val="10"/>
        </w:numPr>
        <w:autoSpaceDE/>
        <w:adjustRightInd/>
        <w:ind w:left="360" w:hanging="360"/>
        <w:jc w:val="both"/>
        <w:rPr>
          <w:rFonts w:cs="Arial"/>
          <w:sz w:val="22"/>
          <w:szCs w:val="22"/>
          <w:lang w:val="en-GB"/>
        </w:rPr>
      </w:pPr>
      <w:r>
        <w:rPr>
          <w:rFonts w:cs="Arial"/>
          <w:sz w:val="22"/>
          <w:szCs w:val="22"/>
          <w:lang w:val="en-GB"/>
        </w:rPr>
        <w:t>The Government of Germany</w:t>
      </w:r>
      <w:r w:rsidRPr="004A7FF9">
        <w:rPr>
          <w:rStyle w:val="FootnoteReference"/>
          <w:sz w:val="22"/>
          <w:szCs w:val="22"/>
          <w:vertAlign w:val="superscript"/>
          <w:lang w:val="en-GB"/>
        </w:rPr>
        <w:footnoteReference w:id="7"/>
      </w:r>
      <w:r w:rsidR="00961293" w:rsidRPr="00961293">
        <w:rPr>
          <w:rFonts w:cs="Arial"/>
          <w:sz w:val="22"/>
          <w:szCs w:val="22"/>
          <w:lang w:val="en-GB"/>
        </w:rPr>
        <w:t xml:space="preserve"> sponsored three workshops in support of the Central Asian Mammal Initiative (CAMI).</w:t>
      </w:r>
      <w:r w:rsidR="00961293" w:rsidRPr="003A5496">
        <w:rPr>
          <w:rFonts w:cs="Arial"/>
          <w:sz w:val="22"/>
          <w:szCs w:val="22"/>
          <w:lang w:val="en-GB"/>
        </w:rPr>
        <w:t xml:space="preserve"> A workshop was held in </w:t>
      </w:r>
      <w:proofErr w:type="spellStart"/>
      <w:r w:rsidR="00961293" w:rsidRPr="003A5496">
        <w:rPr>
          <w:rFonts w:cs="Arial"/>
          <w:sz w:val="22"/>
          <w:szCs w:val="22"/>
          <w:lang w:val="en-GB"/>
        </w:rPr>
        <w:t>Ulanbataar</w:t>
      </w:r>
      <w:proofErr w:type="spellEnd"/>
      <w:r w:rsidR="00961293" w:rsidRPr="003A5496">
        <w:rPr>
          <w:rFonts w:cs="Arial"/>
          <w:sz w:val="22"/>
          <w:szCs w:val="22"/>
          <w:lang w:val="en-GB"/>
        </w:rPr>
        <w:t xml:space="preserve">, Mongolia in 2015 with the objective </w:t>
      </w:r>
      <w:r w:rsidR="009F6CFD">
        <w:rPr>
          <w:rFonts w:cs="Arial"/>
          <w:sz w:val="22"/>
          <w:szCs w:val="22"/>
          <w:lang w:val="en-GB"/>
        </w:rPr>
        <w:t>of</w:t>
      </w:r>
      <w:r w:rsidR="009F6CFD" w:rsidRPr="003A5496">
        <w:rPr>
          <w:rFonts w:cs="Arial"/>
          <w:sz w:val="22"/>
          <w:szCs w:val="22"/>
          <w:lang w:val="en-GB"/>
        </w:rPr>
        <w:t xml:space="preserve"> </w:t>
      </w:r>
      <w:r w:rsidR="00961293" w:rsidRPr="003A5496">
        <w:rPr>
          <w:rFonts w:cs="Arial"/>
          <w:sz w:val="22"/>
          <w:szCs w:val="22"/>
          <w:lang w:val="en-GB"/>
        </w:rPr>
        <w:t>promot</w:t>
      </w:r>
      <w:r w:rsidR="009F6CFD">
        <w:rPr>
          <w:rFonts w:cs="Arial"/>
          <w:sz w:val="22"/>
          <w:szCs w:val="22"/>
          <w:lang w:val="en-GB"/>
        </w:rPr>
        <w:t>ing</w:t>
      </w:r>
      <w:r w:rsidR="00961293" w:rsidRPr="003A5496">
        <w:rPr>
          <w:rFonts w:cs="Arial"/>
          <w:sz w:val="22"/>
          <w:szCs w:val="22"/>
          <w:lang w:val="en-GB"/>
        </w:rPr>
        <w:t xml:space="preserve"> guidelines</w:t>
      </w:r>
      <w:r w:rsidR="009F6CFD">
        <w:rPr>
          <w:rFonts w:cs="Arial"/>
          <w:sz w:val="22"/>
          <w:szCs w:val="22"/>
          <w:lang w:val="en-GB"/>
        </w:rPr>
        <w:t>,</w:t>
      </w:r>
      <w:r w:rsidR="00961293" w:rsidRPr="003A5496">
        <w:rPr>
          <w:rFonts w:cs="Arial"/>
          <w:sz w:val="22"/>
          <w:szCs w:val="22"/>
          <w:lang w:val="en-GB"/>
        </w:rPr>
        <w:t xml:space="preserve"> </w:t>
      </w:r>
      <w:r w:rsidR="0081416E">
        <w:rPr>
          <w:rFonts w:cs="Arial"/>
          <w:sz w:val="22"/>
          <w:szCs w:val="22"/>
          <w:lang w:val="en-GB"/>
        </w:rPr>
        <w:t>m</w:t>
      </w:r>
      <w:r w:rsidR="00961293" w:rsidRPr="003A5496">
        <w:rPr>
          <w:rFonts w:cs="Arial"/>
          <w:sz w:val="22"/>
          <w:szCs w:val="22"/>
          <w:lang w:val="en-GB"/>
        </w:rPr>
        <w:t xml:space="preserve">itigating the </w:t>
      </w:r>
      <w:r w:rsidR="0081416E">
        <w:rPr>
          <w:rFonts w:cs="Arial"/>
          <w:sz w:val="22"/>
          <w:szCs w:val="22"/>
          <w:lang w:val="en-GB"/>
        </w:rPr>
        <w:t>i</w:t>
      </w:r>
      <w:r w:rsidR="00961293" w:rsidRPr="003A5496">
        <w:rPr>
          <w:rFonts w:cs="Arial"/>
          <w:sz w:val="22"/>
          <w:szCs w:val="22"/>
          <w:lang w:val="en-GB"/>
        </w:rPr>
        <w:t xml:space="preserve">mpact of </w:t>
      </w:r>
      <w:r w:rsidR="0081416E">
        <w:rPr>
          <w:rFonts w:cs="Arial"/>
          <w:sz w:val="22"/>
          <w:szCs w:val="22"/>
          <w:lang w:val="en-GB"/>
        </w:rPr>
        <w:t>l</w:t>
      </w:r>
      <w:r w:rsidR="0081416E" w:rsidRPr="003A5496">
        <w:rPr>
          <w:rFonts w:cs="Arial"/>
          <w:sz w:val="22"/>
          <w:szCs w:val="22"/>
          <w:lang w:val="en-GB"/>
        </w:rPr>
        <w:t xml:space="preserve">inear </w:t>
      </w:r>
      <w:r w:rsidR="0081416E">
        <w:rPr>
          <w:rFonts w:cs="Arial"/>
          <w:sz w:val="22"/>
          <w:szCs w:val="22"/>
          <w:lang w:val="en-GB"/>
        </w:rPr>
        <w:t>i</w:t>
      </w:r>
      <w:r w:rsidR="00961293" w:rsidRPr="003A5496">
        <w:rPr>
          <w:rFonts w:cs="Arial"/>
          <w:sz w:val="22"/>
          <w:szCs w:val="22"/>
          <w:lang w:val="en-GB"/>
        </w:rPr>
        <w:t xml:space="preserve">nfrastructure and </w:t>
      </w:r>
      <w:r w:rsidR="0081416E">
        <w:rPr>
          <w:rFonts w:cs="Arial"/>
          <w:sz w:val="22"/>
          <w:szCs w:val="22"/>
          <w:lang w:val="en-GB"/>
        </w:rPr>
        <w:t>r</w:t>
      </w:r>
      <w:r w:rsidR="0081416E" w:rsidRPr="003A5496">
        <w:rPr>
          <w:rFonts w:cs="Arial"/>
          <w:sz w:val="22"/>
          <w:szCs w:val="22"/>
          <w:lang w:val="en-GB"/>
        </w:rPr>
        <w:t xml:space="preserve">elated </w:t>
      </w:r>
      <w:r w:rsidR="0081416E">
        <w:rPr>
          <w:rFonts w:cs="Arial"/>
          <w:sz w:val="22"/>
          <w:szCs w:val="22"/>
          <w:lang w:val="en-GB"/>
        </w:rPr>
        <w:t>d</w:t>
      </w:r>
      <w:r w:rsidR="0081416E" w:rsidRPr="003A5496">
        <w:rPr>
          <w:rFonts w:cs="Arial"/>
          <w:sz w:val="22"/>
          <w:szCs w:val="22"/>
          <w:lang w:val="en-GB"/>
        </w:rPr>
        <w:t xml:space="preserve">isturbance </w:t>
      </w:r>
      <w:r w:rsidR="00961293" w:rsidRPr="003A5496">
        <w:rPr>
          <w:rFonts w:cs="Arial"/>
          <w:sz w:val="22"/>
          <w:szCs w:val="22"/>
          <w:lang w:val="en-GB"/>
        </w:rPr>
        <w:t xml:space="preserve">on </w:t>
      </w:r>
      <w:r w:rsidR="0081416E">
        <w:rPr>
          <w:rFonts w:cs="Arial"/>
          <w:sz w:val="22"/>
          <w:szCs w:val="22"/>
          <w:lang w:val="en-GB"/>
        </w:rPr>
        <w:t>m</w:t>
      </w:r>
      <w:r w:rsidR="0081416E" w:rsidRPr="003A5496">
        <w:rPr>
          <w:rFonts w:cs="Arial"/>
          <w:sz w:val="22"/>
          <w:szCs w:val="22"/>
          <w:lang w:val="en-GB"/>
        </w:rPr>
        <w:t xml:space="preserve">ammals </w:t>
      </w:r>
      <w:r w:rsidR="00961293" w:rsidRPr="003A5496">
        <w:rPr>
          <w:rFonts w:cs="Arial"/>
          <w:sz w:val="22"/>
          <w:szCs w:val="22"/>
          <w:lang w:val="en-GB"/>
        </w:rPr>
        <w:t>in Central Asia.</w:t>
      </w:r>
      <w:r w:rsidR="00961293" w:rsidRPr="004A7FF9">
        <w:rPr>
          <w:rFonts w:cs="Arial"/>
          <w:sz w:val="22"/>
          <w:szCs w:val="22"/>
          <w:lang w:val="en-GB"/>
        </w:rPr>
        <w:t xml:space="preserve"> The other two workshops took place on the Isle of </w:t>
      </w:r>
      <w:proofErr w:type="spellStart"/>
      <w:r w:rsidR="00961293" w:rsidRPr="004A7FF9">
        <w:rPr>
          <w:rFonts w:cs="Arial"/>
          <w:sz w:val="22"/>
          <w:szCs w:val="22"/>
          <w:lang w:val="en-GB"/>
        </w:rPr>
        <w:t>Vilm</w:t>
      </w:r>
      <w:proofErr w:type="spellEnd"/>
      <w:r w:rsidR="00961293" w:rsidRPr="004A7FF9">
        <w:rPr>
          <w:rFonts w:cs="Arial"/>
          <w:sz w:val="22"/>
          <w:szCs w:val="22"/>
          <w:lang w:val="en-GB"/>
        </w:rPr>
        <w:t xml:space="preserve">, Germany in 2016 and 2017 with the aim </w:t>
      </w:r>
      <w:r w:rsidR="009F6CFD">
        <w:rPr>
          <w:rFonts w:cs="Arial"/>
          <w:sz w:val="22"/>
          <w:szCs w:val="22"/>
          <w:lang w:val="en-GB"/>
        </w:rPr>
        <w:t>of</w:t>
      </w:r>
      <w:r w:rsidR="009F6CFD" w:rsidRPr="004A7FF9">
        <w:rPr>
          <w:rFonts w:cs="Arial"/>
          <w:sz w:val="22"/>
          <w:szCs w:val="22"/>
          <w:lang w:val="en-GB"/>
        </w:rPr>
        <w:t xml:space="preserve"> </w:t>
      </w:r>
      <w:r w:rsidR="00961293" w:rsidRPr="004A7FF9">
        <w:rPr>
          <w:rFonts w:cs="Arial"/>
          <w:sz w:val="22"/>
          <w:szCs w:val="22"/>
          <w:lang w:val="en-GB"/>
        </w:rPr>
        <w:t>stimulat</w:t>
      </w:r>
      <w:r w:rsidR="009F6CFD">
        <w:rPr>
          <w:rFonts w:cs="Arial"/>
          <w:sz w:val="22"/>
          <w:szCs w:val="22"/>
          <w:lang w:val="en-GB"/>
        </w:rPr>
        <w:t>ing</w:t>
      </w:r>
      <w:r w:rsidR="00961293" w:rsidRPr="004A7FF9">
        <w:rPr>
          <w:rFonts w:cs="Arial"/>
          <w:sz w:val="22"/>
          <w:szCs w:val="22"/>
          <w:lang w:val="en-GB"/>
        </w:rPr>
        <w:t xml:space="preserve"> the implementation of the CAMI </w:t>
      </w:r>
      <w:r w:rsidR="00C615A9">
        <w:rPr>
          <w:rFonts w:cs="Arial"/>
          <w:sz w:val="22"/>
          <w:szCs w:val="22"/>
          <w:lang w:val="en-GB"/>
        </w:rPr>
        <w:t>POW</w:t>
      </w:r>
      <w:r w:rsidR="00961293" w:rsidRPr="004A7FF9">
        <w:rPr>
          <w:rFonts w:cs="Arial"/>
          <w:sz w:val="22"/>
          <w:szCs w:val="22"/>
          <w:lang w:val="en-GB"/>
        </w:rPr>
        <w:t xml:space="preserve"> by identifying urgent actions </w:t>
      </w:r>
      <w:r w:rsidR="00C615A9">
        <w:rPr>
          <w:rFonts w:cs="Arial"/>
          <w:sz w:val="22"/>
          <w:szCs w:val="22"/>
          <w:lang w:val="en-GB"/>
        </w:rPr>
        <w:t>and</w:t>
      </w:r>
      <w:r w:rsidR="00961293" w:rsidRPr="004A7FF9">
        <w:rPr>
          <w:rFonts w:cs="Arial"/>
          <w:sz w:val="22"/>
          <w:szCs w:val="22"/>
          <w:lang w:val="en-GB"/>
        </w:rPr>
        <w:t xml:space="preserve"> develop</w:t>
      </w:r>
      <w:r w:rsidR="00C615A9">
        <w:rPr>
          <w:rFonts w:cs="Arial"/>
          <w:sz w:val="22"/>
          <w:szCs w:val="22"/>
          <w:lang w:val="en-GB"/>
        </w:rPr>
        <w:t xml:space="preserve">ing </w:t>
      </w:r>
      <w:r w:rsidR="0081416E">
        <w:rPr>
          <w:rFonts w:cs="Arial"/>
          <w:sz w:val="22"/>
          <w:szCs w:val="22"/>
          <w:lang w:val="en-GB"/>
        </w:rPr>
        <w:t>an atlas</w:t>
      </w:r>
      <w:r w:rsidR="00961293" w:rsidRPr="004A7FF9">
        <w:rPr>
          <w:rFonts w:cs="Arial"/>
          <w:sz w:val="22"/>
          <w:szCs w:val="22"/>
          <w:lang w:val="en-GB"/>
        </w:rPr>
        <w:t xml:space="preserve"> of </w:t>
      </w:r>
      <w:r w:rsidR="0081416E">
        <w:rPr>
          <w:rFonts w:cs="Arial"/>
          <w:sz w:val="22"/>
          <w:szCs w:val="22"/>
          <w:lang w:val="en-GB"/>
        </w:rPr>
        <w:t>r</w:t>
      </w:r>
      <w:r w:rsidR="0081416E" w:rsidRPr="004A7FF9">
        <w:rPr>
          <w:rFonts w:cs="Arial"/>
          <w:sz w:val="22"/>
          <w:szCs w:val="22"/>
          <w:lang w:val="en-GB"/>
        </w:rPr>
        <w:t>ange</w:t>
      </w:r>
      <w:r w:rsidR="00961293" w:rsidRPr="004A7FF9">
        <w:rPr>
          <w:rFonts w:cs="Arial"/>
          <w:sz w:val="22"/>
          <w:szCs w:val="22"/>
          <w:lang w:val="en-GB"/>
        </w:rPr>
        <w:t xml:space="preserve">-wide </w:t>
      </w:r>
      <w:r w:rsidR="0081416E">
        <w:rPr>
          <w:rFonts w:cs="Arial"/>
          <w:sz w:val="22"/>
          <w:szCs w:val="22"/>
          <w:lang w:val="en-GB"/>
        </w:rPr>
        <w:t>m</w:t>
      </w:r>
      <w:r w:rsidR="0081416E" w:rsidRPr="004A7FF9">
        <w:rPr>
          <w:rFonts w:cs="Arial"/>
          <w:sz w:val="22"/>
          <w:szCs w:val="22"/>
          <w:lang w:val="en-GB"/>
        </w:rPr>
        <w:t xml:space="preserve">apping </w:t>
      </w:r>
      <w:r w:rsidR="00961293" w:rsidRPr="004A7FF9">
        <w:rPr>
          <w:rFonts w:cs="Arial"/>
          <w:sz w:val="22"/>
          <w:szCs w:val="22"/>
          <w:lang w:val="en-GB"/>
        </w:rPr>
        <w:t xml:space="preserve">and </w:t>
      </w:r>
      <w:r w:rsidR="0081416E">
        <w:rPr>
          <w:rFonts w:cs="Arial"/>
          <w:sz w:val="22"/>
          <w:szCs w:val="22"/>
          <w:lang w:val="en-GB"/>
        </w:rPr>
        <w:t>p</w:t>
      </w:r>
      <w:r w:rsidR="0081416E" w:rsidRPr="004A7FF9">
        <w:rPr>
          <w:rFonts w:cs="Arial"/>
          <w:sz w:val="22"/>
          <w:szCs w:val="22"/>
          <w:lang w:val="en-GB"/>
        </w:rPr>
        <w:t xml:space="preserve">riority </w:t>
      </w:r>
      <w:r w:rsidR="0081416E">
        <w:rPr>
          <w:rFonts w:cs="Arial"/>
          <w:sz w:val="22"/>
          <w:szCs w:val="22"/>
          <w:lang w:val="en-GB"/>
        </w:rPr>
        <w:t>s</w:t>
      </w:r>
      <w:r w:rsidR="0081416E" w:rsidRPr="004A7FF9">
        <w:rPr>
          <w:rFonts w:cs="Arial"/>
          <w:sz w:val="22"/>
          <w:szCs w:val="22"/>
          <w:lang w:val="en-GB"/>
        </w:rPr>
        <w:t xml:space="preserve">etting </w:t>
      </w:r>
      <w:r w:rsidR="00961293" w:rsidRPr="004A7FF9">
        <w:rPr>
          <w:rFonts w:cs="Arial"/>
          <w:sz w:val="22"/>
          <w:szCs w:val="22"/>
          <w:lang w:val="en-GB"/>
        </w:rPr>
        <w:t xml:space="preserve">of ten CAMI </w:t>
      </w:r>
      <w:r w:rsidR="0081416E">
        <w:rPr>
          <w:rFonts w:cs="Arial"/>
          <w:sz w:val="22"/>
          <w:szCs w:val="22"/>
          <w:lang w:val="en-GB"/>
        </w:rPr>
        <w:t>s</w:t>
      </w:r>
      <w:r w:rsidR="0081416E" w:rsidRPr="004A7FF9">
        <w:rPr>
          <w:rFonts w:cs="Arial"/>
          <w:sz w:val="22"/>
          <w:szCs w:val="22"/>
          <w:lang w:val="en-GB"/>
        </w:rPr>
        <w:t xml:space="preserve">pecies </w:t>
      </w:r>
      <w:r w:rsidR="00961293" w:rsidRPr="004A7FF9">
        <w:rPr>
          <w:rFonts w:cs="Arial"/>
          <w:sz w:val="22"/>
          <w:szCs w:val="22"/>
          <w:lang w:val="en-GB"/>
        </w:rPr>
        <w:t xml:space="preserve">and </w:t>
      </w:r>
      <w:r w:rsidR="0081416E">
        <w:rPr>
          <w:rFonts w:cs="Arial"/>
          <w:sz w:val="22"/>
          <w:szCs w:val="22"/>
          <w:lang w:val="en-GB"/>
        </w:rPr>
        <w:t>l</w:t>
      </w:r>
      <w:r w:rsidR="0081416E" w:rsidRPr="004A7FF9">
        <w:rPr>
          <w:rFonts w:cs="Arial"/>
          <w:sz w:val="22"/>
          <w:szCs w:val="22"/>
          <w:lang w:val="en-GB"/>
        </w:rPr>
        <w:t xml:space="preserve">inear </w:t>
      </w:r>
      <w:r w:rsidR="0081416E">
        <w:rPr>
          <w:rFonts w:cs="Arial"/>
          <w:sz w:val="22"/>
          <w:szCs w:val="22"/>
          <w:lang w:val="en-GB"/>
        </w:rPr>
        <w:t>i</w:t>
      </w:r>
      <w:r w:rsidR="0081416E" w:rsidRPr="004A7FF9">
        <w:rPr>
          <w:rFonts w:cs="Arial"/>
          <w:sz w:val="22"/>
          <w:szCs w:val="22"/>
          <w:lang w:val="en-GB"/>
        </w:rPr>
        <w:t xml:space="preserve">nfrastructure </w:t>
      </w:r>
      <w:r w:rsidR="0081416E">
        <w:rPr>
          <w:rFonts w:cs="Arial"/>
          <w:sz w:val="22"/>
          <w:szCs w:val="22"/>
          <w:lang w:val="en-GB"/>
        </w:rPr>
        <w:t>t</w:t>
      </w:r>
      <w:r w:rsidR="0081416E" w:rsidRPr="004A7FF9">
        <w:rPr>
          <w:rFonts w:cs="Arial"/>
          <w:sz w:val="22"/>
          <w:szCs w:val="22"/>
          <w:lang w:val="en-GB"/>
        </w:rPr>
        <w:t xml:space="preserve">hreats </w:t>
      </w:r>
      <w:r w:rsidR="00961293" w:rsidRPr="004A7FF9">
        <w:rPr>
          <w:rFonts w:cs="Arial"/>
          <w:sz w:val="22"/>
          <w:szCs w:val="22"/>
          <w:lang w:val="en-GB"/>
        </w:rPr>
        <w:t>across Central Asia respectively</w:t>
      </w:r>
      <w:r w:rsidR="00233F6F" w:rsidRPr="004A7FF9">
        <w:rPr>
          <w:rFonts w:cs="Arial"/>
          <w:sz w:val="22"/>
          <w:szCs w:val="22"/>
          <w:lang w:val="en-GB"/>
        </w:rPr>
        <w:t>.</w:t>
      </w:r>
    </w:p>
    <w:p w14:paraId="1FEB5A25" w14:textId="38ABC9BF" w:rsidR="00AF7FF4" w:rsidRPr="00E95410" w:rsidRDefault="00AF7FF4" w:rsidP="003571C9">
      <w:pPr>
        <w:pStyle w:val="ListParagraph"/>
        <w:autoSpaceDE/>
        <w:adjustRightInd/>
        <w:ind w:left="360" w:hanging="360"/>
        <w:jc w:val="both"/>
        <w:rPr>
          <w:rFonts w:cs="Arial"/>
          <w:sz w:val="22"/>
          <w:szCs w:val="22"/>
          <w:lang w:val="en-GB"/>
        </w:rPr>
      </w:pPr>
    </w:p>
    <w:p w14:paraId="08E60EEC" w14:textId="346C9605" w:rsidR="00E95410" w:rsidRDefault="000039B8" w:rsidP="003571C9">
      <w:pPr>
        <w:pStyle w:val="ListParagraph"/>
        <w:numPr>
          <w:ilvl w:val="0"/>
          <w:numId w:val="10"/>
        </w:numPr>
        <w:autoSpaceDE/>
        <w:adjustRightInd/>
        <w:ind w:left="360" w:hanging="360"/>
        <w:jc w:val="both"/>
        <w:rPr>
          <w:rFonts w:cs="Arial"/>
          <w:sz w:val="22"/>
          <w:szCs w:val="22"/>
          <w:lang w:val="en-GB"/>
        </w:rPr>
      </w:pPr>
      <w:r w:rsidRPr="00E95410">
        <w:rPr>
          <w:rFonts w:cs="Arial"/>
          <w:sz w:val="22"/>
          <w:szCs w:val="22"/>
          <w:lang w:val="en-GB"/>
        </w:rPr>
        <w:t xml:space="preserve">In 2016 regular maintenance of the CMS Family website benefited from support provided </w:t>
      </w:r>
      <w:r w:rsidRPr="00E95410">
        <w:rPr>
          <w:rFonts w:cs="Arial"/>
          <w:sz w:val="22"/>
          <w:szCs w:val="22"/>
          <w:lang w:val="en-GB"/>
        </w:rPr>
        <w:lastRenderedPageBreak/>
        <w:t>in the context of the MEA Information and Knowledge Management Initiative promoted by UN</w:t>
      </w:r>
      <w:r w:rsidR="00233F6F">
        <w:rPr>
          <w:rFonts w:cs="Arial"/>
          <w:sz w:val="22"/>
          <w:szCs w:val="22"/>
          <w:lang w:val="en-GB"/>
        </w:rPr>
        <w:t xml:space="preserve"> Environment</w:t>
      </w:r>
      <w:r w:rsidR="00C615A9">
        <w:rPr>
          <w:rFonts w:cs="Arial"/>
          <w:sz w:val="22"/>
          <w:szCs w:val="22"/>
          <w:lang w:val="en-GB"/>
        </w:rPr>
        <w:t>’s</w:t>
      </w:r>
      <w:r w:rsidR="00233F6F">
        <w:rPr>
          <w:rFonts w:cs="Arial"/>
          <w:sz w:val="22"/>
          <w:szCs w:val="22"/>
          <w:lang w:val="en-GB"/>
        </w:rPr>
        <w:t xml:space="preserve"> Law Division</w:t>
      </w:r>
      <w:r w:rsidRPr="00E95410">
        <w:rPr>
          <w:rFonts w:cs="Arial"/>
          <w:sz w:val="22"/>
          <w:szCs w:val="22"/>
          <w:lang w:val="en-GB"/>
        </w:rPr>
        <w:t>.</w:t>
      </w:r>
    </w:p>
    <w:p w14:paraId="27D8E384" w14:textId="77777777" w:rsidR="00E95410" w:rsidRDefault="00E95410" w:rsidP="003571C9">
      <w:pPr>
        <w:pStyle w:val="ListParagraph"/>
        <w:autoSpaceDE/>
        <w:adjustRightInd/>
        <w:ind w:left="360" w:hanging="360"/>
        <w:jc w:val="both"/>
        <w:rPr>
          <w:rFonts w:cs="Arial"/>
          <w:sz w:val="22"/>
          <w:szCs w:val="22"/>
          <w:lang w:val="en-GB"/>
        </w:rPr>
      </w:pPr>
    </w:p>
    <w:p w14:paraId="3968B68C" w14:textId="7301F4F9" w:rsidR="00E95410" w:rsidRDefault="004B7F3D" w:rsidP="003571C9">
      <w:pPr>
        <w:pStyle w:val="ListParagraph"/>
        <w:numPr>
          <w:ilvl w:val="0"/>
          <w:numId w:val="10"/>
        </w:numPr>
        <w:autoSpaceDE/>
        <w:adjustRightInd/>
        <w:ind w:left="360" w:hanging="360"/>
        <w:jc w:val="both"/>
        <w:rPr>
          <w:rFonts w:cs="Arial"/>
          <w:sz w:val="22"/>
          <w:szCs w:val="22"/>
          <w:lang w:val="en-GB"/>
        </w:rPr>
      </w:pPr>
      <w:r w:rsidRPr="00E95410">
        <w:rPr>
          <w:rFonts w:cs="Arial"/>
          <w:sz w:val="22"/>
          <w:szCs w:val="22"/>
          <w:lang w:val="en-GB"/>
        </w:rPr>
        <w:t>T</w:t>
      </w:r>
      <w:r w:rsidR="000039B8" w:rsidRPr="00E95410">
        <w:rPr>
          <w:rFonts w:cs="Arial"/>
          <w:sz w:val="22"/>
          <w:szCs w:val="22"/>
          <w:lang w:val="en-GB"/>
        </w:rPr>
        <w:t>hree</w:t>
      </w:r>
      <w:r w:rsidRPr="00E95410">
        <w:rPr>
          <w:rFonts w:cs="Arial"/>
          <w:sz w:val="22"/>
          <w:szCs w:val="22"/>
          <w:lang w:val="en-GB"/>
        </w:rPr>
        <w:t xml:space="preserve"> benefit concerts given by the Bologna Opera Choir were organized as part of the celebrations of World Migratory Bird Day (May 201</w:t>
      </w:r>
      <w:r w:rsidR="000039B8" w:rsidRPr="00E95410">
        <w:rPr>
          <w:rFonts w:cs="Arial"/>
          <w:sz w:val="22"/>
          <w:szCs w:val="22"/>
          <w:lang w:val="en-GB"/>
        </w:rPr>
        <w:t>5, 2016</w:t>
      </w:r>
      <w:r w:rsidRPr="00E95410">
        <w:rPr>
          <w:rFonts w:cs="Arial"/>
          <w:sz w:val="22"/>
          <w:szCs w:val="22"/>
          <w:lang w:val="en-GB"/>
        </w:rPr>
        <w:t xml:space="preserve"> and 201</w:t>
      </w:r>
      <w:r w:rsidR="000039B8" w:rsidRPr="00E95410">
        <w:rPr>
          <w:rFonts w:cs="Arial"/>
          <w:sz w:val="22"/>
          <w:szCs w:val="22"/>
          <w:lang w:val="en-GB"/>
        </w:rPr>
        <w:t>7</w:t>
      </w:r>
      <w:r w:rsidRPr="00E95410">
        <w:rPr>
          <w:rFonts w:cs="Arial"/>
          <w:sz w:val="22"/>
          <w:szCs w:val="22"/>
          <w:lang w:val="en-GB"/>
        </w:rPr>
        <w:t xml:space="preserve">). </w:t>
      </w:r>
      <w:r w:rsidR="000039B8" w:rsidRPr="00E95410">
        <w:rPr>
          <w:rFonts w:cs="Arial"/>
          <w:sz w:val="22"/>
          <w:szCs w:val="22"/>
          <w:lang w:val="en-GB"/>
        </w:rPr>
        <w:t xml:space="preserve">The proceeds (€2,210) of the </w:t>
      </w:r>
      <w:r w:rsidR="00894941" w:rsidRPr="00E95410">
        <w:rPr>
          <w:rFonts w:cs="Arial"/>
          <w:sz w:val="22"/>
          <w:szCs w:val="22"/>
          <w:lang w:val="en-GB"/>
        </w:rPr>
        <w:t xml:space="preserve">2015 </w:t>
      </w:r>
      <w:r w:rsidR="000039B8" w:rsidRPr="00E95410">
        <w:rPr>
          <w:rFonts w:cs="Arial"/>
          <w:sz w:val="22"/>
          <w:szCs w:val="22"/>
          <w:lang w:val="en-GB"/>
        </w:rPr>
        <w:t>event supported the implementation of a project on the conservation of the Siberian Crane</w:t>
      </w:r>
      <w:r w:rsidR="00894941" w:rsidRPr="00E95410">
        <w:rPr>
          <w:rFonts w:cs="Arial"/>
          <w:sz w:val="22"/>
          <w:szCs w:val="22"/>
          <w:lang w:val="en-GB"/>
        </w:rPr>
        <w:t>; those (€1,850) of the 2016</w:t>
      </w:r>
      <w:r w:rsidR="000039B8" w:rsidRPr="00E95410">
        <w:rPr>
          <w:rFonts w:cs="Arial"/>
          <w:sz w:val="22"/>
          <w:szCs w:val="22"/>
          <w:lang w:val="en-GB"/>
        </w:rPr>
        <w:t xml:space="preserve"> </w:t>
      </w:r>
      <w:r w:rsidR="00894941" w:rsidRPr="00E95410">
        <w:rPr>
          <w:rFonts w:cs="Arial"/>
          <w:sz w:val="22"/>
          <w:szCs w:val="22"/>
          <w:lang w:val="en-GB"/>
        </w:rPr>
        <w:t>concert</w:t>
      </w:r>
      <w:r w:rsidR="000039B8" w:rsidRPr="00E95410">
        <w:rPr>
          <w:rFonts w:cs="Arial"/>
          <w:sz w:val="22"/>
          <w:szCs w:val="22"/>
          <w:lang w:val="en-GB"/>
        </w:rPr>
        <w:t xml:space="preserve"> </w:t>
      </w:r>
      <w:r w:rsidR="00894941" w:rsidRPr="00E95410">
        <w:rPr>
          <w:rFonts w:cs="Arial"/>
          <w:sz w:val="22"/>
          <w:szCs w:val="22"/>
          <w:lang w:val="en-GB"/>
        </w:rPr>
        <w:t>contributed to</w:t>
      </w:r>
      <w:r w:rsidR="000039B8" w:rsidRPr="00E95410">
        <w:rPr>
          <w:rFonts w:cs="Arial"/>
          <w:sz w:val="22"/>
          <w:szCs w:val="22"/>
          <w:lang w:val="en-GB"/>
        </w:rPr>
        <w:t xml:space="preserve"> the efforts of the CMS Family against the illegal killing, taking and trade of migratory birds.</w:t>
      </w:r>
      <w:r w:rsidR="00894941" w:rsidRPr="00E95410">
        <w:rPr>
          <w:rFonts w:cs="Arial"/>
          <w:sz w:val="22"/>
          <w:szCs w:val="22"/>
          <w:lang w:val="en-GB"/>
        </w:rPr>
        <w:t xml:space="preserve"> While the first two concerts were held in Bonn, the 2017 one took place in Bologna and yielded </w:t>
      </w:r>
      <w:r w:rsidR="00C15339" w:rsidRPr="00E95410">
        <w:rPr>
          <w:rFonts w:cs="Arial"/>
          <w:sz w:val="22"/>
          <w:szCs w:val="22"/>
          <w:lang w:val="en-GB"/>
        </w:rPr>
        <w:t>€800.</w:t>
      </w:r>
    </w:p>
    <w:p w14:paraId="2D1FEF6A" w14:textId="77777777" w:rsidR="00E95410" w:rsidRDefault="00E95410" w:rsidP="003571C9">
      <w:pPr>
        <w:pStyle w:val="ListParagraph"/>
        <w:autoSpaceDE/>
        <w:adjustRightInd/>
        <w:ind w:left="360" w:hanging="360"/>
        <w:jc w:val="both"/>
        <w:rPr>
          <w:rFonts w:cs="Arial"/>
          <w:sz w:val="22"/>
          <w:szCs w:val="22"/>
          <w:lang w:val="en-GB"/>
        </w:rPr>
      </w:pPr>
    </w:p>
    <w:p w14:paraId="77F254B9" w14:textId="719E3EA8" w:rsidR="00E95410" w:rsidRDefault="004B7F3D" w:rsidP="003571C9">
      <w:pPr>
        <w:pStyle w:val="ListParagraph"/>
        <w:numPr>
          <w:ilvl w:val="0"/>
          <w:numId w:val="10"/>
        </w:numPr>
        <w:autoSpaceDE/>
        <w:adjustRightInd/>
        <w:ind w:left="360" w:hanging="360"/>
        <w:jc w:val="both"/>
        <w:rPr>
          <w:rFonts w:cs="Arial"/>
          <w:sz w:val="22"/>
          <w:szCs w:val="22"/>
          <w:lang w:val="en-GB"/>
        </w:rPr>
      </w:pPr>
      <w:r w:rsidRPr="00E95410">
        <w:rPr>
          <w:rFonts w:cs="Arial"/>
          <w:sz w:val="22"/>
          <w:szCs w:val="22"/>
          <w:lang w:val="en-GB"/>
        </w:rPr>
        <w:t>UNEP Headquarters as well as its Regional Offices have been providing support in various forms. Partnerships with the NGO sector have also been critical in providing additional resources for CMS as well as in supporting common conservation objectives (see document UNEP/CMS/COP1</w:t>
      </w:r>
      <w:r w:rsidR="000F26DC" w:rsidRPr="00E95410">
        <w:rPr>
          <w:rFonts w:cs="Arial"/>
          <w:sz w:val="22"/>
          <w:szCs w:val="22"/>
          <w:lang w:val="en-GB"/>
        </w:rPr>
        <w:t>2</w:t>
      </w:r>
      <w:r w:rsidRPr="00E95410">
        <w:rPr>
          <w:rFonts w:cs="Arial"/>
          <w:sz w:val="22"/>
          <w:szCs w:val="22"/>
          <w:lang w:val="en-GB"/>
        </w:rPr>
        <w:t>/Doc.2</w:t>
      </w:r>
      <w:r w:rsidR="000F26DC" w:rsidRPr="00E95410">
        <w:rPr>
          <w:rFonts w:cs="Arial"/>
          <w:sz w:val="22"/>
          <w:szCs w:val="22"/>
          <w:lang w:val="en-GB"/>
        </w:rPr>
        <w:t>3.</w:t>
      </w:r>
      <w:r w:rsidRPr="00E95410">
        <w:rPr>
          <w:rFonts w:cs="Arial"/>
          <w:sz w:val="22"/>
          <w:szCs w:val="22"/>
          <w:lang w:val="en-GB"/>
        </w:rPr>
        <w:t>1).</w:t>
      </w:r>
    </w:p>
    <w:p w14:paraId="5ED6988F" w14:textId="1632DA80" w:rsidR="00E95410" w:rsidRPr="00E95410" w:rsidRDefault="00E95410" w:rsidP="003571C9">
      <w:pPr>
        <w:pStyle w:val="ListParagraph"/>
        <w:autoSpaceDE/>
        <w:adjustRightInd/>
        <w:ind w:left="360" w:hanging="360"/>
        <w:jc w:val="both"/>
        <w:rPr>
          <w:rFonts w:cs="Arial"/>
          <w:sz w:val="22"/>
          <w:szCs w:val="22"/>
          <w:lang w:val="en-GB"/>
        </w:rPr>
      </w:pPr>
    </w:p>
    <w:p w14:paraId="3B274E13" w14:textId="13F9A8F6" w:rsidR="004B7F3D" w:rsidRDefault="004B7F3D" w:rsidP="003571C9">
      <w:pPr>
        <w:pStyle w:val="ListParagraph"/>
        <w:numPr>
          <w:ilvl w:val="0"/>
          <w:numId w:val="10"/>
        </w:numPr>
        <w:autoSpaceDE/>
        <w:adjustRightInd/>
        <w:ind w:left="360" w:hanging="360"/>
        <w:jc w:val="both"/>
        <w:rPr>
          <w:rFonts w:cs="Arial"/>
          <w:sz w:val="22"/>
          <w:szCs w:val="22"/>
          <w:lang w:val="en-GB"/>
        </w:rPr>
      </w:pPr>
      <w:r w:rsidRPr="00E95410">
        <w:rPr>
          <w:rFonts w:cs="Arial"/>
          <w:sz w:val="22"/>
          <w:szCs w:val="22"/>
          <w:lang w:val="en-GB"/>
        </w:rPr>
        <w:t>Within the CMS Family</w:t>
      </w:r>
      <w:r w:rsidR="00C615A9">
        <w:rPr>
          <w:rFonts w:cs="Arial"/>
          <w:sz w:val="22"/>
          <w:szCs w:val="22"/>
          <w:lang w:val="en-GB"/>
        </w:rPr>
        <w:t>’s</w:t>
      </w:r>
      <w:r w:rsidRPr="00E95410">
        <w:rPr>
          <w:rFonts w:cs="Arial"/>
          <w:sz w:val="22"/>
          <w:szCs w:val="22"/>
          <w:lang w:val="en-GB"/>
        </w:rPr>
        <w:t xml:space="preserve"> co-located (Bonn) Secretariats, synergies and mutual support have been enhanced. For instance</w:t>
      </w:r>
      <w:r w:rsidR="00EA7D4B">
        <w:rPr>
          <w:rFonts w:cs="Arial"/>
          <w:sz w:val="22"/>
          <w:szCs w:val="22"/>
          <w:lang w:val="en-GB"/>
        </w:rPr>
        <w:t>,</w:t>
      </w:r>
      <w:r w:rsidRPr="00E95410">
        <w:rPr>
          <w:rFonts w:cs="Arial"/>
          <w:sz w:val="22"/>
          <w:szCs w:val="22"/>
          <w:lang w:val="en-GB"/>
        </w:rPr>
        <w:t xml:space="preserve"> </w:t>
      </w:r>
      <w:proofErr w:type="gramStart"/>
      <w:r w:rsidRPr="00E95410">
        <w:rPr>
          <w:rFonts w:cs="Arial"/>
          <w:sz w:val="22"/>
          <w:szCs w:val="22"/>
          <w:lang w:val="en-GB"/>
        </w:rPr>
        <w:t>a number of</w:t>
      </w:r>
      <w:proofErr w:type="gramEnd"/>
      <w:r w:rsidRPr="00E95410">
        <w:rPr>
          <w:rFonts w:cs="Arial"/>
          <w:sz w:val="22"/>
          <w:szCs w:val="22"/>
          <w:lang w:val="en-GB"/>
        </w:rPr>
        <w:t xml:space="preserve"> </w:t>
      </w:r>
      <w:r w:rsidR="000F26DC" w:rsidRPr="00E95410">
        <w:rPr>
          <w:rFonts w:cs="Arial"/>
          <w:sz w:val="22"/>
          <w:szCs w:val="22"/>
          <w:lang w:val="en-GB"/>
        </w:rPr>
        <w:t>CMS</w:t>
      </w:r>
      <w:r w:rsidRPr="00E95410">
        <w:rPr>
          <w:rFonts w:cs="Arial"/>
          <w:sz w:val="22"/>
          <w:szCs w:val="22"/>
          <w:lang w:val="en-GB"/>
        </w:rPr>
        <w:t xml:space="preserve"> staff members </w:t>
      </w:r>
      <w:r w:rsidR="00B7364F">
        <w:rPr>
          <w:rFonts w:cs="Arial"/>
          <w:sz w:val="22"/>
          <w:szCs w:val="22"/>
          <w:lang w:val="en-GB"/>
        </w:rPr>
        <w:t>were</w:t>
      </w:r>
      <w:r w:rsidRPr="00E95410">
        <w:rPr>
          <w:rFonts w:cs="Arial"/>
          <w:sz w:val="22"/>
          <w:szCs w:val="22"/>
          <w:lang w:val="en-GB"/>
        </w:rPr>
        <w:t xml:space="preserve"> deployed to</w:t>
      </w:r>
      <w:r w:rsidR="000F26DC" w:rsidRPr="00E95410">
        <w:rPr>
          <w:rFonts w:cs="Arial"/>
          <w:sz w:val="22"/>
          <w:szCs w:val="22"/>
          <w:lang w:val="en-GB"/>
        </w:rPr>
        <w:t xml:space="preserve"> the Sixth Meeting of the Parties to AEWA and</w:t>
      </w:r>
      <w:r w:rsidRPr="00E95410">
        <w:rPr>
          <w:rFonts w:cs="Arial"/>
          <w:sz w:val="22"/>
          <w:szCs w:val="22"/>
          <w:lang w:val="en-GB"/>
        </w:rPr>
        <w:t xml:space="preserve"> </w:t>
      </w:r>
      <w:r w:rsidR="00C615A9" w:rsidRPr="00E95410">
        <w:rPr>
          <w:rFonts w:cs="Arial"/>
          <w:sz w:val="22"/>
          <w:szCs w:val="22"/>
          <w:lang w:val="en-GB"/>
        </w:rPr>
        <w:t>assist</w:t>
      </w:r>
      <w:r w:rsidR="00C615A9">
        <w:rPr>
          <w:rFonts w:cs="Arial"/>
          <w:sz w:val="22"/>
          <w:szCs w:val="22"/>
          <w:lang w:val="en-GB"/>
        </w:rPr>
        <w:t xml:space="preserve">ed </w:t>
      </w:r>
      <w:r w:rsidRPr="00E95410">
        <w:rPr>
          <w:rFonts w:cs="Arial"/>
          <w:sz w:val="22"/>
          <w:szCs w:val="22"/>
          <w:lang w:val="en-GB"/>
        </w:rPr>
        <w:t xml:space="preserve">the </w:t>
      </w:r>
      <w:r w:rsidR="000F26DC" w:rsidRPr="00E95410">
        <w:rPr>
          <w:rFonts w:cs="Arial"/>
          <w:sz w:val="22"/>
          <w:szCs w:val="22"/>
          <w:lang w:val="en-GB"/>
        </w:rPr>
        <w:t>AEWA</w:t>
      </w:r>
      <w:r w:rsidRPr="00E95410">
        <w:rPr>
          <w:rFonts w:cs="Arial"/>
          <w:sz w:val="22"/>
          <w:szCs w:val="22"/>
          <w:lang w:val="en-GB"/>
        </w:rPr>
        <w:t xml:space="preserve"> Secretariat in taking care of lo</w:t>
      </w:r>
      <w:r w:rsidR="000F26DC" w:rsidRPr="00E95410">
        <w:rPr>
          <w:rFonts w:cs="Arial"/>
          <w:sz w:val="22"/>
          <w:szCs w:val="22"/>
          <w:lang w:val="en-GB"/>
        </w:rPr>
        <w:t>gistical aspects of the meeting.</w:t>
      </w:r>
    </w:p>
    <w:p w14:paraId="11FF80E6" w14:textId="77777777" w:rsidR="00A257C4" w:rsidRPr="00A257C4" w:rsidRDefault="00A257C4" w:rsidP="003571C9">
      <w:pPr>
        <w:pStyle w:val="ListParagraph"/>
        <w:ind w:left="360" w:hanging="360"/>
        <w:rPr>
          <w:rFonts w:cs="Arial"/>
          <w:sz w:val="22"/>
          <w:szCs w:val="22"/>
          <w:lang w:val="en-GB"/>
        </w:rPr>
      </w:pPr>
    </w:p>
    <w:p w14:paraId="29AF1916" w14:textId="78998137" w:rsidR="00A257C4" w:rsidRPr="00E95410" w:rsidRDefault="00A257C4" w:rsidP="003571C9">
      <w:pPr>
        <w:pStyle w:val="ListParagraph"/>
        <w:numPr>
          <w:ilvl w:val="0"/>
          <w:numId w:val="10"/>
        </w:numPr>
        <w:autoSpaceDE/>
        <w:adjustRightInd/>
        <w:ind w:left="360" w:hanging="360"/>
        <w:jc w:val="both"/>
        <w:rPr>
          <w:rFonts w:cs="Arial"/>
          <w:sz w:val="22"/>
          <w:szCs w:val="22"/>
          <w:lang w:val="en-GB"/>
        </w:rPr>
      </w:pPr>
      <w:r w:rsidRPr="00A257C4">
        <w:rPr>
          <w:rFonts w:cs="Arial"/>
          <w:sz w:val="22"/>
          <w:szCs w:val="22"/>
          <w:lang w:val="en-GB"/>
        </w:rPr>
        <w:t>For a special publication for CMS COP12, the CMS Secretariat has managed to secure the support of TERRITORY, a Hamburg-based Public Relations Company in the form of a Public-Private-Partnership. The company has committed to work closely with the Joint CMS</w:t>
      </w:r>
      <w:r w:rsidR="00233F6F">
        <w:rPr>
          <w:rFonts w:cs="Arial"/>
          <w:sz w:val="22"/>
          <w:szCs w:val="22"/>
          <w:lang w:val="en-GB"/>
        </w:rPr>
        <w:t>/</w:t>
      </w:r>
      <w:r w:rsidRPr="00A257C4">
        <w:rPr>
          <w:rFonts w:cs="Arial"/>
          <w:sz w:val="22"/>
          <w:szCs w:val="22"/>
          <w:lang w:val="en-GB"/>
        </w:rPr>
        <w:t>AEWA Communications Unit, to produce a professionally designed COP publication in the format and style of a typical In-Flight Magazine.</w:t>
      </w:r>
    </w:p>
    <w:p w14:paraId="58718E3B" w14:textId="77777777" w:rsidR="0061127B" w:rsidRDefault="0061127B" w:rsidP="003571C9">
      <w:pPr>
        <w:pStyle w:val="ListParagraph"/>
        <w:ind w:left="360" w:hanging="360"/>
        <w:jc w:val="both"/>
        <w:rPr>
          <w:rFonts w:cs="Arial"/>
          <w:i/>
          <w:sz w:val="22"/>
          <w:szCs w:val="22"/>
          <w:lang w:val="en-GB"/>
        </w:rPr>
      </w:pPr>
    </w:p>
    <w:p w14:paraId="65915EE3" w14:textId="7A42317D" w:rsidR="0061127B" w:rsidRPr="0037339C" w:rsidRDefault="0061127B" w:rsidP="003571C9">
      <w:pPr>
        <w:pStyle w:val="ListParagraph"/>
        <w:ind w:left="360" w:hanging="360"/>
        <w:jc w:val="both"/>
        <w:rPr>
          <w:rFonts w:cs="Arial"/>
          <w:i/>
          <w:sz w:val="22"/>
          <w:szCs w:val="22"/>
          <w:lang w:val="en-GB"/>
        </w:rPr>
      </w:pPr>
      <w:r w:rsidRPr="0037339C">
        <w:rPr>
          <w:rFonts w:cs="Arial"/>
          <w:i/>
          <w:sz w:val="22"/>
          <w:szCs w:val="22"/>
          <w:lang w:val="en-GB"/>
        </w:rPr>
        <w:t>Personnel</w:t>
      </w:r>
    </w:p>
    <w:p w14:paraId="14F21C6F" w14:textId="77777777" w:rsidR="0061127B" w:rsidRPr="004B7F3D" w:rsidRDefault="0061127B" w:rsidP="003571C9">
      <w:pPr>
        <w:pStyle w:val="ListParagraph"/>
        <w:ind w:left="360" w:hanging="360"/>
        <w:jc w:val="both"/>
        <w:rPr>
          <w:rFonts w:cs="Arial"/>
          <w:sz w:val="22"/>
          <w:szCs w:val="22"/>
          <w:lang w:val="en-GB"/>
        </w:rPr>
      </w:pPr>
    </w:p>
    <w:p w14:paraId="27398C5E" w14:textId="77777777" w:rsidR="0061127B" w:rsidRPr="004B7F3D" w:rsidRDefault="0061127B" w:rsidP="003571C9">
      <w:pPr>
        <w:pStyle w:val="ListParagraph"/>
        <w:numPr>
          <w:ilvl w:val="0"/>
          <w:numId w:val="10"/>
        </w:numPr>
        <w:autoSpaceDE/>
        <w:adjustRightInd/>
        <w:ind w:left="360" w:hanging="360"/>
        <w:jc w:val="both"/>
        <w:rPr>
          <w:rFonts w:cs="Arial"/>
          <w:sz w:val="22"/>
          <w:szCs w:val="22"/>
          <w:lang w:val="en-GB"/>
        </w:rPr>
      </w:pPr>
      <w:r w:rsidRPr="004B7F3D">
        <w:rPr>
          <w:rFonts w:cs="Arial"/>
          <w:sz w:val="22"/>
          <w:szCs w:val="22"/>
          <w:lang w:val="en-GB"/>
        </w:rPr>
        <w:t>Through its internship programme, the Secretariat has enjoyed the valuable support of university graduates or students who have assisted CMS staff in their day-to-day work for an average period of three months on a non-remunerative basis. During the current triennium, over 50 interns from various countries have assisted the Secretariat in the accomplishment of tasks or projects in the scientific/technical, administrative and information fields.</w:t>
      </w:r>
    </w:p>
    <w:p w14:paraId="6DEAFA6D" w14:textId="4CEDF96E" w:rsidR="004B7F3D" w:rsidRDefault="004B7F3D" w:rsidP="003571C9">
      <w:pPr>
        <w:pStyle w:val="ListParagraph"/>
        <w:autoSpaceDE/>
        <w:adjustRightInd/>
        <w:ind w:left="360" w:hanging="360"/>
        <w:jc w:val="both"/>
        <w:rPr>
          <w:rFonts w:cs="Arial"/>
          <w:sz w:val="22"/>
          <w:szCs w:val="22"/>
          <w:lang w:val="en-GB"/>
        </w:rPr>
      </w:pPr>
    </w:p>
    <w:p w14:paraId="76407218" w14:textId="287F8186" w:rsidR="006046C7" w:rsidRPr="00A30286" w:rsidRDefault="006046C7" w:rsidP="003571C9">
      <w:pPr>
        <w:pStyle w:val="ListParagraph"/>
        <w:ind w:left="360" w:hanging="360"/>
        <w:jc w:val="both"/>
        <w:rPr>
          <w:rFonts w:cs="Arial"/>
          <w:b/>
          <w:sz w:val="20"/>
          <w:szCs w:val="20"/>
          <w:lang w:val="en-GB"/>
        </w:rPr>
      </w:pPr>
      <w:r w:rsidRPr="00A30286">
        <w:rPr>
          <w:rFonts w:cs="Arial"/>
          <w:b/>
          <w:sz w:val="20"/>
          <w:szCs w:val="20"/>
          <w:lang w:val="en-GB"/>
        </w:rPr>
        <w:t>Migratory Species Champion Programme</w:t>
      </w:r>
    </w:p>
    <w:p w14:paraId="6086C93A" w14:textId="77777777" w:rsidR="006046C7" w:rsidRDefault="006046C7" w:rsidP="003571C9">
      <w:pPr>
        <w:pStyle w:val="ListParagraph"/>
        <w:autoSpaceDE/>
        <w:adjustRightInd/>
        <w:ind w:left="360" w:hanging="360"/>
        <w:jc w:val="both"/>
        <w:rPr>
          <w:rFonts w:cs="Arial"/>
          <w:sz w:val="22"/>
          <w:szCs w:val="22"/>
          <w:lang w:val="en-GB"/>
        </w:rPr>
      </w:pPr>
    </w:p>
    <w:p w14:paraId="76E6691A" w14:textId="0D85B719" w:rsidR="0081416E" w:rsidRDefault="00824C7C" w:rsidP="003571C9">
      <w:pPr>
        <w:pStyle w:val="ListParagraph"/>
        <w:numPr>
          <w:ilvl w:val="0"/>
          <w:numId w:val="10"/>
        </w:numPr>
        <w:autoSpaceDE/>
        <w:adjustRightInd/>
        <w:ind w:left="360" w:hanging="360"/>
        <w:jc w:val="both"/>
        <w:rPr>
          <w:rFonts w:cs="Arial"/>
          <w:sz w:val="22"/>
          <w:szCs w:val="22"/>
          <w:lang w:val="en-GB"/>
        </w:rPr>
      </w:pPr>
      <w:r>
        <w:rPr>
          <w:rFonts w:cs="Arial"/>
          <w:sz w:val="22"/>
          <w:szCs w:val="22"/>
          <w:lang w:val="en-GB"/>
        </w:rPr>
        <w:t>Following</w:t>
      </w:r>
      <w:r w:rsidRPr="004B7F3D">
        <w:rPr>
          <w:rFonts w:cs="Arial"/>
          <w:sz w:val="22"/>
          <w:szCs w:val="22"/>
          <w:lang w:val="en-GB"/>
        </w:rPr>
        <w:t xml:space="preserve"> Resolution 10.9 on the Future Structure and Strategies of the CMS Family, the CMS Secretariat</w:t>
      </w:r>
      <w:r w:rsidR="00110F6F">
        <w:rPr>
          <w:rFonts w:cs="Arial"/>
          <w:sz w:val="22"/>
          <w:szCs w:val="22"/>
          <w:lang w:val="en-GB"/>
        </w:rPr>
        <w:t xml:space="preserve"> has</w:t>
      </w:r>
      <w:r w:rsidRPr="004B7F3D">
        <w:rPr>
          <w:rFonts w:cs="Arial"/>
          <w:sz w:val="22"/>
          <w:szCs w:val="22"/>
          <w:lang w:val="en-GB"/>
        </w:rPr>
        <w:t xml:space="preserve"> </w:t>
      </w:r>
      <w:r>
        <w:rPr>
          <w:rFonts w:cs="Arial"/>
          <w:sz w:val="22"/>
          <w:szCs w:val="22"/>
          <w:lang w:val="en-GB"/>
        </w:rPr>
        <w:t>developed</w:t>
      </w:r>
      <w:r w:rsidR="00110F6F" w:rsidRPr="004B7F3D">
        <w:rPr>
          <w:rFonts w:cs="Arial"/>
          <w:sz w:val="22"/>
          <w:szCs w:val="22"/>
          <w:lang w:val="en-GB"/>
        </w:rPr>
        <w:t xml:space="preserve">, in collaboration with the AEWA Secretariat, </w:t>
      </w:r>
      <w:r>
        <w:rPr>
          <w:rFonts w:cs="Arial"/>
          <w:sz w:val="22"/>
          <w:szCs w:val="22"/>
          <w:lang w:val="en-GB"/>
        </w:rPr>
        <w:t>the “</w:t>
      </w:r>
      <w:r w:rsidRPr="004B7F3D">
        <w:rPr>
          <w:rFonts w:cs="Arial"/>
          <w:sz w:val="22"/>
          <w:szCs w:val="22"/>
          <w:lang w:val="en-GB"/>
        </w:rPr>
        <w:t>Migratory Species Champion Programme</w:t>
      </w:r>
      <w:r>
        <w:rPr>
          <w:rFonts w:cs="Arial"/>
          <w:sz w:val="22"/>
          <w:szCs w:val="22"/>
          <w:lang w:val="en-GB"/>
        </w:rPr>
        <w:t xml:space="preserve">”, a </w:t>
      </w:r>
      <w:r w:rsidR="00110F6F">
        <w:rPr>
          <w:rFonts w:cs="Arial"/>
          <w:sz w:val="22"/>
          <w:szCs w:val="22"/>
          <w:lang w:val="en-GB"/>
        </w:rPr>
        <w:t xml:space="preserve">fundraising </w:t>
      </w:r>
      <w:r>
        <w:rPr>
          <w:rFonts w:cs="Arial"/>
          <w:sz w:val="22"/>
          <w:szCs w:val="22"/>
          <w:lang w:val="en-GB"/>
        </w:rPr>
        <w:t xml:space="preserve">scheme </w:t>
      </w:r>
      <w:r w:rsidR="00110F6F">
        <w:rPr>
          <w:rFonts w:cs="Arial"/>
          <w:sz w:val="22"/>
          <w:szCs w:val="22"/>
          <w:lang w:val="en-GB"/>
        </w:rPr>
        <w:t xml:space="preserve">to </w:t>
      </w:r>
      <w:r w:rsidR="00110F6F" w:rsidRPr="00110F6F">
        <w:rPr>
          <w:rFonts w:cs="Arial"/>
          <w:sz w:val="22"/>
          <w:szCs w:val="22"/>
          <w:lang w:val="en-GB"/>
        </w:rPr>
        <w:t>promote the work under the CMS Family and encourage sustainable and predictable support</w:t>
      </w:r>
      <w:r>
        <w:rPr>
          <w:rFonts w:cs="Arial"/>
          <w:sz w:val="22"/>
          <w:szCs w:val="22"/>
          <w:lang w:val="en-GB"/>
        </w:rPr>
        <w:t xml:space="preserve">. </w:t>
      </w:r>
      <w:r w:rsidR="006046C7">
        <w:rPr>
          <w:rFonts w:cs="Arial"/>
          <w:sz w:val="22"/>
          <w:szCs w:val="22"/>
          <w:lang w:val="en-GB"/>
        </w:rPr>
        <w:t>Since the launch of the programme, numerous Champions were recognized by CMS</w:t>
      </w:r>
      <w:r w:rsidR="006046C7" w:rsidRPr="00C22274">
        <w:rPr>
          <w:rFonts w:cs="Arial"/>
          <w:sz w:val="22"/>
          <w:szCs w:val="22"/>
          <w:lang w:val="en-GB"/>
        </w:rPr>
        <w:t xml:space="preserve"> for their generous support and commitment towards</w:t>
      </w:r>
      <w:r w:rsidR="006046C7">
        <w:rPr>
          <w:rFonts w:cs="Arial"/>
          <w:sz w:val="22"/>
          <w:szCs w:val="22"/>
          <w:lang w:val="en-GB"/>
        </w:rPr>
        <w:t xml:space="preserve"> various initiatives:</w:t>
      </w:r>
    </w:p>
    <w:p w14:paraId="005AF18D" w14:textId="6BD399AA" w:rsidR="006046C7" w:rsidRPr="00C22274" w:rsidRDefault="006046C7" w:rsidP="006046C7">
      <w:pPr>
        <w:pStyle w:val="ListParagraph"/>
        <w:numPr>
          <w:ilvl w:val="0"/>
          <w:numId w:val="20"/>
        </w:numPr>
        <w:autoSpaceDE/>
        <w:adjustRightInd/>
        <w:spacing w:before="120"/>
        <w:contextualSpacing w:val="0"/>
        <w:jc w:val="both"/>
        <w:rPr>
          <w:rFonts w:cs="Arial"/>
          <w:sz w:val="22"/>
          <w:szCs w:val="22"/>
          <w:lang w:val="en-GB"/>
        </w:rPr>
      </w:pPr>
      <w:r w:rsidRPr="00C22274">
        <w:rPr>
          <w:rFonts w:cs="Arial"/>
          <w:sz w:val="22"/>
          <w:szCs w:val="22"/>
          <w:lang w:val="en-GB"/>
        </w:rPr>
        <w:t xml:space="preserve">The Government of Germany, through the Federal Ministry for the Environment, Nature Conservation, Building and Nuclear Safety (BMUB) </w:t>
      </w:r>
      <w:r w:rsidR="00C615A9">
        <w:rPr>
          <w:rFonts w:cs="Arial"/>
          <w:sz w:val="22"/>
          <w:szCs w:val="22"/>
          <w:lang w:val="en-GB"/>
        </w:rPr>
        <w:t>was</w:t>
      </w:r>
      <w:r w:rsidR="00C615A9" w:rsidRPr="00C22274">
        <w:rPr>
          <w:rFonts w:cs="Arial"/>
          <w:sz w:val="22"/>
          <w:szCs w:val="22"/>
          <w:lang w:val="en-GB"/>
        </w:rPr>
        <w:t xml:space="preserve"> </w:t>
      </w:r>
      <w:r w:rsidRPr="00C22274">
        <w:rPr>
          <w:rFonts w:cs="Arial"/>
          <w:sz w:val="22"/>
          <w:szCs w:val="22"/>
          <w:lang w:val="en-GB"/>
        </w:rPr>
        <w:t xml:space="preserve">recognized as </w:t>
      </w:r>
      <w:r w:rsidRPr="00C22274">
        <w:rPr>
          <w:rFonts w:cs="Arial"/>
          <w:i/>
          <w:sz w:val="22"/>
          <w:szCs w:val="22"/>
          <w:lang w:val="en-GB"/>
        </w:rPr>
        <w:t>Champion Extraordinaire</w:t>
      </w:r>
      <w:r w:rsidRPr="00C22274">
        <w:rPr>
          <w:rFonts w:cs="Arial"/>
          <w:sz w:val="22"/>
          <w:szCs w:val="22"/>
          <w:lang w:val="en-GB"/>
        </w:rPr>
        <w:t xml:space="preserve"> for </w:t>
      </w:r>
      <w:r>
        <w:rPr>
          <w:rFonts w:cs="Arial"/>
          <w:sz w:val="22"/>
          <w:szCs w:val="22"/>
          <w:lang w:val="en-GB"/>
        </w:rPr>
        <w:t>supporting the</w:t>
      </w:r>
      <w:r w:rsidRPr="00C22274">
        <w:rPr>
          <w:rFonts w:cs="Arial"/>
          <w:sz w:val="22"/>
          <w:szCs w:val="22"/>
          <w:lang w:val="en-GB"/>
        </w:rPr>
        <w:t xml:space="preserve"> operations of the CMS, AEWA, EUROBATS and ASCOBANS Secretariats</w:t>
      </w:r>
      <w:r>
        <w:rPr>
          <w:rFonts w:cs="Arial"/>
          <w:sz w:val="22"/>
          <w:szCs w:val="22"/>
          <w:lang w:val="en-GB"/>
        </w:rPr>
        <w:t>;</w:t>
      </w:r>
    </w:p>
    <w:p w14:paraId="3BF15F4D" w14:textId="2FBB06B8" w:rsidR="006046C7" w:rsidRDefault="006046C7" w:rsidP="006046C7">
      <w:pPr>
        <w:pStyle w:val="ListParagraph"/>
        <w:numPr>
          <w:ilvl w:val="0"/>
          <w:numId w:val="20"/>
        </w:numPr>
        <w:autoSpaceDE/>
        <w:adjustRightInd/>
        <w:spacing w:before="120"/>
        <w:contextualSpacing w:val="0"/>
        <w:jc w:val="both"/>
        <w:rPr>
          <w:rFonts w:cs="Arial"/>
          <w:kern w:val="24"/>
          <w:sz w:val="22"/>
          <w:szCs w:val="22"/>
        </w:rPr>
      </w:pPr>
      <w:r w:rsidRPr="00C22274">
        <w:rPr>
          <w:rFonts w:cs="Arial"/>
          <w:kern w:val="24"/>
          <w:sz w:val="22"/>
          <w:szCs w:val="22"/>
        </w:rPr>
        <w:t xml:space="preserve">The Government of Germany, through BMUB </w:t>
      </w:r>
      <w:r w:rsidR="00C615A9">
        <w:rPr>
          <w:rFonts w:eastAsia="Calibri" w:cs="Arial"/>
          <w:kern w:val="24"/>
          <w:sz w:val="22"/>
          <w:szCs w:val="22"/>
        </w:rPr>
        <w:t>was</w:t>
      </w:r>
      <w:r w:rsidR="00C615A9" w:rsidRPr="00C22274">
        <w:rPr>
          <w:rFonts w:eastAsia="Calibri" w:cs="Arial"/>
          <w:kern w:val="24"/>
          <w:sz w:val="22"/>
          <w:szCs w:val="22"/>
        </w:rPr>
        <w:t xml:space="preserve"> </w:t>
      </w:r>
      <w:r w:rsidRPr="00C22274">
        <w:rPr>
          <w:rFonts w:eastAsia="Calibri" w:cs="Arial"/>
          <w:kern w:val="24"/>
          <w:sz w:val="22"/>
          <w:szCs w:val="22"/>
        </w:rPr>
        <w:t xml:space="preserve">recognized as </w:t>
      </w:r>
      <w:r w:rsidRPr="00C22274">
        <w:rPr>
          <w:rFonts w:cs="Arial"/>
          <w:i/>
          <w:iCs/>
          <w:kern w:val="24"/>
          <w:sz w:val="22"/>
          <w:szCs w:val="22"/>
        </w:rPr>
        <w:t>Champion Plus</w:t>
      </w:r>
      <w:r w:rsidRPr="00C22274">
        <w:rPr>
          <w:rFonts w:cs="Arial"/>
          <w:kern w:val="24"/>
          <w:sz w:val="22"/>
          <w:szCs w:val="22"/>
        </w:rPr>
        <w:t xml:space="preserve"> </w:t>
      </w:r>
      <w:r w:rsidRPr="00C22274">
        <w:rPr>
          <w:rFonts w:cs="Arial"/>
          <w:sz w:val="22"/>
          <w:szCs w:val="22"/>
          <w:lang w:val="en-GB"/>
        </w:rPr>
        <w:t xml:space="preserve">for </w:t>
      </w:r>
      <w:r>
        <w:rPr>
          <w:rFonts w:cs="Arial"/>
          <w:sz w:val="22"/>
          <w:szCs w:val="22"/>
          <w:lang w:val="en-GB"/>
        </w:rPr>
        <w:t xml:space="preserve">supporting </w:t>
      </w:r>
      <w:r w:rsidRPr="00C22274">
        <w:rPr>
          <w:rFonts w:cs="Arial"/>
          <w:kern w:val="24"/>
          <w:sz w:val="22"/>
          <w:szCs w:val="22"/>
        </w:rPr>
        <w:t xml:space="preserve">African elephant conservation </w:t>
      </w:r>
      <w:r>
        <w:rPr>
          <w:rFonts w:cs="Arial"/>
          <w:kern w:val="24"/>
          <w:sz w:val="22"/>
          <w:szCs w:val="22"/>
        </w:rPr>
        <w:t>in</w:t>
      </w:r>
      <w:r w:rsidRPr="00C22274">
        <w:rPr>
          <w:rFonts w:cs="Arial"/>
          <w:kern w:val="24"/>
          <w:sz w:val="22"/>
          <w:szCs w:val="22"/>
        </w:rPr>
        <w:t xml:space="preserve"> 2015-2017;</w:t>
      </w:r>
    </w:p>
    <w:p w14:paraId="35E1E5D7" w14:textId="34FD9357" w:rsidR="006046C7" w:rsidRPr="00C22274" w:rsidRDefault="006046C7" w:rsidP="006046C7">
      <w:pPr>
        <w:pStyle w:val="ListParagraph"/>
        <w:numPr>
          <w:ilvl w:val="0"/>
          <w:numId w:val="20"/>
        </w:numPr>
        <w:autoSpaceDE/>
        <w:adjustRightInd/>
        <w:spacing w:before="120"/>
        <w:contextualSpacing w:val="0"/>
        <w:jc w:val="both"/>
        <w:rPr>
          <w:rFonts w:cs="Arial"/>
          <w:kern w:val="24"/>
          <w:sz w:val="22"/>
          <w:szCs w:val="22"/>
        </w:rPr>
      </w:pPr>
      <w:r w:rsidRPr="00C22274">
        <w:rPr>
          <w:rFonts w:cs="Arial"/>
          <w:kern w:val="24"/>
          <w:sz w:val="22"/>
          <w:szCs w:val="22"/>
        </w:rPr>
        <w:t xml:space="preserve">The Government of Germany, through BMUB </w:t>
      </w:r>
      <w:r w:rsidR="00C615A9">
        <w:rPr>
          <w:rFonts w:eastAsia="Calibri" w:cs="Arial"/>
          <w:kern w:val="24"/>
          <w:sz w:val="22"/>
          <w:szCs w:val="22"/>
        </w:rPr>
        <w:t>was</w:t>
      </w:r>
      <w:r w:rsidR="00C615A9" w:rsidRPr="00C22274">
        <w:rPr>
          <w:rFonts w:eastAsia="Calibri" w:cs="Arial"/>
          <w:kern w:val="24"/>
          <w:sz w:val="22"/>
          <w:szCs w:val="22"/>
        </w:rPr>
        <w:t xml:space="preserve"> </w:t>
      </w:r>
      <w:r w:rsidRPr="00C22274">
        <w:rPr>
          <w:rFonts w:eastAsia="Calibri" w:cs="Arial"/>
          <w:kern w:val="24"/>
          <w:sz w:val="22"/>
          <w:szCs w:val="22"/>
        </w:rPr>
        <w:t xml:space="preserve">recognized as </w:t>
      </w:r>
      <w:r w:rsidRPr="00C22274">
        <w:rPr>
          <w:rFonts w:cs="Arial"/>
          <w:i/>
          <w:iCs/>
          <w:kern w:val="24"/>
          <w:sz w:val="22"/>
          <w:szCs w:val="22"/>
        </w:rPr>
        <w:t>Champion Plus</w:t>
      </w:r>
      <w:r w:rsidRPr="00C22274">
        <w:rPr>
          <w:rFonts w:cs="Arial"/>
          <w:kern w:val="24"/>
          <w:sz w:val="22"/>
          <w:szCs w:val="22"/>
        </w:rPr>
        <w:t xml:space="preserve"> for </w:t>
      </w:r>
      <w:r>
        <w:rPr>
          <w:rFonts w:cs="Arial"/>
          <w:kern w:val="24"/>
          <w:sz w:val="22"/>
          <w:szCs w:val="22"/>
        </w:rPr>
        <w:t>their support to</w:t>
      </w:r>
      <w:r w:rsidRPr="00C22274">
        <w:rPr>
          <w:rFonts w:cs="Arial"/>
          <w:kern w:val="24"/>
          <w:sz w:val="22"/>
          <w:szCs w:val="22"/>
        </w:rPr>
        <w:t xml:space="preserve"> Reconciling Energy Sector Developments with Migratory Species Conservation </w:t>
      </w:r>
      <w:r>
        <w:rPr>
          <w:rFonts w:cs="Arial"/>
          <w:kern w:val="24"/>
          <w:sz w:val="22"/>
          <w:szCs w:val="22"/>
        </w:rPr>
        <w:t>in</w:t>
      </w:r>
      <w:r w:rsidRPr="00C22274">
        <w:rPr>
          <w:rFonts w:cs="Arial"/>
          <w:kern w:val="24"/>
          <w:sz w:val="22"/>
          <w:szCs w:val="22"/>
        </w:rPr>
        <w:t xml:space="preserve"> 2015-2017;</w:t>
      </w:r>
    </w:p>
    <w:p w14:paraId="363B3B4D" w14:textId="7F0A49EB" w:rsidR="006046C7" w:rsidRPr="00C22274" w:rsidRDefault="006046C7" w:rsidP="006046C7">
      <w:pPr>
        <w:pStyle w:val="NormalWeb"/>
        <w:numPr>
          <w:ilvl w:val="0"/>
          <w:numId w:val="20"/>
        </w:numPr>
        <w:spacing w:before="120" w:beforeAutospacing="0" w:after="0" w:afterAutospacing="0"/>
        <w:jc w:val="both"/>
        <w:rPr>
          <w:rFonts w:ascii="Arial" w:eastAsia="Calibri" w:hAnsi="Arial" w:cs="Arial"/>
          <w:kern w:val="24"/>
          <w:sz w:val="22"/>
          <w:szCs w:val="22"/>
        </w:rPr>
      </w:pPr>
      <w:r w:rsidRPr="00C22274">
        <w:rPr>
          <w:rFonts w:ascii="Arial" w:eastAsia="Calibri" w:hAnsi="Arial" w:cs="Arial"/>
          <w:kern w:val="24"/>
          <w:sz w:val="22"/>
          <w:szCs w:val="22"/>
        </w:rPr>
        <w:t xml:space="preserve">The Government of the Principality of Monaco </w:t>
      </w:r>
      <w:r w:rsidR="00C615A9">
        <w:rPr>
          <w:rFonts w:ascii="Arial" w:eastAsia="Calibri" w:hAnsi="Arial" w:cs="Arial"/>
          <w:kern w:val="24"/>
          <w:sz w:val="22"/>
          <w:szCs w:val="22"/>
        </w:rPr>
        <w:t>was</w:t>
      </w:r>
      <w:r w:rsidR="00C615A9" w:rsidRPr="00C22274">
        <w:rPr>
          <w:rFonts w:ascii="Arial" w:eastAsia="Calibri" w:hAnsi="Arial" w:cs="Arial"/>
          <w:kern w:val="24"/>
          <w:sz w:val="22"/>
          <w:szCs w:val="22"/>
        </w:rPr>
        <w:t xml:space="preserve"> </w:t>
      </w:r>
      <w:r w:rsidRPr="00C22274">
        <w:rPr>
          <w:rFonts w:ascii="Arial" w:eastAsia="Calibri" w:hAnsi="Arial" w:cs="Arial"/>
          <w:kern w:val="24"/>
          <w:sz w:val="22"/>
          <w:szCs w:val="22"/>
        </w:rPr>
        <w:t xml:space="preserve">recognized as </w:t>
      </w:r>
      <w:r w:rsidRPr="006046C7">
        <w:rPr>
          <w:rFonts w:ascii="Arial" w:eastAsia="Calibri" w:hAnsi="Arial" w:cs="Arial"/>
          <w:i/>
          <w:kern w:val="24"/>
          <w:sz w:val="22"/>
          <w:szCs w:val="22"/>
        </w:rPr>
        <w:t>Champion Extraordinaire</w:t>
      </w:r>
      <w:r w:rsidRPr="00C22274">
        <w:rPr>
          <w:rFonts w:ascii="Arial" w:eastAsia="Calibri" w:hAnsi="Arial" w:cs="Arial"/>
          <w:kern w:val="24"/>
          <w:sz w:val="22"/>
          <w:szCs w:val="22"/>
        </w:rPr>
        <w:t xml:space="preserve"> for </w:t>
      </w:r>
      <w:r>
        <w:rPr>
          <w:rFonts w:ascii="Arial" w:eastAsia="Calibri" w:hAnsi="Arial" w:cs="Arial"/>
          <w:kern w:val="24"/>
          <w:sz w:val="22"/>
          <w:szCs w:val="22"/>
        </w:rPr>
        <w:t>supporting</w:t>
      </w:r>
      <w:r w:rsidRPr="00C22274">
        <w:rPr>
          <w:rFonts w:ascii="Arial" w:eastAsia="Calibri" w:hAnsi="Arial" w:cs="Arial"/>
          <w:kern w:val="24"/>
          <w:sz w:val="22"/>
          <w:szCs w:val="22"/>
        </w:rPr>
        <w:t xml:space="preserve"> the operations of the ACCOBAMS Secretariat;</w:t>
      </w:r>
    </w:p>
    <w:p w14:paraId="195EDCC8" w14:textId="48C2A9FE" w:rsidR="006046C7" w:rsidRPr="00C22274" w:rsidRDefault="006046C7" w:rsidP="006046C7">
      <w:pPr>
        <w:pStyle w:val="NormalWeb"/>
        <w:numPr>
          <w:ilvl w:val="0"/>
          <w:numId w:val="20"/>
        </w:numPr>
        <w:spacing w:before="120" w:beforeAutospacing="0" w:after="0" w:afterAutospacing="0"/>
        <w:jc w:val="both"/>
        <w:rPr>
          <w:rFonts w:ascii="Arial" w:eastAsia="Calibri" w:hAnsi="Arial" w:cs="Arial"/>
          <w:kern w:val="24"/>
          <w:sz w:val="22"/>
          <w:szCs w:val="22"/>
        </w:rPr>
      </w:pPr>
      <w:r w:rsidRPr="00C22274">
        <w:rPr>
          <w:rFonts w:ascii="Arial" w:eastAsia="Calibri" w:hAnsi="Arial" w:cs="Arial"/>
          <w:kern w:val="24"/>
          <w:sz w:val="22"/>
          <w:szCs w:val="22"/>
        </w:rPr>
        <w:t xml:space="preserve">The Government of the Principality of Monaco </w:t>
      </w:r>
      <w:r w:rsidR="00C615A9">
        <w:rPr>
          <w:rFonts w:ascii="Arial" w:eastAsia="Calibri" w:hAnsi="Arial" w:cs="Arial"/>
          <w:kern w:val="24"/>
          <w:sz w:val="22"/>
          <w:szCs w:val="22"/>
        </w:rPr>
        <w:t>was</w:t>
      </w:r>
      <w:r w:rsidR="00C615A9" w:rsidRPr="00C22274">
        <w:rPr>
          <w:rFonts w:ascii="Arial" w:eastAsia="Calibri" w:hAnsi="Arial" w:cs="Arial"/>
          <w:kern w:val="24"/>
          <w:sz w:val="22"/>
          <w:szCs w:val="22"/>
        </w:rPr>
        <w:t xml:space="preserve"> </w:t>
      </w:r>
      <w:r w:rsidRPr="00C22274">
        <w:rPr>
          <w:rFonts w:ascii="Arial" w:eastAsia="Calibri" w:hAnsi="Arial" w:cs="Arial"/>
          <w:kern w:val="24"/>
          <w:sz w:val="22"/>
          <w:szCs w:val="22"/>
        </w:rPr>
        <w:t xml:space="preserve">recognized as </w:t>
      </w:r>
      <w:r w:rsidRPr="006046C7">
        <w:rPr>
          <w:rFonts w:ascii="Arial" w:eastAsia="Calibri" w:hAnsi="Arial" w:cs="Arial"/>
          <w:i/>
          <w:kern w:val="24"/>
          <w:sz w:val="22"/>
          <w:szCs w:val="22"/>
        </w:rPr>
        <w:t>Champion</w:t>
      </w:r>
      <w:r w:rsidRPr="00C22274">
        <w:rPr>
          <w:rFonts w:ascii="Arial" w:eastAsia="Calibri" w:hAnsi="Arial" w:cs="Arial"/>
          <w:kern w:val="24"/>
          <w:sz w:val="22"/>
          <w:szCs w:val="22"/>
        </w:rPr>
        <w:t xml:space="preserve"> for </w:t>
      </w:r>
      <w:r>
        <w:rPr>
          <w:rFonts w:ascii="Arial" w:eastAsia="Calibri" w:hAnsi="Arial" w:cs="Arial"/>
          <w:kern w:val="24"/>
          <w:sz w:val="22"/>
          <w:szCs w:val="22"/>
        </w:rPr>
        <w:t>supporting</w:t>
      </w:r>
      <w:r w:rsidRPr="00C22274">
        <w:rPr>
          <w:rFonts w:ascii="Arial" w:eastAsia="Calibri" w:hAnsi="Arial" w:cs="Arial"/>
          <w:kern w:val="24"/>
          <w:sz w:val="22"/>
          <w:szCs w:val="22"/>
        </w:rPr>
        <w:t xml:space="preserve"> marine species conservation </w:t>
      </w:r>
      <w:r>
        <w:rPr>
          <w:rFonts w:ascii="Arial" w:eastAsia="Calibri" w:hAnsi="Arial" w:cs="Arial"/>
          <w:kern w:val="24"/>
          <w:sz w:val="22"/>
          <w:szCs w:val="22"/>
        </w:rPr>
        <w:t>in</w:t>
      </w:r>
      <w:r w:rsidRPr="00C22274">
        <w:rPr>
          <w:rFonts w:ascii="Arial" w:eastAsia="Calibri" w:hAnsi="Arial" w:cs="Arial"/>
          <w:kern w:val="24"/>
          <w:sz w:val="22"/>
          <w:szCs w:val="22"/>
        </w:rPr>
        <w:t xml:space="preserve"> 2015 – 2017;</w:t>
      </w:r>
    </w:p>
    <w:p w14:paraId="67489608" w14:textId="77777777" w:rsidR="006046C7" w:rsidRPr="00C22274" w:rsidRDefault="006046C7" w:rsidP="006046C7">
      <w:pPr>
        <w:pStyle w:val="NormalWeb"/>
        <w:numPr>
          <w:ilvl w:val="0"/>
          <w:numId w:val="20"/>
        </w:numPr>
        <w:spacing w:before="120" w:beforeAutospacing="0" w:after="0" w:afterAutospacing="0"/>
        <w:jc w:val="both"/>
        <w:rPr>
          <w:rFonts w:ascii="Arial" w:eastAsia="Calibri" w:hAnsi="Arial" w:cs="Arial"/>
          <w:kern w:val="24"/>
          <w:sz w:val="22"/>
          <w:szCs w:val="22"/>
        </w:rPr>
      </w:pPr>
      <w:r w:rsidRPr="00C22274">
        <w:rPr>
          <w:rFonts w:ascii="Arial" w:eastAsia="Calibri" w:hAnsi="Arial" w:cs="Arial"/>
          <w:kern w:val="24"/>
          <w:sz w:val="22"/>
          <w:szCs w:val="22"/>
        </w:rPr>
        <w:lastRenderedPageBreak/>
        <w:t xml:space="preserve">The Government of Australia were recognized as </w:t>
      </w:r>
      <w:r w:rsidRPr="006046C7">
        <w:rPr>
          <w:rFonts w:ascii="Arial" w:eastAsia="Calibri" w:hAnsi="Arial" w:cs="Arial"/>
          <w:i/>
          <w:kern w:val="24"/>
          <w:sz w:val="22"/>
          <w:szCs w:val="22"/>
        </w:rPr>
        <w:t>Champion</w:t>
      </w:r>
      <w:r w:rsidRPr="00C22274">
        <w:rPr>
          <w:rFonts w:ascii="Arial" w:eastAsia="Calibri" w:hAnsi="Arial" w:cs="Arial"/>
          <w:kern w:val="24"/>
          <w:sz w:val="22"/>
          <w:szCs w:val="22"/>
        </w:rPr>
        <w:t xml:space="preserve"> for support</w:t>
      </w:r>
      <w:r>
        <w:rPr>
          <w:rFonts w:ascii="Arial" w:eastAsia="Calibri" w:hAnsi="Arial" w:cs="Arial"/>
          <w:kern w:val="24"/>
          <w:sz w:val="22"/>
          <w:szCs w:val="22"/>
        </w:rPr>
        <w:t>ing</w:t>
      </w:r>
      <w:r w:rsidRPr="00C22274">
        <w:rPr>
          <w:rFonts w:ascii="Arial" w:eastAsia="Calibri" w:hAnsi="Arial" w:cs="Arial"/>
          <w:kern w:val="24"/>
          <w:sz w:val="22"/>
          <w:szCs w:val="22"/>
        </w:rPr>
        <w:t xml:space="preserve"> Pacific Loggerhead turtle conservation </w:t>
      </w:r>
      <w:r>
        <w:rPr>
          <w:rFonts w:ascii="Arial" w:eastAsia="Calibri" w:hAnsi="Arial" w:cs="Arial"/>
          <w:kern w:val="24"/>
          <w:sz w:val="22"/>
          <w:szCs w:val="22"/>
        </w:rPr>
        <w:t>in</w:t>
      </w:r>
      <w:r w:rsidRPr="00C22274">
        <w:rPr>
          <w:rFonts w:ascii="Arial" w:eastAsia="Calibri" w:hAnsi="Arial" w:cs="Arial"/>
          <w:kern w:val="24"/>
          <w:sz w:val="22"/>
          <w:szCs w:val="22"/>
        </w:rPr>
        <w:t xml:space="preserve"> 2015 – 2017;</w:t>
      </w:r>
    </w:p>
    <w:p w14:paraId="66B0A5A4" w14:textId="6F004538" w:rsidR="006046C7" w:rsidRDefault="006046C7" w:rsidP="00AE6F0E">
      <w:pPr>
        <w:pStyle w:val="NormalWeb"/>
        <w:numPr>
          <w:ilvl w:val="0"/>
          <w:numId w:val="20"/>
        </w:numPr>
        <w:spacing w:before="120" w:beforeAutospacing="0" w:after="0" w:afterAutospacing="0"/>
        <w:jc w:val="both"/>
        <w:rPr>
          <w:rFonts w:ascii="Arial" w:hAnsi="Arial" w:cs="Arial"/>
          <w:sz w:val="22"/>
          <w:szCs w:val="22"/>
        </w:rPr>
      </w:pPr>
      <w:r w:rsidRPr="00C22274">
        <w:rPr>
          <w:rFonts w:ascii="Arial" w:eastAsia="Calibri" w:hAnsi="Arial" w:cs="Arial"/>
          <w:kern w:val="24"/>
          <w:sz w:val="22"/>
          <w:szCs w:val="22"/>
        </w:rPr>
        <w:t xml:space="preserve">The European Commission </w:t>
      </w:r>
      <w:r w:rsidR="00C615A9">
        <w:rPr>
          <w:rFonts w:ascii="Arial" w:eastAsia="Calibri" w:hAnsi="Arial" w:cs="Arial"/>
          <w:kern w:val="24"/>
          <w:sz w:val="22"/>
          <w:szCs w:val="22"/>
        </w:rPr>
        <w:t>was</w:t>
      </w:r>
      <w:r w:rsidR="00C615A9" w:rsidRPr="00C22274">
        <w:rPr>
          <w:rFonts w:ascii="Arial" w:eastAsia="Calibri" w:hAnsi="Arial" w:cs="Arial"/>
          <w:kern w:val="24"/>
          <w:sz w:val="22"/>
          <w:szCs w:val="22"/>
        </w:rPr>
        <w:t xml:space="preserve"> </w:t>
      </w:r>
      <w:r w:rsidRPr="00C22274">
        <w:rPr>
          <w:rFonts w:ascii="Arial" w:eastAsia="Calibri" w:hAnsi="Arial" w:cs="Arial"/>
          <w:kern w:val="24"/>
          <w:sz w:val="22"/>
          <w:szCs w:val="22"/>
        </w:rPr>
        <w:t xml:space="preserve">recognized as </w:t>
      </w:r>
      <w:r w:rsidRPr="00C22274">
        <w:rPr>
          <w:rFonts w:ascii="Arial" w:eastAsia="Calibri" w:hAnsi="Arial" w:cs="Arial"/>
          <w:i/>
          <w:iCs/>
          <w:kern w:val="24"/>
          <w:sz w:val="22"/>
          <w:szCs w:val="22"/>
        </w:rPr>
        <w:t>Champion Plus</w:t>
      </w:r>
      <w:r w:rsidRPr="00C22274">
        <w:rPr>
          <w:rFonts w:ascii="Arial" w:eastAsia="Calibri" w:hAnsi="Arial" w:cs="Arial"/>
          <w:kern w:val="24"/>
          <w:sz w:val="22"/>
          <w:szCs w:val="22"/>
        </w:rPr>
        <w:t xml:space="preserve"> </w:t>
      </w:r>
      <w:r w:rsidRPr="00C22274">
        <w:rPr>
          <w:rFonts w:ascii="Arial" w:hAnsi="Arial" w:cs="Arial"/>
          <w:sz w:val="22"/>
          <w:szCs w:val="22"/>
        </w:rPr>
        <w:t xml:space="preserve">for their support </w:t>
      </w:r>
      <w:r>
        <w:rPr>
          <w:rFonts w:ascii="Arial" w:hAnsi="Arial" w:cs="Arial"/>
          <w:sz w:val="22"/>
          <w:szCs w:val="22"/>
        </w:rPr>
        <w:t>t</w:t>
      </w:r>
      <w:r w:rsidRPr="00C22274">
        <w:rPr>
          <w:rFonts w:ascii="Arial" w:hAnsi="Arial" w:cs="Arial"/>
          <w:sz w:val="22"/>
          <w:szCs w:val="22"/>
        </w:rPr>
        <w:t xml:space="preserve">o addressing Illegal Killing, Taking and Trade of Migratory Birds in the Mediterranean </w:t>
      </w:r>
      <w:r>
        <w:rPr>
          <w:rFonts w:ascii="Arial" w:hAnsi="Arial" w:cs="Arial"/>
          <w:sz w:val="22"/>
          <w:szCs w:val="22"/>
        </w:rPr>
        <w:t>in 2015-2018</w:t>
      </w:r>
      <w:r w:rsidR="00AE6F0E">
        <w:rPr>
          <w:rFonts w:ascii="Arial" w:hAnsi="Arial" w:cs="Arial"/>
          <w:sz w:val="22"/>
          <w:szCs w:val="22"/>
        </w:rPr>
        <w:t xml:space="preserve"> </w:t>
      </w:r>
      <w:r w:rsidR="00AE6F0E" w:rsidRPr="00AE6F0E">
        <w:rPr>
          <w:rFonts w:ascii="Arial" w:hAnsi="Arial" w:cs="Arial"/>
          <w:sz w:val="22"/>
          <w:szCs w:val="22"/>
        </w:rPr>
        <w:t xml:space="preserve">through the Global Public Goods and Challenges (GPGC) </w:t>
      </w:r>
      <w:proofErr w:type="spellStart"/>
      <w:r w:rsidR="00AE6F0E" w:rsidRPr="00AE6F0E">
        <w:rPr>
          <w:rFonts w:ascii="Arial" w:hAnsi="Arial" w:cs="Arial"/>
          <w:sz w:val="22"/>
          <w:szCs w:val="22"/>
        </w:rPr>
        <w:t>Programme</w:t>
      </w:r>
      <w:proofErr w:type="spellEnd"/>
      <w:r w:rsidR="00AE6F0E" w:rsidRPr="00AE6F0E">
        <w:rPr>
          <w:rFonts w:ascii="Arial" w:hAnsi="Arial" w:cs="Arial"/>
          <w:sz w:val="22"/>
          <w:szCs w:val="22"/>
        </w:rPr>
        <w:t xml:space="preserve"> Cooperation Agreements with UN Environment</w:t>
      </w:r>
      <w:r>
        <w:rPr>
          <w:rFonts w:ascii="Arial" w:hAnsi="Arial" w:cs="Arial"/>
          <w:sz w:val="22"/>
          <w:szCs w:val="22"/>
        </w:rPr>
        <w:t>;</w:t>
      </w:r>
    </w:p>
    <w:p w14:paraId="21CF84A2" w14:textId="786C6E46" w:rsidR="006046C7" w:rsidRPr="006046C7" w:rsidRDefault="006046C7" w:rsidP="006046C7">
      <w:pPr>
        <w:pStyle w:val="NormalWeb"/>
        <w:numPr>
          <w:ilvl w:val="0"/>
          <w:numId w:val="20"/>
        </w:numPr>
        <w:spacing w:before="120" w:beforeAutospacing="0" w:after="0" w:afterAutospacing="0"/>
        <w:jc w:val="both"/>
        <w:rPr>
          <w:rFonts w:ascii="Arial" w:hAnsi="Arial" w:cs="Arial"/>
          <w:sz w:val="22"/>
          <w:szCs w:val="22"/>
        </w:rPr>
      </w:pPr>
      <w:r w:rsidRPr="00C22274">
        <w:rPr>
          <w:rFonts w:ascii="Arial" w:eastAsia="Calibri" w:hAnsi="Arial" w:cs="Arial"/>
          <w:kern w:val="24"/>
          <w:sz w:val="22"/>
          <w:szCs w:val="22"/>
        </w:rPr>
        <w:t xml:space="preserve">The European Commission </w:t>
      </w:r>
      <w:r w:rsidR="00C615A9">
        <w:rPr>
          <w:rFonts w:ascii="Arial" w:eastAsia="Calibri" w:hAnsi="Arial" w:cs="Arial"/>
          <w:kern w:val="24"/>
          <w:sz w:val="22"/>
          <w:szCs w:val="22"/>
        </w:rPr>
        <w:t>was</w:t>
      </w:r>
      <w:r w:rsidR="00C615A9" w:rsidRPr="00C22274">
        <w:rPr>
          <w:rFonts w:ascii="Arial" w:eastAsia="Calibri" w:hAnsi="Arial" w:cs="Arial"/>
          <w:kern w:val="24"/>
          <w:sz w:val="22"/>
          <w:szCs w:val="22"/>
        </w:rPr>
        <w:t xml:space="preserve"> </w:t>
      </w:r>
      <w:r w:rsidRPr="00C22274">
        <w:rPr>
          <w:rFonts w:ascii="Arial" w:eastAsia="Calibri" w:hAnsi="Arial" w:cs="Arial"/>
          <w:kern w:val="24"/>
          <w:sz w:val="22"/>
          <w:szCs w:val="22"/>
        </w:rPr>
        <w:t xml:space="preserve">recognized as </w:t>
      </w:r>
      <w:r w:rsidRPr="006046C7">
        <w:rPr>
          <w:rFonts w:ascii="Arial" w:eastAsia="Calibri" w:hAnsi="Arial" w:cs="Arial"/>
          <w:i/>
          <w:kern w:val="24"/>
          <w:sz w:val="22"/>
          <w:szCs w:val="22"/>
        </w:rPr>
        <w:t>Champion Plus</w:t>
      </w:r>
      <w:r w:rsidRPr="00C22274">
        <w:rPr>
          <w:rFonts w:ascii="Arial" w:eastAsia="Calibri" w:hAnsi="Arial" w:cs="Arial"/>
          <w:kern w:val="24"/>
          <w:sz w:val="22"/>
          <w:szCs w:val="22"/>
        </w:rPr>
        <w:t xml:space="preserve"> </w:t>
      </w:r>
      <w:r>
        <w:rPr>
          <w:rFonts w:ascii="Arial" w:eastAsia="Calibri" w:hAnsi="Arial" w:cs="Arial"/>
          <w:kern w:val="24"/>
          <w:sz w:val="22"/>
          <w:szCs w:val="22"/>
        </w:rPr>
        <w:t xml:space="preserve">for their </w:t>
      </w:r>
      <w:r w:rsidRPr="00C22274">
        <w:rPr>
          <w:rFonts w:ascii="Arial" w:eastAsia="Calibri" w:hAnsi="Arial" w:cs="Arial"/>
          <w:kern w:val="24"/>
          <w:sz w:val="22"/>
          <w:szCs w:val="22"/>
        </w:rPr>
        <w:t xml:space="preserve">support </w:t>
      </w:r>
      <w:r>
        <w:rPr>
          <w:rFonts w:ascii="Arial" w:eastAsia="Calibri" w:hAnsi="Arial" w:cs="Arial"/>
          <w:kern w:val="24"/>
          <w:sz w:val="22"/>
          <w:szCs w:val="22"/>
        </w:rPr>
        <w:t xml:space="preserve">to </w:t>
      </w:r>
      <w:r w:rsidRPr="00C22274">
        <w:rPr>
          <w:rFonts w:ascii="Arial" w:eastAsia="Calibri" w:hAnsi="Arial" w:cs="Arial"/>
          <w:kern w:val="24"/>
          <w:sz w:val="22"/>
          <w:szCs w:val="22"/>
        </w:rPr>
        <w:t xml:space="preserve">Building Capacity for Migratory Species Conservation </w:t>
      </w:r>
      <w:r>
        <w:rPr>
          <w:rFonts w:ascii="Arial" w:eastAsia="Calibri" w:hAnsi="Arial" w:cs="Arial"/>
          <w:kern w:val="24"/>
          <w:sz w:val="22"/>
          <w:szCs w:val="22"/>
        </w:rPr>
        <w:t>in</w:t>
      </w:r>
      <w:r w:rsidRPr="00C22274">
        <w:rPr>
          <w:rFonts w:ascii="Arial" w:eastAsia="Calibri" w:hAnsi="Arial" w:cs="Arial"/>
          <w:kern w:val="24"/>
          <w:sz w:val="22"/>
          <w:szCs w:val="22"/>
        </w:rPr>
        <w:t xml:space="preserve"> 2015-2018.</w:t>
      </w:r>
      <w:r w:rsidRPr="006046C7">
        <w:rPr>
          <w:rFonts w:ascii="Arial" w:eastAsia="Calibri" w:hAnsi="Arial" w:cs="Arial"/>
          <w:kern w:val="24"/>
          <w:sz w:val="22"/>
          <w:szCs w:val="22"/>
        </w:rPr>
        <w:t xml:space="preserve"> </w:t>
      </w:r>
    </w:p>
    <w:p w14:paraId="311FFE97" w14:textId="77777777" w:rsidR="006046C7" w:rsidRPr="00C22274" w:rsidRDefault="006046C7" w:rsidP="006046C7">
      <w:pPr>
        <w:pStyle w:val="ListParagraph"/>
        <w:autoSpaceDE/>
        <w:adjustRightInd/>
        <w:spacing w:before="120"/>
        <w:ind w:left="450"/>
        <w:jc w:val="both"/>
        <w:rPr>
          <w:rFonts w:cs="Arial"/>
          <w:sz w:val="22"/>
          <w:szCs w:val="22"/>
        </w:rPr>
      </w:pPr>
    </w:p>
    <w:p w14:paraId="3376A220" w14:textId="77777777" w:rsidR="006046C7" w:rsidRPr="00C22274" w:rsidRDefault="006046C7" w:rsidP="003571C9">
      <w:pPr>
        <w:pStyle w:val="ListParagraph"/>
        <w:numPr>
          <w:ilvl w:val="0"/>
          <w:numId w:val="10"/>
        </w:numPr>
        <w:autoSpaceDE/>
        <w:adjustRightInd/>
        <w:ind w:left="360" w:hanging="360"/>
        <w:jc w:val="both"/>
        <w:rPr>
          <w:rFonts w:cs="Arial"/>
          <w:sz w:val="22"/>
          <w:szCs w:val="22"/>
          <w:lang w:val="en-GB"/>
        </w:rPr>
      </w:pPr>
      <w:r w:rsidRPr="00C22274">
        <w:rPr>
          <w:rFonts w:cs="Arial"/>
          <w:sz w:val="22"/>
          <w:szCs w:val="22"/>
          <w:lang w:val="en-GB"/>
        </w:rPr>
        <w:t>Five new Champions will be nominated at COP12, these being:</w:t>
      </w:r>
    </w:p>
    <w:p w14:paraId="69367319" w14:textId="1A26C7F9" w:rsidR="006046C7" w:rsidRPr="00C22274" w:rsidRDefault="006046C7" w:rsidP="006046C7">
      <w:pPr>
        <w:pStyle w:val="NormalWeb"/>
        <w:numPr>
          <w:ilvl w:val="0"/>
          <w:numId w:val="20"/>
        </w:numPr>
        <w:spacing w:before="120" w:beforeAutospacing="0" w:after="0" w:afterAutospacing="0"/>
        <w:jc w:val="both"/>
        <w:rPr>
          <w:rFonts w:ascii="Arial" w:eastAsia="Calibri" w:hAnsi="Arial" w:cs="Arial"/>
          <w:kern w:val="24"/>
          <w:sz w:val="22"/>
          <w:szCs w:val="22"/>
        </w:rPr>
      </w:pPr>
      <w:r w:rsidRPr="00C22274">
        <w:rPr>
          <w:rFonts w:ascii="Arial" w:eastAsia="Calibri" w:hAnsi="Arial" w:cs="Arial"/>
          <w:kern w:val="24"/>
          <w:sz w:val="22"/>
          <w:szCs w:val="22"/>
        </w:rPr>
        <w:t xml:space="preserve">The Government of the Principality of Monaco </w:t>
      </w:r>
      <w:r w:rsidR="00366871">
        <w:rPr>
          <w:rFonts w:ascii="Arial" w:eastAsia="Calibri" w:hAnsi="Arial" w:cs="Arial"/>
          <w:kern w:val="24"/>
          <w:sz w:val="22"/>
          <w:szCs w:val="22"/>
        </w:rPr>
        <w:t xml:space="preserve">will be </w:t>
      </w:r>
      <w:r w:rsidR="00366871" w:rsidRPr="00C22274">
        <w:rPr>
          <w:rFonts w:ascii="Arial" w:eastAsia="Calibri" w:hAnsi="Arial" w:cs="Arial"/>
          <w:kern w:val="24"/>
          <w:sz w:val="22"/>
          <w:szCs w:val="22"/>
        </w:rPr>
        <w:t xml:space="preserve">recognized as </w:t>
      </w:r>
      <w:r w:rsidR="00366871" w:rsidRPr="006046C7">
        <w:rPr>
          <w:rFonts w:ascii="Arial" w:eastAsia="Calibri" w:hAnsi="Arial" w:cs="Arial"/>
          <w:i/>
          <w:kern w:val="24"/>
          <w:sz w:val="22"/>
          <w:szCs w:val="22"/>
        </w:rPr>
        <w:t>Champion</w:t>
      </w:r>
      <w:r w:rsidR="00366871">
        <w:rPr>
          <w:rFonts w:ascii="Arial" w:eastAsia="Calibri" w:hAnsi="Arial" w:cs="Arial"/>
          <w:i/>
          <w:kern w:val="24"/>
          <w:sz w:val="22"/>
          <w:szCs w:val="22"/>
        </w:rPr>
        <w:t xml:space="preserve"> Plus</w:t>
      </w:r>
      <w:r w:rsidR="00366871" w:rsidRPr="00C22274">
        <w:rPr>
          <w:rFonts w:ascii="Arial" w:eastAsia="Calibri" w:hAnsi="Arial" w:cs="Arial"/>
          <w:kern w:val="24"/>
          <w:sz w:val="22"/>
          <w:szCs w:val="22"/>
        </w:rPr>
        <w:t xml:space="preserve"> for </w:t>
      </w:r>
      <w:r w:rsidR="00366871">
        <w:rPr>
          <w:rFonts w:ascii="Arial" w:eastAsia="Calibri" w:hAnsi="Arial" w:cs="Arial"/>
          <w:kern w:val="24"/>
          <w:sz w:val="22"/>
          <w:szCs w:val="22"/>
        </w:rPr>
        <w:t>supporting</w:t>
      </w:r>
      <w:r w:rsidR="00366871" w:rsidRPr="00C22274">
        <w:rPr>
          <w:rFonts w:ascii="Arial" w:eastAsia="Calibri" w:hAnsi="Arial" w:cs="Arial"/>
          <w:kern w:val="24"/>
          <w:sz w:val="22"/>
          <w:szCs w:val="22"/>
        </w:rPr>
        <w:t xml:space="preserve"> marine species conservation </w:t>
      </w:r>
      <w:r w:rsidR="00366871">
        <w:rPr>
          <w:rFonts w:ascii="Arial" w:eastAsia="Calibri" w:hAnsi="Arial" w:cs="Arial"/>
          <w:kern w:val="24"/>
          <w:sz w:val="22"/>
          <w:szCs w:val="22"/>
        </w:rPr>
        <w:t>in</w:t>
      </w:r>
      <w:r w:rsidR="00366871" w:rsidRPr="00C22274">
        <w:rPr>
          <w:rFonts w:ascii="Arial" w:eastAsia="Calibri" w:hAnsi="Arial" w:cs="Arial"/>
          <w:kern w:val="24"/>
          <w:sz w:val="22"/>
          <w:szCs w:val="22"/>
        </w:rPr>
        <w:t xml:space="preserve"> 201</w:t>
      </w:r>
      <w:r w:rsidR="00366871">
        <w:rPr>
          <w:rFonts w:ascii="Arial" w:eastAsia="Calibri" w:hAnsi="Arial" w:cs="Arial"/>
          <w:kern w:val="24"/>
          <w:sz w:val="22"/>
          <w:szCs w:val="22"/>
        </w:rPr>
        <w:t>8</w:t>
      </w:r>
      <w:r w:rsidR="00366871" w:rsidRPr="00C22274">
        <w:rPr>
          <w:rFonts w:ascii="Arial" w:eastAsia="Calibri" w:hAnsi="Arial" w:cs="Arial"/>
          <w:kern w:val="24"/>
          <w:sz w:val="22"/>
          <w:szCs w:val="22"/>
        </w:rPr>
        <w:t xml:space="preserve"> – 20</w:t>
      </w:r>
      <w:r w:rsidR="00366871">
        <w:rPr>
          <w:rFonts w:ascii="Arial" w:eastAsia="Calibri" w:hAnsi="Arial" w:cs="Arial"/>
          <w:kern w:val="24"/>
          <w:sz w:val="22"/>
          <w:szCs w:val="22"/>
        </w:rPr>
        <w:t>20</w:t>
      </w:r>
      <w:r w:rsidR="00366871" w:rsidRPr="00C22274">
        <w:rPr>
          <w:rFonts w:ascii="Arial" w:eastAsia="Calibri" w:hAnsi="Arial" w:cs="Arial"/>
          <w:kern w:val="24"/>
          <w:sz w:val="22"/>
          <w:szCs w:val="22"/>
        </w:rPr>
        <w:t>;</w:t>
      </w:r>
    </w:p>
    <w:p w14:paraId="68EA7F3D" w14:textId="7ADC0E2E" w:rsidR="006046C7" w:rsidRPr="00C22274" w:rsidRDefault="006046C7" w:rsidP="006046C7">
      <w:pPr>
        <w:pStyle w:val="NormalWeb"/>
        <w:numPr>
          <w:ilvl w:val="0"/>
          <w:numId w:val="20"/>
        </w:numPr>
        <w:spacing w:before="120" w:beforeAutospacing="0" w:after="0" w:afterAutospacing="0"/>
        <w:jc w:val="both"/>
        <w:rPr>
          <w:rFonts w:ascii="Arial" w:eastAsia="Calibri" w:hAnsi="Arial" w:cs="Arial"/>
          <w:kern w:val="24"/>
          <w:sz w:val="22"/>
          <w:szCs w:val="22"/>
        </w:rPr>
      </w:pPr>
      <w:r w:rsidRPr="00C22274">
        <w:rPr>
          <w:rFonts w:ascii="Arial" w:eastAsia="Calibri" w:hAnsi="Arial" w:cs="Arial"/>
          <w:kern w:val="24"/>
          <w:sz w:val="22"/>
          <w:szCs w:val="22"/>
        </w:rPr>
        <w:t xml:space="preserve">The Government of Italy </w:t>
      </w:r>
      <w:r w:rsidR="00366871">
        <w:rPr>
          <w:rFonts w:ascii="Arial" w:eastAsia="Calibri" w:hAnsi="Arial" w:cs="Arial"/>
          <w:kern w:val="24"/>
          <w:sz w:val="22"/>
          <w:szCs w:val="22"/>
        </w:rPr>
        <w:t xml:space="preserve">will be </w:t>
      </w:r>
      <w:r w:rsidR="00366871" w:rsidRPr="00C22274">
        <w:rPr>
          <w:rFonts w:ascii="Arial" w:eastAsia="Calibri" w:hAnsi="Arial" w:cs="Arial"/>
          <w:kern w:val="24"/>
          <w:sz w:val="22"/>
          <w:szCs w:val="22"/>
        </w:rPr>
        <w:t xml:space="preserve">recognized as </w:t>
      </w:r>
      <w:r w:rsidR="00366871" w:rsidRPr="006046C7">
        <w:rPr>
          <w:rFonts w:ascii="Arial" w:eastAsia="Calibri" w:hAnsi="Arial" w:cs="Arial"/>
          <w:i/>
          <w:kern w:val="24"/>
          <w:sz w:val="22"/>
          <w:szCs w:val="22"/>
        </w:rPr>
        <w:t>Champion</w:t>
      </w:r>
      <w:r w:rsidR="00366871">
        <w:rPr>
          <w:rFonts w:ascii="Arial" w:eastAsia="Calibri" w:hAnsi="Arial" w:cs="Arial"/>
          <w:i/>
          <w:kern w:val="24"/>
          <w:sz w:val="22"/>
          <w:szCs w:val="22"/>
        </w:rPr>
        <w:t xml:space="preserve"> Plus</w:t>
      </w:r>
      <w:r w:rsidR="00366871" w:rsidRPr="00C22274">
        <w:rPr>
          <w:rFonts w:ascii="Arial" w:eastAsia="Calibri" w:hAnsi="Arial" w:cs="Arial"/>
          <w:kern w:val="24"/>
          <w:sz w:val="22"/>
          <w:szCs w:val="22"/>
        </w:rPr>
        <w:t xml:space="preserve"> </w:t>
      </w:r>
      <w:r w:rsidRPr="00C22274">
        <w:rPr>
          <w:rFonts w:ascii="Arial" w:eastAsia="Calibri" w:hAnsi="Arial" w:cs="Arial"/>
          <w:kern w:val="24"/>
          <w:sz w:val="22"/>
          <w:szCs w:val="22"/>
        </w:rPr>
        <w:t xml:space="preserve">for </w:t>
      </w:r>
      <w:r w:rsidR="00366871">
        <w:rPr>
          <w:rFonts w:ascii="Arial" w:eastAsia="Calibri" w:hAnsi="Arial" w:cs="Arial"/>
          <w:kern w:val="24"/>
          <w:sz w:val="22"/>
          <w:szCs w:val="22"/>
        </w:rPr>
        <w:t>supporting</w:t>
      </w:r>
      <w:r w:rsidRPr="00C22274">
        <w:rPr>
          <w:rFonts w:ascii="Arial" w:eastAsia="Calibri" w:hAnsi="Arial" w:cs="Arial"/>
          <w:kern w:val="24"/>
          <w:sz w:val="22"/>
          <w:szCs w:val="22"/>
        </w:rPr>
        <w:t xml:space="preserve"> the development of a Global Animal </w:t>
      </w:r>
      <w:r w:rsidR="00175E2B">
        <w:rPr>
          <w:rFonts w:ascii="Arial" w:eastAsia="Calibri" w:hAnsi="Arial" w:cs="Arial"/>
          <w:kern w:val="24"/>
          <w:sz w:val="22"/>
          <w:szCs w:val="22"/>
        </w:rPr>
        <w:t xml:space="preserve">Migration </w:t>
      </w:r>
      <w:r w:rsidRPr="00C22274">
        <w:rPr>
          <w:rFonts w:ascii="Arial" w:eastAsia="Calibri" w:hAnsi="Arial" w:cs="Arial"/>
          <w:kern w:val="24"/>
          <w:sz w:val="22"/>
          <w:szCs w:val="22"/>
        </w:rPr>
        <w:t xml:space="preserve">Atlas </w:t>
      </w:r>
      <w:r w:rsidR="00366871">
        <w:rPr>
          <w:rFonts w:ascii="Arial" w:eastAsia="Calibri" w:hAnsi="Arial" w:cs="Arial"/>
          <w:kern w:val="24"/>
          <w:sz w:val="22"/>
          <w:szCs w:val="22"/>
        </w:rPr>
        <w:t>in</w:t>
      </w:r>
      <w:r w:rsidRPr="00C22274">
        <w:rPr>
          <w:rFonts w:ascii="Arial" w:eastAsia="Calibri" w:hAnsi="Arial" w:cs="Arial"/>
          <w:kern w:val="24"/>
          <w:sz w:val="22"/>
          <w:szCs w:val="22"/>
        </w:rPr>
        <w:t xml:space="preserve"> 2017-2020;</w:t>
      </w:r>
    </w:p>
    <w:p w14:paraId="07203C5A" w14:textId="72CF7A39" w:rsidR="006046C7" w:rsidRDefault="006046C7" w:rsidP="006046C7">
      <w:pPr>
        <w:pStyle w:val="NormalWeb"/>
        <w:numPr>
          <w:ilvl w:val="0"/>
          <w:numId w:val="20"/>
        </w:numPr>
        <w:spacing w:before="120" w:beforeAutospacing="0" w:after="0" w:afterAutospacing="0"/>
        <w:jc w:val="both"/>
        <w:rPr>
          <w:rFonts w:ascii="Arial" w:eastAsia="Calibri" w:hAnsi="Arial" w:cs="Arial"/>
          <w:kern w:val="24"/>
          <w:sz w:val="22"/>
          <w:szCs w:val="22"/>
        </w:rPr>
      </w:pPr>
      <w:r w:rsidRPr="00C22274">
        <w:rPr>
          <w:rFonts w:ascii="Arial" w:eastAsia="Calibri" w:hAnsi="Arial" w:cs="Arial"/>
          <w:kern w:val="24"/>
          <w:sz w:val="22"/>
          <w:szCs w:val="22"/>
        </w:rPr>
        <w:t xml:space="preserve">The Government of Germany </w:t>
      </w:r>
      <w:r w:rsidR="00366871">
        <w:rPr>
          <w:rFonts w:ascii="Arial" w:eastAsia="Calibri" w:hAnsi="Arial" w:cs="Arial"/>
          <w:kern w:val="24"/>
          <w:sz w:val="22"/>
          <w:szCs w:val="22"/>
        </w:rPr>
        <w:t xml:space="preserve">through BMUB </w:t>
      </w:r>
      <w:r w:rsidR="00366871" w:rsidRPr="00C22274">
        <w:rPr>
          <w:rFonts w:ascii="Arial" w:eastAsia="Calibri" w:hAnsi="Arial" w:cs="Arial"/>
          <w:kern w:val="24"/>
          <w:sz w:val="22"/>
          <w:szCs w:val="22"/>
        </w:rPr>
        <w:t>w</w:t>
      </w:r>
      <w:r w:rsidR="00366871">
        <w:rPr>
          <w:rFonts w:ascii="Arial" w:eastAsia="Calibri" w:hAnsi="Arial" w:cs="Arial"/>
          <w:kern w:val="24"/>
          <w:sz w:val="22"/>
          <w:szCs w:val="22"/>
        </w:rPr>
        <w:t>ill be</w:t>
      </w:r>
      <w:r w:rsidR="00366871" w:rsidRPr="00C22274">
        <w:rPr>
          <w:rFonts w:ascii="Arial" w:eastAsia="Calibri" w:hAnsi="Arial" w:cs="Arial"/>
          <w:kern w:val="24"/>
          <w:sz w:val="22"/>
          <w:szCs w:val="22"/>
        </w:rPr>
        <w:t xml:space="preserve"> recognized as </w:t>
      </w:r>
      <w:r w:rsidR="00366871" w:rsidRPr="00366871">
        <w:rPr>
          <w:rFonts w:ascii="Arial" w:eastAsia="Calibri" w:hAnsi="Arial" w:cs="Arial"/>
          <w:kern w:val="24"/>
          <w:sz w:val="22"/>
          <w:szCs w:val="22"/>
        </w:rPr>
        <w:t xml:space="preserve">Champion Plus for </w:t>
      </w:r>
      <w:r w:rsidR="00C615A9">
        <w:rPr>
          <w:rFonts w:ascii="Arial" w:eastAsia="Calibri" w:hAnsi="Arial" w:cs="Arial"/>
          <w:kern w:val="24"/>
          <w:sz w:val="22"/>
          <w:szCs w:val="22"/>
        </w:rPr>
        <w:t>its</w:t>
      </w:r>
      <w:r w:rsidR="00C615A9" w:rsidRPr="00366871">
        <w:rPr>
          <w:rFonts w:ascii="Arial" w:eastAsia="Calibri" w:hAnsi="Arial" w:cs="Arial"/>
          <w:kern w:val="24"/>
          <w:sz w:val="22"/>
          <w:szCs w:val="22"/>
        </w:rPr>
        <w:t xml:space="preserve"> </w:t>
      </w:r>
      <w:r w:rsidR="00366871" w:rsidRPr="00366871">
        <w:rPr>
          <w:rFonts w:ascii="Arial" w:eastAsia="Calibri" w:hAnsi="Arial" w:cs="Arial"/>
          <w:kern w:val="24"/>
          <w:sz w:val="22"/>
          <w:szCs w:val="22"/>
        </w:rPr>
        <w:t>support to R</w:t>
      </w:r>
      <w:r w:rsidR="00366871" w:rsidRPr="00C22274">
        <w:rPr>
          <w:rFonts w:ascii="Arial" w:hAnsi="Arial" w:cs="Arial"/>
          <w:kern w:val="24"/>
          <w:sz w:val="22"/>
          <w:szCs w:val="22"/>
        </w:rPr>
        <w:t>econciling Energy Sector Developments with Migratory Species Conservation</w:t>
      </w:r>
      <w:r w:rsidR="00366871" w:rsidRPr="00C22274">
        <w:rPr>
          <w:rFonts w:ascii="Arial" w:eastAsia="Calibri" w:hAnsi="Arial" w:cs="Arial"/>
          <w:kern w:val="24"/>
          <w:sz w:val="22"/>
          <w:szCs w:val="22"/>
        </w:rPr>
        <w:t xml:space="preserve"> </w:t>
      </w:r>
      <w:r w:rsidR="00366871">
        <w:rPr>
          <w:rFonts w:ascii="Arial" w:eastAsia="Calibri" w:hAnsi="Arial" w:cs="Arial"/>
          <w:kern w:val="24"/>
          <w:sz w:val="22"/>
          <w:szCs w:val="22"/>
        </w:rPr>
        <w:t>in</w:t>
      </w:r>
      <w:r w:rsidRPr="00C22274">
        <w:rPr>
          <w:rFonts w:ascii="Arial" w:eastAsia="Calibri" w:hAnsi="Arial" w:cs="Arial"/>
          <w:kern w:val="24"/>
          <w:sz w:val="22"/>
          <w:szCs w:val="22"/>
        </w:rPr>
        <w:t xml:space="preserve"> 2018-2020;</w:t>
      </w:r>
    </w:p>
    <w:p w14:paraId="2AA9B15A" w14:textId="1C90D438" w:rsidR="00366871" w:rsidRDefault="00366871" w:rsidP="00366871">
      <w:pPr>
        <w:pStyle w:val="NormalWeb"/>
        <w:numPr>
          <w:ilvl w:val="0"/>
          <w:numId w:val="20"/>
        </w:numPr>
        <w:spacing w:before="120" w:beforeAutospacing="0" w:after="0" w:afterAutospacing="0"/>
        <w:jc w:val="both"/>
        <w:rPr>
          <w:rFonts w:ascii="Arial" w:hAnsi="Arial" w:cs="Arial"/>
          <w:sz w:val="22"/>
          <w:szCs w:val="22"/>
        </w:rPr>
      </w:pPr>
      <w:r w:rsidRPr="00C22274">
        <w:rPr>
          <w:rFonts w:ascii="Arial" w:eastAsia="Calibri" w:hAnsi="Arial" w:cs="Arial"/>
          <w:kern w:val="24"/>
          <w:sz w:val="22"/>
          <w:szCs w:val="22"/>
        </w:rPr>
        <w:t xml:space="preserve">The European Commission </w:t>
      </w:r>
      <w:r>
        <w:rPr>
          <w:rFonts w:ascii="Arial" w:eastAsia="Calibri" w:hAnsi="Arial" w:cs="Arial"/>
          <w:kern w:val="24"/>
          <w:sz w:val="22"/>
          <w:szCs w:val="22"/>
        </w:rPr>
        <w:t>will be</w:t>
      </w:r>
      <w:r w:rsidRPr="00C22274">
        <w:rPr>
          <w:rFonts w:ascii="Arial" w:eastAsia="Calibri" w:hAnsi="Arial" w:cs="Arial"/>
          <w:kern w:val="24"/>
          <w:sz w:val="22"/>
          <w:szCs w:val="22"/>
        </w:rPr>
        <w:t xml:space="preserve"> recognized as </w:t>
      </w:r>
      <w:r w:rsidRPr="00C22274">
        <w:rPr>
          <w:rFonts w:ascii="Arial" w:eastAsia="Calibri" w:hAnsi="Arial" w:cs="Arial"/>
          <w:i/>
          <w:iCs/>
          <w:kern w:val="24"/>
          <w:sz w:val="22"/>
          <w:szCs w:val="22"/>
        </w:rPr>
        <w:t>Champion Plus</w:t>
      </w:r>
      <w:r w:rsidRPr="00C22274">
        <w:rPr>
          <w:rFonts w:ascii="Arial" w:eastAsia="Calibri" w:hAnsi="Arial" w:cs="Arial"/>
          <w:kern w:val="24"/>
          <w:sz w:val="22"/>
          <w:szCs w:val="22"/>
        </w:rPr>
        <w:t xml:space="preserve"> </w:t>
      </w:r>
      <w:r w:rsidRPr="00C22274">
        <w:rPr>
          <w:rFonts w:ascii="Arial" w:hAnsi="Arial" w:cs="Arial"/>
          <w:sz w:val="22"/>
          <w:szCs w:val="22"/>
        </w:rPr>
        <w:t xml:space="preserve">for </w:t>
      </w:r>
      <w:r w:rsidR="00C615A9">
        <w:rPr>
          <w:rFonts w:ascii="Arial" w:hAnsi="Arial" w:cs="Arial"/>
          <w:sz w:val="22"/>
          <w:szCs w:val="22"/>
        </w:rPr>
        <w:t>its</w:t>
      </w:r>
      <w:r w:rsidR="00C615A9" w:rsidRPr="00C22274">
        <w:rPr>
          <w:rFonts w:ascii="Arial" w:hAnsi="Arial" w:cs="Arial"/>
          <w:sz w:val="22"/>
          <w:szCs w:val="22"/>
        </w:rPr>
        <w:t xml:space="preserve"> </w:t>
      </w:r>
      <w:r w:rsidRPr="00C22274">
        <w:rPr>
          <w:rFonts w:ascii="Arial" w:hAnsi="Arial" w:cs="Arial"/>
          <w:sz w:val="22"/>
          <w:szCs w:val="22"/>
        </w:rPr>
        <w:t xml:space="preserve">support </w:t>
      </w:r>
      <w:r>
        <w:rPr>
          <w:rFonts w:ascii="Arial" w:hAnsi="Arial" w:cs="Arial"/>
          <w:sz w:val="22"/>
          <w:szCs w:val="22"/>
        </w:rPr>
        <w:t>t</w:t>
      </w:r>
      <w:r w:rsidRPr="00C22274">
        <w:rPr>
          <w:rFonts w:ascii="Arial" w:hAnsi="Arial" w:cs="Arial"/>
          <w:sz w:val="22"/>
          <w:szCs w:val="22"/>
        </w:rPr>
        <w:t xml:space="preserve">o addressing Illegal Killing, Taking and Trade of Migratory Birds in the Mediterranean </w:t>
      </w:r>
      <w:r>
        <w:rPr>
          <w:rFonts w:ascii="Arial" w:hAnsi="Arial" w:cs="Arial"/>
          <w:sz w:val="22"/>
          <w:szCs w:val="22"/>
        </w:rPr>
        <w:t>in 2018-2020;</w:t>
      </w:r>
    </w:p>
    <w:p w14:paraId="1579D837" w14:textId="7B2A3764" w:rsidR="00366871" w:rsidRDefault="00366871" w:rsidP="00FC086F">
      <w:pPr>
        <w:pStyle w:val="NormalWeb"/>
        <w:numPr>
          <w:ilvl w:val="0"/>
          <w:numId w:val="20"/>
        </w:numPr>
        <w:spacing w:before="120" w:beforeAutospacing="0" w:after="0" w:afterAutospacing="0"/>
        <w:jc w:val="both"/>
        <w:rPr>
          <w:rFonts w:ascii="Arial" w:hAnsi="Arial" w:cs="Arial"/>
          <w:sz w:val="22"/>
          <w:szCs w:val="22"/>
        </w:rPr>
      </w:pPr>
      <w:r w:rsidRPr="00C22274">
        <w:rPr>
          <w:rFonts w:ascii="Arial" w:eastAsia="Calibri" w:hAnsi="Arial" w:cs="Arial"/>
          <w:kern w:val="24"/>
          <w:sz w:val="22"/>
          <w:szCs w:val="22"/>
        </w:rPr>
        <w:t xml:space="preserve">The </w:t>
      </w:r>
      <w:r w:rsidRPr="00366871">
        <w:rPr>
          <w:rFonts w:ascii="Arial" w:eastAsia="Calibri" w:hAnsi="Arial" w:cs="Arial"/>
          <w:kern w:val="24"/>
          <w:sz w:val="22"/>
          <w:szCs w:val="22"/>
        </w:rPr>
        <w:t xml:space="preserve">Environment Agency – Abu Dhabi on behalf of the Government of the United Arab Emirates </w:t>
      </w:r>
      <w:r w:rsidRPr="00C22274">
        <w:rPr>
          <w:rFonts w:ascii="Arial" w:eastAsia="Calibri" w:hAnsi="Arial" w:cs="Arial"/>
          <w:kern w:val="24"/>
          <w:sz w:val="22"/>
          <w:szCs w:val="22"/>
        </w:rPr>
        <w:t>w</w:t>
      </w:r>
      <w:r>
        <w:rPr>
          <w:rFonts w:ascii="Arial" w:eastAsia="Calibri" w:hAnsi="Arial" w:cs="Arial"/>
          <w:kern w:val="24"/>
          <w:sz w:val="22"/>
          <w:szCs w:val="22"/>
        </w:rPr>
        <w:t>ill be</w:t>
      </w:r>
      <w:r w:rsidRPr="00C22274">
        <w:rPr>
          <w:rFonts w:ascii="Arial" w:eastAsia="Calibri" w:hAnsi="Arial" w:cs="Arial"/>
          <w:kern w:val="24"/>
          <w:sz w:val="22"/>
          <w:szCs w:val="22"/>
        </w:rPr>
        <w:t xml:space="preserve"> recognized as </w:t>
      </w:r>
      <w:r w:rsidRPr="00C22274">
        <w:rPr>
          <w:rFonts w:ascii="Arial" w:eastAsia="Calibri" w:hAnsi="Arial" w:cs="Arial"/>
          <w:i/>
          <w:iCs/>
          <w:kern w:val="24"/>
          <w:sz w:val="22"/>
          <w:szCs w:val="22"/>
        </w:rPr>
        <w:t>Champion Plus</w:t>
      </w:r>
      <w:r w:rsidRPr="00C22274">
        <w:rPr>
          <w:rFonts w:ascii="Arial" w:eastAsia="Calibri" w:hAnsi="Arial" w:cs="Arial"/>
          <w:kern w:val="24"/>
          <w:sz w:val="22"/>
          <w:szCs w:val="22"/>
        </w:rPr>
        <w:t xml:space="preserve"> </w:t>
      </w:r>
      <w:r w:rsidRPr="00C22274">
        <w:rPr>
          <w:rFonts w:ascii="Arial" w:hAnsi="Arial" w:cs="Arial"/>
          <w:sz w:val="22"/>
          <w:szCs w:val="22"/>
        </w:rPr>
        <w:t xml:space="preserve">for </w:t>
      </w:r>
      <w:r w:rsidR="00FC086F">
        <w:rPr>
          <w:rFonts w:ascii="Arial" w:hAnsi="Arial" w:cs="Arial"/>
          <w:sz w:val="22"/>
          <w:szCs w:val="22"/>
        </w:rPr>
        <w:t xml:space="preserve">supporting </w:t>
      </w:r>
      <w:r w:rsidR="00FC086F" w:rsidRPr="00FC086F">
        <w:rPr>
          <w:rFonts w:ascii="Arial" w:hAnsi="Arial" w:cs="Arial"/>
          <w:sz w:val="22"/>
          <w:szCs w:val="22"/>
        </w:rPr>
        <w:t xml:space="preserve">the conservation of </w:t>
      </w:r>
      <w:r w:rsidR="00C615A9">
        <w:rPr>
          <w:rFonts w:ascii="Arial" w:hAnsi="Arial" w:cs="Arial"/>
          <w:sz w:val="22"/>
          <w:szCs w:val="22"/>
        </w:rPr>
        <w:t>D</w:t>
      </w:r>
      <w:r w:rsidR="00FC086F" w:rsidRPr="00FC086F">
        <w:rPr>
          <w:rFonts w:ascii="Arial" w:hAnsi="Arial" w:cs="Arial"/>
          <w:sz w:val="22"/>
          <w:szCs w:val="22"/>
        </w:rPr>
        <w:t xml:space="preserve">ugongs and birds of prey </w:t>
      </w:r>
      <w:r w:rsidR="00FC086F">
        <w:rPr>
          <w:rFonts w:ascii="Arial" w:hAnsi="Arial" w:cs="Arial"/>
          <w:sz w:val="22"/>
          <w:szCs w:val="22"/>
        </w:rPr>
        <w:t xml:space="preserve">in </w:t>
      </w:r>
      <w:r w:rsidR="00FC086F" w:rsidRPr="00FC086F">
        <w:rPr>
          <w:rFonts w:ascii="Arial" w:hAnsi="Arial" w:cs="Arial"/>
          <w:sz w:val="22"/>
          <w:szCs w:val="22"/>
        </w:rPr>
        <w:t>2015-2019</w:t>
      </w:r>
      <w:r w:rsidR="00FC086F">
        <w:rPr>
          <w:rFonts w:ascii="Arial" w:hAnsi="Arial" w:cs="Arial"/>
          <w:sz w:val="22"/>
          <w:szCs w:val="22"/>
        </w:rPr>
        <w:t>.</w:t>
      </w:r>
    </w:p>
    <w:p w14:paraId="316E9A8B" w14:textId="77777777" w:rsidR="001E153D" w:rsidRPr="00366871" w:rsidRDefault="001E153D" w:rsidP="001E153D">
      <w:pPr>
        <w:pStyle w:val="NormalWeb"/>
        <w:spacing w:before="120" w:beforeAutospacing="0" w:after="0" w:afterAutospacing="0"/>
        <w:ind w:left="720"/>
        <w:jc w:val="both"/>
        <w:rPr>
          <w:rFonts w:ascii="Arial" w:hAnsi="Arial" w:cs="Arial"/>
          <w:sz w:val="22"/>
          <w:szCs w:val="22"/>
        </w:rPr>
      </w:pPr>
    </w:p>
    <w:p w14:paraId="6A962B65" w14:textId="5C96149B" w:rsidR="004B7F3D" w:rsidRPr="00A30286" w:rsidRDefault="004B7F3D" w:rsidP="002535FA">
      <w:pPr>
        <w:pStyle w:val="ListParagraph"/>
        <w:ind w:left="0"/>
        <w:jc w:val="both"/>
        <w:rPr>
          <w:rFonts w:cs="Arial"/>
          <w:b/>
          <w:sz w:val="20"/>
          <w:szCs w:val="20"/>
          <w:lang w:val="en-GB"/>
        </w:rPr>
      </w:pPr>
      <w:r w:rsidRPr="00A30286">
        <w:rPr>
          <w:rFonts w:cs="Arial"/>
          <w:b/>
          <w:sz w:val="20"/>
          <w:szCs w:val="20"/>
          <w:lang w:val="en-GB"/>
        </w:rPr>
        <w:t>Enhancing engagement with the Global Environment Facility (</w:t>
      </w:r>
      <w:r w:rsidR="00C55125">
        <w:rPr>
          <w:rFonts w:cs="Arial"/>
          <w:b/>
          <w:sz w:val="20"/>
          <w:szCs w:val="20"/>
          <w:lang w:val="en-GB"/>
        </w:rPr>
        <w:t>GEF</w:t>
      </w:r>
      <w:r w:rsidRPr="00A30286">
        <w:rPr>
          <w:rFonts w:cs="Arial"/>
          <w:b/>
          <w:sz w:val="20"/>
          <w:szCs w:val="20"/>
          <w:lang w:val="en-GB"/>
        </w:rPr>
        <w:t>)</w:t>
      </w:r>
    </w:p>
    <w:p w14:paraId="1E0BAF04" w14:textId="16A76D06" w:rsidR="004B7F3D" w:rsidRDefault="004B7F3D" w:rsidP="004B7F3D">
      <w:pPr>
        <w:pStyle w:val="ListParagraph"/>
        <w:ind w:left="0"/>
        <w:jc w:val="both"/>
        <w:rPr>
          <w:rFonts w:cs="Arial"/>
          <w:sz w:val="22"/>
          <w:szCs w:val="22"/>
          <w:lang w:val="en-GB"/>
        </w:rPr>
      </w:pPr>
    </w:p>
    <w:p w14:paraId="07640182" w14:textId="4390184A" w:rsidR="00C55125" w:rsidRPr="00C55125" w:rsidRDefault="00C55125" w:rsidP="003571C9">
      <w:pPr>
        <w:pStyle w:val="ListParagraph"/>
        <w:numPr>
          <w:ilvl w:val="0"/>
          <w:numId w:val="10"/>
        </w:numPr>
        <w:autoSpaceDE/>
        <w:adjustRightInd/>
        <w:ind w:left="360" w:hanging="360"/>
        <w:jc w:val="both"/>
        <w:rPr>
          <w:rFonts w:cs="Arial"/>
          <w:sz w:val="22"/>
          <w:szCs w:val="22"/>
          <w:lang w:val="en-GB"/>
        </w:rPr>
      </w:pPr>
      <w:r>
        <w:rPr>
          <w:rFonts w:cs="Arial"/>
          <w:sz w:val="22"/>
          <w:szCs w:val="22"/>
        </w:rPr>
        <w:t xml:space="preserve">Following CMS Resolution 11.10, the Secretariat made progress in promoting funding </w:t>
      </w:r>
      <w:r w:rsidRPr="00A75807">
        <w:rPr>
          <w:rFonts w:cs="Arial"/>
          <w:sz w:val="22"/>
          <w:szCs w:val="22"/>
        </w:rPr>
        <w:t xml:space="preserve">of the national priorities for CMS </w:t>
      </w:r>
      <w:r>
        <w:rPr>
          <w:rFonts w:cs="Arial"/>
          <w:sz w:val="22"/>
          <w:szCs w:val="22"/>
        </w:rPr>
        <w:t xml:space="preserve">through GEF. Details are contained in </w:t>
      </w:r>
      <w:r w:rsidR="004A7FF9">
        <w:rPr>
          <w:rFonts w:cs="Arial"/>
          <w:sz w:val="22"/>
          <w:szCs w:val="22"/>
        </w:rPr>
        <w:t xml:space="preserve">document </w:t>
      </w:r>
      <w:r w:rsidRPr="00C55125">
        <w:rPr>
          <w:rFonts w:cs="Arial"/>
          <w:sz w:val="22"/>
          <w:szCs w:val="22"/>
          <w:lang w:val="en-GB"/>
        </w:rPr>
        <w:t>UNEP/CMS/COP12/Doc.23.1</w:t>
      </w:r>
      <w:r>
        <w:rPr>
          <w:rFonts w:cs="Arial"/>
          <w:sz w:val="22"/>
          <w:szCs w:val="22"/>
          <w:lang w:val="en-GB"/>
        </w:rPr>
        <w:t>.</w:t>
      </w:r>
    </w:p>
    <w:p w14:paraId="183AE36C" w14:textId="77E87D93" w:rsidR="004B7F3D" w:rsidRDefault="004B7F3D" w:rsidP="003571C9">
      <w:pPr>
        <w:pStyle w:val="ListParagraph"/>
        <w:ind w:left="360" w:hanging="360"/>
        <w:rPr>
          <w:rFonts w:cs="Arial"/>
          <w:sz w:val="22"/>
          <w:szCs w:val="22"/>
          <w:lang w:val="en-GB"/>
        </w:rPr>
      </w:pPr>
    </w:p>
    <w:p w14:paraId="4D1EF865" w14:textId="77777777" w:rsidR="00E51B3C" w:rsidRPr="00A30286" w:rsidRDefault="00E51B3C" w:rsidP="003571C9">
      <w:pPr>
        <w:pStyle w:val="ListParagraph"/>
        <w:ind w:left="360" w:hanging="360"/>
        <w:jc w:val="both"/>
        <w:rPr>
          <w:rFonts w:cs="Arial"/>
          <w:b/>
          <w:sz w:val="20"/>
          <w:szCs w:val="20"/>
          <w:lang w:val="en-GB"/>
        </w:rPr>
      </w:pPr>
      <w:r w:rsidRPr="00A30286">
        <w:rPr>
          <w:rFonts w:cs="Arial"/>
          <w:b/>
          <w:sz w:val="20"/>
          <w:szCs w:val="20"/>
          <w:lang w:val="en-GB"/>
        </w:rPr>
        <w:t>Support to conservation work</w:t>
      </w:r>
    </w:p>
    <w:p w14:paraId="382C1EF2" w14:textId="77777777" w:rsidR="00E51B3C" w:rsidRPr="000545FA" w:rsidRDefault="00E51B3C" w:rsidP="003571C9">
      <w:pPr>
        <w:pStyle w:val="ListParagraph"/>
        <w:ind w:left="360" w:hanging="360"/>
        <w:rPr>
          <w:highlight w:val="yellow"/>
        </w:rPr>
      </w:pPr>
    </w:p>
    <w:p w14:paraId="0FAC051B" w14:textId="3E2FB80A" w:rsidR="00E51B3C" w:rsidRPr="002535FA" w:rsidRDefault="00E51B3C" w:rsidP="003571C9">
      <w:pPr>
        <w:pStyle w:val="ListParagraph"/>
        <w:numPr>
          <w:ilvl w:val="0"/>
          <w:numId w:val="10"/>
        </w:numPr>
        <w:autoSpaceDE/>
        <w:adjustRightInd/>
        <w:ind w:left="360" w:hanging="360"/>
        <w:jc w:val="both"/>
        <w:rPr>
          <w:rFonts w:cs="Arial"/>
          <w:sz w:val="22"/>
          <w:szCs w:val="22"/>
          <w:lang w:val="en-GB"/>
        </w:rPr>
      </w:pPr>
      <w:r w:rsidRPr="002535FA">
        <w:rPr>
          <w:rFonts w:cs="Arial"/>
          <w:sz w:val="22"/>
          <w:szCs w:val="22"/>
          <w:lang w:val="en-GB"/>
        </w:rPr>
        <w:t>Web articles and notifications ab</w:t>
      </w:r>
      <w:r w:rsidR="006E153A">
        <w:rPr>
          <w:rFonts w:cs="Arial"/>
          <w:sz w:val="22"/>
          <w:szCs w:val="22"/>
          <w:lang w:val="en-GB"/>
        </w:rPr>
        <w:t>out</w:t>
      </w:r>
      <w:r w:rsidRPr="002535FA">
        <w:rPr>
          <w:rFonts w:cs="Arial"/>
          <w:sz w:val="22"/>
          <w:szCs w:val="22"/>
          <w:lang w:val="en-GB"/>
        </w:rPr>
        <w:t xml:space="preserve"> funding opportunities for conservation actions were produced, as appropriate, to encourage stakeholders to propose projects that contribute to the implementation of the Convention and its instruments. Several CMS partner proposals were supported by the Secretariat with letters of endorsement. </w:t>
      </w:r>
    </w:p>
    <w:p w14:paraId="60417973" w14:textId="77777777" w:rsidR="00F12E7B" w:rsidRPr="00E51B3C" w:rsidRDefault="00F12E7B" w:rsidP="004B7F3D">
      <w:pPr>
        <w:pStyle w:val="ListParagraph"/>
        <w:ind w:left="0"/>
        <w:rPr>
          <w:rFonts w:cs="Arial"/>
          <w:sz w:val="22"/>
          <w:szCs w:val="22"/>
        </w:rPr>
      </w:pPr>
    </w:p>
    <w:p w14:paraId="263353DE" w14:textId="77777777" w:rsidR="004B7F3D" w:rsidRPr="002535FA" w:rsidRDefault="004B7F3D" w:rsidP="002535FA">
      <w:pPr>
        <w:rPr>
          <w:rFonts w:cs="Arial"/>
          <w:sz w:val="22"/>
          <w:szCs w:val="22"/>
          <w:u w:val="single"/>
          <w:lang w:val="en-GB"/>
        </w:rPr>
      </w:pPr>
      <w:r w:rsidRPr="002535FA">
        <w:rPr>
          <w:rFonts w:cs="Arial"/>
          <w:sz w:val="22"/>
          <w:szCs w:val="22"/>
          <w:u w:val="single"/>
          <w:lang w:val="en-GB"/>
        </w:rPr>
        <w:t>Current developments</w:t>
      </w:r>
    </w:p>
    <w:p w14:paraId="1A2536E1" w14:textId="77777777" w:rsidR="004B7F3D" w:rsidRPr="004B7F3D" w:rsidRDefault="004B7F3D" w:rsidP="004B7F3D">
      <w:pPr>
        <w:pStyle w:val="ListParagraph"/>
        <w:ind w:left="0"/>
        <w:rPr>
          <w:rFonts w:cs="Arial"/>
          <w:sz w:val="22"/>
          <w:szCs w:val="22"/>
          <w:highlight w:val="yellow"/>
          <w:lang w:val="en-GB"/>
        </w:rPr>
      </w:pPr>
    </w:p>
    <w:p w14:paraId="64663CD0" w14:textId="278AE110" w:rsidR="000545FA" w:rsidRPr="00AE6F0E" w:rsidRDefault="00AE6F0E" w:rsidP="003571C9">
      <w:pPr>
        <w:pStyle w:val="ListParagraph"/>
        <w:numPr>
          <w:ilvl w:val="0"/>
          <w:numId w:val="10"/>
        </w:numPr>
        <w:autoSpaceDE/>
        <w:adjustRightInd/>
        <w:ind w:left="360" w:hanging="360"/>
        <w:jc w:val="both"/>
        <w:rPr>
          <w:rFonts w:cs="Arial"/>
          <w:sz w:val="22"/>
          <w:szCs w:val="22"/>
          <w:lang w:val="en-GB"/>
        </w:rPr>
      </w:pPr>
      <w:r w:rsidRPr="00AE6F0E">
        <w:rPr>
          <w:rFonts w:cs="Arial"/>
          <w:sz w:val="22"/>
          <w:szCs w:val="22"/>
          <w:lang w:val="en-GB"/>
        </w:rPr>
        <w:t>Final</w:t>
      </w:r>
      <w:r w:rsidR="000545FA" w:rsidRPr="00AE6F0E">
        <w:rPr>
          <w:rFonts w:cs="Arial"/>
          <w:sz w:val="22"/>
          <w:szCs w:val="22"/>
          <w:lang w:val="en-GB"/>
        </w:rPr>
        <w:t xml:space="preserve"> confirmation is expected on the participation of CMS in a EU wildlife conservation programme for the Regional Economic Communities of Eastern Africa (EAC), Southern Africa (SADC) and the Horn of Africa (IGAD (2014-2020). The project implements the 11</w:t>
      </w:r>
      <w:r w:rsidR="000545FA" w:rsidRPr="0081416E">
        <w:rPr>
          <w:rFonts w:cs="Arial"/>
          <w:sz w:val="22"/>
          <w:szCs w:val="22"/>
          <w:vertAlign w:val="superscript"/>
          <w:lang w:val="en-GB"/>
        </w:rPr>
        <w:t>th</w:t>
      </w:r>
      <w:r w:rsidR="00C615A9">
        <w:rPr>
          <w:rFonts w:cs="Arial"/>
          <w:sz w:val="22"/>
          <w:szCs w:val="22"/>
          <w:lang w:val="en-GB"/>
        </w:rPr>
        <w:t xml:space="preserve"> </w:t>
      </w:r>
      <w:r w:rsidR="000545FA" w:rsidRPr="00AE6F0E">
        <w:rPr>
          <w:rFonts w:cs="Arial"/>
          <w:sz w:val="22"/>
          <w:szCs w:val="22"/>
          <w:lang w:val="en-GB"/>
        </w:rPr>
        <w:t>EDF Regional Indicative Programme and aligns to both the regional relevant policies and the EU "</w:t>
      </w:r>
      <w:r w:rsidR="000545FA" w:rsidRPr="002535FA">
        <w:rPr>
          <w:rFonts w:cs="Arial"/>
          <w:sz w:val="22"/>
          <w:szCs w:val="22"/>
          <w:lang w:val="en-GB"/>
        </w:rPr>
        <w:t xml:space="preserve">Larger than Elephants Approach to </w:t>
      </w:r>
      <w:r w:rsidR="00C615A9">
        <w:rPr>
          <w:rFonts w:cs="Arial"/>
          <w:sz w:val="22"/>
          <w:szCs w:val="22"/>
          <w:lang w:val="en-GB"/>
        </w:rPr>
        <w:t>W</w:t>
      </w:r>
      <w:r w:rsidR="00C615A9" w:rsidRPr="002535FA">
        <w:rPr>
          <w:rFonts w:cs="Arial"/>
          <w:sz w:val="22"/>
          <w:szCs w:val="22"/>
          <w:lang w:val="en-GB"/>
        </w:rPr>
        <w:t xml:space="preserve">ildlife </w:t>
      </w:r>
      <w:r w:rsidR="00C615A9">
        <w:rPr>
          <w:rFonts w:cs="Arial"/>
          <w:sz w:val="22"/>
          <w:szCs w:val="22"/>
          <w:lang w:val="en-GB"/>
        </w:rPr>
        <w:t>C</w:t>
      </w:r>
      <w:r w:rsidR="00C615A9" w:rsidRPr="002535FA">
        <w:rPr>
          <w:rFonts w:cs="Arial"/>
          <w:sz w:val="22"/>
          <w:szCs w:val="22"/>
          <w:lang w:val="en-GB"/>
        </w:rPr>
        <w:t xml:space="preserve">onservation </w:t>
      </w:r>
      <w:r w:rsidR="000545FA" w:rsidRPr="002535FA">
        <w:rPr>
          <w:rFonts w:cs="Arial"/>
          <w:sz w:val="22"/>
          <w:szCs w:val="22"/>
          <w:lang w:val="en-GB"/>
        </w:rPr>
        <w:t>in Africa</w:t>
      </w:r>
      <w:r w:rsidR="000545FA" w:rsidRPr="00AE6F0E">
        <w:rPr>
          <w:rFonts w:cs="Arial"/>
          <w:sz w:val="22"/>
          <w:szCs w:val="22"/>
          <w:lang w:val="en-GB"/>
        </w:rPr>
        <w:t>” and the EU Action Plan against Wildlife Trafficking. In partnership with CITES</w:t>
      </w:r>
      <w:r w:rsidR="00F463EB">
        <w:rPr>
          <w:rFonts w:cs="Arial"/>
          <w:sz w:val="22"/>
          <w:szCs w:val="22"/>
          <w:lang w:val="en-GB"/>
        </w:rPr>
        <w:t xml:space="preserve"> and</w:t>
      </w:r>
      <w:r w:rsidR="00F463EB" w:rsidRPr="00AE6F0E">
        <w:rPr>
          <w:rFonts w:cs="Arial"/>
          <w:sz w:val="22"/>
          <w:szCs w:val="22"/>
          <w:lang w:val="en-GB"/>
        </w:rPr>
        <w:t xml:space="preserve"> </w:t>
      </w:r>
      <w:r w:rsidR="000545FA" w:rsidRPr="00AE6F0E">
        <w:rPr>
          <w:rFonts w:cs="Arial"/>
          <w:sz w:val="22"/>
          <w:szCs w:val="22"/>
          <w:lang w:val="en-GB"/>
        </w:rPr>
        <w:t xml:space="preserve">UNODC, CMS will be the lead implementing </w:t>
      </w:r>
      <w:r>
        <w:rPr>
          <w:rFonts w:cs="Arial"/>
          <w:sz w:val="22"/>
          <w:szCs w:val="22"/>
          <w:lang w:val="en-GB"/>
        </w:rPr>
        <w:t>agency</w:t>
      </w:r>
      <w:r w:rsidR="000545FA" w:rsidRPr="00AE6F0E">
        <w:rPr>
          <w:rFonts w:cs="Arial"/>
          <w:sz w:val="22"/>
          <w:szCs w:val="22"/>
          <w:lang w:val="en-GB"/>
        </w:rPr>
        <w:t xml:space="preserve">, responsible for the establishment of </w:t>
      </w:r>
      <w:proofErr w:type="spellStart"/>
      <w:r w:rsidR="000545FA" w:rsidRPr="00AE6F0E">
        <w:rPr>
          <w:rFonts w:cs="Arial"/>
          <w:sz w:val="22"/>
          <w:szCs w:val="22"/>
          <w:lang w:val="en-GB"/>
        </w:rPr>
        <w:t>Transfrontier</w:t>
      </w:r>
      <w:proofErr w:type="spellEnd"/>
      <w:r w:rsidR="000545FA" w:rsidRPr="00AE6F0E">
        <w:rPr>
          <w:rFonts w:cs="Arial"/>
          <w:sz w:val="22"/>
          <w:szCs w:val="22"/>
          <w:lang w:val="en-GB"/>
        </w:rPr>
        <w:t xml:space="preserve"> Conservation Areas in the regions. </w:t>
      </w:r>
      <w:r>
        <w:rPr>
          <w:rFonts w:cs="Arial"/>
          <w:sz w:val="22"/>
          <w:szCs w:val="22"/>
          <w:lang w:val="en-GB"/>
        </w:rPr>
        <w:t xml:space="preserve">The budget allocated for CMS activities amounts to US$2.7 million. </w:t>
      </w:r>
    </w:p>
    <w:p w14:paraId="4137DFCA" w14:textId="77777777" w:rsidR="000545FA" w:rsidRPr="00AE6F0E" w:rsidRDefault="000545FA" w:rsidP="003571C9">
      <w:pPr>
        <w:pStyle w:val="ListParagraph"/>
        <w:autoSpaceDE/>
        <w:adjustRightInd/>
        <w:ind w:left="360" w:hanging="360"/>
        <w:jc w:val="both"/>
        <w:rPr>
          <w:rFonts w:cs="Arial"/>
          <w:sz w:val="22"/>
          <w:szCs w:val="22"/>
          <w:lang w:val="en-GB"/>
        </w:rPr>
      </w:pPr>
    </w:p>
    <w:p w14:paraId="17911543" w14:textId="3273837B" w:rsidR="000545FA" w:rsidRPr="00AE6F0E" w:rsidRDefault="000545FA" w:rsidP="003571C9">
      <w:pPr>
        <w:pStyle w:val="ListParagraph"/>
        <w:numPr>
          <w:ilvl w:val="0"/>
          <w:numId w:val="10"/>
        </w:numPr>
        <w:autoSpaceDE/>
        <w:adjustRightInd/>
        <w:ind w:left="360" w:hanging="360"/>
        <w:jc w:val="both"/>
        <w:rPr>
          <w:rFonts w:cs="Arial"/>
          <w:sz w:val="22"/>
          <w:szCs w:val="22"/>
          <w:lang w:val="en-GB"/>
        </w:rPr>
      </w:pPr>
      <w:r w:rsidRPr="00AE6F0E">
        <w:rPr>
          <w:rFonts w:cs="Arial"/>
          <w:sz w:val="22"/>
          <w:szCs w:val="22"/>
          <w:lang w:val="en-GB"/>
        </w:rPr>
        <w:t xml:space="preserve">Two large project proposals supporting CMS species conservation were submitted to the International Climate Initiative of </w:t>
      </w:r>
      <w:r w:rsidR="00185922">
        <w:rPr>
          <w:rFonts w:cs="Arial"/>
          <w:sz w:val="22"/>
          <w:szCs w:val="22"/>
          <w:lang w:val="en-GB"/>
        </w:rPr>
        <w:t>BMUB</w:t>
      </w:r>
      <w:r w:rsidRPr="00AE6F0E">
        <w:rPr>
          <w:rFonts w:cs="Arial"/>
          <w:sz w:val="22"/>
          <w:szCs w:val="22"/>
          <w:lang w:val="en-GB"/>
        </w:rPr>
        <w:t xml:space="preserve">. In June 2016, the Dugong </w:t>
      </w:r>
      <w:r w:rsidR="00F463EB" w:rsidRPr="00AE6F0E">
        <w:rPr>
          <w:rFonts w:cs="Arial"/>
          <w:sz w:val="22"/>
          <w:szCs w:val="22"/>
          <w:lang w:val="en-GB"/>
        </w:rPr>
        <w:t>M</w:t>
      </w:r>
      <w:r w:rsidR="00F463EB">
        <w:rPr>
          <w:rFonts w:cs="Arial"/>
          <w:sz w:val="22"/>
          <w:szCs w:val="22"/>
          <w:lang w:val="en-GB"/>
        </w:rPr>
        <w:t>O</w:t>
      </w:r>
      <w:r w:rsidR="00F463EB" w:rsidRPr="00AE6F0E">
        <w:rPr>
          <w:rFonts w:cs="Arial"/>
          <w:sz w:val="22"/>
          <w:szCs w:val="22"/>
          <w:lang w:val="en-GB"/>
        </w:rPr>
        <w:t xml:space="preserve">U </w:t>
      </w:r>
      <w:r w:rsidRPr="00AE6F0E">
        <w:rPr>
          <w:rFonts w:cs="Arial"/>
          <w:sz w:val="22"/>
          <w:szCs w:val="22"/>
          <w:lang w:val="en-GB"/>
        </w:rPr>
        <w:t xml:space="preserve">Secretariat (CMS Office – Abu Dhabi) presented a </w:t>
      </w:r>
      <w:r w:rsidR="00AE6F0E">
        <w:rPr>
          <w:rFonts w:cs="Arial"/>
          <w:sz w:val="22"/>
          <w:szCs w:val="22"/>
          <w:lang w:val="en-GB"/>
        </w:rPr>
        <w:t>€</w:t>
      </w:r>
      <w:r w:rsidRPr="00AE6F0E">
        <w:rPr>
          <w:rFonts w:cs="Arial"/>
          <w:sz w:val="22"/>
          <w:szCs w:val="22"/>
          <w:lang w:val="en-GB"/>
        </w:rPr>
        <w:t xml:space="preserve">4.8 million proposal focusing on promoting the sustainability, productivity and resilience of seagrass ecosystems, including in the context of climate change, that are critical to populations of threatened marine species such as </w:t>
      </w:r>
      <w:r w:rsidR="00C615A9">
        <w:rPr>
          <w:rFonts w:cs="Arial"/>
          <w:sz w:val="22"/>
          <w:szCs w:val="22"/>
          <w:lang w:val="en-GB"/>
        </w:rPr>
        <w:t>D</w:t>
      </w:r>
      <w:r w:rsidR="00C615A9" w:rsidRPr="00AE6F0E">
        <w:rPr>
          <w:rFonts w:cs="Arial"/>
          <w:sz w:val="22"/>
          <w:szCs w:val="22"/>
          <w:lang w:val="en-GB"/>
        </w:rPr>
        <w:t>ugong</w:t>
      </w:r>
      <w:r w:rsidR="00C615A9">
        <w:rPr>
          <w:rFonts w:cs="Arial"/>
          <w:sz w:val="22"/>
          <w:szCs w:val="22"/>
          <w:lang w:val="en-GB"/>
        </w:rPr>
        <w:t>s</w:t>
      </w:r>
      <w:r w:rsidR="00C615A9" w:rsidRPr="00AE6F0E">
        <w:rPr>
          <w:rFonts w:cs="Arial"/>
          <w:sz w:val="22"/>
          <w:szCs w:val="22"/>
          <w:lang w:val="en-GB"/>
        </w:rPr>
        <w:t xml:space="preserve"> </w:t>
      </w:r>
      <w:r w:rsidRPr="00AE6F0E">
        <w:rPr>
          <w:rFonts w:cs="Arial"/>
          <w:sz w:val="22"/>
          <w:szCs w:val="22"/>
          <w:lang w:val="en-GB"/>
        </w:rPr>
        <w:t xml:space="preserve">and </w:t>
      </w:r>
      <w:r w:rsidR="00C615A9">
        <w:rPr>
          <w:rFonts w:cs="Arial"/>
          <w:sz w:val="22"/>
          <w:szCs w:val="22"/>
          <w:lang w:val="en-GB"/>
        </w:rPr>
        <w:t>G</w:t>
      </w:r>
      <w:r w:rsidRPr="00AE6F0E">
        <w:rPr>
          <w:rFonts w:cs="Arial"/>
          <w:sz w:val="22"/>
          <w:szCs w:val="22"/>
          <w:lang w:val="en-GB"/>
        </w:rPr>
        <w:t xml:space="preserve">reen </w:t>
      </w:r>
      <w:r w:rsidR="00C615A9">
        <w:rPr>
          <w:rFonts w:cs="Arial"/>
          <w:sz w:val="22"/>
          <w:szCs w:val="22"/>
          <w:lang w:val="en-GB"/>
        </w:rPr>
        <w:t>T</w:t>
      </w:r>
      <w:r w:rsidRPr="00AE6F0E">
        <w:rPr>
          <w:rFonts w:cs="Arial"/>
          <w:sz w:val="22"/>
          <w:szCs w:val="22"/>
          <w:lang w:val="en-GB"/>
        </w:rPr>
        <w:t>urtle</w:t>
      </w:r>
      <w:r w:rsidR="00C615A9">
        <w:rPr>
          <w:rFonts w:cs="Arial"/>
          <w:sz w:val="22"/>
          <w:szCs w:val="22"/>
          <w:lang w:val="en-GB"/>
        </w:rPr>
        <w:t>s</w:t>
      </w:r>
      <w:r w:rsidRPr="00AE6F0E">
        <w:rPr>
          <w:rFonts w:cs="Arial"/>
          <w:sz w:val="22"/>
          <w:szCs w:val="22"/>
          <w:lang w:val="en-GB"/>
        </w:rPr>
        <w:t xml:space="preserve"> in five countries (Malaysia, </w:t>
      </w:r>
      <w:r w:rsidR="00C615A9">
        <w:rPr>
          <w:rFonts w:cs="Arial"/>
          <w:sz w:val="22"/>
          <w:szCs w:val="22"/>
          <w:lang w:val="en-GB"/>
        </w:rPr>
        <w:t xml:space="preserve">the </w:t>
      </w:r>
      <w:r w:rsidRPr="00AE6F0E">
        <w:rPr>
          <w:rFonts w:cs="Arial"/>
          <w:sz w:val="22"/>
          <w:szCs w:val="22"/>
          <w:lang w:val="en-GB"/>
        </w:rPr>
        <w:t xml:space="preserve">Solomon Islands, Thailand, </w:t>
      </w:r>
      <w:r w:rsidRPr="00AE6F0E">
        <w:rPr>
          <w:rFonts w:cs="Arial"/>
          <w:sz w:val="22"/>
          <w:szCs w:val="22"/>
          <w:lang w:val="en-GB"/>
        </w:rPr>
        <w:lastRenderedPageBreak/>
        <w:t xml:space="preserve">Timor-Leste and Vanuatu). The CMS Secretariat also contributed to a grant application submitted by the </w:t>
      </w:r>
      <w:r w:rsidR="001018D1" w:rsidRPr="001018D1">
        <w:rPr>
          <w:rFonts w:cs="Arial"/>
          <w:sz w:val="22"/>
          <w:szCs w:val="22"/>
          <w:lang w:val="en-GB"/>
        </w:rPr>
        <w:t xml:space="preserve">UN Environment Vienna Office </w:t>
      </w:r>
      <w:r w:rsidRPr="00AE6F0E">
        <w:rPr>
          <w:rFonts w:cs="Arial"/>
          <w:sz w:val="22"/>
          <w:szCs w:val="22"/>
          <w:lang w:val="en-GB"/>
        </w:rPr>
        <w:t xml:space="preserve">to enhance the adaptive capacity of Central Asian migratory flagship species (e.g. Argali Sheep, Snow Leopard, </w:t>
      </w:r>
      <w:proofErr w:type="spellStart"/>
      <w:r w:rsidRPr="00AE6F0E">
        <w:rPr>
          <w:rFonts w:cs="Arial"/>
          <w:sz w:val="22"/>
          <w:szCs w:val="22"/>
          <w:lang w:val="en-GB"/>
        </w:rPr>
        <w:t>Saiga</w:t>
      </w:r>
      <w:proofErr w:type="spellEnd"/>
      <w:r w:rsidRPr="00AE6F0E">
        <w:rPr>
          <w:rFonts w:cs="Arial"/>
          <w:sz w:val="22"/>
          <w:szCs w:val="22"/>
          <w:lang w:val="en-GB"/>
        </w:rPr>
        <w:t xml:space="preserve"> Antelope, </w:t>
      </w:r>
      <w:proofErr w:type="spellStart"/>
      <w:r w:rsidRPr="00AE6F0E">
        <w:rPr>
          <w:rFonts w:cs="Arial"/>
          <w:sz w:val="22"/>
          <w:szCs w:val="22"/>
          <w:lang w:val="en-GB"/>
        </w:rPr>
        <w:t>Goitered</w:t>
      </w:r>
      <w:proofErr w:type="spellEnd"/>
      <w:r w:rsidRPr="00AE6F0E">
        <w:rPr>
          <w:rFonts w:cs="Arial"/>
          <w:sz w:val="22"/>
          <w:szCs w:val="22"/>
          <w:lang w:val="en-GB"/>
        </w:rPr>
        <w:t xml:space="preserve"> Gazelle) and associated ecosystems to climate change. </w:t>
      </w:r>
      <w:r w:rsidR="00AE6F0E">
        <w:rPr>
          <w:rFonts w:cs="Arial"/>
          <w:sz w:val="22"/>
          <w:szCs w:val="22"/>
          <w:lang w:val="en-GB"/>
        </w:rPr>
        <w:t>Final c</w:t>
      </w:r>
      <w:r w:rsidRPr="00AE6F0E">
        <w:rPr>
          <w:rFonts w:cs="Arial"/>
          <w:sz w:val="22"/>
          <w:szCs w:val="22"/>
          <w:lang w:val="en-GB"/>
        </w:rPr>
        <w:t>onfirmation of the acceptance of both p</w:t>
      </w:r>
      <w:r w:rsidR="00AE6F0E">
        <w:rPr>
          <w:rFonts w:cs="Arial"/>
          <w:sz w:val="22"/>
          <w:szCs w:val="22"/>
          <w:lang w:val="en-GB"/>
        </w:rPr>
        <w:t xml:space="preserve">rojects is to be received shortly. The budget allocated for CMS activities </w:t>
      </w:r>
      <w:r w:rsidR="001018D1">
        <w:rPr>
          <w:rFonts w:cs="Arial"/>
          <w:sz w:val="22"/>
          <w:szCs w:val="22"/>
          <w:lang w:val="en-GB"/>
        </w:rPr>
        <w:t xml:space="preserve">under the latter project </w:t>
      </w:r>
      <w:r w:rsidR="00AE6F0E">
        <w:rPr>
          <w:rFonts w:cs="Arial"/>
          <w:sz w:val="22"/>
          <w:szCs w:val="22"/>
          <w:lang w:val="en-GB"/>
        </w:rPr>
        <w:t>amounts to €950,000.</w:t>
      </w:r>
    </w:p>
    <w:p w14:paraId="4843A4C8" w14:textId="77777777" w:rsidR="00552F3F" w:rsidRPr="000545FA" w:rsidRDefault="00552F3F" w:rsidP="003571C9">
      <w:pPr>
        <w:pStyle w:val="ListParagraph"/>
        <w:ind w:left="360" w:hanging="360"/>
        <w:rPr>
          <w:rFonts w:cs="Arial"/>
          <w:sz w:val="22"/>
          <w:szCs w:val="22"/>
          <w:highlight w:val="yellow"/>
        </w:rPr>
      </w:pPr>
    </w:p>
    <w:p w14:paraId="16172781" w14:textId="77777777" w:rsidR="004B7F3D" w:rsidRPr="009B2A20" w:rsidRDefault="004B7F3D" w:rsidP="003571C9">
      <w:pPr>
        <w:ind w:left="360" w:hanging="360"/>
        <w:rPr>
          <w:rFonts w:cs="Arial"/>
          <w:sz w:val="22"/>
          <w:szCs w:val="22"/>
          <w:u w:val="single"/>
          <w:lang w:val="en-GB"/>
        </w:rPr>
      </w:pPr>
      <w:r w:rsidRPr="009B2A20">
        <w:rPr>
          <w:rFonts w:cs="Arial"/>
          <w:sz w:val="22"/>
          <w:szCs w:val="22"/>
          <w:u w:val="single"/>
          <w:lang w:val="en-GB"/>
        </w:rPr>
        <w:t>Future needs</w:t>
      </w:r>
    </w:p>
    <w:p w14:paraId="115347CC" w14:textId="77777777" w:rsidR="004B7F3D" w:rsidRPr="004B7F3D" w:rsidRDefault="004B7F3D" w:rsidP="003571C9">
      <w:pPr>
        <w:pStyle w:val="ListParagraph"/>
        <w:ind w:left="360" w:hanging="360"/>
        <w:rPr>
          <w:rFonts w:cs="Arial"/>
          <w:sz w:val="22"/>
          <w:szCs w:val="22"/>
          <w:highlight w:val="yellow"/>
          <w:lang w:val="en-GB"/>
        </w:rPr>
      </w:pPr>
    </w:p>
    <w:p w14:paraId="42F61EF9" w14:textId="1487DB5E" w:rsidR="004B7F3D" w:rsidRPr="004B7F3D" w:rsidRDefault="004B7F3D" w:rsidP="003571C9">
      <w:pPr>
        <w:pStyle w:val="ListParagraph"/>
        <w:numPr>
          <w:ilvl w:val="0"/>
          <w:numId w:val="10"/>
        </w:numPr>
        <w:autoSpaceDE/>
        <w:adjustRightInd/>
        <w:ind w:left="360" w:hanging="360"/>
        <w:jc w:val="both"/>
        <w:rPr>
          <w:rFonts w:cs="Arial"/>
          <w:sz w:val="22"/>
          <w:szCs w:val="22"/>
          <w:lang w:val="en-GB"/>
        </w:rPr>
      </w:pPr>
      <w:r w:rsidRPr="004B7F3D">
        <w:rPr>
          <w:rFonts w:cs="Arial"/>
          <w:sz w:val="22"/>
          <w:szCs w:val="22"/>
          <w:lang w:val="en-GB"/>
        </w:rPr>
        <w:t xml:space="preserve">The Secretariat developed a </w:t>
      </w:r>
      <w:r w:rsidR="00733A90">
        <w:rPr>
          <w:rFonts w:cs="Arial"/>
          <w:sz w:val="22"/>
          <w:szCs w:val="22"/>
          <w:lang w:val="en-GB"/>
        </w:rPr>
        <w:t>P</w:t>
      </w:r>
      <w:r w:rsidRPr="004B7F3D">
        <w:rPr>
          <w:rFonts w:cs="Arial"/>
          <w:sz w:val="22"/>
          <w:szCs w:val="22"/>
          <w:lang w:val="en-GB"/>
        </w:rPr>
        <w:t xml:space="preserve">rogramme of </w:t>
      </w:r>
      <w:r w:rsidR="00733A90">
        <w:rPr>
          <w:rFonts w:cs="Arial"/>
          <w:sz w:val="22"/>
          <w:szCs w:val="22"/>
          <w:lang w:val="en-GB"/>
        </w:rPr>
        <w:t>W</w:t>
      </w:r>
      <w:r w:rsidRPr="004B7F3D">
        <w:rPr>
          <w:rFonts w:cs="Arial"/>
          <w:sz w:val="22"/>
          <w:szCs w:val="22"/>
          <w:lang w:val="en-GB"/>
        </w:rPr>
        <w:t>ork (see document UNEP/CMS/COP1</w:t>
      </w:r>
      <w:r w:rsidR="00733A90">
        <w:rPr>
          <w:rFonts w:cs="Arial"/>
          <w:sz w:val="22"/>
          <w:szCs w:val="22"/>
          <w:lang w:val="en-GB"/>
        </w:rPr>
        <w:t>2</w:t>
      </w:r>
      <w:r w:rsidRPr="004B7F3D">
        <w:rPr>
          <w:rFonts w:cs="Arial"/>
          <w:sz w:val="22"/>
          <w:szCs w:val="22"/>
          <w:lang w:val="en-GB"/>
        </w:rPr>
        <w:t>/Doc.14.2) for the consideration of COP1</w:t>
      </w:r>
      <w:r w:rsidR="00733A90">
        <w:rPr>
          <w:rFonts w:cs="Arial"/>
          <w:sz w:val="22"/>
          <w:szCs w:val="22"/>
          <w:lang w:val="en-GB"/>
        </w:rPr>
        <w:t>2</w:t>
      </w:r>
      <w:r w:rsidRPr="004B7F3D">
        <w:rPr>
          <w:rFonts w:cs="Arial"/>
          <w:sz w:val="22"/>
          <w:szCs w:val="22"/>
          <w:lang w:val="en-GB"/>
        </w:rPr>
        <w:t>, which estimates the resources, human and financial, needed to implement activities for the period 201</w:t>
      </w:r>
      <w:r w:rsidR="00733A90">
        <w:rPr>
          <w:rFonts w:cs="Arial"/>
          <w:sz w:val="22"/>
          <w:szCs w:val="22"/>
          <w:lang w:val="en-GB"/>
        </w:rPr>
        <w:t>8</w:t>
      </w:r>
      <w:r w:rsidRPr="004B7F3D">
        <w:rPr>
          <w:rFonts w:cs="Arial"/>
          <w:sz w:val="22"/>
          <w:szCs w:val="22"/>
          <w:lang w:val="en-GB"/>
        </w:rPr>
        <w:t>-20</w:t>
      </w:r>
      <w:r w:rsidR="00733A90">
        <w:rPr>
          <w:rFonts w:cs="Arial"/>
          <w:sz w:val="22"/>
          <w:szCs w:val="22"/>
          <w:lang w:val="en-GB"/>
        </w:rPr>
        <w:t>20</w:t>
      </w:r>
      <w:r w:rsidRPr="004B7F3D">
        <w:rPr>
          <w:rFonts w:cs="Arial"/>
          <w:sz w:val="22"/>
          <w:szCs w:val="22"/>
          <w:lang w:val="en-GB"/>
        </w:rPr>
        <w:t>. The</w:t>
      </w:r>
      <w:r w:rsidR="00733A90">
        <w:rPr>
          <w:rFonts w:cs="Arial"/>
          <w:sz w:val="22"/>
          <w:szCs w:val="22"/>
          <w:lang w:val="en-GB"/>
        </w:rPr>
        <w:t xml:space="preserve"> POW</w:t>
      </w:r>
      <w:r w:rsidRPr="004B7F3D">
        <w:rPr>
          <w:rFonts w:cs="Arial"/>
          <w:sz w:val="22"/>
          <w:szCs w:val="22"/>
          <w:lang w:val="en-GB"/>
        </w:rPr>
        <w:t xml:space="preserve"> is based on the allocations proposed in the three scenarios of the budget for 20</w:t>
      </w:r>
      <w:r w:rsidR="00733A90">
        <w:rPr>
          <w:rFonts w:cs="Arial"/>
          <w:sz w:val="22"/>
          <w:szCs w:val="22"/>
          <w:lang w:val="en-GB"/>
        </w:rPr>
        <w:t>18-2020</w:t>
      </w:r>
      <w:r w:rsidRPr="004B7F3D">
        <w:rPr>
          <w:rFonts w:cs="Arial"/>
          <w:sz w:val="22"/>
          <w:szCs w:val="22"/>
          <w:lang w:val="en-GB"/>
        </w:rPr>
        <w:t xml:space="preserve"> and indicates the level of additional resources needed by the Secretariat to fully implement its future mandate. This document will provide the basis for resource mobilization efforts for the next triennium.</w:t>
      </w:r>
    </w:p>
    <w:p w14:paraId="1ADFCC06" w14:textId="77777777" w:rsidR="00C14D58" w:rsidRDefault="00C14D58" w:rsidP="00C14D58">
      <w:pPr>
        <w:ind w:left="360"/>
        <w:contextualSpacing/>
        <w:jc w:val="both"/>
        <w:rPr>
          <w:rFonts w:cs="Arial"/>
          <w:i/>
          <w:sz w:val="22"/>
          <w:szCs w:val="22"/>
          <w:lang w:val="en-GB"/>
        </w:rPr>
      </w:pPr>
    </w:p>
    <w:p w14:paraId="5A4CDBB3" w14:textId="77777777" w:rsidR="00C14D58" w:rsidRDefault="00C14D58" w:rsidP="00C14D58">
      <w:pPr>
        <w:jc w:val="both"/>
        <w:rPr>
          <w:rFonts w:cs="Arial"/>
          <w:sz w:val="22"/>
          <w:szCs w:val="22"/>
          <w:lang w:val="en-GB"/>
        </w:rPr>
      </w:pPr>
    </w:p>
    <w:p w14:paraId="519545AE" w14:textId="77777777" w:rsidR="00C14D58" w:rsidRDefault="00C14D58" w:rsidP="00C14D58">
      <w:pPr>
        <w:rPr>
          <w:rFonts w:cs="Arial"/>
          <w:sz w:val="22"/>
          <w:szCs w:val="22"/>
          <w:lang w:val="en-GB"/>
        </w:rPr>
      </w:pPr>
      <w:r>
        <w:rPr>
          <w:rFonts w:cs="Arial"/>
          <w:sz w:val="22"/>
          <w:szCs w:val="22"/>
          <w:u w:val="single"/>
          <w:lang w:val="en-GB"/>
        </w:rPr>
        <w:t>Recommended actions</w:t>
      </w:r>
    </w:p>
    <w:p w14:paraId="669F1460" w14:textId="77777777" w:rsidR="00C14D58" w:rsidRDefault="00C14D58" w:rsidP="00C14D58">
      <w:pPr>
        <w:rPr>
          <w:rFonts w:cs="Arial"/>
          <w:sz w:val="22"/>
          <w:szCs w:val="22"/>
          <w:lang w:val="en-GB"/>
        </w:rPr>
      </w:pPr>
    </w:p>
    <w:p w14:paraId="5047DEEB" w14:textId="58E1730F" w:rsidR="00C14D58" w:rsidRPr="00A666C6" w:rsidRDefault="00C14D58" w:rsidP="00A666C6">
      <w:pPr>
        <w:widowControl/>
        <w:pBdr>
          <w:top w:val="single" w:sz="6" w:space="0" w:color="FFFFFF"/>
          <w:left w:val="single" w:sz="6" w:space="0" w:color="FFFFFF"/>
          <w:bottom w:val="single" w:sz="6" w:space="0" w:color="FFFFFF"/>
          <w:right w:val="single" w:sz="6" w:space="0" w:color="FFFFFF"/>
        </w:pBdr>
        <w:autoSpaceDE/>
        <w:adjustRightInd/>
        <w:contextualSpacing/>
        <w:outlineLvl w:val="1"/>
        <w:rPr>
          <w:rFonts w:cs="Arial"/>
          <w:sz w:val="22"/>
          <w:szCs w:val="22"/>
          <w:lang w:val="en-GB"/>
        </w:rPr>
      </w:pPr>
      <w:r w:rsidRPr="00A666C6">
        <w:rPr>
          <w:rFonts w:cs="Arial"/>
          <w:sz w:val="22"/>
          <w:szCs w:val="22"/>
          <w:lang w:val="en-GB" w:eastAsia="en-GB"/>
        </w:rPr>
        <w:t>The Conference of the Parties is recommended to</w:t>
      </w:r>
      <w:r w:rsidR="00A666C6" w:rsidRPr="00A666C6">
        <w:rPr>
          <w:rFonts w:cs="Arial"/>
          <w:sz w:val="22"/>
          <w:szCs w:val="22"/>
          <w:lang w:val="en-GB"/>
        </w:rPr>
        <w:t xml:space="preserve"> </w:t>
      </w:r>
      <w:r w:rsidRPr="00A666C6">
        <w:rPr>
          <w:rFonts w:cs="Arial"/>
          <w:sz w:val="22"/>
          <w:szCs w:val="22"/>
          <w:lang w:val="en-GB"/>
        </w:rPr>
        <w:t>take note of this document.</w:t>
      </w:r>
    </w:p>
    <w:sectPr w:rsidR="00C14D58" w:rsidRPr="00A666C6" w:rsidSect="00CD2401">
      <w:headerReference w:type="default" r:id="rId18"/>
      <w:headerReference w:type="first" r:id="rId19"/>
      <w:footerReference w:type="first" r:id="rId20"/>
      <w:endnotePr>
        <w:numFmt w:val="decimal"/>
      </w:endnotePr>
      <w:pgSz w:w="11905" w:h="16837" w:code="9"/>
      <w:pgMar w:top="1008" w:right="1411" w:bottom="900" w:left="1411" w:header="432" w:footer="432"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754537" w14:textId="77777777" w:rsidR="006E46C7" w:rsidRDefault="006E46C7">
      <w:r>
        <w:separator/>
      </w:r>
    </w:p>
  </w:endnote>
  <w:endnote w:type="continuationSeparator" w:id="0">
    <w:p w14:paraId="617894B1" w14:textId="77777777" w:rsidR="006E46C7" w:rsidRDefault="006E4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AFEC5" w14:textId="51AE4F13" w:rsidR="00354A9C" w:rsidRPr="00922791" w:rsidRDefault="00354A9C" w:rsidP="00056DC1">
    <w:pPr>
      <w:pStyle w:val="Footer"/>
      <w:ind w:right="-367"/>
      <w:jc w:val="center"/>
      <w:rPr>
        <w:rFonts w:cs="Arial"/>
        <w:szCs w:val="18"/>
      </w:rPr>
    </w:pPr>
    <w:r w:rsidRPr="00922791">
      <w:rPr>
        <w:rFonts w:cs="Arial"/>
        <w:szCs w:val="18"/>
      </w:rPr>
      <w:fldChar w:fldCharType="begin"/>
    </w:r>
    <w:r w:rsidRPr="00922791">
      <w:rPr>
        <w:rFonts w:cs="Arial"/>
        <w:szCs w:val="18"/>
      </w:rPr>
      <w:instrText xml:space="preserve"> PAGE   \* MERGEFORMAT </w:instrText>
    </w:r>
    <w:r w:rsidRPr="00922791">
      <w:rPr>
        <w:rFonts w:cs="Arial"/>
        <w:szCs w:val="18"/>
      </w:rPr>
      <w:fldChar w:fldCharType="separate"/>
    </w:r>
    <w:r w:rsidR="00CD2401">
      <w:rPr>
        <w:rFonts w:cs="Arial"/>
        <w:noProof/>
        <w:szCs w:val="18"/>
      </w:rPr>
      <w:t>8</w:t>
    </w:r>
    <w:r w:rsidRPr="00922791">
      <w:rPr>
        <w:rFonts w:cs="Arial"/>
        <w:noProof/>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C47D9" w14:textId="6DBE2ACB" w:rsidR="00354A9C" w:rsidRPr="00F12E7B" w:rsidRDefault="00354A9C" w:rsidP="00056DC1">
    <w:pPr>
      <w:pStyle w:val="Footer"/>
      <w:ind w:right="-367"/>
      <w:jc w:val="center"/>
      <w:rPr>
        <w:rFonts w:cs="Arial"/>
        <w:szCs w:val="18"/>
      </w:rPr>
    </w:pPr>
    <w:r w:rsidRPr="00F12E7B">
      <w:rPr>
        <w:rFonts w:cs="Arial"/>
        <w:szCs w:val="18"/>
      </w:rPr>
      <w:fldChar w:fldCharType="begin"/>
    </w:r>
    <w:r w:rsidRPr="00F12E7B">
      <w:rPr>
        <w:rFonts w:cs="Arial"/>
        <w:szCs w:val="18"/>
      </w:rPr>
      <w:instrText xml:space="preserve"> PAGE   \* MERGEFORMAT </w:instrText>
    </w:r>
    <w:r w:rsidRPr="00F12E7B">
      <w:rPr>
        <w:rFonts w:cs="Arial"/>
        <w:szCs w:val="18"/>
      </w:rPr>
      <w:fldChar w:fldCharType="separate"/>
    </w:r>
    <w:r w:rsidR="00CD2401">
      <w:rPr>
        <w:rFonts w:cs="Arial"/>
        <w:noProof/>
        <w:szCs w:val="18"/>
      </w:rPr>
      <w:t>7</w:t>
    </w:r>
    <w:r w:rsidRPr="00F12E7B">
      <w:rPr>
        <w:rFonts w:cs="Arial"/>
        <w:noProof/>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EDB47" w14:textId="77777777" w:rsidR="00254721" w:rsidRPr="00CD7355" w:rsidRDefault="00254721" w:rsidP="00015E07">
    <w:pPr>
      <w:pStyle w:val="Footer"/>
      <w:ind w:right="-637"/>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181E28" w14:textId="1DC1C0BE" w:rsidR="00D605A4" w:rsidRPr="00F12E7B" w:rsidRDefault="00015E07" w:rsidP="00015E07">
    <w:pPr>
      <w:pStyle w:val="Footer"/>
      <w:tabs>
        <w:tab w:val="clear" w:pos="8640"/>
        <w:tab w:val="right" w:pos="9083"/>
      </w:tabs>
      <w:jc w:val="center"/>
      <w:rPr>
        <w:rFonts w:cs="Arial"/>
        <w:szCs w:val="18"/>
      </w:rPr>
    </w:pPr>
    <w:r w:rsidRPr="00F12E7B">
      <w:rPr>
        <w:rFonts w:cs="Arial"/>
        <w:noProof/>
        <w:szCs w:val="18"/>
      </w:rPr>
      <w:tab/>
    </w:r>
    <w:r w:rsidRPr="00F12E7B">
      <w:rPr>
        <w:rFonts w:cs="Arial"/>
        <w:szCs w:val="18"/>
      </w:rPr>
      <w:fldChar w:fldCharType="begin"/>
    </w:r>
    <w:r w:rsidRPr="00F12E7B">
      <w:rPr>
        <w:rFonts w:cs="Arial"/>
        <w:szCs w:val="18"/>
      </w:rPr>
      <w:instrText xml:space="preserve"> PAGE   \* MERGEFORMAT </w:instrText>
    </w:r>
    <w:r w:rsidRPr="00F12E7B">
      <w:rPr>
        <w:rFonts w:cs="Arial"/>
        <w:szCs w:val="18"/>
      </w:rPr>
      <w:fldChar w:fldCharType="separate"/>
    </w:r>
    <w:r w:rsidR="00CD2401">
      <w:rPr>
        <w:rFonts w:cs="Arial"/>
        <w:noProof/>
        <w:szCs w:val="18"/>
      </w:rPr>
      <w:t>2</w:t>
    </w:r>
    <w:r w:rsidRPr="00F12E7B">
      <w:rPr>
        <w:rFonts w:cs="Arial"/>
        <w:noProof/>
        <w:szCs w:val="18"/>
      </w:rPr>
      <w:fldChar w:fldCharType="end"/>
    </w:r>
    <w:r w:rsidRPr="00F12E7B">
      <w:rPr>
        <w:rFonts w:cs="Arial"/>
        <w:noProof/>
        <w:szCs w:val="18"/>
      </w:rPr>
      <w:tab/>
    </w:r>
  </w:p>
  <w:p w14:paraId="4849B7C7" w14:textId="77777777" w:rsidR="00D605A4" w:rsidRPr="00D605A4" w:rsidRDefault="00D605A4" w:rsidP="00D605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50A97D" w14:textId="77777777" w:rsidR="006E46C7" w:rsidRDefault="006E46C7">
      <w:r>
        <w:separator/>
      </w:r>
    </w:p>
  </w:footnote>
  <w:footnote w:type="continuationSeparator" w:id="0">
    <w:p w14:paraId="5E5AD963" w14:textId="77777777" w:rsidR="006E46C7" w:rsidRDefault="006E46C7">
      <w:r>
        <w:continuationSeparator/>
      </w:r>
    </w:p>
  </w:footnote>
  <w:footnote w:id="1">
    <w:p w14:paraId="7B16F6F1" w14:textId="5DDD98E5" w:rsidR="008E1D46" w:rsidRPr="008E1D46" w:rsidRDefault="008E1D46">
      <w:pPr>
        <w:pStyle w:val="FootnoteText"/>
        <w:rPr>
          <w:sz w:val="16"/>
          <w:szCs w:val="16"/>
        </w:rPr>
      </w:pPr>
      <w:r w:rsidRPr="008E1D46">
        <w:rPr>
          <w:rStyle w:val="FootnoteReference"/>
          <w:sz w:val="16"/>
          <w:szCs w:val="16"/>
        </w:rPr>
        <w:footnoteRef/>
      </w:r>
      <w:r w:rsidRPr="008E1D46">
        <w:rPr>
          <w:sz w:val="16"/>
          <w:szCs w:val="16"/>
        </w:rPr>
        <w:t xml:space="preserve"> EC: European Commission</w:t>
      </w:r>
    </w:p>
  </w:footnote>
  <w:footnote w:id="2">
    <w:p w14:paraId="3F68CA39" w14:textId="04832D9A" w:rsidR="008E1D46" w:rsidRDefault="008E1D46">
      <w:pPr>
        <w:pStyle w:val="FootnoteText"/>
      </w:pPr>
      <w:r w:rsidRPr="008E1D46">
        <w:rPr>
          <w:rStyle w:val="FootnoteReference"/>
          <w:sz w:val="16"/>
          <w:szCs w:val="16"/>
        </w:rPr>
        <w:footnoteRef/>
      </w:r>
      <w:r w:rsidRPr="008E1D46">
        <w:rPr>
          <w:sz w:val="16"/>
          <w:szCs w:val="16"/>
        </w:rPr>
        <w:t xml:space="preserve"> IKI: International Climate Initiative</w:t>
      </w:r>
      <w:r>
        <w:t xml:space="preserve"> </w:t>
      </w:r>
    </w:p>
  </w:footnote>
  <w:footnote w:id="3">
    <w:p w14:paraId="0D8EAD1E" w14:textId="6FDBE5EC" w:rsidR="008E1D46" w:rsidRDefault="008E1D46">
      <w:pPr>
        <w:pStyle w:val="FootnoteText"/>
      </w:pPr>
      <w:r>
        <w:rPr>
          <w:rStyle w:val="FootnoteReference"/>
        </w:rPr>
        <w:footnoteRef/>
      </w:r>
      <w:r>
        <w:t xml:space="preserve"> MTS and POW:</w:t>
      </w:r>
      <w:r w:rsidR="009F6CFD">
        <w:t xml:space="preserve"> - </w:t>
      </w:r>
      <w:r w:rsidR="0081416E">
        <w:t xml:space="preserve">Medium-Term Strategy and </w:t>
      </w:r>
      <w:proofErr w:type="spellStart"/>
      <w:r w:rsidR="0081416E">
        <w:t>Programme</w:t>
      </w:r>
      <w:proofErr w:type="spellEnd"/>
      <w:r w:rsidR="0081416E">
        <w:t xml:space="preserve"> of Work</w:t>
      </w:r>
    </w:p>
  </w:footnote>
  <w:footnote w:id="4">
    <w:p w14:paraId="303BB756" w14:textId="0B2E74A6" w:rsidR="00825025" w:rsidRDefault="00825025">
      <w:pPr>
        <w:pStyle w:val="FootnoteText"/>
      </w:pPr>
      <w:r w:rsidRPr="0081416E">
        <w:footnoteRef/>
      </w:r>
      <w:r>
        <w:t xml:space="preserve"> </w:t>
      </w:r>
      <w:r w:rsidRPr="0081416E">
        <w:t>GEF: Global Environment Facility</w:t>
      </w:r>
    </w:p>
  </w:footnote>
  <w:footnote w:id="5">
    <w:p w14:paraId="1434ADB7" w14:textId="21809C35" w:rsidR="0081416E" w:rsidRDefault="0081416E">
      <w:pPr>
        <w:pStyle w:val="FootnoteText"/>
      </w:pPr>
      <w:r>
        <w:rPr>
          <w:rStyle w:val="FootnoteReference"/>
        </w:rPr>
        <w:footnoteRef/>
      </w:r>
      <w:r>
        <w:t xml:space="preserve"> USFWS: Unites States Fish and Wildlife Service</w:t>
      </w:r>
    </w:p>
  </w:footnote>
  <w:footnote w:id="6">
    <w:p w14:paraId="02594AA0" w14:textId="3D69B6F1" w:rsidR="0081416E" w:rsidRDefault="0081416E">
      <w:pPr>
        <w:pStyle w:val="FootnoteText"/>
      </w:pPr>
      <w:r>
        <w:rPr>
          <w:rStyle w:val="FootnoteReference"/>
        </w:rPr>
        <w:footnoteRef/>
      </w:r>
      <w:r>
        <w:t xml:space="preserve"> SOS: Save our Species</w:t>
      </w:r>
    </w:p>
  </w:footnote>
  <w:footnote w:id="7">
    <w:p w14:paraId="1C89882D" w14:textId="2DE18F8C" w:rsidR="00A265FE" w:rsidRDefault="00A265FE">
      <w:pPr>
        <w:pStyle w:val="FootnoteText"/>
      </w:pPr>
      <w:r>
        <w:rPr>
          <w:rStyle w:val="FootnoteReference"/>
        </w:rPr>
        <w:footnoteRef/>
      </w:r>
      <w:r>
        <w:t xml:space="preserve"> The German Federal Ministry for the Environment, Nature Conservation, Building and Nuclear Safety (BMUB) and the International Academy for Nature Conservation of the German Federal Agency for Nature Conservation (</w:t>
      </w:r>
      <w:proofErr w:type="spellStart"/>
      <w:r>
        <w:t>BfN</w:t>
      </w:r>
      <w:proofErr w:type="spellEnd"/>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25F75" w14:textId="11CF4AA8" w:rsidR="00354A9C" w:rsidRPr="00E21143" w:rsidRDefault="00354A9C" w:rsidP="00922791">
    <w:pPr>
      <w:pStyle w:val="Heading1"/>
      <w:keepNext w:val="0"/>
      <w:pBdr>
        <w:bottom w:val="single" w:sz="4" w:space="1" w:color="auto"/>
      </w:pBdr>
      <w:tabs>
        <w:tab w:val="clear" w:pos="-720"/>
      </w:tabs>
      <w:ind w:left="261" w:right="-277" w:hanging="261"/>
      <w:rPr>
        <w:rFonts w:cs="Arial"/>
        <w:b w:val="0"/>
        <w:i/>
        <w:sz w:val="18"/>
        <w:szCs w:val="18"/>
        <w:lang w:val="fr-FR"/>
      </w:rPr>
    </w:pPr>
    <w:r w:rsidRPr="00E21143">
      <w:rPr>
        <w:rFonts w:cs="Arial"/>
        <w:b w:val="0"/>
        <w:i/>
        <w:sz w:val="18"/>
        <w:szCs w:val="18"/>
        <w:lang w:val="fr-FR"/>
      </w:rPr>
      <w:t>U</w:t>
    </w:r>
    <w:r w:rsidR="002D5EC0" w:rsidRPr="00E21143">
      <w:rPr>
        <w:rFonts w:cs="Arial"/>
        <w:b w:val="0"/>
        <w:i/>
        <w:sz w:val="18"/>
        <w:szCs w:val="18"/>
        <w:lang w:val="fr-FR"/>
      </w:rPr>
      <w:t>NEP/CMS/COP12</w:t>
    </w:r>
    <w:r w:rsidR="00BB7AB8" w:rsidRPr="00E21143">
      <w:rPr>
        <w:rFonts w:cs="Arial"/>
        <w:b w:val="0"/>
        <w:i/>
        <w:sz w:val="18"/>
        <w:szCs w:val="18"/>
        <w:lang w:val="fr-FR"/>
      </w:rPr>
      <w:t>/Doc.</w:t>
    </w:r>
    <w:r w:rsidR="00CD2401">
      <w:rPr>
        <w:rFonts w:cs="Arial"/>
        <w:b w:val="0"/>
        <w:i/>
        <w:sz w:val="18"/>
        <w:szCs w:val="18"/>
        <w:lang w:val="fr-FR"/>
      </w:rPr>
      <w:t>14.3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C1274" w14:textId="0473BC1E" w:rsidR="00254721" w:rsidRPr="00497E66" w:rsidRDefault="00254721" w:rsidP="00F12E7B">
    <w:pPr>
      <w:pStyle w:val="Heading1"/>
      <w:keepNext w:val="0"/>
      <w:pBdr>
        <w:bottom w:val="single" w:sz="4" w:space="1" w:color="auto"/>
      </w:pBdr>
      <w:tabs>
        <w:tab w:val="clear" w:pos="-720"/>
      </w:tabs>
      <w:ind w:left="261" w:right="11" w:hanging="261"/>
      <w:jc w:val="right"/>
      <w:rPr>
        <w:rFonts w:cs="Arial"/>
        <w:b w:val="0"/>
        <w:i/>
        <w:sz w:val="18"/>
        <w:szCs w:val="18"/>
        <w:lang w:val="fr-FR"/>
      </w:rPr>
    </w:pPr>
    <w:r w:rsidRPr="00497E66">
      <w:rPr>
        <w:rFonts w:cs="Arial"/>
        <w:b w:val="0"/>
        <w:i/>
        <w:sz w:val="18"/>
        <w:szCs w:val="18"/>
        <w:lang w:val="fr-FR"/>
      </w:rPr>
      <w:t>U</w:t>
    </w:r>
    <w:r w:rsidR="00BB7AB8" w:rsidRPr="00497E66">
      <w:rPr>
        <w:rFonts w:cs="Arial"/>
        <w:b w:val="0"/>
        <w:i/>
        <w:sz w:val="18"/>
        <w:szCs w:val="18"/>
        <w:lang w:val="fr-FR"/>
      </w:rPr>
      <w:t>NEP/CMS/COP12</w:t>
    </w:r>
    <w:r w:rsidRPr="00497E66">
      <w:rPr>
        <w:rFonts w:cs="Arial"/>
        <w:b w:val="0"/>
        <w:i/>
        <w:sz w:val="18"/>
        <w:szCs w:val="18"/>
        <w:lang w:val="fr-FR"/>
      </w:rPr>
      <w:t>/Doc</w:t>
    </w:r>
    <w:r w:rsidR="00BB7AB8" w:rsidRPr="00497E66">
      <w:rPr>
        <w:rFonts w:cs="Arial"/>
        <w:b w:val="0"/>
        <w:i/>
        <w:sz w:val="18"/>
        <w:szCs w:val="18"/>
        <w:lang w:val="fr-FR"/>
      </w:rPr>
      <w:t>.</w:t>
    </w:r>
    <w:r w:rsidR="004B7F3D">
      <w:rPr>
        <w:rFonts w:cs="Arial"/>
        <w:b w:val="0"/>
        <w:i/>
        <w:sz w:val="18"/>
        <w:szCs w:val="18"/>
        <w:lang w:val="fr-FR"/>
      </w:rPr>
      <w:t>14.3</w:t>
    </w:r>
  </w:p>
  <w:p w14:paraId="210CD5DE" w14:textId="77777777" w:rsidR="00254721" w:rsidRPr="00497E66" w:rsidRDefault="00254721" w:rsidP="00A27BE3">
    <w:pPr>
      <w:jc w:val="right"/>
      <w:rPr>
        <w:i/>
        <w:szCs w:val="20"/>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46E82" w14:textId="77777777" w:rsidR="00894D19" w:rsidRDefault="00745222" w:rsidP="00894D19">
    <w:pPr>
      <w:pStyle w:val="Header"/>
    </w:pPr>
    <w:r>
      <w:rPr>
        <w:noProof/>
        <w:lang w:val="en-US"/>
      </w:rPr>
      <w:drawing>
        <wp:anchor distT="0" distB="0" distL="114300" distR="114300" simplePos="0" relativeHeight="251657216" behindDoc="1" locked="0" layoutInCell="1" allowOverlap="1" wp14:anchorId="1669999D" wp14:editId="6C36EAC8">
          <wp:simplePos x="0" y="0"/>
          <wp:positionH relativeFrom="column">
            <wp:posOffset>716280</wp:posOffset>
          </wp:positionH>
          <wp:positionV relativeFrom="paragraph">
            <wp:posOffset>-75565</wp:posOffset>
          </wp:positionV>
          <wp:extent cx="431165" cy="441325"/>
          <wp:effectExtent l="0" t="0" r="6985" b="0"/>
          <wp:wrapTight wrapText="bothSides">
            <wp:wrapPolygon edited="0">
              <wp:start x="0" y="0"/>
              <wp:lineTo x="0" y="20512"/>
              <wp:lineTo x="20996" y="20512"/>
              <wp:lineTo x="20996" y="0"/>
              <wp:lineTo x="0" y="0"/>
            </wp:wrapPolygon>
          </wp:wrapTight>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2780" t="-1236" r="60236" b="48836"/>
                  <a:stretch>
                    <a:fillRect/>
                  </a:stretch>
                </pic:blipFill>
                <pic:spPr bwMode="auto">
                  <a:xfrm>
                    <a:off x="0" y="0"/>
                    <a:ext cx="431165" cy="441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8240" behindDoc="1" locked="0" layoutInCell="1" allowOverlap="1" wp14:anchorId="11D9F731" wp14:editId="71ECC214">
          <wp:simplePos x="0" y="0"/>
          <wp:positionH relativeFrom="column">
            <wp:posOffset>0</wp:posOffset>
          </wp:positionH>
          <wp:positionV relativeFrom="paragraph">
            <wp:posOffset>-38100</wp:posOffset>
          </wp:positionV>
          <wp:extent cx="742950" cy="485775"/>
          <wp:effectExtent l="0" t="0" r="0" b="0"/>
          <wp:wrapTight wrapText="bothSides">
            <wp:wrapPolygon edited="0">
              <wp:start x="1662" y="2541"/>
              <wp:lineTo x="1662" y="18635"/>
              <wp:lineTo x="19385" y="18635"/>
              <wp:lineTo x="19385" y="7624"/>
              <wp:lineTo x="18277" y="2541"/>
              <wp:lineTo x="1662" y="2541"/>
            </wp:wrapPolygon>
          </wp:wrapTight>
          <wp:docPr id="9" name="Picture 9" descr="UNEnvironment_Logo_English_Shor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Environment_Logo_English_Short_blac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2950" cy="485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901F32" w14:textId="77777777" w:rsidR="00FA61AF" w:rsidRDefault="00FA61A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F32512" w14:textId="77777777" w:rsidR="00CD2401" w:rsidRPr="00497E66" w:rsidRDefault="00CD2401" w:rsidP="00F12E7B">
    <w:pPr>
      <w:pStyle w:val="Heading1"/>
      <w:keepNext w:val="0"/>
      <w:pBdr>
        <w:bottom w:val="single" w:sz="4" w:space="1" w:color="auto"/>
      </w:pBdr>
      <w:tabs>
        <w:tab w:val="clear" w:pos="-720"/>
      </w:tabs>
      <w:ind w:left="261" w:right="11" w:hanging="261"/>
      <w:jc w:val="right"/>
      <w:rPr>
        <w:rFonts w:cs="Arial"/>
        <w:b w:val="0"/>
        <w:i/>
        <w:sz w:val="18"/>
        <w:szCs w:val="18"/>
        <w:lang w:val="fr-FR"/>
      </w:rPr>
    </w:pPr>
    <w:r w:rsidRPr="00497E66">
      <w:rPr>
        <w:rFonts w:cs="Arial"/>
        <w:b w:val="0"/>
        <w:i/>
        <w:sz w:val="18"/>
        <w:szCs w:val="18"/>
        <w:lang w:val="fr-FR"/>
      </w:rPr>
      <w:t>UNEP/CMS/COP12/Doc.</w:t>
    </w:r>
    <w:r>
      <w:rPr>
        <w:rFonts w:cs="Arial"/>
        <w:b w:val="0"/>
        <w:i/>
        <w:sz w:val="18"/>
        <w:szCs w:val="18"/>
        <w:lang w:val="fr-FR"/>
      </w:rPr>
      <w:t>14.3</w:t>
    </w:r>
  </w:p>
  <w:p w14:paraId="35E1DA03" w14:textId="77777777" w:rsidR="00CD2401" w:rsidRPr="00497E66" w:rsidRDefault="00CD2401" w:rsidP="00A27BE3">
    <w:pPr>
      <w:jc w:val="right"/>
      <w:rPr>
        <w:i/>
        <w:szCs w:val="20"/>
        <w:lang w:val="fr-FR"/>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C10FA" w14:textId="52253C45" w:rsidR="00D605A4" w:rsidRPr="00D605A4" w:rsidRDefault="00D605A4" w:rsidP="00F12E7B">
    <w:pPr>
      <w:pStyle w:val="Header"/>
      <w:pBdr>
        <w:bottom w:val="single" w:sz="4" w:space="1" w:color="auto"/>
      </w:pBdr>
      <w:rPr>
        <w:rFonts w:cs="Arial"/>
        <w:i/>
        <w:szCs w:val="18"/>
        <w:lang w:val="de-DE"/>
      </w:rPr>
    </w:pPr>
    <w:r w:rsidRPr="00D605A4">
      <w:rPr>
        <w:rFonts w:cs="Arial"/>
        <w:i/>
        <w:szCs w:val="18"/>
        <w:lang w:val="de-DE"/>
      </w:rPr>
      <w:t>UNEP/CMS/COP12/Doc.</w:t>
    </w:r>
    <w:r w:rsidR="00E21143">
      <w:rPr>
        <w:rFonts w:cs="Arial"/>
        <w:i/>
        <w:szCs w:val="18"/>
        <w:lang w:val="de-DE"/>
      </w:rPr>
      <w:t>14.3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529274D"/>
    <w:multiLevelType w:val="hybridMultilevel"/>
    <w:tmpl w:val="1C9E1D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5611895"/>
    <w:multiLevelType w:val="hybridMultilevel"/>
    <w:tmpl w:val="194853E4"/>
    <w:lvl w:ilvl="0" w:tplc="151E79B2">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65D4436"/>
    <w:multiLevelType w:val="hybridMultilevel"/>
    <w:tmpl w:val="3B4AF8A8"/>
    <w:lvl w:ilvl="0" w:tplc="A0ECFF5A">
      <w:start w:val="1"/>
      <w:numFmt w:val="bullet"/>
      <w:lvlText w:val="−"/>
      <w:lvlJc w:val="left"/>
      <w:pPr>
        <w:ind w:left="720" w:hanging="360"/>
      </w:pPr>
      <w:rPr>
        <w:rFonts w:ascii="Helvetica" w:hAnsi="Helvetic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6BE5192"/>
    <w:multiLevelType w:val="hybridMultilevel"/>
    <w:tmpl w:val="194853E4"/>
    <w:lvl w:ilvl="0" w:tplc="151E79B2">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08780F21"/>
    <w:multiLevelType w:val="hybridMultilevel"/>
    <w:tmpl w:val="0D20EA3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0E575E8E"/>
    <w:multiLevelType w:val="hybridMultilevel"/>
    <w:tmpl w:val="8CF2B0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17E4785"/>
    <w:multiLevelType w:val="hybridMultilevel"/>
    <w:tmpl w:val="E6AE3398"/>
    <w:lvl w:ilvl="0" w:tplc="BD78570A">
      <w:start w:val="1"/>
      <w:numFmt w:val="bullet"/>
      <w:lvlText w:val="−"/>
      <w:lvlJc w:val="left"/>
      <w:pPr>
        <w:tabs>
          <w:tab w:val="num" w:pos="720"/>
        </w:tabs>
        <w:ind w:left="720" w:hanging="360"/>
      </w:pPr>
      <w:rPr>
        <w:rFonts w:ascii="Helvetica" w:hAnsi="Helvetica" w:hint="default"/>
      </w:rPr>
    </w:lvl>
    <w:lvl w:ilvl="1" w:tplc="702E0B2C" w:tentative="1">
      <w:start w:val="1"/>
      <w:numFmt w:val="bullet"/>
      <w:lvlText w:val="−"/>
      <w:lvlJc w:val="left"/>
      <w:pPr>
        <w:tabs>
          <w:tab w:val="num" w:pos="1440"/>
        </w:tabs>
        <w:ind w:left="1440" w:hanging="360"/>
      </w:pPr>
      <w:rPr>
        <w:rFonts w:ascii="Helvetica" w:hAnsi="Helvetica" w:hint="default"/>
      </w:rPr>
    </w:lvl>
    <w:lvl w:ilvl="2" w:tplc="1C66E12C" w:tentative="1">
      <w:start w:val="1"/>
      <w:numFmt w:val="bullet"/>
      <w:lvlText w:val="−"/>
      <w:lvlJc w:val="left"/>
      <w:pPr>
        <w:tabs>
          <w:tab w:val="num" w:pos="2160"/>
        </w:tabs>
        <w:ind w:left="2160" w:hanging="360"/>
      </w:pPr>
      <w:rPr>
        <w:rFonts w:ascii="Helvetica" w:hAnsi="Helvetica" w:hint="default"/>
      </w:rPr>
    </w:lvl>
    <w:lvl w:ilvl="3" w:tplc="187EE4FC" w:tentative="1">
      <w:start w:val="1"/>
      <w:numFmt w:val="bullet"/>
      <w:lvlText w:val="−"/>
      <w:lvlJc w:val="left"/>
      <w:pPr>
        <w:tabs>
          <w:tab w:val="num" w:pos="2880"/>
        </w:tabs>
        <w:ind w:left="2880" w:hanging="360"/>
      </w:pPr>
      <w:rPr>
        <w:rFonts w:ascii="Helvetica" w:hAnsi="Helvetica" w:hint="default"/>
      </w:rPr>
    </w:lvl>
    <w:lvl w:ilvl="4" w:tplc="23CCCEA6" w:tentative="1">
      <w:start w:val="1"/>
      <w:numFmt w:val="bullet"/>
      <w:lvlText w:val="−"/>
      <w:lvlJc w:val="left"/>
      <w:pPr>
        <w:tabs>
          <w:tab w:val="num" w:pos="3600"/>
        </w:tabs>
        <w:ind w:left="3600" w:hanging="360"/>
      </w:pPr>
      <w:rPr>
        <w:rFonts w:ascii="Helvetica" w:hAnsi="Helvetica" w:hint="default"/>
      </w:rPr>
    </w:lvl>
    <w:lvl w:ilvl="5" w:tplc="31889568" w:tentative="1">
      <w:start w:val="1"/>
      <w:numFmt w:val="bullet"/>
      <w:lvlText w:val="−"/>
      <w:lvlJc w:val="left"/>
      <w:pPr>
        <w:tabs>
          <w:tab w:val="num" w:pos="4320"/>
        </w:tabs>
        <w:ind w:left="4320" w:hanging="360"/>
      </w:pPr>
      <w:rPr>
        <w:rFonts w:ascii="Helvetica" w:hAnsi="Helvetica" w:hint="default"/>
      </w:rPr>
    </w:lvl>
    <w:lvl w:ilvl="6" w:tplc="3BFE081E" w:tentative="1">
      <w:start w:val="1"/>
      <w:numFmt w:val="bullet"/>
      <w:lvlText w:val="−"/>
      <w:lvlJc w:val="left"/>
      <w:pPr>
        <w:tabs>
          <w:tab w:val="num" w:pos="5040"/>
        </w:tabs>
        <w:ind w:left="5040" w:hanging="360"/>
      </w:pPr>
      <w:rPr>
        <w:rFonts w:ascii="Helvetica" w:hAnsi="Helvetica" w:hint="default"/>
      </w:rPr>
    </w:lvl>
    <w:lvl w:ilvl="7" w:tplc="AC2EF714" w:tentative="1">
      <w:start w:val="1"/>
      <w:numFmt w:val="bullet"/>
      <w:lvlText w:val="−"/>
      <w:lvlJc w:val="left"/>
      <w:pPr>
        <w:tabs>
          <w:tab w:val="num" w:pos="5760"/>
        </w:tabs>
        <w:ind w:left="5760" w:hanging="360"/>
      </w:pPr>
      <w:rPr>
        <w:rFonts w:ascii="Helvetica" w:hAnsi="Helvetica" w:hint="default"/>
      </w:rPr>
    </w:lvl>
    <w:lvl w:ilvl="8" w:tplc="60A06664" w:tentative="1">
      <w:start w:val="1"/>
      <w:numFmt w:val="bullet"/>
      <w:lvlText w:val="−"/>
      <w:lvlJc w:val="left"/>
      <w:pPr>
        <w:tabs>
          <w:tab w:val="num" w:pos="6480"/>
        </w:tabs>
        <w:ind w:left="6480" w:hanging="360"/>
      </w:pPr>
      <w:rPr>
        <w:rFonts w:ascii="Helvetica" w:hAnsi="Helvetica" w:hint="default"/>
      </w:rPr>
    </w:lvl>
  </w:abstractNum>
  <w:abstractNum w:abstractNumId="8" w15:restartNumberingAfterBreak="0">
    <w:nsid w:val="220B28AA"/>
    <w:multiLevelType w:val="hybridMultilevel"/>
    <w:tmpl w:val="6BFAD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3385498"/>
    <w:multiLevelType w:val="hybridMultilevel"/>
    <w:tmpl w:val="36F819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426759F"/>
    <w:multiLevelType w:val="hybridMultilevel"/>
    <w:tmpl w:val="534CF7D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37A0372A"/>
    <w:multiLevelType w:val="multilevel"/>
    <w:tmpl w:val="D9926594"/>
    <w:lvl w:ilvl="0">
      <w:start w:val="1"/>
      <w:numFmt w:val="decimal"/>
      <w:lvlText w:val="%1."/>
      <w:lvlJc w:val="left"/>
      <w:pPr>
        <w:ind w:left="360" w:hanging="360"/>
      </w:pPr>
      <w:rPr>
        <w:i w:val="0"/>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2" w15:restartNumberingAfterBreak="0">
    <w:nsid w:val="3E200771"/>
    <w:multiLevelType w:val="hybridMultilevel"/>
    <w:tmpl w:val="D97261F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4D190994"/>
    <w:multiLevelType w:val="hybridMultilevel"/>
    <w:tmpl w:val="194853E4"/>
    <w:lvl w:ilvl="0" w:tplc="151E79B2">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547C66B8"/>
    <w:multiLevelType w:val="hybridMultilevel"/>
    <w:tmpl w:val="3514A81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69A23F83"/>
    <w:multiLevelType w:val="hybridMultilevel"/>
    <w:tmpl w:val="A6DA6EC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6" w15:restartNumberingAfterBreak="0">
    <w:nsid w:val="6A1B526B"/>
    <w:multiLevelType w:val="hybridMultilevel"/>
    <w:tmpl w:val="1BB2F012"/>
    <w:lvl w:ilvl="0" w:tplc="A0ECFF5A">
      <w:start w:val="1"/>
      <w:numFmt w:val="bullet"/>
      <w:lvlText w:val="−"/>
      <w:lvlJc w:val="left"/>
      <w:pPr>
        <w:tabs>
          <w:tab w:val="num" w:pos="720"/>
        </w:tabs>
        <w:ind w:left="720" w:hanging="360"/>
      </w:pPr>
      <w:rPr>
        <w:rFonts w:ascii="Helvetica" w:hAnsi="Helvetica" w:hint="default"/>
      </w:rPr>
    </w:lvl>
    <w:lvl w:ilvl="1" w:tplc="CAEA1CC2" w:tentative="1">
      <w:start w:val="1"/>
      <w:numFmt w:val="bullet"/>
      <w:lvlText w:val="−"/>
      <w:lvlJc w:val="left"/>
      <w:pPr>
        <w:tabs>
          <w:tab w:val="num" w:pos="1440"/>
        </w:tabs>
        <w:ind w:left="1440" w:hanging="360"/>
      </w:pPr>
      <w:rPr>
        <w:rFonts w:ascii="Helvetica" w:hAnsi="Helvetica" w:hint="default"/>
      </w:rPr>
    </w:lvl>
    <w:lvl w:ilvl="2" w:tplc="8712301A" w:tentative="1">
      <w:start w:val="1"/>
      <w:numFmt w:val="bullet"/>
      <w:lvlText w:val="−"/>
      <w:lvlJc w:val="left"/>
      <w:pPr>
        <w:tabs>
          <w:tab w:val="num" w:pos="2160"/>
        </w:tabs>
        <w:ind w:left="2160" w:hanging="360"/>
      </w:pPr>
      <w:rPr>
        <w:rFonts w:ascii="Helvetica" w:hAnsi="Helvetica" w:hint="default"/>
      </w:rPr>
    </w:lvl>
    <w:lvl w:ilvl="3" w:tplc="D42C5870" w:tentative="1">
      <w:start w:val="1"/>
      <w:numFmt w:val="bullet"/>
      <w:lvlText w:val="−"/>
      <w:lvlJc w:val="left"/>
      <w:pPr>
        <w:tabs>
          <w:tab w:val="num" w:pos="2880"/>
        </w:tabs>
        <w:ind w:left="2880" w:hanging="360"/>
      </w:pPr>
      <w:rPr>
        <w:rFonts w:ascii="Helvetica" w:hAnsi="Helvetica" w:hint="default"/>
      </w:rPr>
    </w:lvl>
    <w:lvl w:ilvl="4" w:tplc="25D24E72" w:tentative="1">
      <w:start w:val="1"/>
      <w:numFmt w:val="bullet"/>
      <w:lvlText w:val="−"/>
      <w:lvlJc w:val="left"/>
      <w:pPr>
        <w:tabs>
          <w:tab w:val="num" w:pos="3600"/>
        </w:tabs>
        <w:ind w:left="3600" w:hanging="360"/>
      </w:pPr>
      <w:rPr>
        <w:rFonts w:ascii="Helvetica" w:hAnsi="Helvetica" w:hint="default"/>
      </w:rPr>
    </w:lvl>
    <w:lvl w:ilvl="5" w:tplc="D640FEEE" w:tentative="1">
      <w:start w:val="1"/>
      <w:numFmt w:val="bullet"/>
      <w:lvlText w:val="−"/>
      <w:lvlJc w:val="left"/>
      <w:pPr>
        <w:tabs>
          <w:tab w:val="num" w:pos="4320"/>
        </w:tabs>
        <w:ind w:left="4320" w:hanging="360"/>
      </w:pPr>
      <w:rPr>
        <w:rFonts w:ascii="Helvetica" w:hAnsi="Helvetica" w:hint="default"/>
      </w:rPr>
    </w:lvl>
    <w:lvl w:ilvl="6" w:tplc="B9CEB756" w:tentative="1">
      <w:start w:val="1"/>
      <w:numFmt w:val="bullet"/>
      <w:lvlText w:val="−"/>
      <w:lvlJc w:val="left"/>
      <w:pPr>
        <w:tabs>
          <w:tab w:val="num" w:pos="5040"/>
        </w:tabs>
        <w:ind w:left="5040" w:hanging="360"/>
      </w:pPr>
      <w:rPr>
        <w:rFonts w:ascii="Helvetica" w:hAnsi="Helvetica" w:hint="default"/>
      </w:rPr>
    </w:lvl>
    <w:lvl w:ilvl="7" w:tplc="F97A77C8" w:tentative="1">
      <w:start w:val="1"/>
      <w:numFmt w:val="bullet"/>
      <w:lvlText w:val="−"/>
      <w:lvlJc w:val="left"/>
      <w:pPr>
        <w:tabs>
          <w:tab w:val="num" w:pos="5760"/>
        </w:tabs>
        <w:ind w:left="5760" w:hanging="360"/>
      </w:pPr>
      <w:rPr>
        <w:rFonts w:ascii="Helvetica" w:hAnsi="Helvetica" w:hint="default"/>
      </w:rPr>
    </w:lvl>
    <w:lvl w:ilvl="8" w:tplc="A35EBD20" w:tentative="1">
      <w:start w:val="1"/>
      <w:numFmt w:val="bullet"/>
      <w:lvlText w:val="−"/>
      <w:lvlJc w:val="left"/>
      <w:pPr>
        <w:tabs>
          <w:tab w:val="num" w:pos="6480"/>
        </w:tabs>
        <w:ind w:left="6480" w:hanging="360"/>
      </w:pPr>
      <w:rPr>
        <w:rFonts w:ascii="Helvetica" w:hAnsi="Helvetica" w:hint="default"/>
      </w:rPr>
    </w:lvl>
  </w:abstractNum>
  <w:abstractNum w:abstractNumId="17" w15:restartNumberingAfterBreak="0">
    <w:nsid w:val="6AA2129E"/>
    <w:multiLevelType w:val="hybridMultilevel"/>
    <w:tmpl w:val="F27AEA0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AAF7842"/>
    <w:multiLevelType w:val="hybridMultilevel"/>
    <w:tmpl w:val="C1323E3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7B36076D"/>
    <w:multiLevelType w:val="hybridMultilevel"/>
    <w:tmpl w:val="3AA2A316"/>
    <w:lvl w:ilvl="0" w:tplc="7C3A19F6">
      <w:start w:val="1"/>
      <w:numFmt w:val="lowerLetter"/>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0" w15:restartNumberingAfterBreak="0">
    <w:nsid w:val="7C3F4230"/>
    <w:multiLevelType w:val="hybridMultilevel"/>
    <w:tmpl w:val="BA282EB6"/>
    <w:lvl w:ilvl="0" w:tplc="A0ECFF5A">
      <w:start w:val="1"/>
      <w:numFmt w:val="bullet"/>
      <w:lvlText w:val="−"/>
      <w:lvlJc w:val="left"/>
      <w:pPr>
        <w:ind w:left="720" w:hanging="360"/>
      </w:pPr>
      <w:rPr>
        <w:rFonts w:ascii="Helvetica" w:hAnsi="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9"/>
  </w:num>
  <w:num w:numId="13">
    <w:abstractNumId w:val="8"/>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
  </w:num>
  <w:num w:numId="17">
    <w:abstractNumId w:val="17"/>
  </w:num>
  <w:num w:numId="18">
    <w:abstractNumId w:val="3"/>
  </w:num>
  <w:num w:numId="19">
    <w:abstractNumId w:val="7"/>
  </w:num>
  <w:num w:numId="20">
    <w:abstractNumId w:val="20"/>
  </w:num>
  <w:num w:numId="21">
    <w:abstractNumId w:val="13"/>
  </w:num>
  <w:num w:numId="22">
    <w:abstractNumId w:val="2"/>
  </w:num>
  <w:num w:numId="23">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6385"/>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037"/>
    <w:rsid w:val="000007D2"/>
    <w:rsid w:val="000039B8"/>
    <w:rsid w:val="00007296"/>
    <w:rsid w:val="00015E07"/>
    <w:rsid w:val="000254DF"/>
    <w:rsid w:val="00031A88"/>
    <w:rsid w:val="0003449E"/>
    <w:rsid w:val="00036C53"/>
    <w:rsid w:val="000518C2"/>
    <w:rsid w:val="000545FA"/>
    <w:rsid w:val="00056DC1"/>
    <w:rsid w:val="00060156"/>
    <w:rsid w:val="00070BBC"/>
    <w:rsid w:val="00073C92"/>
    <w:rsid w:val="00080F03"/>
    <w:rsid w:val="00086517"/>
    <w:rsid w:val="000900E1"/>
    <w:rsid w:val="0009076A"/>
    <w:rsid w:val="000B6220"/>
    <w:rsid w:val="000C21B1"/>
    <w:rsid w:val="000C3C87"/>
    <w:rsid w:val="000C7460"/>
    <w:rsid w:val="000E01C1"/>
    <w:rsid w:val="000E09AD"/>
    <w:rsid w:val="000F0B93"/>
    <w:rsid w:val="000F1156"/>
    <w:rsid w:val="000F26DC"/>
    <w:rsid w:val="000F52BA"/>
    <w:rsid w:val="001018D1"/>
    <w:rsid w:val="00101D7D"/>
    <w:rsid w:val="00110F6F"/>
    <w:rsid w:val="001111A9"/>
    <w:rsid w:val="0011173A"/>
    <w:rsid w:val="001151A3"/>
    <w:rsid w:val="001245DF"/>
    <w:rsid w:val="00125893"/>
    <w:rsid w:val="00130BFD"/>
    <w:rsid w:val="00136127"/>
    <w:rsid w:val="001419C7"/>
    <w:rsid w:val="00150AC4"/>
    <w:rsid w:val="00162BB2"/>
    <w:rsid w:val="00162D88"/>
    <w:rsid w:val="00166ABA"/>
    <w:rsid w:val="00170CF5"/>
    <w:rsid w:val="001743FD"/>
    <w:rsid w:val="00175E2B"/>
    <w:rsid w:val="001764E6"/>
    <w:rsid w:val="001808F1"/>
    <w:rsid w:val="00183AF5"/>
    <w:rsid w:val="00185922"/>
    <w:rsid w:val="00187DD7"/>
    <w:rsid w:val="001A33B6"/>
    <w:rsid w:val="001C069F"/>
    <w:rsid w:val="001C0810"/>
    <w:rsid w:val="001C6038"/>
    <w:rsid w:val="001E153D"/>
    <w:rsid w:val="001F60A1"/>
    <w:rsid w:val="00200759"/>
    <w:rsid w:val="00200A67"/>
    <w:rsid w:val="00201F88"/>
    <w:rsid w:val="00202332"/>
    <w:rsid w:val="00217B3B"/>
    <w:rsid w:val="002210F4"/>
    <w:rsid w:val="00224DAD"/>
    <w:rsid w:val="00233F6F"/>
    <w:rsid w:val="002425AA"/>
    <w:rsid w:val="00243CCE"/>
    <w:rsid w:val="002535FA"/>
    <w:rsid w:val="00254721"/>
    <w:rsid w:val="00257709"/>
    <w:rsid w:val="00263159"/>
    <w:rsid w:val="002779F7"/>
    <w:rsid w:val="00285360"/>
    <w:rsid w:val="00287939"/>
    <w:rsid w:val="002A0A1C"/>
    <w:rsid w:val="002A2DDD"/>
    <w:rsid w:val="002A380C"/>
    <w:rsid w:val="002B3A7C"/>
    <w:rsid w:val="002C187A"/>
    <w:rsid w:val="002C20F1"/>
    <w:rsid w:val="002D2863"/>
    <w:rsid w:val="002D3EC0"/>
    <w:rsid w:val="002D4D05"/>
    <w:rsid w:val="002D5EC0"/>
    <w:rsid w:val="002E3DEA"/>
    <w:rsid w:val="002E7CC2"/>
    <w:rsid w:val="002F50FF"/>
    <w:rsid w:val="002F6A9E"/>
    <w:rsid w:val="002F6F9B"/>
    <w:rsid w:val="003258A1"/>
    <w:rsid w:val="003331C6"/>
    <w:rsid w:val="00345044"/>
    <w:rsid w:val="00351095"/>
    <w:rsid w:val="00354A9C"/>
    <w:rsid w:val="003571C9"/>
    <w:rsid w:val="00364973"/>
    <w:rsid w:val="00364C8C"/>
    <w:rsid w:val="00366871"/>
    <w:rsid w:val="00372347"/>
    <w:rsid w:val="0037339C"/>
    <w:rsid w:val="003779D4"/>
    <w:rsid w:val="00382398"/>
    <w:rsid w:val="003909E4"/>
    <w:rsid w:val="003A3E30"/>
    <w:rsid w:val="003A5496"/>
    <w:rsid w:val="003A70FE"/>
    <w:rsid w:val="003B0C35"/>
    <w:rsid w:val="003B219E"/>
    <w:rsid w:val="003D3EC1"/>
    <w:rsid w:val="003E21B3"/>
    <w:rsid w:val="00411E65"/>
    <w:rsid w:val="00412DE9"/>
    <w:rsid w:val="00420040"/>
    <w:rsid w:val="00423388"/>
    <w:rsid w:val="00426D73"/>
    <w:rsid w:val="00451D7B"/>
    <w:rsid w:val="00454913"/>
    <w:rsid w:val="00457441"/>
    <w:rsid w:val="004579F6"/>
    <w:rsid w:val="004656D0"/>
    <w:rsid w:val="00465B53"/>
    <w:rsid w:val="00473ABD"/>
    <w:rsid w:val="00482DCA"/>
    <w:rsid w:val="00497E66"/>
    <w:rsid w:val="004A7FF9"/>
    <w:rsid w:val="004B6CFD"/>
    <w:rsid w:val="004B7F3D"/>
    <w:rsid w:val="004C204D"/>
    <w:rsid w:val="004D0436"/>
    <w:rsid w:val="004D0936"/>
    <w:rsid w:val="004E487F"/>
    <w:rsid w:val="004E5A68"/>
    <w:rsid w:val="004E7ED7"/>
    <w:rsid w:val="004F050D"/>
    <w:rsid w:val="004F243D"/>
    <w:rsid w:val="004F3D8D"/>
    <w:rsid w:val="005076F1"/>
    <w:rsid w:val="00512B91"/>
    <w:rsid w:val="005158EB"/>
    <w:rsid w:val="005177C3"/>
    <w:rsid w:val="0052082F"/>
    <w:rsid w:val="00542FCC"/>
    <w:rsid w:val="00550D73"/>
    <w:rsid w:val="00552F3F"/>
    <w:rsid w:val="0055762E"/>
    <w:rsid w:val="00563310"/>
    <w:rsid w:val="00565445"/>
    <w:rsid w:val="00575334"/>
    <w:rsid w:val="005831E6"/>
    <w:rsid w:val="00591554"/>
    <w:rsid w:val="00593736"/>
    <w:rsid w:val="0059778A"/>
    <w:rsid w:val="005A009D"/>
    <w:rsid w:val="005A3181"/>
    <w:rsid w:val="005B0F06"/>
    <w:rsid w:val="005B6141"/>
    <w:rsid w:val="005C3F15"/>
    <w:rsid w:val="005F3989"/>
    <w:rsid w:val="005F4303"/>
    <w:rsid w:val="005F7B20"/>
    <w:rsid w:val="00601B52"/>
    <w:rsid w:val="0060280B"/>
    <w:rsid w:val="00604422"/>
    <w:rsid w:val="006046C7"/>
    <w:rsid w:val="0060655E"/>
    <w:rsid w:val="0061127B"/>
    <w:rsid w:val="00620809"/>
    <w:rsid w:val="00623F5D"/>
    <w:rsid w:val="006471FE"/>
    <w:rsid w:val="00651341"/>
    <w:rsid w:val="00666F8B"/>
    <w:rsid w:val="006815B2"/>
    <w:rsid w:val="006826E0"/>
    <w:rsid w:val="00682B31"/>
    <w:rsid w:val="006864E1"/>
    <w:rsid w:val="00691001"/>
    <w:rsid w:val="00693963"/>
    <w:rsid w:val="006A1089"/>
    <w:rsid w:val="006B1037"/>
    <w:rsid w:val="006B4C28"/>
    <w:rsid w:val="006D5252"/>
    <w:rsid w:val="006D784D"/>
    <w:rsid w:val="006E153A"/>
    <w:rsid w:val="006E46C7"/>
    <w:rsid w:val="006E56AD"/>
    <w:rsid w:val="006E5763"/>
    <w:rsid w:val="006F47BF"/>
    <w:rsid w:val="007101BB"/>
    <w:rsid w:val="00713308"/>
    <w:rsid w:val="00725A91"/>
    <w:rsid w:val="00727E01"/>
    <w:rsid w:val="00733A90"/>
    <w:rsid w:val="00735836"/>
    <w:rsid w:val="007430FC"/>
    <w:rsid w:val="00745222"/>
    <w:rsid w:val="00752E19"/>
    <w:rsid w:val="00757614"/>
    <w:rsid w:val="007642DA"/>
    <w:rsid w:val="007728B4"/>
    <w:rsid w:val="0077622E"/>
    <w:rsid w:val="00777FE4"/>
    <w:rsid w:val="0079075D"/>
    <w:rsid w:val="007910DD"/>
    <w:rsid w:val="00794C7C"/>
    <w:rsid w:val="007B4C83"/>
    <w:rsid w:val="007C03A2"/>
    <w:rsid w:val="007C1468"/>
    <w:rsid w:val="007C3236"/>
    <w:rsid w:val="007C41D7"/>
    <w:rsid w:val="007F0327"/>
    <w:rsid w:val="007F0C0D"/>
    <w:rsid w:val="007F16FB"/>
    <w:rsid w:val="007F1BBA"/>
    <w:rsid w:val="0081416E"/>
    <w:rsid w:val="0081600F"/>
    <w:rsid w:val="00823D0F"/>
    <w:rsid w:val="00824C7C"/>
    <w:rsid w:val="00825025"/>
    <w:rsid w:val="0082722D"/>
    <w:rsid w:val="008274F7"/>
    <w:rsid w:val="008441F9"/>
    <w:rsid w:val="00846A99"/>
    <w:rsid w:val="008641D1"/>
    <w:rsid w:val="00870FB9"/>
    <w:rsid w:val="00872F67"/>
    <w:rsid w:val="0087461F"/>
    <w:rsid w:val="00882BE1"/>
    <w:rsid w:val="008879E9"/>
    <w:rsid w:val="00893346"/>
    <w:rsid w:val="00894941"/>
    <w:rsid w:val="00894D19"/>
    <w:rsid w:val="008A0D8D"/>
    <w:rsid w:val="008B1A69"/>
    <w:rsid w:val="008C1A39"/>
    <w:rsid w:val="008C6D0F"/>
    <w:rsid w:val="008D1B43"/>
    <w:rsid w:val="008E1D46"/>
    <w:rsid w:val="008E7DFB"/>
    <w:rsid w:val="008F3420"/>
    <w:rsid w:val="008F7327"/>
    <w:rsid w:val="0090059C"/>
    <w:rsid w:val="00905383"/>
    <w:rsid w:val="009076C8"/>
    <w:rsid w:val="00915BBE"/>
    <w:rsid w:val="00921D62"/>
    <w:rsid w:val="00922791"/>
    <w:rsid w:val="00927CD6"/>
    <w:rsid w:val="00933572"/>
    <w:rsid w:val="009363C7"/>
    <w:rsid w:val="00950B16"/>
    <w:rsid w:val="00961293"/>
    <w:rsid w:val="00972D36"/>
    <w:rsid w:val="00973BFB"/>
    <w:rsid w:val="00980406"/>
    <w:rsid w:val="00986ED7"/>
    <w:rsid w:val="00994621"/>
    <w:rsid w:val="00996D85"/>
    <w:rsid w:val="009A2C8F"/>
    <w:rsid w:val="009A5ABB"/>
    <w:rsid w:val="009A7B65"/>
    <w:rsid w:val="009B2A20"/>
    <w:rsid w:val="009C5C3C"/>
    <w:rsid w:val="009C7023"/>
    <w:rsid w:val="009D2AD6"/>
    <w:rsid w:val="009D3A07"/>
    <w:rsid w:val="009D4711"/>
    <w:rsid w:val="009D5DA6"/>
    <w:rsid w:val="009E3A84"/>
    <w:rsid w:val="009E72D7"/>
    <w:rsid w:val="009E7ACC"/>
    <w:rsid w:val="009F450E"/>
    <w:rsid w:val="009F54DA"/>
    <w:rsid w:val="009F6CFD"/>
    <w:rsid w:val="00A06984"/>
    <w:rsid w:val="00A1324E"/>
    <w:rsid w:val="00A236F0"/>
    <w:rsid w:val="00A257C4"/>
    <w:rsid w:val="00A265FE"/>
    <w:rsid w:val="00A27BE3"/>
    <w:rsid w:val="00A30286"/>
    <w:rsid w:val="00A339B9"/>
    <w:rsid w:val="00A40EDF"/>
    <w:rsid w:val="00A512ED"/>
    <w:rsid w:val="00A568DF"/>
    <w:rsid w:val="00A666C6"/>
    <w:rsid w:val="00A73A79"/>
    <w:rsid w:val="00A85639"/>
    <w:rsid w:val="00A863A5"/>
    <w:rsid w:val="00A871FF"/>
    <w:rsid w:val="00A91754"/>
    <w:rsid w:val="00A93C52"/>
    <w:rsid w:val="00AA7368"/>
    <w:rsid w:val="00AB4FF9"/>
    <w:rsid w:val="00AC4C48"/>
    <w:rsid w:val="00AE0857"/>
    <w:rsid w:val="00AE6F0E"/>
    <w:rsid w:val="00AE7B21"/>
    <w:rsid w:val="00AF1980"/>
    <w:rsid w:val="00AF2021"/>
    <w:rsid w:val="00AF7FF4"/>
    <w:rsid w:val="00B016F8"/>
    <w:rsid w:val="00B025B7"/>
    <w:rsid w:val="00B03D54"/>
    <w:rsid w:val="00B159EF"/>
    <w:rsid w:val="00B348B1"/>
    <w:rsid w:val="00B471BD"/>
    <w:rsid w:val="00B50C2D"/>
    <w:rsid w:val="00B64904"/>
    <w:rsid w:val="00B70103"/>
    <w:rsid w:val="00B7364F"/>
    <w:rsid w:val="00B93184"/>
    <w:rsid w:val="00B936CA"/>
    <w:rsid w:val="00B96ED7"/>
    <w:rsid w:val="00B97E3F"/>
    <w:rsid w:val="00BA60CE"/>
    <w:rsid w:val="00BB7AB8"/>
    <w:rsid w:val="00BC4411"/>
    <w:rsid w:val="00BC5607"/>
    <w:rsid w:val="00BE0D1D"/>
    <w:rsid w:val="00BE2448"/>
    <w:rsid w:val="00BE24D4"/>
    <w:rsid w:val="00BF2BE7"/>
    <w:rsid w:val="00BF4512"/>
    <w:rsid w:val="00BF6CD1"/>
    <w:rsid w:val="00C05102"/>
    <w:rsid w:val="00C13FA6"/>
    <w:rsid w:val="00C14D58"/>
    <w:rsid w:val="00C15339"/>
    <w:rsid w:val="00C169ED"/>
    <w:rsid w:val="00C21E90"/>
    <w:rsid w:val="00C22274"/>
    <w:rsid w:val="00C44645"/>
    <w:rsid w:val="00C5484D"/>
    <w:rsid w:val="00C55125"/>
    <w:rsid w:val="00C615A9"/>
    <w:rsid w:val="00C618F2"/>
    <w:rsid w:val="00C63E5A"/>
    <w:rsid w:val="00C672CF"/>
    <w:rsid w:val="00C73207"/>
    <w:rsid w:val="00C7602A"/>
    <w:rsid w:val="00C82160"/>
    <w:rsid w:val="00C82ED9"/>
    <w:rsid w:val="00C87D68"/>
    <w:rsid w:val="00C9281B"/>
    <w:rsid w:val="00CA367A"/>
    <w:rsid w:val="00CB1D26"/>
    <w:rsid w:val="00CC3503"/>
    <w:rsid w:val="00CC4C21"/>
    <w:rsid w:val="00CC57AD"/>
    <w:rsid w:val="00CD0FE9"/>
    <w:rsid w:val="00CD2401"/>
    <w:rsid w:val="00CD7355"/>
    <w:rsid w:val="00CE1E01"/>
    <w:rsid w:val="00CE5B83"/>
    <w:rsid w:val="00CF6EDD"/>
    <w:rsid w:val="00D03D59"/>
    <w:rsid w:val="00D05922"/>
    <w:rsid w:val="00D107A3"/>
    <w:rsid w:val="00D147EA"/>
    <w:rsid w:val="00D21383"/>
    <w:rsid w:val="00D42AE1"/>
    <w:rsid w:val="00D46C91"/>
    <w:rsid w:val="00D605A4"/>
    <w:rsid w:val="00D61B13"/>
    <w:rsid w:val="00D755FD"/>
    <w:rsid w:val="00D7746A"/>
    <w:rsid w:val="00D838FE"/>
    <w:rsid w:val="00D8406F"/>
    <w:rsid w:val="00D859C7"/>
    <w:rsid w:val="00D9021F"/>
    <w:rsid w:val="00DA1080"/>
    <w:rsid w:val="00DA12C2"/>
    <w:rsid w:val="00DB30A6"/>
    <w:rsid w:val="00DD464A"/>
    <w:rsid w:val="00DD6A9E"/>
    <w:rsid w:val="00DE317C"/>
    <w:rsid w:val="00DE4A67"/>
    <w:rsid w:val="00DE6404"/>
    <w:rsid w:val="00E21143"/>
    <w:rsid w:val="00E23367"/>
    <w:rsid w:val="00E31B92"/>
    <w:rsid w:val="00E475D4"/>
    <w:rsid w:val="00E51B3C"/>
    <w:rsid w:val="00E54EDE"/>
    <w:rsid w:val="00E61104"/>
    <w:rsid w:val="00E74D1C"/>
    <w:rsid w:val="00E7620E"/>
    <w:rsid w:val="00E8776E"/>
    <w:rsid w:val="00E9237A"/>
    <w:rsid w:val="00E95410"/>
    <w:rsid w:val="00EA0B88"/>
    <w:rsid w:val="00EA1EA8"/>
    <w:rsid w:val="00EA7D4B"/>
    <w:rsid w:val="00EB2285"/>
    <w:rsid w:val="00EB3799"/>
    <w:rsid w:val="00EC4294"/>
    <w:rsid w:val="00EC681E"/>
    <w:rsid w:val="00ED02D3"/>
    <w:rsid w:val="00ED0B17"/>
    <w:rsid w:val="00ED477B"/>
    <w:rsid w:val="00ED5E31"/>
    <w:rsid w:val="00EE4815"/>
    <w:rsid w:val="00EE64C1"/>
    <w:rsid w:val="00F05AA0"/>
    <w:rsid w:val="00F061CB"/>
    <w:rsid w:val="00F11793"/>
    <w:rsid w:val="00F12E7B"/>
    <w:rsid w:val="00F24050"/>
    <w:rsid w:val="00F248AA"/>
    <w:rsid w:val="00F31539"/>
    <w:rsid w:val="00F34F33"/>
    <w:rsid w:val="00F444EC"/>
    <w:rsid w:val="00F454A4"/>
    <w:rsid w:val="00F45FE3"/>
    <w:rsid w:val="00F463EB"/>
    <w:rsid w:val="00F54D03"/>
    <w:rsid w:val="00F6347A"/>
    <w:rsid w:val="00F74AC2"/>
    <w:rsid w:val="00F7503A"/>
    <w:rsid w:val="00F81FEF"/>
    <w:rsid w:val="00F978B9"/>
    <w:rsid w:val="00FA61AF"/>
    <w:rsid w:val="00FB2C17"/>
    <w:rsid w:val="00FC086F"/>
    <w:rsid w:val="00FC528B"/>
    <w:rsid w:val="00FD3A06"/>
    <w:rsid w:val="00FD7D14"/>
    <w:rsid w:val="00FE7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7EA78C6A"/>
  <w15:chartTrackingRefBased/>
  <w15:docId w15:val="{E9CD054B-79B1-4EAA-9E5B-842F62FF2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18"/>
        <w:szCs w:val="24"/>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779F7"/>
    <w:pPr>
      <w:widowControl w:val="0"/>
      <w:autoSpaceDE w:val="0"/>
      <w:autoSpaceDN w:val="0"/>
      <w:adjustRightInd w:val="0"/>
    </w:pPr>
  </w:style>
  <w:style w:type="paragraph" w:styleId="Heading1">
    <w:name w:val="heading 1"/>
    <w:basedOn w:val="Normal"/>
    <w:next w:val="Normal"/>
    <w:link w:val="Heading1Char"/>
    <w:uiPriority w:val="9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sz w:val="22"/>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cs="Arial"/>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uiPriority w:val="99"/>
    <w:rsid w:val="002779F7"/>
    <w:pPr>
      <w:ind w:left="720" w:hanging="720"/>
      <w:jc w:val="both"/>
    </w:pPr>
    <w:rPr>
      <w:sz w:val="22"/>
      <w:lang w:val="en-GB"/>
    </w:rPr>
  </w:style>
  <w:style w:type="character" w:customStyle="1" w:styleId="BodyTextIndentChar">
    <w:name w:val="Body Text Indent Char"/>
    <w:link w:val="BodyTextIndent"/>
    <w:uiPriority w:val="99"/>
    <w:semiHidden/>
    <w:rsid w:val="00EB4403"/>
    <w:rPr>
      <w:sz w:val="20"/>
      <w:szCs w:val="24"/>
      <w:lang w:val="en-US" w:eastAsia="en-US"/>
    </w:rPr>
  </w:style>
  <w:style w:type="paragraph" w:styleId="BodyText">
    <w:name w:val="Body Text"/>
    <w:basedOn w:val="Normal"/>
    <w:link w:val="BodyTextChar"/>
    <w:uiPriority w:val="99"/>
    <w:rsid w:val="002779F7"/>
    <w:pPr>
      <w:jc w:val="both"/>
    </w:pPr>
    <w:rPr>
      <w:sz w:val="22"/>
      <w:lang w:val="en-GB"/>
    </w:rPr>
  </w:style>
  <w:style w:type="character" w:customStyle="1" w:styleId="BodyTextChar">
    <w:name w:val="Body Text Char"/>
    <w:link w:val="BodyText"/>
    <w:uiPriority w:val="99"/>
    <w:semiHidden/>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rPr>
      <w:szCs w:val="20"/>
    </w:rPr>
  </w:style>
  <w:style w:type="character" w:customStyle="1" w:styleId="FootnoteTextChar">
    <w:name w:val="Footnote Text Char"/>
    <w:link w:val="FootnoteText"/>
    <w:uiPriority w:val="99"/>
    <w:semiHidden/>
    <w:rsid w:val="00EB4403"/>
    <w:rPr>
      <w:sz w:val="20"/>
      <w:szCs w:val="20"/>
      <w:lang w:val="en-US" w:eastAsia="en-US"/>
    </w:rPr>
  </w:style>
  <w:style w:type="paragraph" w:styleId="BodyText2">
    <w:name w:val="Body Text 2"/>
    <w:basedOn w:val="Normal"/>
    <w:link w:val="BodyText2Char"/>
    <w:uiPriority w:val="99"/>
    <w:rsid w:val="002779F7"/>
    <w:rPr>
      <w:sz w:val="22"/>
    </w:rPr>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cs="Arial"/>
      <w:b/>
      <w:bCs/>
      <w:sz w:val="32"/>
      <w:szCs w:val="2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rsid w:val="00DA1080"/>
    <w:rPr>
      <w:sz w:val="24"/>
    </w:rPr>
  </w:style>
  <w:style w:type="character" w:customStyle="1" w:styleId="CommentTextChar">
    <w:name w:val="Comment Text Char"/>
    <w:link w:val="CommentText"/>
    <w:uiPriority w:val="99"/>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99"/>
    <w:qFormat/>
    <w:rsid w:val="00F81FEF"/>
    <w:pPr>
      <w:ind w:left="720"/>
      <w:contextualSpacing/>
    </w:pPr>
  </w:style>
  <w:style w:type="character" w:styleId="Emphasis">
    <w:name w:val="Emphasis"/>
    <w:qFormat/>
    <w:rsid w:val="00F81FEF"/>
    <w:rPr>
      <w:rFonts w:cs="Times New Roman"/>
      <w:i/>
      <w:iCs/>
    </w:rPr>
  </w:style>
  <w:style w:type="paragraph" w:customStyle="1" w:styleId="Default">
    <w:name w:val="Default"/>
    <w:basedOn w:val="Normal"/>
    <w:rsid w:val="00CC57AD"/>
    <w:pPr>
      <w:widowControl/>
      <w:adjustRightInd/>
    </w:pPr>
    <w:rPr>
      <w:color w:val="000000"/>
      <w:sz w:val="24"/>
      <w:lang w:val="en-GB" w:eastAsia="en-GB"/>
    </w:rPr>
  </w:style>
  <w:style w:type="character" w:customStyle="1" w:styleId="st">
    <w:name w:val="st"/>
    <w:rsid w:val="004B7F3D"/>
  </w:style>
  <w:style w:type="table" w:styleId="TableGrid">
    <w:name w:val="Table Grid"/>
    <w:basedOn w:val="TableNormal"/>
    <w:locked/>
    <w:rsid w:val="00101D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22274"/>
    <w:pPr>
      <w:widowControl/>
      <w:autoSpaceDE/>
      <w:autoSpaceDN/>
      <w:adjustRightInd/>
      <w:spacing w:before="100" w:beforeAutospacing="1" w:after="100" w:afterAutospacing="1"/>
    </w:pPr>
    <w:rPr>
      <w:rFonts w:ascii="Times New Roman" w:eastAsiaTheme="minorEastAsia"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69386">
      <w:bodyDiv w:val="1"/>
      <w:marLeft w:val="0"/>
      <w:marRight w:val="0"/>
      <w:marTop w:val="0"/>
      <w:marBottom w:val="0"/>
      <w:divBdr>
        <w:top w:val="none" w:sz="0" w:space="0" w:color="auto"/>
        <w:left w:val="none" w:sz="0" w:space="0" w:color="auto"/>
        <w:bottom w:val="none" w:sz="0" w:space="0" w:color="auto"/>
        <w:right w:val="none" w:sz="0" w:space="0" w:color="auto"/>
      </w:divBdr>
    </w:div>
    <w:div w:id="34745114">
      <w:bodyDiv w:val="1"/>
      <w:marLeft w:val="0"/>
      <w:marRight w:val="0"/>
      <w:marTop w:val="0"/>
      <w:marBottom w:val="0"/>
      <w:divBdr>
        <w:top w:val="none" w:sz="0" w:space="0" w:color="auto"/>
        <w:left w:val="none" w:sz="0" w:space="0" w:color="auto"/>
        <w:bottom w:val="none" w:sz="0" w:space="0" w:color="auto"/>
        <w:right w:val="none" w:sz="0" w:space="0" w:color="auto"/>
      </w:divBdr>
    </w:div>
    <w:div w:id="42684523">
      <w:bodyDiv w:val="1"/>
      <w:marLeft w:val="0"/>
      <w:marRight w:val="0"/>
      <w:marTop w:val="0"/>
      <w:marBottom w:val="0"/>
      <w:divBdr>
        <w:top w:val="none" w:sz="0" w:space="0" w:color="auto"/>
        <w:left w:val="none" w:sz="0" w:space="0" w:color="auto"/>
        <w:bottom w:val="none" w:sz="0" w:space="0" w:color="auto"/>
        <w:right w:val="none" w:sz="0" w:space="0" w:color="auto"/>
      </w:divBdr>
    </w:div>
    <w:div w:id="146947687">
      <w:bodyDiv w:val="1"/>
      <w:marLeft w:val="0"/>
      <w:marRight w:val="0"/>
      <w:marTop w:val="0"/>
      <w:marBottom w:val="0"/>
      <w:divBdr>
        <w:top w:val="none" w:sz="0" w:space="0" w:color="auto"/>
        <w:left w:val="none" w:sz="0" w:space="0" w:color="auto"/>
        <w:bottom w:val="none" w:sz="0" w:space="0" w:color="auto"/>
        <w:right w:val="none" w:sz="0" w:space="0" w:color="auto"/>
      </w:divBdr>
    </w:div>
    <w:div w:id="204566775">
      <w:bodyDiv w:val="1"/>
      <w:marLeft w:val="0"/>
      <w:marRight w:val="0"/>
      <w:marTop w:val="0"/>
      <w:marBottom w:val="0"/>
      <w:divBdr>
        <w:top w:val="none" w:sz="0" w:space="0" w:color="auto"/>
        <w:left w:val="none" w:sz="0" w:space="0" w:color="auto"/>
        <w:bottom w:val="none" w:sz="0" w:space="0" w:color="auto"/>
        <w:right w:val="none" w:sz="0" w:space="0" w:color="auto"/>
      </w:divBdr>
    </w:div>
    <w:div w:id="218715292">
      <w:bodyDiv w:val="1"/>
      <w:marLeft w:val="0"/>
      <w:marRight w:val="0"/>
      <w:marTop w:val="0"/>
      <w:marBottom w:val="0"/>
      <w:divBdr>
        <w:top w:val="none" w:sz="0" w:space="0" w:color="auto"/>
        <w:left w:val="none" w:sz="0" w:space="0" w:color="auto"/>
        <w:bottom w:val="none" w:sz="0" w:space="0" w:color="auto"/>
        <w:right w:val="none" w:sz="0" w:space="0" w:color="auto"/>
      </w:divBdr>
    </w:div>
    <w:div w:id="303588119">
      <w:bodyDiv w:val="1"/>
      <w:marLeft w:val="0"/>
      <w:marRight w:val="0"/>
      <w:marTop w:val="0"/>
      <w:marBottom w:val="0"/>
      <w:divBdr>
        <w:top w:val="none" w:sz="0" w:space="0" w:color="auto"/>
        <w:left w:val="none" w:sz="0" w:space="0" w:color="auto"/>
        <w:bottom w:val="none" w:sz="0" w:space="0" w:color="auto"/>
        <w:right w:val="none" w:sz="0" w:space="0" w:color="auto"/>
      </w:divBdr>
    </w:div>
    <w:div w:id="308444528">
      <w:bodyDiv w:val="1"/>
      <w:marLeft w:val="0"/>
      <w:marRight w:val="0"/>
      <w:marTop w:val="0"/>
      <w:marBottom w:val="0"/>
      <w:divBdr>
        <w:top w:val="none" w:sz="0" w:space="0" w:color="auto"/>
        <w:left w:val="none" w:sz="0" w:space="0" w:color="auto"/>
        <w:bottom w:val="none" w:sz="0" w:space="0" w:color="auto"/>
        <w:right w:val="none" w:sz="0" w:space="0" w:color="auto"/>
      </w:divBdr>
    </w:div>
    <w:div w:id="322588709">
      <w:bodyDiv w:val="1"/>
      <w:marLeft w:val="0"/>
      <w:marRight w:val="0"/>
      <w:marTop w:val="0"/>
      <w:marBottom w:val="0"/>
      <w:divBdr>
        <w:top w:val="none" w:sz="0" w:space="0" w:color="auto"/>
        <w:left w:val="none" w:sz="0" w:space="0" w:color="auto"/>
        <w:bottom w:val="none" w:sz="0" w:space="0" w:color="auto"/>
        <w:right w:val="none" w:sz="0" w:space="0" w:color="auto"/>
      </w:divBdr>
    </w:div>
    <w:div w:id="329411619">
      <w:bodyDiv w:val="1"/>
      <w:marLeft w:val="0"/>
      <w:marRight w:val="0"/>
      <w:marTop w:val="0"/>
      <w:marBottom w:val="0"/>
      <w:divBdr>
        <w:top w:val="none" w:sz="0" w:space="0" w:color="auto"/>
        <w:left w:val="none" w:sz="0" w:space="0" w:color="auto"/>
        <w:bottom w:val="none" w:sz="0" w:space="0" w:color="auto"/>
        <w:right w:val="none" w:sz="0" w:space="0" w:color="auto"/>
      </w:divBdr>
    </w:div>
    <w:div w:id="345637982">
      <w:bodyDiv w:val="1"/>
      <w:marLeft w:val="0"/>
      <w:marRight w:val="0"/>
      <w:marTop w:val="0"/>
      <w:marBottom w:val="0"/>
      <w:divBdr>
        <w:top w:val="none" w:sz="0" w:space="0" w:color="auto"/>
        <w:left w:val="none" w:sz="0" w:space="0" w:color="auto"/>
        <w:bottom w:val="none" w:sz="0" w:space="0" w:color="auto"/>
        <w:right w:val="none" w:sz="0" w:space="0" w:color="auto"/>
      </w:divBdr>
    </w:div>
    <w:div w:id="345711121">
      <w:bodyDiv w:val="1"/>
      <w:marLeft w:val="0"/>
      <w:marRight w:val="0"/>
      <w:marTop w:val="0"/>
      <w:marBottom w:val="0"/>
      <w:divBdr>
        <w:top w:val="none" w:sz="0" w:space="0" w:color="auto"/>
        <w:left w:val="none" w:sz="0" w:space="0" w:color="auto"/>
        <w:bottom w:val="none" w:sz="0" w:space="0" w:color="auto"/>
        <w:right w:val="none" w:sz="0" w:space="0" w:color="auto"/>
      </w:divBdr>
    </w:div>
    <w:div w:id="387994382">
      <w:bodyDiv w:val="1"/>
      <w:marLeft w:val="0"/>
      <w:marRight w:val="0"/>
      <w:marTop w:val="0"/>
      <w:marBottom w:val="0"/>
      <w:divBdr>
        <w:top w:val="none" w:sz="0" w:space="0" w:color="auto"/>
        <w:left w:val="none" w:sz="0" w:space="0" w:color="auto"/>
        <w:bottom w:val="none" w:sz="0" w:space="0" w:color="auto"/>
        <w:right w:val="none" w:sz="0" w:space="0" w:color="auto"/>
      </w:divBdr>
    </w:div>
    <w:div w:id="440997509">
      <w:bodyDiv w:val="1"/>
      <w:marLeft w:val="0"/>
      <w:marRight w:val="0"/>
      <w:marTop w:val="0"/>
      <w:marBottom w:val="0"/>
      <w:divBdr>
        <w:top w:val="none" w:sz="0" w:space="0" w:color="auto"/>
        <w:left w:val="none" w:sz="0" w:space="0" w:color="auto"/>
        <w:bottom w:val="none" w:sz="0" w:space="0" w:color="auto"/>
        <w:right w:val="none" w:sz="0" w:space="0" w:color="auto"/>
      </w:divBdr>
    </w:div>
    <w:div w:id="475294287">
      <w:bodyDiv w:val="1"/>
      <w:marLeft w:val="0"/>
      <w:marRight w:val="0"/>
      <w:marTop w:val="0"/>
      <w:marBottom w:val="0"/>
      <w:divBdr>
        <w:top w:val="none" w:sz="0" w:space="0" w:color="auto"/>
        <w:left w:val="none" w:sz="0" w:space="0" w:color="auto"/>
        <w:bottom w:val="none" w:sz="0" w:space="0" w:color="auto"/>
        <w:right w:val="none" w:sz="0" w:space="0" w:color="auto"/>
      </w:divBdr>
    </w:div>
    <w:div w:id="510340848">
      <w:bodyDiv w:val="1"/>
      <w:marLeft w:val="0"/>
      <w:marRight w:val="0"/>
      <w:marTop w:val="0"/>
      <w:marBottom w:val="0"/>
      <w:divBdr>
        <w:top w:val="none" w:sz="0" w:space="0" w:color="auto"/>
        <w:left w:val="none" w:sz="0" w:space="0" w:color="auto"/>
        <w:bottom w:val="none" w:sz="0" w:space="0" w:color="auto"/>
        <w:right w:val="none" w:sz="0" w:space="0" w:color="auto"/>
      </w:divBdr>
    </w:div>
    <w:div w:id="561018407">
      <w:bodyDiv w:val="1"/>
      <w:marLeft w:val="0"/>
      <w:marRight w:val="0"/>
      <w:marTop w:val="0"/>
      <w:marBottom w:val="0"/>
      <w:divBdr>
        <w:top w:val="none" w:sz="0" w:space="0" w:color="auto"/>
        <w:left w:val="none" w:sz="0" w:space="0" w:color="auto"/>
        <w:bottom w:val="none" w:sz="0" w:space="0" w:color="auto"/>
        <w:right w:val="none" w:sz="0" w:space="0" w:color="auto"/>
      </w:divBdr>
    </w:div>
    <w:div w:id="568806635">
      <w:bodyDiv w:val="1"/>
      <w:marLeft w:val="0"/>
      <w:marRight w:val="0"/>
      <w:marTop w:val="0"/>
      <w:marBottom w:val="0"/>
      <w:divBdr>
        <w:top w:val="none" w:sz="0" w:space="0" w:color="auto"/>
        <w:left w:val="none" w:sz="0" w:space="0" w:color="auto"/>
        <w:bottom w:val="none" w:sz="0" w:space="0" w:color="auto"/>
        <w:right w:val="none" w:sz="0" w:space="0" w:color="auto"/>
      </w:divBdr>
    </w:div>
    <w:div w:id="583414320">
      <w:bodyDiv w:val="1"/>
      <w:marLeft w:val="0"/>
      <w:marRight w:val="0"/>
      <w:marTop w:val="0"/>
      <w:marBottom w:val="0"/>
      <w:divBdr>
        <w:top w:val="none" w:sz="0" w:space="0" w:color="auto"/>
        <w:left w:val="none" w:sz="0" w:space="0" w:color="auto"/>
        <w:bottom w:val="none" w:sz="0" w:space="0" w:color="auto"/>
        <w:right w:val="none" w:sz="0" w:space="0" w:color="auto"/>
      </w:divBdr>
    </w:div>
    <w:div w:id="659308097">
      <w:bodyDiv w:val="1"/>
      <w:marLeft w:val="0"/>
      <w:marRight w:val="0"/>
      <w:marTop w:val="0"/>
      <w:marBottom w:val="0"/>
      <w:divBdr>
        <w:top w:val="none" w:sz="0" w:space="0" w:color="auto"/>
        <w:left w:val="none" w:sz="0" w:space="0" w:color="auto"/>
        <w:bottom w:val="none" w:sz="0" w:space="0" w:color="auto"/>
        <w:right w:val="none" w:sz="0" w:space="0" w:color="auto"/>
      </w:divBdr>
    </w:div>
    <w:div w:id="773355785">
      <w:bodyDiv w:val="1"/>
      <w:marLeft w:val="0"/>
      <w:marRight w:val="0"/>
      <w:marTop w:val="0"/>
      <w:marBottom w:val="0"/>
      <w:divBdr>
        <w:top w:val="none" w:sz="0" w:space="0" w:color="auto"/>
        <w:left w:val="none" w:sz="0" w:space="0" w:color="auto"/>
        <w:bottom w:val="none" w:sz="0" w:space="0" w:color="auto"/>
        <w:right w:val="none" w:sz="0" w:space="0" w:color="auto"/>
      </w:divBdr>
    </w:div>
    <w:div w:id="775825834">
      <w:bodyDiv w:val="1"/>
      <w:marLeft w:val="0"/>
      <w:marRight w:val="0"/>
      <w:marTop w:val="0"/>
      <w:marBottom w:val="0"/>
      <w:divBdr>
        <w:top w:val="none" w:sz="0" w:space="0" w:color="auto"/>
        <w:left w:val="none" w:sz="0" w:space="0" w:color="auto"/>
        <w:bottom w:val="none" w:sz="0" w:space="0" w:color="auto"/>
        <w:right w:val="none" w:sz="0" w:space="0" w:color="auto"/>
      </w:divBdr>
    </w:div>
    <w:div w:id="806357920">
      <w:bodyDiv w:val="1"/>
      <w:marLeft w:val="0"/>
      <w:marRight w:val="0"/>
      <w:marTop w:val="0"/>
      <w:marBottom w:val="0"/>
      <w:divBdr>
        <w:top w:val="none" w:sz="0" w:space="0" w:color="auto"/>
        <w:left w:val="none" w:sz="0" w:space="0" w:color="auto"/>
        <w:bottom w:val="none" w:sz="0" w:space="0" w:color="auto"/>
        <w:right w:val="none" w:sz="0" w:space="0" w:color="auto"/>
      </w:divBdr>
    </w:div>
    <w:div w:id="840199110">
      <w:bodyDiv w:val="1"/>
      <w:marLeft w:val="0"/>
      <w:marRight w:val="0"/>
      <w:marTop w:val="0"/>
      <w:marBottom w:val="0"/>
      <w:divBdr>
        <w:top w:val="none" w:sz="0" w:space="0" w:color="auto"/>
        <w:left w:val="none" w:sz="0" w:space="0" w:color="auto"/>
        <w:bottom w:val="none" w:sz="0" w:space="0" w:color="auto"/>
        <w:right w:val="none" w:sz="0" w:space="0" w:color="auto"/>
      </w:divBdr>
    </w:div>
    <w:div w:id="866217986">
      <w:bodyDiv w:val="1"/>
      <w:marLeft w:val="0"/>
      <w:marRight w:val="0"/>
      <w:marTop w:val="0"/>
      <w:marBottom w:val="0"/>
      <w:divBdr>
        <w:top w:val="none" w:sz="0" w:space="0" w:color="auto"/>
        <w:left w:val="none" w:sz="0" w:space="0" w:color="auto"/>
        <w:bottom w:val="none" w:sz="0" w:space="0" w:color="auto"/>
        <w:right w:val="none" w:sz="0" w:space="0" w:color="auto"/>
      </w:divBdr>
    </w:div>
    <w:div w:id="883055640">
      <w:bodyDiv w:val="1"/>
      <w:marLeft w:val="0"/>
      <w:marRight w:val="0"/>
      <w:marTop w:val="0"/>
      <w:marBottom w:val="0"/>
      <w:divBdr>
        <w:top w:val="none" w:sz="0" w:space="0" w:color="auto"/>
        <w:left w:val="none" w:sz="0" w:space="0" w:color="auto"/>
        <w:bottom w:val="none" w:sz="0" w:space="0" w:color="auto"/>
        <w:right w:val="none" w:sz="0" w:space="0" w:color="auto"/>
      </w:divBdr>
    </w:div>
    <w:div w:id="1041130893">
      <w:bodyDiv w:val="1"/>
      <w:marLeft w:val="0"/>
      <w:marRight w:val="0"/>
      <w:marTop w:val="0"/>
      <w:marBottom w:val="0"/>
      <w:divBdr>
        <w:top w:val="none" w:sz="0" w:space="0" w:color="auto"/>
        <w:left w:val="none" w:sz="0" w:space="0" w:color="auto"/>
        <w:bottom w:val="none" w:sz="0" w:space="0" w:color="auto"/>
        <w:right w:val="none" w:sz="0" w:space="0" w:color="auto"/>
      </w:divBdr>
    </w:div>
    <w:div w:id="1072116563">
      <w:bodyDiv w:val="1"/>
      <w:marLeft w:val="0"/>
      <w:marRight w:val="0"/>
      <w:marTop w:val="0"/>
      <w:marBottom w:val="0"/>
      <w:divBdr>
        <w:top w:val="none" w:sz="0" w:space="0" w:color="auto"/>
        <w:left w:val="none" w:sz="0" w:space="0" w:color="auto"/>
        <w:bottom w:val="none" w:sz="0" w:space="0" w:color="auto"/>
        <w:right w:val="none" w:sz="0" w:space="0" w:color="auto"/>
      </w:divBdr>
    </w:div>
    <w:div w:id="1110203860">
      <w:bodyDiv w:val="1"/>
      <w:marLeft w:val="0"/>
      <w:marRight w:val="0"/>
      <w:marTop w:val="0"/>
      <w:marBottom w:val="0"/>
      <w:divBdr>
        <w:top w:val="none" w:sz="0" w:space="0" w:color="auto"/>
        <w:left w:val="none" w:sz="0" w:space="0" w:color="auto"/>
        <w:bottom w:val="none" w:sz="0" w:space="0" w:color="auto"/>
        <w:right w:val="none" w:sz="0" w:space="0" w:color="auto"/>
      </w:divBdr>
    </w:div>
    <w:div w:id="1120537195">
      <w:bodyDiv w:val="1"/>
      <w:marLeft w:val="0"/>
      <w:marRight w:val="0"/>
      <w:marTop w:val="0"/>
      <w:marBottom w:val="0"/>
      <w:divBdr>
        <w:top w:val="none" w:sz="0" w:space="0" w:color="auto"/>
        <w:left w:val="none" w:sz="0" w:space="0" w:color="auto"/>
        <w:bottom w:val="none" w:sz="0" w:space="0" w:color="auto"/>
        <w:right w:val="none" w:sz="0" w:space="0" w:color="auto"/>
      </w:divBdr>
    </w:div>
    <w:div w:id="1266881465">
      <w:bodyDiv w:val="1"/>
      <w:marLeft w:val="0"/>
      <w:marRight w:val="0"/>
      <w:marTop w:val="0"/>
      <w:marBottom w:val="0"/>
      <w:divBdr>
        <w:top w:val="none" w:sz="0" w:space="0" w:color="auto"/>
        <w:left w:val="none" w:sz="0" w:space="0" w:color="auto"/>
        <w:bottom w:val="none" w:sz="0" w:space="0" w:color="auto"/>
        <w:right w:val="none" w:sz="0" w:space="0" w:color="auto"/>
      </w:divBdr>
    </w:div>
    <w:div w:id="1294562816">
      <w:bodyDiv w:val="1"/>
      <w:marLeft w:val="0"/>
      <w:marRight w:val="0"/>
      <w:marTop w:val="0"/>
      <w:marBottom w:val="0"/>
      <w:divBdr>
        <w:top w:val="none" w:sz="0" w:space="0" w:color="auto"/>
        <w:left w:val="none" w:sz="0" w:space="0" w:color="auto"/>
        <w:bottom w:val="none" w:sz="0" w:space="0" w:color="auto"/>
        <w:right w:val="none" w:sz="0" w:space="0" w:color="auto"/>
      </w:divBdr>
    </w:div>
    <w:div w:id="1422945955">
      <w:bodyDiv w:val="1"/>
      <w:marLeft w:val="0"/>
      <w:marRight w:val="0"/>
      <w:marTop w:val="0"/>
      <w:marBottom w:val="0"/>
      <w:divBdr>
        <w:top w:val="none" w:sz="0" w:space="0" w:color="auto"/>
        <w:left w:val="none" w:sz="0" w:space="0" w:color="auto"/>
        <w:bottom w:val="none" w:sz="0" w:space="0" w:color="auto"/>
        <w:right w:val="none" w:sz="0" w:space="0" w:color="auto"/>
      </w:divBdr>
    </w:div>
    <w:div w:id="1623918871">
      <w:bodyDiv w:val="1"/>
      <w:marLeft w:val="0"/>
      <w:marRight w:val="0"/>
      <w:marTop w:val="0"/>
      <w:marBottom w:val="0"/>
      <w:divBdr>
        <w:top w:val="none" w:sz="0" w:space="0" w:color="auto"/>
        <w:left w:val="none" w:sz="0" w:space="0" w:color="auto"/>
        <w:bottom w:val="none" w:sz="0" w:space="0" w:color="auto"/>
        <w:right w:val="none" w:sz="0" w:space="0" w:color="auto"/>
      </w:divBdr>
    </w:div>
    <w:div w:id="1683582080">
      <w:bodyDiv w:val="1"/>
      <w:marLeft w:val="0"/>
      <w:marRight w:val="0"/>
      <w:marTop w:val="0"/>
      <w:marBottom w:val="0"/>
      <w:divBdr>
        <w:top w:val="none" w:sz="0" w:space="0" w:color="auto"/>
        <w:left w:val="none" w:sz="0" w:space="0" w:color="auto"/>
        <w:bottom w:val="none" w:sz="0" w:space="0" w:color="auto"/>
        <w:right w:val="none" w:sz="0" w:space="0" w:color="auto"/>
      </w:divBdr>
    </w:div>
    <w:div w:id="1685327536">
      <w:bodyDiv w:val="1"/>
      <w:marLeft w:val="0"/>
      <w:marRight w:val="0"/>
      <w:marTop w:val="0"/>
      <w:marBottom w:val="0"/>
      <w:divBdr>
        <w:top w:val="none" w:sz="0" w:space="0" w:color="auto"/>
        <w:left w:val="none" w:sz="0" w:space="0" w:color="auto"/>
        <w:bottom w:val="none" w:sz="0" w:space="0" w:color="auto"/>
        <w:right w:val="none" w:sz="0" w:space="0" w:color="auto"/>
      </w:divBdr>
    </w:div>
    <w:div w:id="1704866808">
      <w:bodyDiv w:val="1"/>
      <w:marLeft w:val="0"/>
      <w:marRight w:val="0"/>
      <w:marTop w:val="0"/>
      <w:marBottom w:val="0"/>
      <w:divBdr>
        <w:top w:val="none" w:sz="0" w:space="0" w:color="auto"/>
        <w:left w:val="none" w:sz="0" w:space="0" w:color="auto"/>
        <w:bottom w:val="none" w:sz="0" w:space="0" w:color="auto"/>
        <w:right w:val="none" w:sz="0" w:space="0" w:color="auto"/>
      </w:divBdr>
    </w:div>
    <w:div w:id="1797719590">
      <w:bodyDiv w:val="1"/>
      <w:marLeft w:val="0"/>
      <w:marRight w:val="0"/>
      <w:marTop w:val="0"/>
      <w:marBottom w:val="0"/>
      <w:divBdr>
        <w:top w:val="none" w:sz="0" w:space="0" w:color="auto"/>
        <w:left w:val="none" w:sz="0" w:space="0" w:color="auto"/>
        <w:bottom w:val="none" w:sz="0" w:space="0" w:color="auto"/>
        <w:right w:val="none" w:sz="0" w:space="0" w:color="auto"/>
      </w:divBdr>
    </w:div>
    <w:div w:id="1815677430">
      <w:bodyDiv w:val="1"/>
      <w:marLeft w:val="0"/>
      <w:marRight w:val="0"/>
      <w:marTop w:val="0"/>
      <w:marBottom w:val="0"/>
      <w:divBdr>
        <w:top w:val="none" w:sz="0" w:space="0" w:color="auto"/>
        <w:left w:val="none" w:sz="0" w:space="0" w:color="auto"/>
        <w:bottom w:val="none" w:sz="0" w:space="0" w:color="auto"/>
        <w:right w:val="none" w:sz="0" w:space="0" w:color="auto"/>
      </w:divBdr>
    </w:div>
    <w:div w:id="2076001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cms.int/sites/default/files/document/Res_11_01_Financial_and_Administrative_matters_E.pdf" TargetMode="Externa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DC6F60-BA84-4507-AE8E-8D2C10A0F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COP11_Template_English_new</Template>
  <TotalTime>0</TotalTime>
  <Pages>8</Pages>
  <Words>2678</Words>
  <Characters>15531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17TH MEETING OF THE</vt:lpstr>
    </vt:vector>
  </TitlesOfParts>
  <Company>United Nations Volunteers (UNV) programme</Company>
  <LinksUpToDate>false</LinksUpToDate>
  <CharactersWithSpaces>18173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17TH MEETING OF THE</dc:title>
  <dc:subject/>
  <dc:creator>barbara.schoenberg@cms.int</dc:creator>
  <cp:keywords/>
  <cp:lastModifiedBy>Ximena Cancino</cp:lastModifiedBy>
  <cp:revision>2</cp:revision>
  <cp:lastPrinted>2017-07-25T17:28:00Z</cp:lastPrinted>
  <dcterms:created xsi:type="dcterms:W3CDTF">2017-08-21T11:18:00Z</dcterms:created>
  <dcterms:modified xsi:type="dcterms:W3CDTF">2017-08-21T11:18:00Z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