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5AD0BC72" w14:textId="3418AC24" w:rsidR="0030037B" w:rsidRPr="0030037B" w:rsidRDefault="0030037B" w:rsidP="00041EE8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30037B">
        <w:rPr>
          <w:rFonts w:ascii="Arial" w:hAnsi="Arial" w:cs="Arial"/>
          <w:b/>
          <w:sz w:val="22"/>
          <w:szCs w:val="22"/>
          <w:lang w:val="fr-FR"/>
        </w:rPr>
        <w:t>MESURES DE CONSERVATION PERTINENTES POUR LES ESPÈCES INSCRITES AUX ANNEXES DE LA CMS QUI RESSORTENT DE L'IDENTIFICATION D’AIRES IMPORTANTES POUR LES MAMMIFÈRES MARINS (AIMM)</w:t>
      </w:r>
    </w:p>
    <w:p w14:paraId="77BA811D" w14:textId="03EF1F03" w:rsidR="00D82C56" w:rsidRPr="0030037B" w:rsidRDefault="005D43E4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30037B">
        <w:rPr>
          <w:rFonts w:ascii="Arial" w:hAnsi="Arial" w:cs="Arial"/>
          <w:sz w:val="22"/>
          <w:szCs w:val="22"/>
          <w:lang w:val="fr-FR"/>
        </w:rPr>
        <w:t>UNEP/CMS/COP13/Doc.</w:t>
      </w:r>
      <w:r w:rsidR="00041EE8" w:rsidRPr="0030037B">
        <w:rPr>
          <w:rFonts w:ascii="Arial" w:hAnsi="Arial" w:cs="Arial"/>
          <w:sz w:val="22"/>
          <w:szCs w:val="22"/>
          <w:lang w:val="fr-FR"/>
        </w:rPr>
        <w:t>26.2.1</w:t>
      </w:r>
    </w:p>
    <w:p w14:paraId="48F82B79" w14:textId="77777777" w:rsidR="00D82C56" w:rsidRPr="0030037B" w:rsidRDefault="00D82C56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73A89732" w14:textId="2A8F89B1" w:rsidR="00D82C56" w:rsidRPr="0030037B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30037B">
        <w:rPr>
          <w:rFonts w:ascii="Arial" w:hAnsi="Arial" w:cs="Arial"/>
          <w:i/>
          <w:sz w:val="22"/>
          <w:szCs w:val="22"/>
          <w:lang w:val="fr-FR"/>
        </w:rPr>
        <w:t>(Pr</w:t>
      </w:r>
      <w:r w:rsidR="00B2527D" w:rsidRPr="0030037B">
        <w:rPr>
          <w:rFonts w:ascii="Arial" w:hAnsi="Arial" w:cs="Arial"/>
          <w:i/>
          <w:sz w:val="22"/>
          <w:szCs w:val="22"/>
          <w:lang w:val="fr-FR"/>
        </w:rPr>
        <w:t>é</w:t>
      </w:r>
      <w:r w:rsidRPr="0030037B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30037B">
        <w:rPr>
          <w:rFonts w:ascii="Arial" w:hAnsi="Arial" w:cs="Arial"/>
          <w:i/>
          <w:sz w:val="22"/>
          <w:szCs w:val="22"/>
          <w:lang w:val="fr-FR"/>
        </w:rPr>
        <w:t>é par</w:t>
      </w:r>
      <w:r w:rsidRPr="0030037B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B2527D" w:rsidRPr="0030037B">
        <w:rPr>
          <w:rFonts w:ascii="Arial" w:hAnsi="Arial" w:cs="Arial"/>
          <w:i/>
          <w:sz w:val="22"/>
          <w:szCs w:val="22"/>
          <w:lang w:val="fr-FR"/>
        </w:rPr>
        <w:t>le Groupe de travail sur les espè</w:t>
      </w:r>
      <w:bookmarkStart w:id="0" w:name="_GoBack"/>
      <w:bookmarkEnd w:id="0"/>
      <w:r w:rsidR="00B2527D" w:rsidRPr="0030037B">
        <w:rPr>
          <w:rFonts w:ascii="Arial" w:hAnsi="Arial" w:cs="Arial"/>
          <w:i/>
          <w:sz w:val="22"/>
          <w:szCs w:val="22"/>
          <w:lang w:val="fr-FR"/>
        </w:rPr>
        <w:t>ces aquatiques</w:t>
      </w:r>
      <w:r w:rsidRPr="0030037B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34A2F70B" w14:textId="77777777" w:rsidR="00041EE8" w:rsidRPr="0030037B" w:rsidRDefault="00041EE8" w:rsidP="00041EE8">
      <w:pPr>
        <w:jc w:val="right"/>
        <w:rPr>
          <w:rFonts w:cs="Arial"/>
          <w:b/>
          <w:noProof/>
          <w:lang w:val="fr-FR"/>
        </w:rPr>
      </w:pPr>
    </w:p>
    <w:p w14:paraId="6AEC38F6" w14:textId="233C4079" w:rsidR="00041EE8" w:rsidRPr="00041EE8" w:rsidRDefault="00041EE8" w:rsidP="00041EE8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41EE8">
        <w:rPr>
          <w:rFonts w:ascii="Arial" w:hAnsi="Arial" w:cs="Arial"/>
          <w:sz w:val="22"/>
          <w:szCs w:val="22"/>
          <w:lang w:val="fr-FR"/>
        </w:rPr>
        <w:t>PROJET DE DÉCISION</w:t>
      </w:r>
    </w:p>
    <w:p w14:paraId="035218A7" w14:textId="77777777" w:rsidR="00041EE8" w:rsidRPr="00041EE8" w:rsidRDefault="00041EE8" w:rsidP="00041EE8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7F8865B4" w14:textId="25B82819" w:rsidR="00041EE8" w:rsidRPr="00041EE8" w:rsidRDefault="007F263F" w:rsidP="00041EE8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AIR</w:t>
      </w:r>
      <w:r w:rsidR="00041EE8" w:rsidRPr="00041EE8">
        <w:rPr>
          <w:rFonts w:ascii="Arial" w:hAnsi="Arial" w:cs="Arial"/>
          <w:b/>
          <w:sz w:val="22"/>
          <w:szCs w:val="22"/>
          <w:lang w:val="fr-FR"/>
        </w:rPr>
        <w:t>ES IMPORTANTES POUR LES MAMMIFÈRES MARINS (AIMM)</w:t>
      </w:r>
    </w:p>
    <w:p w14:paraId="2EB29C96" w14:textId="77777777" w:rsidR="00041EE8" w:rsidRPr="00041EE8" w:rsidRDefault="00041EE8" w:rsidP="00041EE8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152DEA28" w14:textId="77777777" w:rsidR="00041EE8" w:rsidRPr="00041EE8" w:rsidRDefault="00041EE8" w:rsidP="00041EE8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1D7CB4D5" w14:textId="77777777" w:rsidR="00041EE8" w:rsidRPr="00041EE8" w:rsidRDefault="00041EE8" w:rsidP="00041EE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041EE8">
        <w:rPr>
          <w:rFonts w:ascii="Arial" w:hAnsi="Arial" w:cs="Arial"/>
          <w:b/>
          <w:i/>
          <w:sz w:val="22"/>
          <w:szCs w:val="22"/>
          <w:lang w:val="fr-FR"/>
        </w:rPr>
        <w:t xml:space="preserve">Adressé aux Parties </w:t>
      </w:r>
    </w:p>
    <w:p w14:paraId="543220FA" w14:textId="77777777" w:rsidR="00041EE8" w:rsidRPr="00041EE8" w:rsidRDefault="00041EE8" w:rsidP="00041EE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2227E93E" w14:textId="304CB19E" w:rsidR="00041EE8" w:rsidRPr="00041EE8" w:rsidRDefault="00041EE8" w:rsidP="00041EE8">
      <w:pPr>
        <w:ind w:left="720" w:hanging="720"/>
        <w:jc w:val="both"/>
        <w:rPr>
          <w:rFonts w:ascii="Arial" w:hAnsi="Arial" w:cs="Arial"/>
          <w:sz w:val="22"/>
          <w:szCs w:val="22"/>
          <w:lang w:val="fr-FR"/>
        </w:rPr>
      </w:pPr>
      <w:r w:rsidRPr="00041EE8">
        <w:rPr>
          <w:rFonts w:ascii="Arial" w:hAnsi="Arial" w:cs="Arial"/>
          <w:sz w:val="22"/>
          <w:szCs w:val="22"/>
          <w:lang w:val="fr-FR"/>
        </w:rPr>
        <w:t>13.AA</w:t>
      </w:r>
      <w:r w:rsidRPr="00041EE8">
        <w:rPr>
          <w:rFonts w:ascii="Arial" w:hAnsi="Arial" w:cs="Arial"/>
          <w:sz w:val="22"/>
          <w:szCs w:val="22"/>
          <w:lang w:val="fr-FR"/>
        </w:rPr>
        <w:tab/>
      </w:r>
      <w:r w:rsidRPr="00041EE8">
        <w:rPr>
          <w:rFonts w:ascii="Arial" w:hAnsi="Arial" w:cs="Arial"/>
          <w:iCs/>
          <w:sz w:val="22"/>
          <w:szCs w:val="22"/>
          <w:lang w:val="fr-FR"/>
        </w:rPr>
        <w:t xml:space="preserve">Il est demandé aux Parties </w:t>
      </w:r>
      <w:r w:rsidR="0030037B">
        <w:rPr>
          <w:rFonts w:ascii="Arial" w:hAnsi="Arial" w:cs="Arial"/>
          <w:iCs/>
          <w:sz w:val="22"/>
          <w:szCs w:val="22"/>
          <w:lang w:val="fr-FR"/>
        </w:rPr>
        <w:t>de se fonder</w:t>
      </w:r>
      <w:r w:rsidR="004D0BF2">
        <w:rPr>
          <w:rFonts w:ascii="Arial" w:hAnsi="Arial" w:cs="Arial"/>
          <w:iCs/>
          <w:sz w:val="22"/>
          <w:szCs w:val="22"/>
          <w:lang w:val="fr-FR"/>
        </w:rPr>
        <w:t>, s’il y a lieu,</w:t>
      </w:r>
      <w:r w:rsidR="0030037B">
        <w:rPr>
          <w:rFonts w:ascii="Arial" w:hAnsi="Arial" w:cs="Arial"/>
          <w:iCs/>
          <w:sz w:val="22"/>
          <w:szCs w:val="22"/>
          <w:lang w:val="fr-FR"/>
        </w:rPr>
        <w:t xml:space="preserve"> sur les aires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importantes pour les mammifères marins (AIMM) </w:t>
      </w:r>
      <w:r w:rsidR="0030037B">
        <w:rPr>
          <w:rFonts w:ascii="Arial" w:hAnsi="Arial" w:cs="Arial"/>
          <w:sz w:val="22"/>
          <w:szCs w:val="22"/>
          <w:lang w:val="fr-FR"/>
        </w:rPr>
        <w:t>qui ont été recensées et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</w:t>
      </w:r>
      <w:r w:rsidR="0030037B">
        <w:rPr>
          <w:rFonts w:ascii="Arial" w:hAnsi="Arial" w:cs="Arial"/>
          <w:sz w:val="22"/>
          <w:szCs w:val="22"/>
          <w:lang w:val="fr-FR"/>
        </w:rPr>
        <w:t>publiées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sur le site Web du Groupe de travail conjoint UICN/CSE/CMPA sur les zones de protection des mammifères marins (</w:t>
      </w:r>
      <w:hyperlink r:id="rId7" w:history="1">
        <w:r w:rsidRPr="00041EE8">
          <w:rPr>
            <w:rStyle w:val="Hyperlink"/>
            <w:rFonts w:ascii="Arial" w:hAnsi="Arial" w:cs="Arial"/>
            <w:sz w:val="22"/>
            <w:szCs w:val="22"/>
            <w:lang w:val="fr-FR"/>
          </w:rPr>
          <w:t>www.marinemammalhabitat.org</w:t>
        </w:r>
      </w:hyperlink>
      <w:r w:rsidRPr="00041EE8">
        <w:rPr>
          <w:rFonts w:ascii="Arial" w:hAnsi="Arial" w:cs="Arial"/>
          <w:sz w:val="22"/>
          <w:szCs w:val="22"/>
          <w:lang w:val="fr-FR"/>
        </w:rPr>
        <w:t>) pour identifier les habitats en péril</w:t>
      </w:r>
      <w:r w:rsidR="004D0BF2">
        <w:rPr>
          <w:rFonts w:ascii="Arial" w:hAnsi="Arial" w:cs="Arial"/>
          <w:sz w:val="22"/>
          <w:szCs w:val="22"/>
          <w:lang w:val="fr-FR"/>
        </w:rPr>
        <w:t>,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</w:t>
      </w:r>
      <w:r w:rsidR="004D0BF2">
        <w:rPr>
          <w:rFonts w:ascii="Arial" w:hAnsi="Arial" w:cs="Arial"/>
          <w:sz w:val="22"/>
          <w:szCs w:val="22"/>
          <w:lang w:val="fr-FR"/>
        </w:rPr>
        <w:t>élaborer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des mesures </w:t>
      </w:r>
      <w:r w:rsidR="004D0BF2">
        <w:rPr>
          <w:rFonts w:ascii="Arial" w:hAnsi="Arial" w:cs="Arial"/>
          <w:sz w:val="22"/>
          <w:szCs w:val="22"/>
          <w:lang w:val="fr-FR"/>
        </w:rPr>
        <w:t xml:space="preserve">visant à réduire les risques ou désigner des aires marines protégées, </w:t>
      </w:r>
      <w:r w:rsidR="000D4347">
        <w:rPr>
          <w:rFonts w:ascii="Arial" w:hAnsi="Arial" w:cs="Arial"/>
          <w:sz w:val="22"/>
          <w:szCs w:val="22"/>
          <w:lang w:val="fr-FR"/>
        </w:rPr>
        <w:t>et ce à des fins d’aménagement de l’espace marin,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pour les pinnipèdes, siréniens, loutres, ours blancs et cétacés </w:t>
      </w:r>
      <w:r w:rsidR="000D4347">
        <w:rPr>
          <w:rFonts w:ascii="Arial" w:hAnsi="Arial" w:cs="Arial"/>
          <w:sz w:val="22"/>
          <w:szCs w:val="22"/>
          <w:lang w:val="fr-FR"/>
        </w:rPr>
        <w:t>inscrits aux annexes de la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CMS</w:t>
      </w:r>
      <w:r w:rsidR="00760BAC">
        <w:rPr>
          <w:rFonts w:ascii="Arial" w:hAnsi="Arial" w:cs="Arial"/>
          <w:sz w:val="22"/>
          <w:szCs w:val="22"/>
          <w:lang w:val="fr-FR"/>
        </w:rPr>
        <w:t>.</w:t>
      </w:r>
    </w:p>
    <w:p w14:paraId="702BC1DE" w14:textId="77777777" w:rsidR="00041EE8" w:rsidRPr="00041EE8" w:rsidRDefault="00041EE8" w:rsidP="00041EE8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14:paraId="59B95363" w14:textId="77777777" w:rsidR="00041EE8" w:rsidRPr="00041EE8" w:rsidRDefault="00041EE8" w:rsidP="00041EE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041EE8">
        <w:rPr>
          <w:rFonts w:ascii="Arial" w:hAnsi="Arial" w:cs="Arial"/>
          <w:b/>
          <w:i/>
          <w:sz w:val="22"/>
          <w:szCs w:val="22"/>
          <w:lang w:val="fr-FR"/>
        </w:rPr>
        <w:t>Adressé aux Parties qui sont des États de l’aire de répartition du dugong</w:t>
      </w:r>
    </w:p>
    <w:p w14:paraId="35C0F2FA" w14:textId="77777777" w:rsidR="00041EE8" w:rsidRPr="00041EE8" w:rsidRDefault="00041EE8" w:rsidP="00041EE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46363DE2" w14:textId="60B13606" w:rsidR="00041EE8" w:rsidRPr="00041EE8" w:rsidRDefault="00041EE8" w:rsidP="00041EE8">
      <w:pPr>
        <w:ind w:left="720" w:hanging="720"/>
        <w:jc w:val="both"/>
        <w:rPr>
          <w:rFonts w:ascii="Arial" w:hAnsi="Arial" w:cs="Arial"/>
          <w:sz w:val="22"/>
          <w:szCs w:val="22"/>
          <w:lang w:val="fr-FR"/>
        </w:rPr>
      </w:pPr>
      <w:r w:rsidRPr="00041EE8">
        <w:rPr>
          <w:rFonts w:ascii="Arial" w:hAnsi="Arial" w:cs="Arial"/>
          <w:sz w:val="22"/>
          <w:szCs w:val="22"/>
          <w:lang w:val="fr-FR"/>
        </w:rPr>
        <w:t>13.BB</w:t>
      </w:r>
      <w:r w:rsidRPr="00041EE8">
        <w:rPr>
          <w:rFonts w:ascii="Arial" w:hAnsi="Arial" w:cs="Arial"/>
          <w:sz w:val="22"/>
          <w:szCs w:val="22"/>
          <w:lang w:val="fr-FR"/>
        </w:rPr>
        <w:tab/>
        <w:t xml:space="preserve">Les Parties qui sont des États de l’aire de répartition du dugong sont invitées à déterminer, en consultant </w:t>
      </w:r>
      <w:r w:rsidR="000D4347">
        <w:rPr>
          <w:rFonts w:ascii="Arial" w:hAnsi="Arial" w:cs="Arial"/>
          <w:sz w:val="22"/>
          <w:szCs w:val="22"/>
          <w:lang w:val="fr-FR"/>
        </w:rPr>
        <w:t xml:space="preserve">notamment 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le </w:t>
      </w:r>
      <w:proofErr w:type="spellStart"/>
      <w:r w:rsidRPr="00041EE8">
        <w:rPr>
          <w:rFonts w:ascii="Arial" w:hAnsi="Arial" w:cs="Arial"/>
          <w:sz w:val="22"/>
          <w:szCs w:val="22"/>
          <w:lang w:val="fr-FR"/>
        </w:rPr>
        <w:t>MdE</w:t>
      </w:r>
      <w:proofErr w:type="spellEnd"/>
      <w:r w:rsidRPr="00041EE8">
        <w:rPr>
          <w:rFonts w:ascii="Arial" w:hAnsi="Arial" w:cs="Arial"/>
          <w:sz w:val="22"/>
          <w:szCs w:val="22"/>
          <w:lang w:val="fr-FR"/>
        </w:rPr>
        <w:t xml:space="preserve"> </w:t>
      </w:r>
      <w:r w:rsidR="000D4347">
        <w:rPr>
          <w:rFonts w:ascii="Arial" w:hAnsi="Arial" w:cs="Arial"/>
          <w:sz w:val="22"/>
          <w:szCs w:val="22"/>
          <w:lang w:val="fr-FR"/>
        </w:rPr>
        <w:t>sur les d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ugongs, si leur population de l’espèce </w:t>
      </w:r>
      <w:r w:rsidR="000D4347">
        <w:rPr>
          <w:rFonts w:ascii="Arial" w:hAnsi="Arial" w:cs="Arial"/>
          <w:sz w:val="22"/>
          <w:szCs w:val="22"/>
          <w:lang w:val="fr-FR"/>
        </w:rPr>
        <w:t xml:space="preserve">au niveau régional </w:t>
      </w:r>
      <w:r w:rsidR="000D4347" w:rsidRPr="00041EE8">
        <w:rPr>
          <w:rFonts w:ascii="Arial" w:hAnsi="Arial" w:cs="Arial"/>
          <w:sz w:val="22"/>
          <w:szCs w:val="22"/>
          <w:lang w:val="fr-FR"/>
        </w:rPr>
        <w:t xml:space="preserve">mérite 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d’être inscrite à l’Annexe I de la CMS.  </w:t>
      </w:r>
    </w:p>
    <w:p w14:paraId="29F0D182" w14:textId="77777777" w:rsidR="00041EE8" w:rsidRPr="00041EE8" w:rsidRDefault="00041EE8" w:rsidP="00041EE8">
      <w:pPr>
        <w:ind w:left="720" w:hanging="720"/>
        <w:jc w:val="both"/>
        <w:rPr>
          <w:rFonts w:ascii="Arial" w:hAnsi="Arial" w:cs="Arial"/>
          <w:sz w:val="22"/>
          <w:szCs w:val="22"/>
          <w:lang w:val="fr-FR"/>
        </w:rPr>
      </w:pPr>
    </w:p>
    <w:p w14:paraId="16A229DE" w14:textId="77777777" w:rsidR="00041EE8" w:rsidRPr="00041EE8" w:rsidRDefault="00041EE8" w:rsidP="00041EE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041EE8">
        <w:rPr>
          <w:rFonts w:ascii="Arial" w:hAnsi="Arial" w:cs="Arial"/>
          <w:b/>
          <w:i/>
          <w:sz w:val="22"/>
          <w:szCs w:val="22"/>
          <w:lang w:val="fr-FR"/>
        </w:rPr>
        <w:t xml:space="preserve">Adressé au Conseil scientifique </w:t>
      </w:r>
    </w:p>
    <w:p w14:paraId="662CE19E" w14:textId="77777777" w:rsidR="00041EE8" w:rsidRPr="00041EE8" w:rsidRDefault="00041EE8" w:rsidP="00041EE8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2D85E89" w14:textId="620E9FDE" w:rsidR="00041EE8" w:rsidRPr="00041EE8" w:rsidRDefault="00041EE8" w:rsidP="00041EE8">
      <w:pPr>
        <w:ind w:left="720" w:hanging="720"/>
        <w:jc w:val="both"/>
        <w:rPr>
          <w:rFonts w:ascii="Arial" w:hAnsi="Arial" w:cs="Arial"/>
          <w:sz w:val="22"/>
          <w:szCs w:val="22"/>
          <w:lang w:val="fr-FR"/>
        </w:rPr>
      </w:pPr>
      <w:r w:rsidRPr="00041EE8">
        <w:rPr>
          <w:rFonts w:ascii="Arial" w:hAnsi="Arial" w:cs="Arial"/>
          <w:sz w:val="22"/>
          <w:szCs w:val="22"/>
          <w:lang w:val="fr-FR"/>
        </w:rPr>
        <w:t>13.CC</w:t>
      </w:r>
      <w:r w:rsidRPr="00041EE8">
        <w:rPr>
          <w:rFonts w:ascii="Arial" w:hAnsi="Arial" w:cs="Arial"/>
          <w:sz w:val="22"/>
          <w:szCs w:val="22"/>
          <w:lang w:val="fr-FR"/>
        </w:rPr>
        <w:tab/>
        <w:t>Le Conseil scientifique, sous réserve des ressources</w:t>
      </w:r>
      <w:r w:rsidR="000D4347">
        <w:rPr>
          <w:rFonts w:ascii="Arial" w:hAnsi="Arial" w:cs="Arial"/>
          <w:sz w:val="22"/>
          <w:szCs w:val="22"/>
          <w:lang w:val="fr-FR"/>
        </w:rPr>
        <w:t xml:space="preserve"> disponibles</w:t>
      </w:r>
      <w:r w:rsidRPr="00041EE8">
        <w:rPr>
          <w:rFonts w:ascii="Arial" w:hAnsi="Arial" w:cs="Arial"/>
          <w:sz w:val="22"/>
          <w:szCs w:val="22"/>
          <w:lang w:val="fr-FR"/>
        </w:rPr>
        <w:t>, est prié de :</w:t>
      </w:r>
    </w:p>
    <w:p w14:paraId="21AF9C71" w14:textId="77777777" w:rsidR="00041EE8" w:rsidRPr="00041EE8" w:rsidRDefault="00041EE8" w:rsidP="00041EE8">
      <w:pPr>
        <w:ind w:left="720" w:hanging="720"/>
        <w:jc w:val="both"/>
        <w:rPr>
          <w:rFonts w:ascii="Arial" w:hAnsi="Arial" w:cs="Arial"/>
          <w:sz w:val="22"/>
          <w:szCs w:val="22"/>
          <w:lang w:val="fr-FR"/>
        </w:rPr>
      </w:pPr>
    </w:p>
    <w:p w14:paraId="69115964" w14:textId="78C683A3" w:rsidR="00041EE8" w:rsidRPr="00041EE8" w:rsidRDefault="00041EE8" w:rsidP="00041EE8">
      <w:pPr>
        <w:ind w:left="1134" w:hanging="360"/>
        <w:jc w:val="both"/>
        <w:rPr>
          <w:rFonts w:ascii="Arial" w:hAnsi="Arial" w:cs="Arial"/>
          <w:sz w:val="22"/>
          <w:szCs w:val="22"/>
          <w:lang w:val="fr-FR"/>
        </w:rPr>
      </w:pPr>
      <w:r w:rsidRPr="00041EE8">
        <w:rPr>
          <w:rFonts w:ascii="Arial" w:hAnsi="Arial" w:cs="Arial"/>
          <w:sz w:val="22"/>
          <w:szCs w:val="22"/>
          <w:lang w:val="fr-FR"/>
        </w:rPr>
        <w:t>a)</w:t>
      </w:r>
      <w:r w:rsidRPr="00041EE8">
        <w:rPr>
          <w:rFonts w:ascii="Arial" w:hAnsi="Arial" w:cs="Arial"/>
          <w:sz w:val="22"/>
          <w:szCs w:val="22"/>
          <w:lang w:val="fr-FR"/>
        </w:rPr>
        <w:tab/>
      </w:r>
      <w:r w:rsidR="00760BAC">
        <w:rPr>
          <w:rFonts w:ascii="Arial" w:hAnsi="Arial" w:cs="Arial"/>
          <w:sz w:val="22"/>
          <w:szCs w:val="22"/>
          <w:lang w:val="fr-FR"/>
        </w:rPr>
        <w:t>sur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demande, </w:t>
      </w:r>
      <w:r w:rsidR="00760BAC">
        <w:rPr>
          <w:rFonts w:ascii="Arial" w:hAnsi="Arial" w:cs="Arial"/>
          <w:sz w:val="22"/>
          <w:szCs w:val="22"/>
          <w:lang w:val="fr-FR"/>
        </w:rPr>
        <w:t>aider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les Parties </w:t>
      </w:r>
      <w:r w:rsidR="00760BAC">
        <w:rPr>
          <w:rFonts w:ascii="Arial" w:hAnsi="Arial" w:cs="Arial"/>
          <w:sz w:val="22"/>
          <w:szCs w:val="22"/>
          <w:lang w:val="fr-FR"/>
        </w:rPr>
        <w:t>à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utiliser les </w:t>
      </w:r>
      <w:r w:rsidR="00760BAC">
        <w:rPr>
          <w:rFonts w:ascii="Arial" w:hAnsi="Arial" w:cs="Arial"/>
          <w:sz w:val="22"/>
          <w:szCs w:val="22"/>
          <w:lang w:val="fr-FR"/>
        </w:rPr>
        <w:t>aires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importantes pour les mammifères marins (AIMM) </w:t>
      </w:r>
      <w:r w:rsidR="00760BAC">
        <w:rPr>
          <w:rFonts w:ascii="Arial" w:hAnsi="Arial" w:cs="Arial"/>
          <w:sz w:val="22"/>
          <w:szCs w:val="22"/>
          <w:lang w:val="fr-FR"/>
        </w:rPr>
        <w:t>qui ont été recensées et publiées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sur le site Web du Groupe de travail conjoint UICN/CSE/CMPA sur les zones de protection des mammifères marins (</w:t>
      </w:r>
      <w:hyperlink r:id="rId8" w:history="1">
        <w:r w:rsidRPr="00041EE8">
          <w:rPr>
            <w:rStyle w:val="Hyperlink"/>
            <w:rFonts w:ascii="Arial" w:hAnsi="Arial" w:cs="Arial"/>
            <w:sz w:val="22"/>
            <w:szCs w:val="22"/>
            <w:lang w:val="fr-FR"/>
          </w:rPr>
          <w:t>www.marinemammalhabitat.org</w:t>
        </w:r>
      </w:hyperlink>
      <w:r w:rsidRPr="00041EE8">
        <w:rPr>
          <w:rFonts w:ascii="Arial" w:hAnsi="Arial" w:cs="Arial"/>
          <w:sz w:val="22"/>
          <w:szCs w:val="22"/>
          <w:lang w:val="fr-FR"/>
        </w:rPr>
        <w:t xml:space="preserve">) pour identifier les habitats en péril ou </w:t>
      </w:r>
      <w:r w:rsidR="00760BAC" w:rsidRPr="00760BAC">
        <w:rPr>
          <w:rFonts w:ascii="Arial" w:hAnsi="Arial" w:cs="Arial"/>
          <w:sz w:val="22"/>
          <w:szCs w:val="22"/>
          <w:lang w:val="fr-FR"/>
        </w:rPr>
        <w:t>élaborer des mesures visant à réduire les risque</w:t>
      </w:r>
      <w:r w:rsidR="00760BAC">
        <w:rPr>
          <w:rFonts w:ascii="Arial" w:hAnsi="Arial" w:cs="Arial"/>
          <w:sz w:val="22"/>
          <w:szCs w:val="22"/>
          <w:lang w:val="fr-FR"/>
        </w:rPr>
        <w:t>s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pour les pinnipèdes, siréniens, loutres, ours blancs et cétacés </w:t>
      </w:r>
      <w:r w:rsidR="005D23B4" w:rsidRPr="005D23B4">
        <w:rPr>
          <w:rFonts w:ascii="Arial" w:hAnsi="Arial" w:cs="Arial"/>
          <w:sz w:val="22"/>
          <w:szCs w:val="22"/>
          <w:lang w:val="fr-FR"/>
        </w:rPr>
        <w:t>inscrits aux annexes de la CMS</w:t>
      </w:r>
      <w:r w:rsidRPr="00041EE8">
        <w:rPr>
          <w:rFonts w:ascii="Arial" w:hAnsi="Arial" w:cs="Arial"/>
          <w:sz w:val="22"/>
          <w:szCs w:val="22"/>
          <w:lang w:val="fr-FR"/>
        </w:rPr>
        <w:t>;</w:t>
      </w:r>
    </w:p>
    <w:p w14:paraId="599F2FF6" w14:textId="77777777" w:rsidR="00041EE8" w:rsidRPr="00041EE8" w:rsidRDefault="00041EE8" w:rsidP="00041EE8">
      <w:pPr>
        <w:ind w:left="1134" w:hanging="360"/>
        <w:jc w:val="both"/>
        <w:rPr>
          <w:rFonts w:ascii="Arial" w:hAnsi="Arial" w:cs="Arial"/>
          <w:noProof/>
          <w:sz w:val="22"/>
          <w:szCs w:val="22"/>
          <w:lang w:val="fr-FR"/>
        </w:rPr>
      </w:pPr>
    </w:p>
    <w:p w14:paraId="4AFFDA04" w14:textId="0D8CBB67" w:rsidR="00041EE8" w:rsidRPr="00041EE8" w:rsidRDefault="00041EE8" w:rsidP="005D23B4">
      <w:pPr>
        <w:ind w:left="1134" w:hanging="414"/>
        <w:jc w:val="both"/>
        <w:rPr>
          <w:rFonts w:ascii="Arial" w:hAnsi="Arial" w:cs="Arial"/>
          <w:sz w:val="22"/>
          <w:szCs w:val="22"/>
          <w:lang w:val="fr-FR"/>
        </w:rPr>
      </w:pPr>
      <w:r w:rsidRPr="00041EE8">
        <w:rPr>
          <w:rFonts w:ascii="Arial" w:hAnsi="Arial" w:cs="Arial"/>
          <w:sz w:val="22"/>
          <w:szCs w:val="22"/>
          <w:lang w:val="fr-FR"/>
        </w:rPr>
        <w:t>b)</w:t>
      </w:r>
      <w:r w:rsidRPr="00041EE8">
        <w:rPr>
          <w:rFonts w:ascii="Arial" w:hAnsi="Arial" w:cs="Arial"/>
          <w:sz w:val="22"/>
          <w:szCs w:val="22"/>
          <w:lang w:val="fr-FR"/>
        </w:rPr>
        <w:tab/>
        <w:t xml:space="preserve">collaborer avec le Groupe de travail conjoint de la Commission de la sauvegarde des espèces/Commission mondiale des aires protégées (CSE/CMAP) </w:t>
      </w:r>
      <w:r w:rsidR="005D23B4" w:rsidRPr="00041EE8">
        <w:rPr>
          <w:rFonts w:ascii="Arial" w:hAnsi="Arial" w:cs="Arial"/>
          <w:sz w:val="22"/>
          <w:szCs w:val="22"/>
          <w:lang w:val="fr-FR"/>
        </w:rPr>
        <w:t xml:space="preserve">de l’UICN 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sur </w:t>
      </w:r>
      <w:r w:rsidR="005D23B4" w:rsidRPr="005D23B4">
        <w:rPr>
          <w:rFonts w:ascii="Arial" w:hAnsi="Arial" w:cs="Arial"/>
          <w:sz w:val="22"/>
          <w:szCs w:val="22"/>
          <w:lang w:val="fr-FR"/>
        </w:rPr>
        <w:t xml:space="preserve">les zones de protection des mammifères marins 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pour </w:t>
      </w:r>
      <w:r w:rsidR="005D23B4">
        <w:rPr>
          <w:rFonts w:ascii="Arial" w:hAnsi="Arial" w:cs="Arial"/>
          <w:sz w:val="22"/>
          <w:szCs w:val="22"/>
          <w:lang w:val="fr-FR"/>
        </w:rPr>
        <w:t>intégrer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</w:t>
      </w:r>
      <w:r w:rsidR="005D23B4">
        <w:rPr>
          <w:rFonts w:ascii="Arial" w:hAnsi="Arial" w:cs="Arial"/>
          <w:sz w:val="22"/>
          <w:szCs w:val="22"/>
          <w:lang w:val="fr-FR"/>
        </w:rPr>
        <w:t>l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es données sur les pinnipèdes, siréniens, loutres, ours blancs et cétacés </w:t>
      </w:r>
      <w:r w:rsidR="005D23B4">
        <w:rPr>
          <w:rFonts w:ascii="Arial" w:hAnsi="Arial" w:cs="Arial"/>
          <w:sz w:val="22"/>
          <w:szCs w:val="22"/>
          <w:lang w:val="fr-FR"/>
        </w:rPr>
        <w:t xml:space="preserve">inscrits aux annexes 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de la CMS dans l’identification des </w:t>
      </w:r>
      <w:r w:rsidR="005D23B4">
        <w:rPr>
          <w:rFonts w:ascii="Arial" w:hAnsi="Arial" w:cs="Arial"/>
          <w:sz w:val="22"/>
          <w:szCs w:val="22"/>
          <w:lang w:val="fr-FR"/>
        </w:rPr>
        <w:t>aires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importantes pour les mammifères marins (AIMM</w:t>
      </w:r>
      <w:proofErr w:type="gramStart"/>
      <w:r w:rsidRPr="00041EE8">
        <w:rPr>
          <w:rFonts w:ascii="Arial" w:hAnsi="Arial" w:cs="Arial"/>
          <w:sz w:val="22"/>
          <w:szCs w:val="22"/>
          <w:lang w:val="fr-FR"/>
        </w:rPr>
        <w:t>);</w:t>
      </w:r>
      <w:proofErr w:type="gramEnd"/>
    </w:p>
    <w:p w14:paraId="545BA9A3" w14:textId="77777777" w:rsidR="00041EE8" w:rsidRPr="00041EE8" w:rsidRDefault="00041EE8" w:rsidP="00041EE8">
      <w:pPr>
        <w:ind w:left="1134" w:hanging="360"/>
        <w:jc w:val="both"/>
        <w:rPr>
          <w:rFonts w:ascii="Arial" w:hAnsi="Arial" w:cs="Arial"/>
          <w:sz w:val="22"/>
          <w:szCs w:val="22"/>
          <w:lang w:val="fr-FR"/>
        </w:rPr>
      </w:pPr>
    </w:p>
    <w:p w14:paraId="5B87B86A" w14:textId="7272D285" w:rsidR="00041EE8" w:rsidRPr="00041EE8" w:rsidRDefault="00041EE8" w:rsidP="00041EE8">
      <w:pPr>
        <w:numPr>
          <w:ilvl w:val="0"/>
          <w:numId w:val="2"/>
        </w:numPr>
        <w:suppressAutoHyphens w:val="0"/>
        <w:adjustRightInd w:val="0"/>
        <w:ind w:left="1134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fr-FR"/>
        </w:rPr>
      </w:pPr>
      <w:proofErr w:type="gramStart"/>
      <w:r w:rsidRPr="00041EE8">
        <w:rPr>
          <w:rFonts w:ascii="Arial" w:hAnsi="Arial" w:cs="Arial"/>
          <w:sz w:val="22"/>
          <w:szCs w:val="22"/>
          <w:lang w:val="fr-FR"/>
        </w:rPr>
        <w:t>fournir</w:t>
      </w:r>
      <w:proofErr w:type="gramEnd"/>
      <w:r w:rsidRPr="00041EE8">
        <w:rPr>
          <w:rFonts w:ascii="Arial" w:hAnsi="Arial" w:cs="Arial"/>
          <w:sz w:val="22"/>
          <w:szCs w:val="22"/>
          <w:lang w:val="fr-FR"/>
        </w:rPr>
        <w:t xml:space="preserve"> aux Parties, sur demande, des avis sur l’intérêt scientifique d’inscrire le</w:t>
      </w:r>
      <w:r w:rsidR="00AF4011">
        <w:rPr>
          <w:rFonts w:ascii="Arial" w:hAnsi="Arial" w:cs="Arial"/>
          <w:sz w:val="22"/>
          <w:szCs w:val="22"/>
          <w:lang w:val="fr-FR"/>
        </w:rPr>
        <w:t>s populations régionales de</w:t>
      </w:r>
      <w:r w:rsidRPr="00041EE8">
        <w:rPr>
          <w:rFonts w:ascii="Arial" w:hAnsi="Arial" w:cs="Arial"/>
          <w:sz w:val="22"/>
          <w:szCs w:val="22"/>
          <w:lang w:val="fr-FR"/>
        </w:rPr>
        <w:t xml:space="preserve"> </w:t>
      </w:r>
      <w:r w:rsidRPr="00041EE8">
        <w:rPr>
          <w:rFonts w:ascii="Arial" w:hAnsi="Arial" w:cs="Arial"/>
          <w:i/>
          <w:iCs/>
          <w:sz w:val="22"/>
          <w:szCs w:val="22"/>
          <w:lang w:val="fr-FR"/>
        </w:rPr>
        <w:t>Dugong dugon</w:t>
      </w:r>
      <w:r w:rsidRPr="00041EE8">
        <w:rPr>
          <w:rFonts w:ascii="Arial" w:hAnsi="Arial" w:cs="Arial"/>
          <w:iCs/>
          <w:sz w:val="22"/>
          <w:szCs w:val="22"/>
          <w:lang w:val="fr-FR"/>
        </w:rPr>
        <w:t xml:space="preserve"> à l’Annexe I de la CMS</w:t>
      </w:r>
      <w:r w:rsidR="00AF4011">
        <w:rPr>
          <w:rFonts w:ascii="Arial" w:hAnsi="Arial" w:cs="Arial"/>
          <w:iCs/>
          <w:sz w:val="22"/>
          <w:szCs w:val="22"/>
          <w:lang w:val="fr-FR"/>
        </w:rPr>
        <w:t>.</w:t>
      </w:r>
    </w:p>
    <w:p w14:paraId="00BAB16C" w14:textId="77777777" w:rsidR="00041EE8" w:rsidRPr="00041EE8" w:rsidRDefault="00041EE8" w:rsidP="00041EE8">
      <w:pPr>
        <w:adjustRightInd w:val="0"/>
        <w:ind w:left="720"/>
        <w:jc w:val="both"/>
        <w:rPr>
          <w:rFonts w:ascii="Arial" w:hAnsi="Arial" w:cs="Arial"/>
          <w:sz w:val="22"/>
          <w:szCs w:val="22"/>
          <w:lang w:val="fr-FR"/>
        </w:rPr>
      </w:pPr>
      <w:r w:rsidRPr="00041EE8">
        <w:rPr>
          <w:rFonts w:ascii="Arial" w:hAnsi="Arial" w:cs="Arial"/>
          <w:sz w:val="22"/>
          <w:szCs w:val="22"/>
          <w:lang w:val="fr-FR"/>
        </w:rPr>
        <w:br w:type="page"/>
      </w:r>
    </w:p>
    <w:p w14:paraId="153539D4" w14:textId="77777777" w:rsidR="00041EE8" w:rsidRPr="00041EE8" w:rsidRDefault="00041EE8" w:rsidP="00041EE8">
      <w:pPr>
        <w:adjustRightInd w:val="0"/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14:paraId="35F83955" w14:textId="77777777" w:rsidR="00041EE8" w:rsidRPr="00041EE8" w:rsidRDefault="00041EE8" w:rsidP="00041EE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041EE8">
        <w:rPr>
          <w:rFonts w:ascii="Arial" w:hAnsi="Arial" w:cs="Arial"/>
          <w:b/>
          <w:i/>
          <w:sz w:val="22"/>
          <w:szCs w:val="22"/>
          <w:lang w:val="fr-FR"/>
        </w:rPr>
        <w:t>Adressé au Secrétariat</w:t>
      </w:r>
    </w:p>
    <w:p w14:paraId="0EBC4384" w14:textId="77777777" w:rsidR="00041EE8" w:rsidRPr="00041EE8" w:rsidRDefault="00041EE8" w:rsidP="00041EE8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6776E1A3" w14:textId="5E82AA71" w:rsidR="00041EE8" w:rsidRPr="00041EE8" w:rsidRDefault="00041EE8" w:rsidP="00041EE8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041EE8">
        <w:rPr>
          <w:rFonts w:ascii="Arial" w:hAnsi="Arial" w:cs="Arial"/>
          <w:sz w:val="22"/>
          <w:szCs w:val="22"/>
          <w:lang w:val="fr-FR"/>
        </w:rPr>
        <w:t>13.DD</w:t>
      </w:r>
      <w:r w:rsidRPr="00041EE8">
        <w:rPr>
          <w:rFonts w:ascii="Arial" w:hAnsi="Arial" w:cs="Arial"/>
          <w:sz w:val="22"/>
          <w:szCs w:val="22"/>
          <w:lang w:val="fr-FR"/>
        </w:rPr>
        <w:tab/>
        <w:t>Le Secrétariat, sous réserve de ressources externes</w:t>
      </w:r>
      <w:r w:rsidR="000E3DE1">
        <w:rPr>
          <w:rFonts w:ascii="Arial" w:hAnsi="Arial" w:cs="Arial"/>
          <w:sz w:val="22"/>
          <w:szCs w:val="22"/>
          <w:lang w:val="fr-FR"/>
        </w:rPr>
        <w:t xml:space="preserve"> disponibles, est chargé de</w:t>
      </w:r>
      <w:r w:rsidRPr="00041EE8">
        <w:rPr>
          <w:rFonts w:ascii="Arial" w:hAnsi="Arial" w:cs="Arial"/>
          <w:sz w:val="22"/>
          <w:szCs w:val="22"/>
          <w:lang w:val="fr-FR"/>
        </w:rPr>
        <w:t> :</w:t>
      </w:r>
    </w:p>
    <w:p w14:paraId="56BB1D61" w14:textId="77777777" w:rsidR="00041EE8" w:rsidRPr="00041EE8" w:rsidRDefault="00041EE8" w:rsidP="00041EE8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14:paraId="6362F30B" w14:textId="5CB25D5C" w:rsidR="00041EE8" w:rsidRPr="00041EE8" w:rsidRDefault="00041EE8" w:rsidP="006330BF">
      <w:pPr>
        <w:pStyle w:val="Secondnumberinga"/>
        <w:numPr>
          <w:ilvl w:val="0"/>
          <w:numId w:val="0"/>
        </w:numPr>
        <w:ind w:left="1276" w:hanging="425"/>
        <w:rPr>
          <w:rFonts w:cs="Arial"/>
          <w:lang w:val="fr-FR"/>
        </w:rPr>
      </w:pPr>
      <w:r w:rsidRPr="00041EE8">
        <w:rPr>
          <w:rFonts w:cs="Arial"/>
          <w:lang w:val="fr-FR"/>
        </w:rPr>
        <w:t xml:space="preserve">a) </w:t>
      </w:r>
      <w:r w:rsidRPr="00041EE8">
        <w:rPr>
          <w:rFonts w:cs="Arial"/>
          <w:lang w:val="fr-FR"/>
        </w:rPr>
        <w:tab/>
        <w:t>transf</w:t>
      </w:r>
      <w:r w:rsidR="000E3DE1">
        <w:rPr>
          <w:rFonts w:cs="Arial"/>
          <w:lang w:val="fr-FR"/>
        </w:rPr>
        <w:t>é</w:t>
      </w:r>
      <w:r w:rsidRPr="00041EE8">
        <w:rPr>
          <w:rFonts w:cs="Arial"/>
          <w:lang w:val="fr-FR"/>
        </w:rPr>
        <w:t>re</w:t>
      </w:r>
      <w:r w:rsidR="000E3DE1">
        <w:rPr>
          <w:rFonts w:cs="Arial"/>
          <w:lang w:val="fr-FR"/>
        </w:rPr>
        <w:t>r</w:t>
      </w:r>
      <w:r w:rsidRPr="00041EE8">
        <w:rPr>
          <w:rFonts w:cs="Arial"/>
          <w:lang w:val="fr-FR"/>
        </w:rPr>
        <w:t xml:space="preserve"> au Conseil scientifique et aux Parties les informations sur les </w:t>
      </w:r>
      <w:r w:rsidR="000E3DE1">
        <w:rPr>
          <w:rFonts w:cs="Arial"/>
          <w:lang w:val="fr-FR"/>
        </w:rPr>
        <w:t xml:space="preserve">nouvelles </w:t>
      </w:r>
      <w:r w:rsidRPr="00041EE8">
        <w:rPr>
          <w:rFonts w:cs="Arial"/>
          <w:lang w:val="fr-FR"/>
        </w:rPr>
        <w:t xml:space="preserve">AIMM </w:t>
      </w:r>
      <w:r w:rsidR="000E3DE1">
        <w:rPr>
          <w:rFonts w:cs="Arial"/>
          <w:lang w:val="fr-FR"/>
        </w:rPr>
        <w:t>transmises par le</w:t>
      </w:r>
      <w:r w:rsidRPr="00041EE8">
        <w:rPr>
          <w:rFonts w:cs="Arial"/>
          <w:lang w:val="fr-FR"/>
        </w:rPr>
        <w:t xml:space="preserve"> Groupe de travail conjoint de l’UICN CSE/CMPA sur les </w:t>
      </w:r>
      <w:r w:rsidR="000E3DE1" w:rsidRPr="000E3DE1">
        <w:rPr>
          <w:rFonts w:cs="Arial"/>
          <w:lang w:val="fr-FR"/>
        </w:rPr>
        <w:t>zones de protection des mammifères marins</w:t>
      </w:r>
      <w:r w:rsidRPr="00041EE8">
        <w:rPr>
          <w:rFonts w:cs="Arial"/>
          <w:lang w:val="fr-FR"/>
        </w:rPr>
        <w:t xml:space="preserve">, et </w:t>
      </w:r>
      <w:r w:rsidR="000E3DE1">
        <w:rPr>
          <w:rFonts w:cs="Arial"/>
          <w:lang w:val="fr-FR"/>
        </w:rPr>
        <w:t>d’inviter</w:t>
      </w:r>
      <w:r w:rsidRPr="00041EE8">
        <w:rPr>
          <w:rFonts w:cs="Arial"/>
          <w:lang w:val="fr-FR"/>
        </w:rPr>
        <w:t xml:space="preserve"> </w:t>
      </w:r>
      <w:r w:rsidR="000E3DE1">
        <w:rPr>
          <w:rFonts w:cs="Arial"/>
          <w:lang w:val="fr-FR"/>
        </w:rPr>
        <w:t>l</w:t>
      </w:r>
      <w:r w:rsidRPr="00041EE8">
        <w:rPr>
          <w:rFonts w:cs="Arial"/>
          <w:lang w:val="fr-FR"/>
        </w:rPr>
        <w:t xml:space="preserve">es </w:t>
      </w:r>
      <w:r w:rsidR="00FE64FB">
        <w:rPr>
          <w:rFonts w:cs="Arial"/>
          <w:lang w:val="fr-FR"/>
        </w:rPr>
        <w:t xml:space="preserve">Parties et les </w:t>
      </w:r>
      <w:r w:rsidRPr="00041EE8">
        <w:rPr>
          <w:rFonts w:cs="Arial"/>
          <w:lang w:val="fr-FR"/>
        </w:rPr>
        <w:t>États de l’aire de répartition</w:t>
      </w:r>
      <w:r w:rsidR="00FE64FB">
        <w:rPr>
          <w:rFonts w:cs="Arial"/>
          <w:lang w:val="fr-FR"/>
        </w:rPr>
        <w:t xml:space="preserve"> à apporter leur </w:t>
      </w:r>
      <w:proofErr w:type="gramStart"/>
      <w:r w:rsidR="00FE64FB">
        <w:rPr>
          <w:rFonts w:cs="Arial"/>
          <w:lang w:val="fr-FR"/>
        </w:rPr>
        <w:t>contribution</w:t>
      </w:r>
      <w:r w:rsidRPr="00041EE8">
        <w:rPr>
          <w:rFonts w:cs="Arial"/>
          <w:lang w:val="fr-FR"/>
        </w:rPr>
        <w:t>;</w:t>
      </w:r>
      <w:proofErr w:type="gramEnd"/>
    </w:p>
    <w:p w14:paraId="6612E0E8" w14:textId="77777777" w:rsidR="00041EE8" w:rsidRPr="00041EE8" w:rsidRDefault="00041EE8" w:rsidP="006330BF">
      <w:pPr>
        <w:pStyle w:val="Secondnumberinga"/>
        <w:numPr>
          <w:ilvl w:val="0"/>
          <w:numId w:val="0"/>
        </w:numPr>
        <w:spacing w:after="0" w:line="240" w:lineRule="auto"/>
        <w:ind w:left="1276" w:hanging="425"/>
        <w:rPr>
          <w:rFonts w:cs="Arial"/>
          <w:lang w:val="fr-FR"/>
        </w:rPr>
      </w:pPr>
    </w:p>
    <w:p w14:paraId="7D4B2468" w14:textId="291821CE" w:rsidR="00041EE8" w:rsidRPr="00041EE8" w:rsidRDefault="00936A6F" w:rsidP="006330BF">
      <w:pPr>
        <w:pStyle w:val="Secondnumberinga"/>
        <w:ind w:left="1276" w:hanging="425"/>
        <w:rPr>
          <w:rFonts w:cs="Arial"/>
          <w:noProof/>
          <w:lang w:val="fr-FR"/>
        </w:rPr>
      </w:pPr>
      <w:proofErr w:type="gramStart"/>
      <w:r>
        <w:rPr>
          <w:rFonts w:cs="Arial"/>
          <w:lang w:val="fr-FR"/>
        </w:rPr>
        <w:t>encourager</w:t>
      </w:r>
      <w:proofErr w:type="gramEnd"/>
      <w:r>
        <w:rPr>
          <w:rFonts w:cs="Arial"/>
          <w:lang w:val="fr-FR"/>
        </w:rPr>
        <w:t xml:space="preserve"> les pays à contribuer à </w:t>
      </w:r>
      <w:r w:rsidR="00FE64FB">
        <w:rPr>
          <w:rFonts w:cs="Arial"/>
          <w:lang w:val="fr-FR"/>
        </w:rPr>
        <w:t>u</w:t>
      </w:r>
      <w:r w:rsidR="00041EE8" w:rsidRPr="00041EE8">
        <w:rPr>
          <w:rFonts w:cs="Arial"/>
          <w:lang w:val="fr-FR"/>
        </w:rPr>
        <w:t xml:space="preserve">ne nouvelle décennie de recherche scientifique sur les habitats des mammifères marins et d’autres espèces migratrices en haute mer; </w:t>
      </w:r>
    </w:p>
    <w:p w14:paraId="46C09AD9" w14:textId="77777777" w:rsidR="00041EE8" w:rsidRPr="00041EE8" w:rsidRDefault="00041EE8" w:rsidP="006330BF">
      <w:pPr>
        <w:pStyle w:val="Secondnumberinga"/>
        <w:numPr>
          <w:ilvl w:val="0"/>
          <w:numId w:val="0"/>
        </w:numPr>
        <w:spacing w:after="0" w:line="240" w:lineRule="auto"/>
        <w:ind w:left="1276" w:hanging="425"/>
        <w:rPr>
          <w:rFonts w:cs="Arial"/>
          <w:noProof/>
          <w:lang w:val="fr-FR"/>
        </w:rPr>
      </w:pPr>
    </w:p>
    <w:p w14:paraId="2F57C3E9" w14:textId="321E413A" w:rsidR="00D82C56" w:rsidRPr="007D34AF" w:rsidRDefault="00936A6F" w:rsidP="006330BF">
      <w:pPr>
        <w:pStyle w:val="Secondnumberinga"/>
        <w:spacing w:after="0" w:line="240" w:lineRule="auto"/>
        <w:ind w:left="1276" w:hanging="425"/>
        <w:rPr>
          <w:rFonts w:cs="Arial"/>
          <w:lang w:val="fr-FR"/>
        </w:rPr>
      </w:pPr>
      <w:proofErr w:type="gramStart"/>
      <w:r>
        <w:rPr>
          <w:rFonts w:cs="Arial"/>
          <w:lang w:val="fr-FR"/>
        </w:rPr>
        <w:t>poursuivre</w:t>
      </w:r>
      <w:proofErr w:type="gramEnd"/>
      <w:r w:rsidR="00041EE8" w:rsidRPr="00041EE8">
        <w:rPr>
          <w:rFonts w:cs="Arial"/>
          <w:lang w:val="fr-FR"/>
        </w:rPr>
        <w:t xml:space="preserve"> le processus de négociation et de mise en œuvre du traité BBNJ</w:t>
      </w:r>
      <w:r>
        <w:rPr>
          <w:rFonts w:cs="Arial"/>
          <w:lang w:val="fr-FR"/>
        </w:rPr>
        <w:t xml:space="preserve"> afin </w:t>
      </w:r>
      <w:r w:rsidR="007D34AF">
        <w:rPr>
          <w:rFonts w:cs="Arial"/>
          <w:lang w:val="fr-FR"/>
        </w:rPr>
        <w:t xml:space="preserve">de le rendre </w:t>
      </w:r>
      <w:r>
        <w:rPr>
          <w:rFonts w:cs="Arial"/>
          <w:lang w:val="fr-FR"/>
        </w:rPr>
        <w:t>pertinent</w:t>
      </w:r>
      <w:r w:rsidR="00041EE8" w:rsidRPr="00041EE8">
        <w:rPr>
          <w:rFonts w:cs="Arial"/>
          <w:lang w:val="fr-FR"/>
        </w:rPr>
        <w:t xml:space="preserve"> pour les mammifères marins </w:t>
      </w:r>
      <w:r>
        <w:rPr>
          <w:rFonts w:cs="Arial"/>
          <w:lang w:val="fr-FR"/>
        </w:rPr>
        <w:t>et</w:t>
      </w:r>
      <w:r w:rsidR="00041EE8" w:rsidRPr="00041EE8">
        <w:rPr>
          <w:rFonts w:cs="Arial"/>
          <w:lang w:val="fr-FR"/>
        </w:rPr>
        <w:t xml:space="preserve"> pour d’autres espèces marines migratrices.</w:t>
      </w:r>
    </w:p>
    <w:sectPr w:rsidR="00D82C56" w:rsidRPr="007D3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1805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2"/>
      </w:rPr>
    </w:sdtEndPr>
    <w:sdtContent>
      <w:p w14:paraId="73BDB572" w14:textId="64852B6C" w:rsidR="006330BF" w:rsidRPr="006330BF" w:rsidRDefault="006330BF">
        <w:pPr>
          <w:pStyle w:val="Footer"/>
          <w:jc w:val="center"/>
          <w:rPr>
            <w:rFonts w:ascii="Arial" w:hAnsi="Arial" w:cs="Arial"/>
            <w:sz w:val="18"/>
            <w:szCs w:val="22"/>
          </w:rPr>
        </w:pPr>
        <w:r w:rsidRPr="006330BF">
          <w:rPr>
            <w:rFonts w:ascii="Arial" w:hAnsi="Arial" w:cs="Arial"/>
            <w:sz w:val="18"/>
            <w:szCs w:val="22"/>
          </w:rPr>
          <w:fldChar w:fldCharType="begin"/>
        </w:r>
        <w:r w:rsidRPr="006330BF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6330BF">
          <w:rPr>
            <w:rFonts w:ascii="Arial" w:hAnsi="Arial" w:cs="Arial"/>
            <w:sz w:val="18"/>
            <w:szCs w:val="22"/>
          </w:rPr>
          <w:fldChar w:fldCharType="separate"/>
        </w:r>
        <w:r w:rsidRPr="006330BF">
          <w:rPr>
            <w:rFonts w:ascii="Arial" w:hAnsi="Arial" w:cs="Arial"/>
            <w:noProof/>
            <w:sz w:val="18"/>
            <w:szCs w:val="22"/>
          </w:rPr>
          <w:t>2</w:t>
        </w:r>
        <w:r w:rsidRPr="006330BF">
          <w:rPr>
            <w:rFonts w:ascii="Arial" w:hAnsi="Arial" w:cs="Arial"/>
            <w:noProof/>
            <w:sz w:val="18"/>
            <w:szCs w:val="22"/>
          </w:rPr>
          <w:fldChar w:fldCharType="end"/>
        </w:r>
      </w:p>
    </w:sdtContent>
  </w:sdt>
  <w:p w14:paraId="447D98FA" w14:textId="77777777" w:rsidR="006330BF" w:rsidRDefault="00633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F67BC60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6330BF">
      <w:rPr>
        <w:rFonts w:ascii="Arial" w:hAnsi="Arial" w:cs="Arial"/>
        <w:i/>
        <w:szCs w:val="20"/>
        <w:lang w:val="en-GB"/>
      </w:rPr>
      <w:t>26.2.1</w:t>
    </w:r>
  </w:p>
  <w:p w14:paraId="50B9F4CC" w14:textId="77777777" w:rsidR="00A16E93" w:rsidRDefault="00633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633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2F414724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041EE8">
      <w:rPr>
        <w:rFonts w:ascii="Arial" w:hAnsi="Arial" w:cs="Arial"/>
        <w:bCs/>
        <w:i/>
        <w:iCs/>
        <w:szCs w:val="20"/>
        <w:lang w:val="en-GB"/>
      </w:rPr>
      <w:t>26.2.1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35A6"/>
    <w:multiLevelType w:val="hybridMultilevel"/>
    <w:tmpl w:val="200CDE56"/>
    <w:lvl w:ilvl="0" w:tplc="9BE2982A">
      <w:start w:val="2"/>
      <w:numFmt w:val="lowerLetter"/>
      <w:pStyle w:val="Secondnumberinga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AF5293"/>
    <w:multiLevelType w:val="hybridMultilevel"/>
    <w:tmpl w:val="0C0C97E4"/>
    <w:lvl w:ilvl="0" w:tplc="7E226114">
      <w:start w:val="3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41EE8"/>
    <w:rsid w:val="000B0D60"/>
    <w:rsid w:val="000D4347"/>
    <w:rsid w:val="000E3DE1"/>
    <w:rsid w:val="001648A3"/>
    <w:rsid w:val="002223BB"/>
    <w:rsid w:val="0030037B"/>
    <w:rsid w:val="003F1AD8"/>
    <w:rsid w:val="0043102F"/>
    <w:rsid w:val="00487D0A"/>
    <w:rsid w:val="004D0BF2"/>
    <w:rsid w:val="005645C4"/>
    <w:rsid w:val="005D23B4"/>
    <w:rsid w:val="005D43E4"/>
    <w:rsid w:val="005F0639"/>
    <w:rsid w:val="006330BF"/>
    <w:rsid w:val="00760BAC"/>
    <w:rsid w:val="007A1066"/>
    <w:rsid w:val="007D34AF"/>
    <w:rsid w:val="007F263F"/>
    <w:rsid w:val="00936A6F"/>
    <w:rsid w:val="00A048E3"/>
    <w:rsid w:val="00A65CA8"/>
    <w:rsid w:val="00AF4011"/>
    <w:rsid w:val="00B2527D"/>
    <w:rsid w:val="00C32FF1"/>
    <w:rsid w:val="00D82C56"/>
    <w:rsid w:val="00E829C9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1EE8"/>
    <w:rPr>
      <w:color w:val="0563C1" w:themeColor="hyperlink"/>
      <w:u w:val="single"/>
    </w:rPr>
  </w:style>
  <w:style w:type="character" w:customStyle="1" w:styleId="SecondnumberingaChar">
    <w:name w:val="Second numbering a) Char"/>
    <w:basedOn w:val="DefaultParagraphFont"/>
    <w:link w:val="Secondnumberinga"/>
    <w:locked/>
    <w:rsid w:val="00041EE8"/>
  </w:style>
  <w:style w:type="paragraph" w:customStyle="1" w:styleId="Secondnumberinga">
    <w:name w:val="Second numbering a)"/>
    <w:basedOn w:val="ListParagraph"/>
    <w:link w:val="SecondnumberingaChar"/>
    <w:qFormat/>
    <w:rsid w:val="00041EE8"/>
    <w:pPr>
      <w:widowControl/>
      <w:numPr>
        <w:numId w:val="1"/>
      </w:numPr>
      <w:suppressAutoHyphens w:val="0"/>
      <w:autoSpaceDE/>
      <w:autoSpaceDN/>
      <w:spacing w:after="160" w:line="256" w:lineRule="auto"/>
      <w:jc w:val="both"/>
      <w:textAlignment w:val="auto"/>
    </w:pPr>
    <w:rPr>
      <w:rFonts w:ascii="Arial" w:eastAsia="Calibri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4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mammalhabita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rinemammalhabita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Jenny Renell</cp:lastModifiedBy>
  <cp:revision>7</cp:revision>
  <cp:lastPrinted>2020-02-03T15:02:00Z</cp:lastPrinted>
  <dcterms:created xsi:type="dcterms:W3CDTF">2020-02-19T02:45:00Z</dcterms:created>
  <dcterms:modified xsi:type="dcterms:W3CDTF">2020-02-19T03:52:00Z</dcterms:modified>
</cp:coreProperties>
</file>