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8" w:type="dxa"/>
        <w:tblLayout w:type="fixed"/>
        <w:tblCellMar>
          <w:left w:w="10" w:type="dxa"/>
          <w:right w:w="10" w:type="dxa"/>
        </w:tblCellMar>
        <w:tblLook w:val="0000" w:firstRow="0" w:lastRow="0" w:firstColumn="0" w:lastColumn="0" w:noHBand="0" w:noVBand="0"/>
      </w:tblPr>
      <w:tblGrid>
        <w:gridCol w:w="1526"/>
        <w:gridCol w:w="4144"/>
        <w:gridCol w:w="3978"/>
      </w:tblGrid>
      <w:tr w:rsidR="00002A97" w:rsidRPr="000F4BDA" w14:paraId="77F5F746" w14:textId="77777777" w:rsidTr="00CF7C14">
        <w:trPr>
          <w:trHeight w:val="1328"/>
        </w:trPr>
        <w:tc>
          <w:tcPr>
            <w:tcW w:w="1526" w:type="dxa"/>
            <w:tcBorders>
              <w:top w:val="single" w:sz="12" w:space="0" w:color="000000"/>
              <w:bottom w:val="single" w:sz="12" w:space="0" w:color="000000"/>
            </w:tcBorders>
            <w:shd w:val="clear" w:color="auto" w:fill="auto"/>
            <w:tcMar>
              <w:top w:w="85" w:type="dxa"/>
              <w:left w:w="108" w:type="dxa"/>
              <w:bottom w:w="0" w:type="dxa"/>
              <w:right w:w="108" w:type="dxa"/>
            </w:tcMar>
          </w:tcPr>
          <w:p w14:paraId="68D1D064" w14:textId="77777777" w:rsidR="00002A97" w:rsidRPr="00002A97" w:rsidRDefault="00002A97" w:rsidP="00002A97">
            <w:pPr>
              <w:widowControl w:val="0"/>
              <w:suppressAutoHyphens/>
              <w:autoSpaceDE w:val="0"/>
              <w:autoSpaceDN w:val="0"/>
              <w:spacing w:after="0" w:line="240" w:lineRule="auto"/>
              <w:textAlignment w:val="baseline"/>
              <w:rPr>
                <w:rFonts w:ascii="Calibri" w:eastAsia="Calibri" w:hAnsi="Calibri" w:cs="Times New Roman"/>
              </w:rPr>
            </w:pPr>
            <w:r w:rsidRPr="00002A97">
              <w:rPr>
                <w:rFonts w:eastAsia="Times New Roman" w:cs="Arial"/>
                <w:noProof/>
                <w:szCs w:val="24"/>
              </w:rPr>
              <w:drawing>
                <wp:inline distT="0" distB="0" distL="0" distR="0" wp14:anchorId="01A9DF71" wp14:editId="6CEDAA52">
                  <wp:extent cx="742950" cy="771525"/>
                  <wp:effectExtent l="0" t="0" r="0"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1" t="-740" r="-2531" b="-740"/>
                          <a:stretch>
                            <a:fillRect/>
                          </a:stretch>
                        </pic:blipFill>
                        <pic:spPr>
                          <a:xfrm>
                            <a:off x="0" y="0"/>
                            <a:ext cx="742950" cy="771525"/>
                          </a:xfrm>
                          <a:prstGeom prst="rect">
                            <a:avLst/>
                          </a:prstGeom>
                          <a:noFill/>
                          <a:ln>
                            <a:noFill/>
                            <a:prstDash/>
                          </a:ln>
                        </pic:spPr>
                      </pic:pic>
                    </a:graphicData>
                  </a:graphic>
                </wp:inline>
              </w:drawing>
            </w:r>
          </w:p>
        </w:tc>
        <w:tc>
          <w:tcPr>
            <w:tcW w:w="4144" w:type="dxa"/>
            <w:tcBorders>
              <w:top w:val="single" w:sz="12" w:space="0" w:color="000000"/>
              <w:bottom w:val="single" w:sz="12" w:space="0" w:color="000000"/>
            </w:tcBorders>
            <w:shd w:val="clear" w:color="auto" w:fill="auto"/>
            <w:tcMar>
              <w:top w:w="85" w:type="dxa"/>
              <w:left w:w="108" w:type="dxa"/>
              <w:bottom w:w="0" w:type="dxa"/>
              <w:right w:w="108" w:type="dxa"/>
            </w:tcMar>
          </w:tcPr>
          <w:p w14:paraId="54346F88"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eastAsia="Times New Roman" w:cs="Arial"/>
                <w:sz w:val="12"/>
                <w:szCs w:val="12"/>
                <w:lang w:val="es-ES" w:eastAsia="es-ES"/>
              </w:rPr>
            </w:pPr>
          </w:p>
          <w:p w14:paraId="7AA7A120"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CONVENCIÓN SOBRE</w:t>
            </w:r>
          </w:p>
          <w:p w14:paraId="0BDD37F9"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LAS ESPECIES</w:t>
            </w:r>
          </w:p>
          <w:p w14:paraId="40B8FBF0" w14:textId="77777777" w:rsidR="00002A97" w:rsidRPr="00002A97" w:rsidRDefault="00002A97" w:rsidP="00002A97">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es-ES"/>
              </w:rPr>
            </w:pPr>
            <w:r w:rsidRPr="00002A97">
              <w:rPr>
                <w:rFonts w:eastAsia="Times New Roman" w:cs="Arial"/>
                <w:b/>
                <w:bCs/>
                <w:sz w:val="32"/>
                <w:szCs w:val="24"/>
                <w:lang w:val="es-ES" w:eastAsia="es-ES"/>
              </w:rPr>
              <w:t>MIGRATORIAS</w:t>
            </w:r>
          </w:p>
        </w:tc>
        <w:tc>
          <w:tcPr>
            <w:tcW w:w="3978" w:type="dxa"/>
            <w:tcBorders>
              <w:top w:val="single" w:sz="12" w:space="0" w:color="000000"/>
              <w:bottom w:val="single" w:sz="12" w:space="0" w:color="000000"/>
            </w:tcBorders>
            <w:shd w:val="clear" w:color="auto" w:fill="auto"/>
            <w:tcMar>
              <w:top w:w="85" w:type="dxa"/>
              <w:left w:w="108" w:type="dxa"/>
              <w:bottom w:w="0" w:type="dxa"/>
              <w:right w:w="108" w:type="dxa"/>
            </w:tcMar>
          </w:tcPr>
          <w:p w14:paraId="4F8FEAA1" w14:textId="0F70D5DE" w:rsidR="006423CD" w:rsidRPr="004C588E" w:rsidRDefault="00002A97" w:rsidP="006423CD">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Times New Roman" w:cs="Arial"/>
                <w:szCs w:val="24"/>
                <w:lang w:eastAsia="es-ES"/>
              </w:rPr>
            </w:pPr>
            <w:r w:rsidRPr="004C588E">
              <w:rPr>
                <w:rFonts w:eastAsia="Times New Roman" w:cs="Arial"/>
                <w:szCs w:val="24"/>
                <w:lang w:eastAsia="es-ES"/>
              </w:rPr>
              <w:t>UNEP/CMS/COP1</w:t>
            </w:r>
            <w:r w:rsidR="000F4BDA" w:rsidRPr="004C588E">
              <w:rPr>
                <w:rFonts w:eastAsia="Times New Roman" w:cs="Arial"/>
                <w:szCs w:val="24"/>
                <w:lang w:eastAsia="es-ES"/>
              </w:rPr>
              <w:t>4</w:t>
            </w:r>
            <w:r w:rsidRPr="004C588E">
              <w:rPr>
                <w:rFonts w:eastAsia="Times New Roman" w:cs="Arial"/>
                <w:szCs w:val="24"/>
                <w:lang w:eastAsia="es-ES"/>
              </w:rPr>
              <w:t>/</w:t>
            </w:r>
            <w:r w:rsidR="00800CB3" w:rsidRPr="004C588E">
              <w:rPr>
                <w:rFonts w:eastAsia="Times New Roman" w:cs="Arial"/>
                <w:szCs w:val="24"/>
                <w:lang w:eastAsia="es-ES"/>
              </w:rPr>
              <w:t>Doc</w:t>
            </w:r>
            <w:r w:rsidRPr="004C588E">
              <w:rPr>
                <w:rFonts w:eastAsia="Times New Roman" w:cs="Arial"/>
                <w:szCs w:val="24"/>
                <w:lang w:eastAsia="es-ES"/>
              </w:rPr>
              <w:t>.</w:t>
            </w:r>
            <w:r w:rsidR="006423CD" w:rsidRPr="004C588E">
              <w:rPr>
                <w:rFonts w:eastAsia="Times New Roman" w:cs="Arial"/>
                <w:szCs w:val="24"/>
                <w:lang w:eastAsia="es-ES"/>
              </w:rPr>
              <w:t>32.3.7</w:t>
            </w:r>
            <w:r w:rsidR="004C588E" w:rsidRPr="004C588E">
              <w:rPr>
                <w:rFonts w:eastAsia="Times New Roman" w:cs="Arial"/>
                <w:szCs w:val="24"/>
                <w:lang w:eastAsia="es-ES"/>
              </w:rPr>
              <w:t>/Rev</w:t>
            </w:r>
            <w:r w:rsidR="004C588E">
              <w:rPr>
                <w:rFonts w:eastAsia="Times New Roman" w:cs="Arial"/>
                <w:szCs w:val="24"/>
                <w:lang w:eastAsia="es-ES"/>
              </w:rPr>
              <w:t>.1</w:t>
            </w:r>
          </w:p>
          <w:p w14:paraId="5F9B9DE6" w14:textId="0772B687" w:rsidR="00002A97" w:rsidRPr="006C7196" w:rsidRDefault="00F364B4" w:rsidP="006423CD">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ascii="Calibri" w:eastAsia="Calibri" w:hAnsi="Calibri" w:cs="Times New Roman"/>
                <w:lang w:val="es-ES"/>
              </w:rPr>
            </w:pPr>
            <w:r w:rsidRPr="006C7196">
              <w:rPr>
                <w:rFonts w:eastAsia="Times New Roman" w:cs="Arial"/>
                <w:szCs w:val="24"/>
                <w:lang w:val="es-ES" w:eastAsia="es-ES"/>
              </w:rPr>
              <w:t>2</w:t>
            </w:r>
            <w:r w:rsidR="004C588E">
              <w:rPr>
                <w:rFonts w:eastAsia="Times New Roman" w:cs="Arial"/>
                <w:szCs w:val="24"/>
                <w:lang w:val="es-ES" w:eastAsia="es-ES"/>
              </w:rPr>
              <w:t>9 de enero 2024</w:t>
            </w:r>
          </w:p>
          <w:p w14:paraId="7005662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szCs w:val="24"/>
                <w:lang w:val="es-ES_tradnl" w:eastAsia="es-ES"/>
              </w:rPr>
            </w:pPr>
            <w:r w:rsidRPr="00002A97">
              <w:rPr>
                <w:rFonts w:eastAsia="Times New Roman" w:cs="Arial"/>
                <w:szCs w:val="24"/>
                <w:lang w:val="es-ES_tradnl" w:eastAsia="es-ES"/>
              </w:rPr>
              <w:t>Español</w:t>
            </w:r>
          </w:p>
          <w:p w14:paraId="1A2CF210" w14:textId="77777777" w:rsidR="00002A97" w:rsidRPr="000F4BDA"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Original: Inglés</w:t>
            </w:r>
          </w:p>
          <w:p w14:paraId="494F0815"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sz w:val="12"/>
                <w:szCs w:val="12"/>
                <w:lang w:val="es-ES" w:eastAsia="es-ES"/>
              </w:rPr>
            </w:pPr>
          </w:p>
        </w:tc>
      </w:tr>
    </w:tbl>
    <w:p w14:paraId="321C3CFB" w14:textId="77777777"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eastAsia="Times New Roman" w:cs="Arial"/>
          <w:sz w:val="8"/>
          <w:szCs w:val="8"/>
          <w:lang w:val="es-ES" w:eastAsia="es-ES"/>
        </w:rPr>
      </w:pPr>
    </w:p>
    <w:p w14:paraId="005C291A" w14:textId="1FFD54F4" w:rsidR="00002A97" w:rsidRPr="00002A97" w:rsidRDefault="00002A97" w:rsidP="00002A97">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1</w:t>
      </w:r>
      <w:r w:rsidR="000F4BDA">
        <w:rPr>
          <w:rFonts w:eastAsia="Times New Roman" w:cs="Arial"/>
          <w:szCs w:val="24"/>
          <w:lang w:val="es-ES" w:eastAsia="es-ES"/>
        </w:rPr>
        <w:t>4</w:t>
      </w:r>
      <w:r w:rsidRPr="00002A97">
        <w:rPr>
          <w:rFonts w:eastAsia="Times New Roman" w:cs="Arial"/>
          <w:szCs w:val="24"/>
          <w:lang w:val="es-ES" w:eastAsia="es-ES"/>
        </w:rPr>
        <w:t>ª REUNIÓN DE LA CONFERENCIA DE LAS PARTES</w:t>
      </w:r>
    </w:p>
    <w:p w14:paraId="6AA17B99" w14:textId="4593BE97" w:rsidR="00002A97" w:rsidRPr="00002A97" w:rsidRDefault="000F4BDA" w:rsidP="00002A97">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es-ES"/>
        </w:rPr>
      </w:pPr>
      <w:r w:rsidRPr="000F4BDA">
        <w:rPr>
          <w:rFonts w:eastAsia="Times New Roman" w:cs="Arial"/>
          <w:bCs/>
          <w:szCs w:val="24"/>
          <w:lang w:val="es-ES" w:eastAsia="es-ES"/>
        </w:rPr>
        <w:t>Samarcanda</w:t>
      </w:r>
      <w:r w:rsidR="00002A97" w:rsidRPr="00002A97">
        <w:rPr>
          <w:rFonts w:eastAsia="Times New Roman" w:cs="Arial"/>
          <w:bCs/>
          <w:szCs w:val="24"/>
          <w:lang w:val="es-ES" w:eastAsia="es-ES"/>
        </w:rPr>
        <w:t xml:space="preserve">. </w:t>
      </w:r>
      <w:r>
        <w:rPr>
          <w:rFonts w:eastAsia="Times New Roman" w:cs="Arial"/>
          <w:bCs/>
          <w:szCs w:val="24"/>
          <w:lang w:val="es-ES" w:eastAsia="es-ES"/>
        </w:rPr>
        <w:t>Uzbekistán</w:t>
      </w:r>
      <w:r w:rsidR="00002A97" w:rsidRPr="00002A97">
        <w:rPr>
          <w:rFonts w:eastAsia="Times New Roman" w:cs="Arial"/>
          <w:bCs/>
          <w:szCs w:val="24"/>
          <w:lang w:val="es-ES" w:eastAsia="es-ES"/>
        </w:rPr>
        <w:t xml:space="preserve">, </w:t>
      </w:r>
      <w:r w:rsidR="006C7196">
        <w:rPr>
          <w:rFonts w:eastAsia="Times New Roman" w:cs="Arial"/>
          <w:bCs/>
          <w:szCs w:val="24"/>
          <w:lang w:val="es-ES" w:eastAsia="es-ES"/>
        </w:rPr>
        <w:t>1</w:t>
      </w:r>
      <w:r>
        <w:rPr>
          <w:rFonts w:eastAsia="Times New Roman" w:cs="Arial"/>
          <w:bCs/>
          <w:szCs w:val="24"/>
          <w:lang w:val="es-ES" w:eastAsia="es-ES"/>
        </w:rPr>
        <w:t xml:space="preserve">2 – </w:t>
      </w:r>
      <w:r w:rsidR="006C7196">
        <w:rPr>
          <w:rFonts w:eastAsia="Times New Roman" w:cs="Arial"/>
          <w:bCs/>
          <w:szCs w:val="24"/>
          <w:lang w:val="es-ES" w:eastAsia="es-ES"/>
        </w:rPr>
        <w:t>17 de febrero 2024</w:t>
      </w:r>
    </w:p>
    <w:p w14:paraId="500F7C6B" w14:textId="15F5EC50" w:rsidR="00002A97" w:rsidRPr="00002A97" w:rsidRDefault="00002A97" w:rsidP="00002A97">
      <w:pPr>
        <w:widowControl w:val="0"/>
        <w:tabs>
          <w:tab w:val="left" w:pos="7020"/>
        </w:tabs>
        <w:suppressAutoHyphens/>
        <w:autoSpaceDE w:val="0"/>
        <w:autoSpaceDN w:val="0"/>
        <w:spacing w:after="0" w:line="240" w:lineRule="auto"/>
        <w:textAlignment w:val="baseline"/>
        <w:rPr>
          <w:rFonts w:ascii="Calibri" w:eastAsia="Calibri" w:hAnsi="Calibri" w:cs="Times New Roman"/>
          <w:lang w:val="es-ES"/>
        </w:rPr>
      </w:pPr>
      <w:r w:rsidRPr="00002A97">
        <w:rPr>
          <w:rFonts w:eastAsia="Times New Roman" w:cs="Arial"/>
          <w:szCs w:val="24"/>
          <w:lang w:val="es-ES" w:eastAsia="es-ES"/>
        </w:rPr>
        <w:t xml:space="preserve">Punto </w:t>
      </w:r>
      <w:r w:rsidR="00A96472">
        <w:rPr>
          <w:rFonts w:eastAsia="Times New Roman" w:cs="Arial"/>
          <w:szCs w:val="24"/>
          <w:lang w:val="es-ES" w:eastAsia="es-ES"/>
        </w:rPr>
        <w:t>32.3</w:t>
      </w:r>
      <w:r w:rsidRPr="00002A97">
        <w:rPr>
          <w:rFonts w:eastAsia="Times New Roman" w:cs="Arial"/>
          <w:szCs w:val="24"/>
          <w:lang w:val="es-ES" w:eastAsia="es-ES"/>
        </w:rPr>
        <w:t xml:space="preserve"> del orden del día</w:t>
      </w:r>
    </w:p>
    <w:p w14:paraId="7D24E2F1" w14:textId="77777777" w:rsidR="00002A97" w:rsidRDefault="00002A97"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0B234219" w14:textId="77777777" w:rsidR="00AC09AE" w:rsidRPr="00002A97" w:rsidRDefault="00AC09AE" w:rsidP="00002A97">
      <w:pPr>
        <w:widowControl w:val="0"/>
        <w:tabs>
          <w:tab w:val="left" w:pos="7020"/>
        </w:tabs>
        <w:suppressAutoHyphens/>
        <w:autoSpaceDE w:val="0"/>
        <w:autoSpaceDN w:val="0"/>
        <w:spacing w:after="0" w:line="240" w:lineRule="auto"/>
        <w:textAlignment w:val="baseline"/>
        <w:rPr>
          <w:rFonts w:eastAsia="Times New Roman" w:cs="Arial"/>
          <w:lang w:val="es-ES" w:eastAsia="es-ES"/>
        </w:rPr>
      </w:pPr>
    </w:p>
    <w:p w14:paraId="3BA9D438" w14:textId="77777777" w:rsidR="00894DC0" w:rsidRPr="00894DC0" w:rsidRDefault="00894DC0" w:rsidP="00894DC0">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90" w:right="-367"/>
        <w:jc w:val="center"/>
        <w:textAlignment w:val="baseline"/>
        <w:outlineLvl w:val="1"/>
        <w:rPr>
          <w:rFonts w:eastAsia="Times New Roman" w:cs="Arial"/>
          <w:b/>
          <w:bCs/>
          <w:lang w:val="es-ES"/>
        </w:rPr>
      </w:pPr>
      <w:r w:rsidRPr="00894DC0">
        <w:rPr>
          <w:rFonts w:eastAsia="Times New Roman" w:cs="Arial"/>
          <w:b/>
          <w:bCs/>
          <w:lang w:val="es-ES"/>
        </w:rPr>
        <w:t>PROPUESTA DE ACCIÓN CONCERTADA PARA</w:t>
      </w:r>
    </w:p>
    <w:p w14:paraId="7D3F3DFC" w14:textId="77777777" w:rsidR="00894DC0" w:rsidRPr="00894DC0" w:rsidRDefault="00894DC0" w:rsidP="00894DC0">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90" w:right="-367"/>
        <w:jc w:val="center"/>
        <w:textAlignment w:val="baseline"/>
        <w:outlineLvl w:val="1"/>
        <w:rPr>
          <w:rFonts w:eastAsia="Calibri" w:cs="Arial"/>
          <w:lang w:val="es-ES"/>
        </w:rPr>
      </w:pPr>
      <w:r w:rsidRPr="00894DC0">
        <w:rPr>
          <w:rFonts w:eastAsia="Times New Roman" w:cs="Arial"/>
          <w:b/>
          <w:bCs/>
          <w:lang w:val="es-ES"/>
        </w:rPr>
        <w:t>EL TIBURÓN AZUL (</w:t>
      </w:r>
      <w:r w:rsidRPr="00894DC0">
        <w:rPr>
          <w:rFonts w:eastAsia="Calibri" w:cs="Arial"/>
          <w:b/>
          <w:i/>
          <w:lang w:val="es-ES"/>
        </w:rPr>
        <w:t>Prionace glauca</w:t>
      </w:r>
      <w:r w:rsidRPr="00894DC0">
        <w:rPr>
          <w:rFonts w:eastAsia="Calibri" w:cs="Arial"/>
          <w:b/>
          <w:lang w:val="es-ES"/>
        </w:rPr>
        <w:t xml:space="preserve">) YA INCLUIDO </w:t>
      </w:r>
    </w:p>
    <w:p w14:paraId="7E39DDFC" w14:textId="77777777" w:rsidR="00894DC0" w:rsidRPr="00894DC0" w:rsidRDefault="00894DC0" w:rsidP="00894DC0">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90" w:right="-367"/>
        <w:jc w:val="center"/>
        <w:textAlignment w:val="baseline"/>
        <w:outlineLvl w:val="1"/>
        <w:rPr>
          <w:rFonts w:eastAsia="Calibri" w:cs="Arial"/>
          <w:lang w:val="es-ES"/>
        </w:rPr>
      </w:pPr>
      <w:r w:rsidRPr="00894DC0">
        <w:rPr>
          <w:rFonts w:eastAsia="Times New Roman" w:cs="Arial"/>
          <w:b/>
          <w:bCs/>
          <w:lang w:val="es-ES"/>
        </w:rPr>
        <w:t>EN EL APÉNDICE II DE LA CONVENCIÓN</w:t>
      </w:r>
      <w:r w:rsidRPr="00894DC0">
        <w:rPr>
          <w:rFonts w:eastAsia="Times New Roman" w:cs="Arial"/>
          <w:sz w:val="21"/>
          <w:szCs w:val="21"/>
          <w:lang w:val="es-ES"/>
        </w:rPr>
        <w:t>*</w:t>
      </w:r>
    </w:p>
    <w:p w14:paraId="649BC530" w14:textId="04513D50" w:rsidR="00002A97" w:rsidRPr="00002A97" w:rsidRDefault="00002A97" w:rsidP="00002A97">
      <w:pPr>
        <w:widowControl w:val="0"/>
        <w:suppressAutoHyphens/>
        <w:autoSpaceDE w:val="0"/>
        <w:autoSpaceDN w:val="0"/>
        <w:spacing w:after="0" w:line="240" w:lineRule="auto"/>
        <w:jc w:val="center"/>
        <w:textAlignment w:val="baseline"/>
        <w:rPr>
          <w:rFonts w:ascii="Calibri" w:eastAsia="Calibri" w:hAnsi="Calibri" w:cs="Times New Roman"/>
          <w:lang w:val="es-ES"/>
        </w:rPr>
      </w:pPr>
      <w:r w:rsidRPr="00002A97">
        <w:rPr>
          <w:rFonts w:eastAsia="Times New Roman" w:cs="Arial"/>
          <w:i/>
          <w:szCs w:val="24"/>
          <w:lang w:val="es-ES" w:eastAsia="es-ES"/>
        </w:rPr>
        <w:t xml:space="preserve"> </w:t>
      </w:r>
    </w:p>
    <w:p w14:paraId="6A23E363" w14:textId="056B5FBB" w:rsidR="00002A97" w:rsidRPr="00002A97" w:rsidRDefault="004C588E" w:rsidP="00002A97">
      <w:pPr>
        <w:widowControl w:val="0"/>
        <w:tabs>
          <w:tab w:val="left" w:pos="8295"/>
        </w:tabs>
        <w:suppressAutoHyphens/>
        <w:autoSpaceDE w:val="0"/>
        <w:autoSpaceDN w:val="0"/>
        <w:spacing w:after="0" w:line="240" w:lineRule="auto"/>
        <w:jc w:val="both"/>
        <w:textAlignment w:val="baseline"/>
        <w:rPr>
          <w:rFonts w:eastAsia="Times New Roman" w:cs="Arial"/>
          <w:lang w:val="es-ES" w:eastAsia="es-ES"/>
        </w:rPr>
      </w:pPr>
      <w:r w:rsidRPr="00EC2A58">
        <w:rPr>
          <w:rFonts w:eastAsia="Times New Roman" w:cs="Arial"/>
          <w:noProof/>
        </w:rPr>
        <mc:AlternateContent>
          <mc:Choice Requires="wps">
            <w:drawing>
              <wp:anchor distT="0" distB="0" distL="114300" distR="114300" simplePos="0" relativeHeight="251658752" behindDoc="0" locked="0" layoutInCell="1" allowOverlap="1" wp14:anchorId="70DD936B" wp14:editId="4F51B5B9">
                <wp:simplePos x="0" y="0"/>
                <wp:positionH relativeFrom="column">
                  <wp:posOffset>895350</wp:posOffset>
                </wp:positionH>
                <wp:positionV relativeFrom="paragraph">
                  <wp:posOffset>138430</wp:posOffset>
                </wp:positionV>
                <wp:extent cx="4304666" cy="1695450"/>
                <wp:effectExtent l="0" t="0" r="19685" b="19050"/>
                <wp:wrapNone/>
                <wp:docPr id="5" name="Text Box 4"/>
                <wp:cNvGraphicFramePr/>
                <a:graphic xmlns:a="http://schemas.openxmlformats.org/drawingml/2006/main">
                  <a:graphicData uri="http://schemas.microsoft.com/office/word/2010/wordprocessingShape">
                    <wps:wsp>
                      <wps:cNvSpPr txBox="1"/>
                      <wps:spPr>
                        <a:xfrm>
                          <a:off x="0" y="0"/>
                          <a:ext cx="4304666" cy="1695450"/>
                        </a:xfrm>
                        <a:prstGeom prst="rect">
                          <a:avLst/>
                        </a:prstGeom>
                        <a:solidFill>
                          <a:srgbClr val="FFFFFF"/>
                        </a:solidFill>
                        <a:ln w="3172">
                          <a:solidFill>
                            <a:srgbClr val="000000"/>
                          </a:solidFill>
                          <a:prstDash val="solid"/>
                        </a:ln>
                      </wps:spPr>
                      <wps:txbx>
                        <w:txbxContent>
                          <w:p w14:paraId="78EFDF6D" w14:textId="1DCE26E8" w:rsidR="002D5F2A" w:rsidRPr="006C7196" w:rsidRDefault="002D5F2A" w:rsidP="002D5F2A">
                            <w:pPr>
                              <w:spacing w:after="0"/>
                              <w:rPr>
                                <w:lang w:val="es-ES"/>
                              </w:rPr>
                            </w:pPr>
                            <w:r w:rsidRPr="006C7196">
                              <w:rPr>
                                <w:rFonts w:eastAsia="Arial" w:cs="Arial"/>
                                <w:lang w:val="es-ES"/>
                              </w:rPr>
                              <w:t>Resumen:</w:t>
                            </w:r>
                          </w:p>
                          <w:p w14:paraId="255B4E63" w14:textId="77777777" w:rsidR="002D5F2A" w:rsidRPr="006C7196" w:rsidRDefault="002D5F2A" w:rsidP="0082508E">
                            <w:pPr>
                              <w:spacing w:after="0" w:line="240" w:lineRule="auto"/>
                              <w:rPr>
                                <w:rFonts w:cs="Arial"/>
                                <w:lang w:val="es-ES"/>
                              </w:rPr>
                            </w:pPr>
                          </w:p>
                          <w:p w14:paraId="07887DB5" w14:textId="77777777" w:rsidR="0082508E" w:rsidRPr="0082508E" w:rsidRDefault="0082508E" w:rsidP="00F364B4">
                            <w:pPr>
                              <w:autoSpaceDE w:val="0"/>
                              <w:spacing w:after="0" w:line="240" w:lineRule="auto"/>
                              <w:jc w:val="both"/>
                              <w:rPr>
                                <w:lang w:val="es-ES"/>
                              </w:rPr>
                            </w:pPr>
                            <w:r>
                              <w:rPr>
                                <w:lang w:val="es-ES"/>
                              </w:rPr>
                              <w:t xml:space="preserve">La Fundación para la Investigación y Conservación Marina (MARECO) ha presentado la propuesta adjunta* para una Acción Concertada para el tiburón azul </w:t>
                            </w:r>
                            <w:r w:rsidRPr="005C6BB6">
                              <w:rPr>
                                <w:i/>
                                <w:lang w:val="es-ES"/>
                              </w:rPr>
                              <w:t>(Prionace glauca)</w:t>
                            </w:r>
                            <w:r>
                              <w:rPr>
                                <w:lang w:val="es-ES"/>
                              </w:rPr>
                              <w:t xml:space="preserve"> de acuerdo con el proceso detallado en la Resolución 12.28 (Rev.COP13).</w:t>
                            </w:r>
                          </w:p>
                          <w:p w14:paraId="1796996C" w14:textId="77777777" w:rsidR="0082508E" w:rsidRDefault="0082508E" w:rsidP="00F364B4">
                            <w:pPr>
                              <w:spacing w:after="0" w:line="240" w:lineRule="auto"/>
                              <w:rPr>
                                <w:rFonts w:cs="Arial"/>
                                <w:lang w:val="es-ES"/>
                              </w:rPr>
                            </w:pPr>
                          </w:p>
                          <w:p w14:paraId="230A262C" w14:textId="34025EBD" w:rsidR="004C588E" w:rsidRPr="001E7CF3" w:rsidRDefault="00753268" w:rsidP="00753268">
                            <w:pPr>
                              <w:spacing w:after="0" w:line="240" w:lineRule="auto"/>
                              <w:jc w:val="both"/>
                              <w:rPr>
                                <w:rFonts w:cs="Arial"/>
                                <w:lang w:val="es-ES"/>
                              </w:rPr>
                            </w:pPr>
                            <w:r w:rsidRPr="001E7CF3">
                              <w:rPr>
                                <w:rFonts w:cs="Arial"/>
                                <w:lang w:val="es-ES"/>
                              </w:rPr>
                              <w:t>Este documento ha sido revisado para tener en cuenta las recomendaciones del ScC-SC6.</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70DD936B" id="_x0000_t202" coordsize="21600,21600" o:spt="202" path="m,l,21600r21600,l21600,xe">
                <v:stroke joinstyle="miter"/>
                <v:path gradientshapeok="t" o:connecttype="rect"/>
              </v:shapetype>
              <v:shape id="Text Box 4" o:spid="_x0000_s1026" type="#_x0000_t202" style="position:absolute;left:0;text-align:left;margin-left:70.5pt;margin-top:10.9pt;width:338.95pt;height:133.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" strokeweight=".08811mm">
                <v:textbox>
                  <w:txbxContent>
                    <w:p w14:paraId="78EFDF6D" w14:textId="1DCE26E8" w:rsidR="002D5F2A" w:rsidRPr="006C7196" w:rsidRDefault="002D5F2A" w:rsidP="002D5F2A">
                      <w:pPr>
                        <w:spacing w:after="0"/>
                        <w:rPr>
                          <w:lang w:val="es-ES"/>
                        </w:rPr>
                      </w:pPr>
                      <w:r w:rsidRPr="006C7196">
                        <w:rPr>
                          <w:rFonts w:eastAsia="Arial" w:cs="Arial"/>
                          <w:lang w:val="es-ES"/>
                        </w:rPr>
                        <w:t>Resumen:</w:t>
                      </w:r>
                    </w:p>
                    <w:p w14:paraId="255B4E63" w14:textId="77777777" w:rsidR="002D5F2A" w:rsidRPr="006C7196" w:rsidRDefault="002D5F2A" w:rsidP="0082508E">
                      <w:pPr>
                        <w:spacing w:after="0" w:line="240" w:lineRule="auto"/>
                        <w:rPr>
                          <w:rFonts w:cs="Arial"/>
                          <w:lang w:val="es-ES"/>
                        </w:rPr>
                      </w:pPr>
                    </w:p>
                    <w:p w14:paraId="07887DB5" w14:textId="77777777" w:rsidR="0082508E" w:rsidRPr="0082508E" w:rsidRDefault="0082508E" w:rsidP="00F364B4">
                      <w:pPr>
                        <w:autoSpaceDE w:val="0"/>
                        <w:spacing w:after="0" w:line="240" w:lineRule="auto"/>
                        <w:jc w:val="both"/>
                        <w:rPr>
                          <w:lang w:val="es-ES"/>
                        </w:rPr>
                      </w:pPr>
                      <w:r>
                        <w:rPr>
                          <w:lang w:val="es-ES"/>
                        </w:rPr>
                        <w:t xml:space="preserve">La Fundación para la Investigación y Conservación Marina (MARECO) ha presentado la propuesta adjunta* para una Acción Concertada para el tiburón azul </w:t>
                      </w:r>
                      <w:r w:rsidRPr="005C6BB6">
                        <w:rPr>
                          <w:i/>
                          <w:lang w:val="es-ES"/>
                        </w:rPr>
                        <w:t>(Prionace glauca)</w:t>
                      </w:r>
                      <w:r>
                        <w:rPr>
                          <w:lang w:val="es-ES"/>
                        </w:rPr>
                        <w:t xml:space="preserve"> de acuerdo con el proceso detallado en la Resolución 12.28 (Rev.COP13).</w:t>
                      </w:r>
                    </w:p>
                    <w:p w14:paraId="1796996C" w14:textId="77777777" w:rsidR="0082508E" w:rsidRDefault="0082508E" w:rsidP="00F364B4">
                      <w:pPr>
                        <w:spacing w:after="0" w:line="240" w:lineRule="auto"/>
                        <w:rPr>
                          <w:rFonts w:cs="Arial"/>
                          <w:lang w:val="es-ES"/>
                        </w:rPr>
                      </w:pPr>
                    </w:p>
                    <w:p w14:paraId="230A262C" w14:textId="34025EBD" w:rsidR="004C588E" w:rsidRPr="001E7CF3" w:rsidRDefault="00753268" w:rsidP="00753268">
                      <w:pPr>
                        <w:spacing w:after="0" w:line="240" w:lineRule="auto"/>
                        <w:jc w:val="both"/>
                        <w:rPr>
                          <w:rFonts w:cs="Arial"/>
                          <w:lang w:val="es-ES"/>
                        </w:rPr>
                      </w:pPr>
                      <w:r w:rsidRPr="001E7CF3">
                        <w:rPr>
                          <w:rFonts w:cs="Arial"/>
                          <w:lang w:val="es-ES"/>
                        </w:rPr>
                        <w:t>Este documento ha sido revisado para tener en cuenta las recomendaciones del ScC-SC6.</w:t>
                      </w:r>
                    </w:p>
                  </w:txbxContent>
                </v:textbox>
              </v:shape>
            </w:pict>
          </mc:Fallback>
        </mc:AlternateContent>
      </w:r>
    </w:p>
    <w:p w14:paraId="7DD73723" w14:textId="666680E3" w:rsidR="00002A97" w:rsidRPr="00002A97" w:rsidRDefault="00002A97" w:rsidP="00002A97">
      <w:pPr>
        <w:widowControl w:val="0"/>
        <w:suppressAutoHyphens/>
        <w:autoSpaceDE w:val="0"/>
        <w:autoSpaceDN w:val="0"/>
        <w:spacing w:after="0" w:line="240" w:lineRule="auto"/>
        <w:textAlignment w:val="baseline"/>
        <w:rPr>
          <w:rFonts w:ascii="Calibri" w:eastAsia="Calibri" w:hAnsi="Calibri" w:cs="Times New Roman"/>
          <w:lang w:val="es-ES"/>
        </w:rPr>
      </w:pPr>
    </w:p>
    <w:p w14:paraId="446B2251" w14:textId="3D106049"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1046C7" w14:textId="292C83CD"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47839D3"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34F455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323235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0ED40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E92F8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9D1ABE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0BBCB6E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1C18AA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8F1984A"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76C2460"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ABC5A62"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6E41D78"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84B6374" w14:textId="77777777" w:rsidR="00002A97" w:rsidRP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F333155"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9F85BB4"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7E2C95B"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2536E0B"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5B16880"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202BB70"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5DDD6F5C"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1305F4B1"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6688DCBA"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2B88AEC7"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5A5CEA7"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34F5A5A6"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4EE0A7FF" w14:textId="77777777" w:rsidR="00002A97" w:rsidRDefault="00002A97" w:rsidP="00002A97">
      <w:pPr>
        <w:widowControl w:val="0"/>
        <w:suppressAutoHyphens/>
        <w:autoSpaceDE w:val="0"/>
        <w:autoSpaceDN w:val="0"/>
        <w:spacing w:after="0" w:line="240" w:lineRule="auto"/>
        <w:textAlignment w:val="baseline"/>
        <w:rPr>
          <w:rFonts w:eastAsia="Times New Roman" w:cs="Arial"/>
          <w:lang w:val="es-ES" w:eastAsia="es-ES"/>
        </w:rPr>
      </w:pPr>
    </w:p>
    <w:p w14:paraId="0E93761E" w14:textId="77777777" w:rsidR="00C0333F" w:rsidRDefault="00C0333F" w:rsidP="00002A97">
      <w:pPr>
        <w:widowControl w:val="0"/>
        <w:suppressAutoHyphens/>
        <w:autoSpaceDE w:val="0"/>
        <w:autoSpaceDN w:val="0"/>
        <w:spacing w:after="0" w:line="240" w:lineRule="auto"/>
        <w:textAlignment w:val="baseline"/>
        <w:rPr>
          <w:rFonts w:eastAsia="Times New Roman" w:cs="Arial"/>
          <w:lang w:val="es-ES" w:eastAsia="es-ES"/>
        </w:rPr>
      </w:pPr>
    </w:p>
    <w:p w14:paraId="6211172B" w14:textId="77777777" w:rsidR="00C0333F" w:rsidRDefault="00C0333F" w:rsidP="00002A97">
      <w:pPr>
        <w:widowControl w:val="0"/>
        <w:suppressAutoHyphens/>
        <w:autoSpaceDE w:val="0"/>
        <w:autoSpaceDN w:val="0"/>
        <w:spacing w:after="0" w:line="240" w:lineRule="auto"/>
        <w:textAlignment w:val="baseline"/>
        <w:rPr>
          <w:rFonts w:eastAsia="Times New Roman" w:cs="Arial"/>
          <w:lang w:val="es-ES" w:eastAsia="es-ES"/>
        </w:rPr>
      </w:pPr>
    </w:p>
    <w:p w14:paraId="18DBDE2D" w14:textId="77777777" w:rsidR="00C0333F" w:rsidRDefault="00C0333F" w:rsidP="00C0333F">
      <w:pPr>
        <w:widowControl w:val="0"/>
        <w:suppressAutoHyphens/>
        <w:autoSpaceDE w:val="0"/>
        <w:autoSpaceDN w:val="0"/>
        <w:spacing w:after="0" w:line="240" w:lineRule="auto"/>
        <w:textAlignment w:val="baseline"/>
        <w:rPr>
          <w:rFonts w:eastAsia="Times New Roman" w:cs="Arial"/>
          <w:lang w:val="es-ES" w:eastAsia="es-ES"/>
        </w:rPr>
      </w:pPr>
    </w:p>
    <w:p w14:paraId="08723841" w14:textId="77777777" w:rsidR="00272A44" w:rsidRDefault="00272A44" w:rsidP="00C0333F">
      <w:pPr>
        <w:widowControl w:val="0"/>
        <w:suppressAutoHyphens/>
        <w:autoSpaceDE w:val="0"/>
        <w:autoSpaceDN w:val="0"/>
        <w:spacing w:after="0" w:line="240" w:lineRule="auto"/>
        <w:textAlignment w:val="baseline"/>
        <w:rPr>
          <w:rFonts w:eastAsia="Times New Roman" w:cs="Arial"/>
          <w:lang w:val="es-ES" w:eastAsia="es-ES"/>
        </w:rPr>
      </w:pPr>
    </w:p>
    <w:p w14:paraId="223D2AAC" w14:textId="77777777" w:rsidR="00C0333F" w:rsidRPr="00C0333F" w:rsidRDefault="00C0333F" w:rsidP="00C0333F">
      <w:pPr>
        <w:spacing w:after="0" w:line="240" w:lineRule="auto"/>
        <w:jc w:val="both"/>
        <w:rPr>
          <w:rFonts w:eastAsia="Calibri" w:cs="Arial"/>
          <w:sz w:val="20"/>
          <w:szCs w:val="20"/>
          <w:lang w:val="es-ES"/>
        </w:rPr>
      </w:pPr>
      <w:r w:rsidRPr="00C0333F">
        <w:rPr>
          <w:rFonts w:eastAsia="Calibri" w:cs="Arial"/>
          <w:sz w:val="20"/>
          <w:szCs w:val="20"/>
          <w:lang w:val="es-ES"/>
        </w:rPr>
        <w:t>*</w:t>
      </w:r>
      <w:r w:rsidRPr="006C7196">
        <w:rPr>
          <w:rFonts w:eastAsia="Calibri" w:cs="Arial"/>
          <w:sz w:val="20"/>
          <w:szCs w:val="20"/>
          <w:lang w:val="es-ES"/>
        </w:rPr>
        <w:t>Las designaciones geográficas empleadas en este documento no implican, de parte de la Secretaría de la CMS (o del Programa de las Naciones Unidas para el Medio Ambiente), juicio alguno sobre la condición jurídica de ningún país, territorio o área, ni sobre la delimitación de su frontera o fronteras. La responsabilidad del contenido del documento recae exclusivamente en su autor</w:t>
      </w:r>
      <w:r w:rsidRPr="00C0333F">
        <w:rPr>
          <w:rFonts w:eastAsia="Calibri" w:cs="Arial"/>
          <w:sz w:val="20"/>
          <w:szCs w:val="20"/>
          <w:lang w:val="es-ES"/>
        </w:rPr>
        <w:t>.</w:t>
      </w:r>
    </w:p>
    <w:p w14:paraId="74A2DE84" w14:textId="08B74B01" w:rsidR="002D5F2A" w:rsidRDefault="002D5F2A">
      <w:pPr>
        <w:rPr>
          <w:rFonts w:eastAsia="Times New Roman" w:cs="Arial"/>
          <w:lang w:val="es-ES" w:eastAsia="es-ES"/>
        </w:rPr>
      </w:pPr>
      <w:r>
        <w:rPr>
          <w:rFonts w:eastAsia="Times New Roman" w:cs="Arial"/>
          <w:lang w:val="es-ES" w:eastAsia="es-ES"/>
        </w:rPr>
        <w:br w:type="page"/>
      </w:r>
    </w:p>
    <w:p w14:paraId="593FB41C" w14:textId="77777777" w:rsidR="00F364B4" w:rsidRDefault="00F364B4" w:rsidP="009431BA">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90" w:right="-367"/>
        <w:jc w:val="center"/>
        <w:textAlignment w:val="baseline"/>
        <w:outlineLvl w:val="1"/>
        <w:rPr>
          <w:rFonts w:eastAsia="Times New Roman" w:cs="Arial"/>
          <w:b/>
          <w:bCs/>
          <w:lang w:val="es-ES"/>
        </w:rPr>
      </w:pPr>
    </w:p>
    <w:p w14:paraId="27DF7709" w14:textId="67704624" w:rsidR="009431BA" w:rsidRPr="009431BA" w:rsidRDefault="009431BA" w:rsidP="009431BA">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90" w:right="-367"/>
        <w:jc w:val="center"/>
        <w:textAlignment w:val="baseline"/>
        <w:outlineLvl w:val="1"/>
        <w:rPr>
          <w:rFonts w:eastAsia="Times New Roman" w:cs="Arial"/>
          <w:b/>
          <w:bCs/>
          <w:lang w:val="es-ES"/>
        </w:rPr>
      </w:pPr>
      <w:r w:rsidRPr="009431BA">
        <w:rPr>
          <w:rFonts w:eastAsia="Times New Roman" w:cs="Arial"/>
          <w:b/>
          <w:bCs/>
          <w:lang w:val="es-ES"/>
        </w:rPr>
        <w:t>PROPUESTA DE ACCIÓN CONCERTADA PARA</w:t>
      </w:r>
    </w:p>
    <w:p w14:paraId="42E65229" w14:textId="77777777" w:rsidR="009431BA" w:rsidRPr="009431BA" w:rsidRDefault="009431BA" w:rsidP="009431BA">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90" w:right="-367"/>
        <w:jc w:val="center"/>
        <w:textAlignment w:val="baseline"/>
        <w:outlineLvl w:val="1"/>
        <w:rPr>
          <w:rFonts w:eastAsia="Calibri" w:cs="Arial"/>
          <w:lang w:val="es-ES"/>
        </w:rPr>
      </w:pPr>
      <w:r w:rsidRPr="009431BA">
        <w:rPr>
          <w:rFonts w:eastAsia="Times New Roman" w:cs="Arial"/>
          <w:b/>
          <w:bCs/>
          <w:lang w:val="es-ES"/>
        </w:rPr>
        <w:t>EL TIBURÓN AZUL (</w:t>
      </w:r>
      <w:r w:rsidRPr="009431BA">
        <w:rPr>
          <w:rFonts w:eastAsia="Calibri" w:cs="Arial"/>
          <w:b/>
          <w:i/>
          <w:lang w:val="es-ES"/>
        </w:rPr>
        <w:t>Prionace glauca</w:t>
      </w:r>
      <w:r w:rsidRPr="009431BA">
        <w:rPr>
          <w:rFonts w:eastAsia="Calibri" w:cs="Arial"/>
          <w:b/>
          <w:lang w:val="es-ES"/>
        </w:rPr>
        <w:t xml:space="preserve">) YA INCLUIDO </w:t>
      </w:r>
    </w:p>
    <w:p w14:paraId="18EACA16" w14:textId="15E638DA" w:rsidR="009431BA" w:rsidRPr="009431BA" w:rsidRDefault="009431BA" w:rsidP="009431BA">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40" w:lineRule="auto"/>
        <w:ind w:left="-90" w:right="-367"/>
        <w:jc w:val="center"/>
        <w:textAlignment w:val="baseline"/>
        <w:outlineLvl w:val="1"/>
        <w:rPr>
          <w:rFonts w:eastAsia="Calibri" w:cs="Arial"/>
          <w:lang w:val="es-ES"/>
        </w:rPr>
      </w:pPr>
      <w:r w:rsidRPr="009431BA">
        <w:rPr>
          <w:rFonts w:eastAsia="Times New Roman" w:cs="Arial"/>
          <w:b/>
          <w:bCs/>
          <w:lang w:val="es-ES"/>
        </w:rPr>
        <w:t>EN EL APÉNDICE II DE LA CONVENCIÓN</w:t>
      </w:r>
    </w:p>
    <w:p w14:paraId="025763A5" w14:textId="77777777" w:rsidR="009431BA" w:rsidRPr="009431BA" w:rsidRDefault="009431BA" w:rsidP="009431BA">
      <w:pPr>
        <w:widowControl w:val="0"/>
        <w:tabs>
          <w:tab w:val="left" w:pos="8235"/>
        </w:tabs>
        <w:suppressAutoHyphens/>
        <w:autoSpaceDE w:val="0"/>
        <w:autoSpaceDN w:val="0"/>
        <w:spacing w:after="0" w:line="240" w:lineRule="auto"/>
        <w:textAlignment w:val="baseline"/>
        <w:rPr>
          <w:rFonts w:eastAsia="Times New Roman" w:cs="Arial"/>
          <w:sz w:val="8"/>
          <w:szCs w:val="8"/>
          <w:lang w:val="es-ES"/>
        </w:rPr>
      </w:pPr>
    </w:p>
    <w:p w14:paraId="3DE7AAED" w14:textId="77777777" w:rsidR="009431BA" w:rsidRDefault="009431BA" w:rsidP="009431BA">
      <w:pPr>
        <w:suppressAutoHyphens/>
        <w:autoSpaceDN w:val="0"/>
        <w:spacing w:after="0" w:line="240" w:lineRule="auto"/>
        <w:ind w:left="900"/>
        <w:jc w:val="both"/>
        <w:textAlignment w:val="baseline"/>
        <w:rPr>
          <w:rFonts w:eastAsia="Calibri" w:cs="Arial"/>
          <w:lang w:val="es-ES"/>
        </w:rPr>
      </w:pPr>
    </w:p>
    <w:p w14:paraId="78942C31" w14:textId="77777777" w:rsidR="00F364B4" w:rsidRPr="009431BA" w:rsidRDefault="00F364B4" w:rsidP="009431BA">
      <w:pPr>
        <w:suppressAutoHyphens/>
        <w:autoSpaceDN w:val="0"/>
        <w:spacing w:after="0" w:line="240" w:lineRule="auto"/>
        <w:ind w:left="900"/>
        <w:jc w:val="both"/>
        <w:textAlignment w:val="baseline"/>
        <w:rPr>
          <w:rFonts w:eastAsia="Calibri" w:cs="Arial"/>
          <w:lang w:val="es-ES"/>
        </w:rPr>
      </w:pPr>
    </w:p>
    <w:p w14:paraId="28D4E8F7" w14:textId="476DE6C2" w:rsidR="00F364B4" w:rsidRDefault="009431BA" w:rsidP="00F364B4">
      <w:pPr>
        <w:numPr>
          <w:ilvl w:val="0"/>
          <w:numId w:val="13"/>
        </w:numPr>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Autor de la propuesta</w:t>
      </w:r>
      <w:r w:rsidRPr="009431BA">
        <w:rPr>
          <w:rFonts w:eastAsia="Calibri" w:cs="Arial"/>
          <w:lang w:val="es-ES"/>
        </w:rPr>
        <w:t xml:space="preserve"> </w:t>
      </w:r>
    </w:p>
    <w:p w14:paraId="44F013D3" w14:textId="77777777" w:rsidR="00F364B4" w:rsidRDefault="00F364B4" w:rsidP="00F364B4">
      <w:pPr>
        <w:suppressAutoHyphens/>
        <w:autoSpaceDN w:val="0"/>
        <w:spacing w:after="0" w:line="240" w:lineRule="auto"/>
        <w:ind w:left="540" w:hanging="540"/>
        <w:jc w:val="both"/>
        <w:textAlignment w:val="baseline"/>
        <w:rPr>
          <w:rFonts w:eastAsia="Calibri" w:cs="Arial"/>
          <w:lang w:val="es-ES"/>
        </w:rPr>
      </w:pPr>
    </w:p>
    <w:p w14:paraId="7B950FE6" w14:textId="577880BF" w:rsidR="009431BA" w:rsidRPr="009431BA" w:rsidRDefault="009431BA" w:rsidP="00F364B4">
      <w:pPr>
        <w:suppressAutoHyphens/>
        <w:autoSpaceDN w:val="0"/>
        <w:spacing w:after="0" w:line="240" w:lineRule="auto"/>
        <w:ind w:left="540" w:hanging="540"/>
        <w:jc w:val="both"/>
        <w:textAlignment w:val="baseline"/>
        <w:rPr>
          <w:rFonts w:eastAsia="Calibri" w:cs="Arial"/>
          <w:lang w:val="es-ES"/>
        </w:rPr>
      </w:pPr>
      <w:r w:rsidRPr="009431BA">
        <w:rPr>
          <w:rFonts w:eastAsia="Calibri" w:cs="Arial"/>
          <w:lang w:val="es-ES"/>
        </w:rPr>
        <w:t>Fundación para la Investigación y Conservación Marina (MARECO)</w:t>
      </w:r>
    </w:p>
    <w:p w14:paraId="208FE78A" w14:textId="77777777" w:rsidR="009431BA" w:rsidRPr="009431BA" w:rsidRDefault="009431BA" w:rsidP="00F364B4">
      <w:pPr>
        <w:suppressAutoHyphens/>
        <w:autoSpaceDN w:val="0"/>
        <w:spacing w:after="0" w:line="240" w:lineRule="auto"/>
        <w:ind w:left="540" w:hanging="540"/>
        <w:jc w:val="both"/>
        <w:textAlignment w:val="baseline"/>
        <w:rPr>
          <w:rFonts w:eastAsia="Calibri" w:cs="Arial"/>
          <w:lang w:val="es-ES"/>
        </w:rPr>
      </w:pPr>
    </w:p>
    <w:p w14:paraId="4BB24BB6" w14:textId="7C363A77" w:rsidR="009431BA" w:rsidRPr="009431BA" w:rsidRDefault="009431BA" w:rsidP="00F364B4">
      <w:pPr>
        <w:numPr>
          <w:ilvl w:val="0"/>
          <w:numId w:val="13"/>
        </w:numPr>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Especie objetivo, taxón inferior o población, o grupo de taxones con necesidades en común</w:t>
      </w:r>
      <w:r w:rsidRPr="009431BA">
        <w:rPr>
          <w:rFonts w:eastAsia="Calibri" w:cs="Arial"/>
          <w:lang w:val="es-ES"/>
        </w:rPr>
        <w:t xml:space="preserve"> </w:t>
      </w:r>
    </w:p>
    <w:p w14:paraId="120F4FE6" w14:textId="77777777" w:rsidR="009431BA" w:rsidRPr="009431BA" w:rsidRDefault="009431BA" w:rsidP="00F364B4">
      <w:pPr>
        <w:suppressAutoHyphens/>
        <w:autoSpaceDN w:val="0"/>
        <w:spacing w:after="0" w:line="240" w:lineRule="auto"/>
        <w:ind w:left="540" w:hanging="540"/>
        <w:jc w:val="both"/>
        <w:textAlignment w:val="baseline"/>
        <w:rPr>
          <w:rFonts w:eastAsia="Calibri" w:cs="Arial"/>
          <w:lang w:val="es-ES"/>
        </w:rPr>
      </w:pPr>
    </w:p>
    <w:p w14:paraId="7078E8AB" w14:textId="77777777" w:rsidR="009431BA" w:rsidRPr="009431BA" w:rsidRDefault="009431BA" w:rsidP="00F364B4">
      <w:pPr>
        <w:suppressAutoHyphens/>
        <w:autoSpaceDN w:val="0"/>
        <w:spacing w:after="80" w:line="240" w:lineRule="auto"/>
        <w:ind w:left="547" w:hanging="547"/>
        <w:jc w:val="both"/>
        <w:textAlignment w:val="baseline"/>
        <w:rPr>
          <w:rFonts w:eastAsia="Calibri" w:cs="Arial"/>
          <w:lang w:val="es-ES"/>
        </w:rPr>
      </w:pPr>
      <w:r w:rsidRPr="009431BA">
        <w:rPr>
          <w:rFonts w:eastAsia="Calibri" w:cs="Arial"/>
          <w:lang w:val="es-ES"/>
        </w:rPr>
        <w:t xml:space="preserve">Clase: </w:t>
      </w:r>
      <w:r w:rsidRPr="009431BA">
        <w:rPr>
          <w:rFonts w:eastAsia="Calibri" w:cs="Arial"/>
          <w:lang w:val="es-ES"/>
        </w:rPr>
        <w:tab/>
        <w:t>Chondrichthyes</w:t>
      </w:r>
    </w:p>
    <w:p w14:paraId="6982D836" w14:textId="77777777" w:rsidR="009431BA" w:rsidRPr="009431BA" w:rsidRDefault="009431BA" w:rsidP="00F364B4">
      <w:pPr>
        <w:suppressAutoHyphens/>
        <w:autoSpaceDN w:val="0"/>
        <w:spacing w:after="80" w:line="240" w:lineRule="auto"/>
        <w:ind w:left="547" w:hanging="547"/>
        <w:jc w:val="both"/>
        <w:textAlignment w:val="baseline"/>
        <w:rPr>
          <w:rFonts w:eastAsia="Calibri" w:cs="Arial"/>
          <w:lang w:val="es-ES"/>
        </w:rPr>
      </w:pPr>
      <w:r w:rsidRPr="009431BA">
        <w:rPr>
          <w:rFonts w:eastAsia="Calibri" w:cs="Arial"/>
          <w:lang w:val="es-ES"/>
        </w:rPr>
        <w:t xml:space="preserve">Subclase: </w:t>
      </w:r>
      <w:r w:rsidRPr="009431BA">
        <w:rPr>
          <w:rFonts w:eastAsia="Calibri" w:cs="Arial"/>
          <w:lang w:val="es-ES"/>
        </w:rPr>
        <w:tab/>
        <w:t xml:space="preserve">Elasmobranchii </w:t>
      </w:r>
    </w:p>
    <w:p w14:paraId="5BAD85A1" w14:textId="77777777" w:rsidR="009431BA" w:rsidRPr="009431BA" w:rsidRDefault="009431BA" w:rsidP="00F364B4">
      <w:pPr>
        <w:suppressAutoHyphens/>
        <w:autoSpaceDN w:val="0"/>
        <w:spacing w:after="80" w:line="240" w:lineRule="auto"/>
        <w:ind w:left="547" w:hanging="547"/>
        <w:jc w:val="both"/>
        <w:textAlignment w:val="baseline"/>
        <w:rPr>
          <w:rFonts w:eastAsia="Calibri" w:cs="Arial"/>
          <w:lang w:val="es-ES"/>
        </w:rPr>
      </w:pPr>
      <w:r w:rsidRPr="009431BA">
        <w:rPr>
          <w:rFonts w:eastAsia="Calibri" w:cs="Arial"/>
          <w:lang w:val="es-ES"/>
        </w:rPr>
        <w:t xml:space="preserve">Orden: </w:t>
      </w:r>
      <w:r w:rsidRPr="009431BA">
        <w:rPr>
          <w:rFonts w:eastAsia="Calibri" w:cs="Arial"/>
          <w:lang w:val="es-ES"/>
        </w:rPr>
        <w:tab/>
        <w:t>Carcharhiniformes</w:t>
      </w:r>
    </w:p>
    <w:p w14:paraId="2AEC4E8D" w14:textId="77777777" w:rsidR="009431BA" w:rsidRPr="009431BA" w:rsidRDefault="009431BA" w:rsidP="00F364B4">
      <w:pPr>
        <w:suppressAutoHyphens/>
        <w:autoSpaceDN w:val="0"/>
        <w:spacing w:after="80" w:line="240" w:lineRule="auto"/>
        <w:ind w:left="547" w:hanging="547"/>
        <w:jc w:val="both"/>
        <w:textAlignment w:val="baseline"/>
        <w:rPr>
          <w:rFonts w:eastAsia="Calibri" w:cs="Arial"/>
          <w:lang w:val="es-ES"/>
        </w:rPr>
      </w:pPr>
      <w:r w:rsidRPr="009431BA">
        <w:rPr>
          <w:rFonts w:eastAsia="Calibri" w:cs="Arial"/>
          <w:lang w:val="es-ES"/>
        </w:rPr>
        <w:t xml:space="preserve">Familia: </w:t>
      </w:r>
      <w:r w:rsidRPr="009431BA">
        <w:rPr>
          <w:rFonts w:eastAsia="Calibri" w:cs="Arial"/>
          <w:lang w:val="es-ES"/>
        </w:rPr>
        <w:tab/>
        <w:t>Carcharhinidae</w:t>
      </w:r>
    </w:p>
    <w:p w14:paraId="468E41A0" w14:textId="77777777" w:rsidR="009431BA" w:rsidRPr="009431BA" w:rsidRDefault="009431BA" w:rsidP="00F364B4">
      <w:pPr>
        <w:suppressAutoHyphens/>
        <w:autoSpaceDN w:val="0"/>
        <w:spacing w:after="80" w:line="240" w:lineRule="auto"/>
        <w:ind w:left="547" w:hanging="547"/>
        <w:jc w:val="both"/>
        <w:textAlignment w:val="baseline"/>
        <w:rPr>
          <w:rFonts w:eastAsia="Calibri" w:cs="Arial"/>
          <w:lang w:val="es-ES"/>
        </w:rPr>
      </w:pPr>
      <w:r w:rsidRPr="009431BA">
        <w:rPr>
          <w:rFonts w:eastAsia="Calibri" w:cs="Arial"/>
          <w:lang w:val="es-ES"/>
        </w:rPr>
        <w:t>Género:</w:t>
      </w:r>
      <w:r w:rsidRPr="009431BA">
        <w:rPr>
          <w:rFonts w:eastAsia="Calibri" w:cs="Arial"/>
          <w:lang w:val="es-ES"/>
        </w:rPr>
        <w:tab/>
      </w:r>
      <w:r w:rsidRPr="009431BA">
        <w:rPr>
          <w:rFonts w:eastAsia="Calibri" w:cs="Arial"/>
          <w:i/>
          <w:iCs/>
          <w:lang w:val="es-ES"/>
        </w:rPr>
        <w:t xml:space="preserve">Prionace </w:t>
      </w:r>
    </w:p>
    <w:p w14:paraId="5A787F20" w14:textId="77777777" w:rsidR="009431BA" w:rsidRPr="009431BA" w:rsidRDefault="009431BA" w:rsidP="00F364B4">
      <w:pPr>
        <w:suppressAutoHyphens/>
        <w:autoSpaceDN w:val="0"/>
        <w:spacing w:after="0" w:line="240" w:lineRule="auto"/>
        <w:ind w:left="540" w:hanging="540"/>
        <w:jc w:val="both"/>
        <w:textAlignment w:val="baseline"/>
        <w:rPr>
          <w:rFonts w:eastAsia="Calibri" w:cs="Arial"/>
          <w:i/>
          <w:iCs/>
          <w:lang w:val="es-ES"/>
        </w:rPr>
      </w:pPr>
      <w:r w:rsidRPr="009431BA">
        <w:rPr>
          <w:rFonts w:eastAsia="Calibri" w:cs="Arial"/>
          <w:lang w:val="es-ES"/>
        </w:rPr>
        <w:t>Especie:</w:t>
      </w:r>
      <w:r w:rsidRPr="009431BA">
        <w:rPr>
          <w:rFonts w:eastAsia="Calibri" w:cs="Arial"/>
          <w:lang w:val="es-ES"/>
        </w:rPr>
        <w:tab/>
      </w:r>
      <w:r w:rsidRPr="009431BA">
        <w:rPr>
          <w:rFonts w:eastAsia="Calibri" w:cs="Arial"/>
          <w:i/>
          <w:iCs/>
          <w:lang w:val="es-ES"/>
        </w:rPr>
        <w:t>Prionace glauca</w:t>
      </w:r>
    </w:p>
    <w:p w14:paraId="5BB1CCF5" w14:textId="77777777" w:rsidR="009431BA" w:rsidRPr="009431BA" w:rsidRDefault="009431BA" w:rsidP="00F364B4">
      <w:pPr>
        <w:suppressAutoHyphens/>
        <w:autoSpaceDN w:val="0"/>
        <w:spacing w:after="0" w:line="240" w:lineRule="auto"/>
        <w:ind w:left="540" w:hanging="540"/>
        <w:jc w:val="both"/>
        <w:textAlignment w:val="baseline"/>
        <w:rPr>
          <w:rFonts w:eastAsia="Calibri" w:cs="Arial"/>
          <w:lang w:val="es-ES"/>
        </w:rPr>
      </w:pPr>
    </w:p>
    <w:p w14:paraId="4F10C724" w14:textId="77777777" w:rsidR="009431BA" w:rsidRPr="009431BA" w:rsidRDefault="009431BA" w:rsidP="00F364B4">
      <w:pPr>
        <w:suppressAutoHyphens/>
        <w:autoSpaceDN w:val="0"/>
        <w:spacing w:after="0" w:line="240" w:lineRule="auto"/>
        <w:ind w:left="540" w:hanging="540"/>
        <w:jc w:val="both"/>
        <w:textAlignment w:val="baseline"/>
        <w:rPr>
          <w:rFonts w:eastAsia="Calibri" w:cs="Arial"/>
          <w:lang w:val="es-ES"/>
        </w:rPr>
      </w:pPr>
      <w:r w:rsidRPr="009431BA">
        <w:rPr>
          <w:rFonts w:eastAsia="Calibri" w:cs="Arial"/>
          <w:lang w:val="es-ES"/>
        </w:rPr>
        <w:t>Enumerado en el apéndice II de la CMS</w:t>
      </w:r>
    </w:p>
    <w:p w14:paraId="51B49EBF" w14:textId="77777777" w:rsidR="009431BA" w:rsidRPr="009431BA" w:rsidRDefault="009431BA" w:rsidP="00F364B4">
      <w:pPr>
        <w:suppressAutoHyphens/>
        <w:autoSpaceDN w:val="0"/>
        <w:spacing w:after="0" w:line="240" w:lineRule="auto"/>
        <w:ind w:left="540" w:hanging="540"/>
        <w:jc w:val="both"/>
        <w:textAlignment w:val="baseline"/>
        <w:rPr>
          <w:rFonts w:eastAsia="Calibri" w:cs="Arial"/>
          <w:lang w:val="es-ES"/>
        </w:rPr>
      </w:pPr>
    </w:p>
    <w:p w14:paraId="193AEA18" w14:textId="2FE7D9CE" w:rsidR="009431BA" w:rsidRPr="009431BA" w:rsidRDefault="009431BA" w:rsidP="00F364B4">
      <w:pPr>
        <w:numPr>
          <w:ilvl w:val="0"/>
          <w:numId w:val="13"/>
        </w:numPr>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Ámbito geográfico</w:t>
      </w:r>
    </w:p>
    <w:p w14:paraId="7DDE25F1" w14:textId="77777777" w:rsidR="00F364B4" w:rsidRDefault="00F364B4" w:rsidP="00F364B4">
      <w:pPr>
        <w:suppressAutoHyphens/>
        <w:autoSpaceDN w:val="0"/>
        <w:spacing w:after="0" w:line="240" w:lineRule="auto"/>
        <w:jc w:val="both"/>
        <w:textAlignment w:val="baseline"/>
        <w:rPr>
          <w:rFonts w:eastAsia="Calibri" w:cs="Arial"/>
          <w:lang w:val="es-ES"/>
        </w:rPr>
      </w:pPr>
    </w:p>
    <w:p w14:paraId="043352FE" w14:textId="455F8E2D" w:rsidR="009431BA" w:rsidRPr="009431BA" w:rsidRDefault="009431BA" w:rsidP="00F364B4">
      <w:pPr>
        <w:suppressAutoHyphens/>
        <w:autoSpaceDN w:val="0"/>
        <w:spacing w:after="0" w:line="240" w:lineRule="auto"/>
        <w:jc w:val="both"/>
        <w:textAlignment w:val="baseline"/>
        <w:rPr>
          <w:rFonts w:eastAsia="Calibri" w:cs="Arial"/>
          <w:lang w:val="es-ES"/>
        </w:rPr>
      </w:pPr>
      <w:r w:rsidRPr="009431BA">
        <w:rPr>
          <w:rFonts w:eastAsia="Calibri" w:cs="Arial"/>
          <w:lang w:val="es-ES"/>
        </w:rPr>
        <w:t>El tiburón azul es una de las especies de tiburones más extendidas. Se encuentra en todos los océanos en aguas tropicales y templadas, normalmente con temperaturas de 12-18 </w:t>
      </w:r>
      <w:r w:rsidRPr="009431BA">
        <w:rPr>
          <w:rFonts w:ascii="Cambria Math" w:eastAsia="Calibri" w:hAnsi="Cambria Math" w:cs="Cambria Math"/>
          <w:lang w:val="es-ES"/>
        </w:rPr>
        <w:t>℃</w:t>
      </w:r>
      <w:r w:rsidRPr="009431BA">
        <w:rPr>
          <w:rFonts w:eastAsia="Calibri" w:cs="Arial"/>
          <w:lang w:val="es-ES"/>
        </w:rPr>
        <w:t>, pero tolera también temperaturas de 10-30 </w:t>
      </w:r>
      <w:r w:rsidRPr="009431BA">
        <w:rPr>
          <w:rFonts w:ascii="Cambria Math" w:eastAsia="Calibri" w:hAnsi="Cambria Math" w:cs="Cambria Math"/>
          <w:lang w:val="es-ES"/>
        </w:rPr>
        <w:t>℃</w:t>
      </w:r>
      <w:r w:rsidRPr="009431BA">
        <w:rPr>
          <w:rFonts w:eastAsia="Calibri" w:cs="Arial"/>
          <w:lang w:val="es-ES"/>
        </w:rPr>
        <w:t>, desde la superficie hasta &gt;1100 m de profundidad (Ebert et al. 2021). La población mundial muestra poca o ninguna variación genética según Bailleul et al. 2018 y Verissimo et al. 2017; dicho esto, Nikolic et al. (2023) identificaron dos grupos genéticos en el norte del Atlántico/Mediterráneo y en el Indo-Pacífico.</w:t>
      </w:r>
    </w:p>
    <w:p w14:paraId="65C05522" w14:textId="00D1F5D9" w:rsidR="009431BA" w:rsidRPr="009431BA" w:rsidRDefault="009431BA" w:rsidP="00F364B4">
      <w:pPr>
        <w:suppressAutoHyphens/>
        <w:autoSpaceDN w:val="0"/>
        <w:spacing w:line="240" w:lineRule="auto"/>
        <w:textAlignment w:val="baseline"/>
        <w:rPr>
          <w:rFonts w:eastAsia="Calibri" w:cs="Arial"/>
          <w:sz w:val="20"/>
          <w:szCs w:val="20"/>
          <w:lang w:val="es-ES"/>
        </w:rPr>
      </w:pPr>
      <w:r w:rsidRPr="009431BA">
        <w:rPr>
          <w:rFonts w:eastAsia="Calibri" w:cs="Arial"/>
          <w:noProof/>
          <w:sz w:val="20"/>
          <w:szCs w:val="20"/>
          <w:lang w:val="es-ES" w:eastAsia="fr-FR"/>
        </w:rPr>
        <w:lastRenderedPageBreak/>
        <w:drawing>
          <wp:anchor distT="0" distB="0" distL="114300" distR="114300" simplePos="0" relativeHeight="251660800" behindDoc="1" locked="0" layoutInCell="1" allowOverlap="1" wp14:anchorId="76092640" wp14:editId="711E7E1B">
            <wp:simplePos x="0" y="0"/>
            <wp:positionH relativeFrom="column">
              <wp:posOffset>0</wp:posOffset>
            </wp:positionH>
            <wp:positionV relativeFrom="paragraph">
              <wp:posOffset>228600</wp:posOffset>
            </wp:positionV>
            <wp:extent cx="5594985" cy="4067175"/>
            <wp:effectExtent l="0" t="0" r="0" b="0"/>
            <wp:wrapTight wrapText="bothSides">
              <wp:wrapPolygon edited="0">
                <wp:start x="0" y="0"/>
                <wp:lineTo x="0" y="21501"/>
                <wp:lineTo x="21534" y="21501"/>
                <wp:lineTo x="21534" y="0"/>
                <wp:lineTo x="0" y="0"/>
              </wp:wrapPolygon>
            </wp:wrapTight>
            <wp:docPr id="1913275495" name="Picture 191327549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75495" name="Picture 1" descr="A map of the world&#10;&#10;Description automatically generated"/>
                    <pic:cNvPicPr/>
                  </pic:nvPicPr>
                  <pic:blipFill rotWithShape="1">
                    <a:blip r:embed="rId12" cstate="print">
                      <a:extLst>
                        <a:ext uri="{28A0092B-C50C-407E-A947-70E740481C1C}">
                          <a14:useLocalDpi xmlns:a14="http://schemas.microsoft.com/office/drawing/2010/main" val="0"/>
                        </a:ext>
                      </a:extLst>
                    </a:blip>
                    <a:srcRect t="5928" b="4946"/>
                    <a:stretch/>
                  </pic:blipFill>
                  <pic:spPr bwMode="auto">
                    <a:xfrm>
                      <a:off x="0" y="0"/>
                      <a:ext cx="5594985"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31BA">
        <w:rPr>
          <w:rFonts w:eastAsia="Calibri" w:cs="Arial"/>
          <w:b/>
          <w:bCs/>
          <w:sz w:val="20"/>
          <w:szCs w:val="20"/>
          <w:lang w:val="es-ES"/>
        </w:rPr>
        <w:t>Ilustración 1:</w:t>
      </w:r>
      <w:r w:rsidRPr="009431BA">
        <w:rPr>
          <w:rFonts w:eastAsia="Calibri" w:cs="Arial"/>
          <w:sz w:val="20"/>
          <w:szCs w:val="20"/>
          <w:lang w:val="es-ES"/>
        </w:rPr>
        <w:t xml:space="preserve"> Distribución del tiburón azul (©UICN, Lista roja)</w:t>
      </w:r>
    </w:p>
    <w:p w14:paraId="1E8EDF8E" w14:textId="77777777" w:rsidR="009431BA" w:rsidRPr="009431BA" w:rsidRDefault="009431BA" w:rsidP="009431BA">
      <w:pPr>
        <w:suppressAutoHyphens/>
        <w:autoSpaceDN w:val="0"/>
        <w:spacing w:after="0" w:line="240" w:lineRule="auto"/>
        <w:jc w:val="both"/>
        <w:textAlignment w:val="baseline"/>
        <w:rPr>
          <w:rFonts w:eastAsia="Calibri" w:cs="Arial"/>
          <w:lang w:val="es-ES"/>
        </w:rPr>
      </w:pPr>
    </w:p>
    <w:p w14:paraId="6A231B22" w14:textId="7C67A9BE" w:rsidR="009431BA" w:rsidRPr="009431BA" w:rsidRDefault="009431BA" w:rsidP="00F364B4">
      <w:pPr>
        <w:numPr>
          <w:ilvl w:val="0"/>
          <w:numId w:val="13"/>
        </w:numPr>
        <w:tabs>
          <w:tab w:val="left" w:pos="540"/>
        </w:tabs>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Resumen de actividades</w:t>
      </w:r>
    </w:p>
    <w:p w14:paraId="5FD4CB4E" w14:textId="77777777" w:rsidR="009431BA" w:rsidRPr="009431BA" w:rsidRDefault="009431BA" w:rsidP="00F364B4">
      <w:pPr>
        <w:tabs>
          <w:tab w:val="left" w:pos="900"/>
        </w:tabs>
        <w:suppressAutoHyphens/>
        <w:autoSpaceDN w:val="0"/>
        <w:spacing w:after="0" w:line="240" w:lineRule="auto"/>
        <w:ind w:left="900"/>
        <w:jc w:val="both"/>
        <w:textAlignment w:val="baseline"/>
        <w:rPr>
          <w:rFonts w:eastAsia="Calibri" w:cs="Arial"/>
          <w:lang w:val="es-ES"/>
        </w:rPr>
      </w:pPr>
    </w:p>
    <w:p w14:paraId="01885505" w14:textId="1BEDC45E" w:rsidR="009431BA" w:rsidRPr="009431BA" w:rsidRDefault="00E27237" w:rsidP="00B75CBF">
      <w:pPr>
        <w:numPr>
          <w:ilvl w:val="3"/>
          <w:numId w:val="13"/>
        </w:numPr>
        <w:tabs>
          <w:tab w:val="left" w:pos="1080"/>
        </w:tabs>
        <w:suppressAutoHyphens/>
        <w:autoSpaceDN w:val="0"/>
        <w:spacing w:after="0" w:line="240" w:lineRule="auto"/>
        <w:ind w:left="1080" w:hanging="540"/>
        <w:jc w:val="both"/>
        <w:textAlignment w:val="baseline"/>
        <w:rPr>
          <w:rFonts w:eastAsia="Calibri" w:cs="Arial"/>
          <w:lang w:val="es-ES"/>
        </w:rPr>
      </w:pPr>
      <w:r w:rsidRPr="00E27237">
        <w:rPr>
          <w:rFonts w:eastAsia="Calibri" w:cs="Arial"/>
          <w:lang w:val="es-ES"/>
        </w:rPr>
        <w:t>Animar a las Partes a seguir colaborando con otros AAM, ORP y otras entidades pertinentes para mejorar la gestión del tiburón azul, incluyendo el desarrollo de la Estrategia de Conservación y Plan de Acción para Tiburones Pelágicos y Rayas del SSG de la CSE de la UICN, en cooperación con el MdE sobre tiburones;</w:t>
      </w:r>
    </w:p>
    <w:p w14:paraId="66324096" w14:textId="77777777" w:rsidR="009431BA" w:rsidRPr="009431BA" w:rsidRDefault="009431BA" w:rsidP="00B75CBF">
      <w:pPr>
        <w:tabs>
          <w:tab w:val="left" w:pos="1080"/>
        </w:tabs>
        <w:suppressAutoHyphens/>
        <w:autoSpaceDN w:val="0"/>
        <w:spacing w:after="0" w:line="240" w:lineRule="auto"/>
        <w:ind w:left="1080" w:hanging="540"/>
        <w:jc w:val="both"/>
        <w:textAlignment w:val="baseline"/>
        <w:rPr>
          <w:rFonts w:eastAsia="Calibri" w:cs="Arial"/>
          <w:lang w:val="es-ES"/>
        </w:rPr>
      </w:pPr>
    </w:p>
    <w:p w14:paraId="30E494EF" w14:textId="425D70CD" w:rsidR="009431BA" w:rsidRPr="009431BA" w:rsidRDefault="00370A63" w:rsidP="00B75CBF">
      <w:pPr>
        <w:numPr>
          <w:ilvl w:val="3"/>
          <w:numId w:val="13"/>
        </w:numPr>
        <w:tabs>
          <w:tab w:val="left" w:pos="1080"/>
        </w:tabs>
        <w:suppressAutoHyphens/>
        <w:autoSpaceDN w:val="0"/>
        <w:spacing w:after="0" w:line="240" w:lineRule="auto"/>
        <w:ind w:left="1080" w:hanging="540"/>
        <w:jc w:val="both"/>
        <w:textAlignment w:val="baseline"/>
        <w:rPr>
          <w:rFonts w:eastAsia="Calibri" w:cs="Arial"/>
          <w:lang w:val="es-ES"/>
        </w:rPr>
      </w:pPr>
      <w:r w:rsidRPr="00370A63">
        <w:rPr>
          <w:rFonts w:eastAsia="Calibri" w:cs="Arial"/>
          <w:lang w:val="es-ES"/>
        </w:rPr>
        <w:t xml:space="preserve">Desarrollar directrices internacionales de países con turismo </w:t>
      </w:r>
      <w:r w:rsidR="006D0596">
        <w:rPr>
          <w:rFonts w:eastAsia="Calibri" w:cs="Arial"/>
          <w:lang w:val="es-ES"/>
        </w:rPr>
        <w:t>relativos al</w:t>
      </w:r>
      <w:r w:rsidRPr="00370A63">
        <w:rPr>
          <w:rFonts w:eastAsia="Calibri" w:cs="Arial"/>
          <w:lang w:val="es-ES"/>
        </w:rPr>
        <w:t xml:space="preserve"> tiburón azul establecido (por ejemplo, Azores, Reino Unido, Sudáfrica)</w:t>
      </w:r>
      <w:r w:rsidR="009431BA" w:rsidRPr="009431BA">
        <w:rPr>
          <w:rFonts w:eastAsia="Calibri" w:cs="Arial"/>
          <w:lang w:val="es-ES"/>
        </w:rPr>
        <w:t xml:space="preserve">; </w:t>
      </w:r>
    </w:p>
    <w:p w14:paraId="4C325CFB" w14:textId="77777777" w:rsidR="009431BA" w:rsidRPr="009431BA" w:rsidRDefault="009431BA" w:rsidP="00B75CBF">
      <w:pPr>
        <w:tabs>
          <w:tab w:val="left" w:pos="1080"/>
        </w:tabs>
        <w:suppressAutoHyphens/>
        <w:autoSpaceDN w:val="0"/>
        <w:spacing w:after="0" w:line="240" w:lineRule="auto"/>
        <w:ind w:left="1080" w:hanging="540"/>
        <w:jc w:val="both"/>
        <w:textAlignment w:val="baseline"/>
        <w:rPr>
          <w:rFonts w:eastAsia="Calibri" w:cs="Arial"/>
          <w:lang w:val="es-ES"/>
        </w:rPr>
      </w:pPr>
    </w:p>
    <w:p w14:paraId="4325DFF3" w14:textId="0C106055" w:rsidR="009431BA" w:rsidRPr="009431BA" w:rsidRDefault="00D90AD9" w:rsidP="00B75CBF">
      <w:pPr>
        <w:numPr>
          <w:ilvl w:val="3"/>
          <w:numId w:val="13"/>
        </w:numPr>
        <w:tabs>
          <w:tab w:val="left" w:pos="1080"/>
        </w:tabs>
        <w:suppressAutoHyphens/>
        <w:autoSpaceDN w:val="0"/>
        <w:spacing w:after="0" w:line="240" w:lineRule="auto"/>
        <w:ind w:left="1080" w:hanging="540"/>
        <w:jc w:val="both"/>
        <w:textAlignment w:val="baseline"/>
        <w:rPr>
          <w:rFonts w:eastAsia="Calibri" w:cs="Arial"/>
          <w:lang w:val="es-ES"/>
        </w:rPr>
      </w:pPr>
      <w:r w:rsidRPr="00D90AD9">
        <w:rPr>
          <w:rFonts w:eastAsia="Calibri" w:cs="Arial"/>
          <w:lang w:val="es-ES"/>
        </w:rPr>
        <w:t>Apoyar la evaluación de los impactos de la pesca en las interacciones del tiburón azul (mortalidad inducida por la pesca, descartes para diseñar estrategias de mitigación y apoyar la evaluación de la mortalidad posterior a la liberación de tiburones azules en todas las regiones, demografías y artes de pesca</w:t>
      </w:r>
      <w:r w:rsidR="00354973">
        <w:rPr>
          <w:rFonts w:eastAsia="Calibri" w:cs="Arial"/>
          <w:lang w:val="es-ES"/>
        </w:rPr>
        <w:t>)</w:t>
      </w:r>
      <w:r w:rsidRPr="00D90AD9">
        <w:rPr>
          <w:rFonts w:eastAsia="Calibri" w:cs="Arial"/>
          <w:lang w:val="es-ES"/>
        </w:rPr>
        <w:t>;</w:t>
      </w:r>
    </w:p>
    <w:p w14:paraId="1F0D5428" w14:textId="77777777" w:rsidR="009431BA" w:rsidRPr="009431BA" w:rsidRDefault="009431BA" w:rsidP="00B75CBF">
      <w:pPr>
        <w:tabs>
          <w:tab w:val="left" w:pos="1080"/>
        </w:tabs>
        <w:suppressAutoHyphens/>
        <w:autoSpaceDN w:val="0"/>
        <w:spacing w:after="0" w:line="240" w:lineRule="auto"/>
        <w:ind w:left="1080" w:hanging="540"/>
        <w:jc w:val="both"/>
        <w:textAlignment w:val="baseline"/>
        <w:rPr>
          <w:rFonts w:eastAsia="Calibri" w:cs="Arial"/>
          <w:lang w:val="es-ES"/>
        </w:rPr>
      </w:pPr>
    </w:p>
    <w:p w14:paraId="5D624511" w14:textId="5378175B" w:rsidR="009431BA" w:rsidRPr="009431BA" w:rsidRDefault="00A33845" w:rsidP="00B75CBF">
      <w:pPr>
        <w:numPr>
          <w:ilvl w:val="3"/>
          <w:numId w:val="13"/>
        </w:numPr>
        <w:tabs>
          <w:tab w:val="left" w:pos="1080"/>
        </w:tabs>
        <w:suppressAutoHyphens/>
        <w:autoSpaceDN w:val="0"/>
        <w:spacing w:after="0" w:line="240" w:lineRule="auto"/>
        <w:ind w:left="1080" w:hanging="540"/>
        <w:jc w:val="both"/>
        <w:textAlignment w:val="baseline"/>
        <w:rPr>
          <w:rFonts w:eastAsia="Calibri" w:cs="Arial"/>
          <w:lang w:val="es-ES"/>
        </w:rPr>
      </w:pPr>
      <w:r w:rsidRPr="00A33845">
        <w:rPr>
          <w:rFonts w:eastAsia="Calibri" w:cs="Arial"/>
          <w:lang w:val="es-ES"/>
        </w:rPr>
        <w:t>Apoyar la identificación de subpoblaciones y diferencias genéticas (para apoyar los TAC regionales mediante datos independientes de la pesca);</w:t>
      </w:r>
    </w:p>
    <w:p w14:paraId="1E008268" w14:textId="77777777" w:rsidR="009431BA" w:rsidRPr="009431BA" w:rsidRDefault="009431BA" w:rsidP="00B75CBF">
      <w:pPr>
        <w:tabs>
          <w:tab w:val="left" w:pos="1080"/>
        </w:tabs>
        <w:suppressAutoHyphens/>
        <w:autoSpaceDN w:val="0"/>
        <w:spacing w:after="0" w:line="240" w:lineRule="auto"/>
        <w:ind w:left="1080" w:hanging="540"/>
        <w:jc w:val="both"/>
        <w:textAlignment w:val="baseline"/>
        <w:rPr>
          <w:rFonts w:eastAsia="Calibri" w:cs="Arial"/>
          <w:lang w:val="es-ES"/>
        </w:rPr>
      </w:pPr>
    </w:p>
    <w:p w14:paraId="14979278" w14:textId="255DA8ED" w:rsidR="009431BA" w:rsidRPr="009431BA" w:rsidRDefault="00AC5956" w:rsidP="00B75CBF">
      <w:pPr>
        <w:numPr>
          <w:ilvl w:val="3"/>
          <w:numId w:val="13"/>
        </w:numPr>
        <w:tabs>
          <w:tab w:val="left" w:pos="1080"/>
        </w:tabs>
        <w:suppressAutoHyphens/>
        <w:autoSpaceDN w:val="0"/>
        <w:spacing w:after="0" w:line="240" w:lineRule="auto"/>
        <w:ind w:left="1080" w:hanging="540"/>
        <w:jc w:val="both"/>
        <w:textAlignment w:val="baseline"/>
        <w:rPr>
          <w:rFonts w:eastAsia="Calibri" w:cs="Arial"/>
          <w:lang w:val="es-ES"/>
        </w:rPr>
      </w:pPr>
      <w:r w:rsidRPr="00AC5956">
        <w:rPr>
          <w:rFonts w:eastAsia="Calibri" w:cs="Arial"/>
          <w:lang w:val="es-ES"/>
        </w:rPr>
        <w:t>Identificar incoherencias en el nivel de protección garantizado por los distintos Estados del área de distribución de las Partes;</w:t>
      </w:r>
      <w:r w:rsidR="009431BA" w:rsidRPr="009431BA">
        <w:rPr>
          <w:rFonts w:eastAsia="Calibri" w:cs="Arial"/>
          <w:lang w:val="es-ES"/>
        </w:rPr>
        <w:t xml:space="preserve"> </w:t>
      </w:r>
    </w:p>
    <w:p w14:paraId="15DAD266" w14:textId="77777777" w:rsidR="009431BA" w:rsidRPr="009431BA" w:rsidRDefault="009431BA" w:rsidP="00B75CBF">
      <w:pPr>
        <w:tabs>
          <w:tab w:val="left" w:pos="1080"/>
        </w:tabs>
        <w:suppressAutoHyphens/>
        <w:autoSpaceDN w:val="0"/>
        <w:spacing w:after="0" w:line="240" w:lineRule="auto"/>
        <w:ind w:left="1080" w:hanging="540"/>
        <w:jc w:val="both"/>
        <w:textAlignment w:val="baseline"/>
        <w:rPr>
          <w:rFonts w:eastAsia="Calibri" w:cs="Arial"/>
          <w:lang w:val="es-ES"/>
        </w:rPr>
      </w:pPr>
    </w:p>
    <w:p w14:paraId="06C64D81" w14:textId="5496502A" w:rsidR="009431BA" w:rsidRDefault="00530846" w:rsidP="00B75CBF">
      <w:pPr>
        <w:numPr>
          <w:ilvl w:val="3"/>
          <w:numId w:val="13"/>
        </w:numPr>
        <w:tabs>
          <w:tab w:val="left" w:pos="1080"/>
        </w:tabs>
        <w:suppressAutoHyphens/>
        <w:autoSpaceDN w:val="0"/>
        <w:spacing w:after="0" w:line="240" w:lineRule="auto"/>
        <w:ind w:left="1080" w:hanging="540"/>
        <w:jc w:val="both"/>
        <w:textAlignment w:val="baseline"/>
        <w:rPr>
          <w:rFonts w:eastAsia="Calibri" w:cs="Arial"/>
          <w:lang w:val="es-ES"/>
        </w:rPr>
      </w:pPr>
      <w:r w:rsidRPr="00530846">
        <w:rPr>
          <w:rFonts w:eastAsia="Calibri" w:cs="Arial"/>
          <w:lang w:val="es-ES"/>
        </w:rPr>
        <w:t>Identificar los hábitats críticos y comprender la conectividad y las migraciones;</w:t>
      </w:r>
      <w:r w:rsidR="009431BA" w:rsidRPr="009431BA">
        <w:rPr>
          <w:rFonts w:eastAsia="Calibri" w:cs="Arial"/>
          <w:lang w:val="es-ES"/>
        </w:rPr>
        <w:t xml:space="preserve"> </w:t>
      </w:r>
    </w:p>
    <w:p w14:paraId="7F20C870" w14:textId="77777777" w:rsidR="006B100C" w:rsidRDefault="006B100C" w:rsidP="00B75CBF">
      <w:pPr>
        <w:pStyle w:val="ListParagraph"/>
        <w:tabs>
          <w:tab w:val="left" w:pos="1080"/>
        </w:tabs>
        <w:spacing w:after="0" w:line="240" w:lineRule="auto"/>
        <w:ind w:left="1080" w:hanging="540"/>
        <w:rPr>
          <w:rFonts w:eastAsia="Calibri" w:cs="Arial"/>
          <w:lang w:val="es-ES"/>
        </w:rPr>
      </w:pPr>
    </w:p>
    <w:p w14:paraId="30210DF2" w14:textId="7BB35D3E" w:rsidR="006B100C" w:rsidRPr="009431BA" w:rsidRDefault="00207E04" w:rsidP="00B75CBF">
      <w:pPr>
        <w:numPr>
          <w:ilvl w:val="3"/>
          <w:numId w:val="13"/>
        </w:numPr>
        <w:tabs>
          <w:tab w:val="left" w:pos="1080"/>
        </w:tabs>
        <w:suppressAutoHyphens/>
        <w:autoSpaceDN w:val="0"/>
        <w:spacing w:after="0" w:line="240" w:lineRule="auto"/>
        <w:ind w:left="1080" w:hanging="540"/>
        <w:jc w:val="both"/>
        <w:textAlignment w:val="baseline"/>
        <w:rPr>
          <w:rFonts w:eastAsia="Calibri" w:cs="Arial"/>
          <w:lang w:val="es-ES"/>
        </w:rPr>
      </w:pPr>
      <w:r w:rsidRPr="00207E04">
        <w:rPr>
          <w:rFonts w:eastAsia="Calibri" w:cs="Arial"/>
          <w:lang w:val="es-ES"/>
        </w:rPr>
        <w:t>Apoyar las evaluaciones de los impactos del cambio climático en las tintoreras por población o región.</w:t>
      </w:r>
    </w:p>
    <w:p w14:paraId="4968129C" w14:textId="77777777" w:rsidR="009431BA" w:rsidRPr="009431BA" w:rsidRDefault="009431BA" w:rsidP="00F364B4">
      <w:pPr>
        <w:suppressAutoHyphens/>
        <w:autoSpaceDN w:val="0"/>
        <w:spacing w:after="0" w:line="240" w:lineRule="auto"/>
        <w:jc w:val="both"/>
        <w:textAlignment w:val="baseline"/>
        <w:rPr>
          <w:rFonts w:eastAsia="Calibri" w:cs="Arial"/>
          <w:lang w:val="es-ES"/>
        </w:rPr>
      </w:pPr>
    </w:p>
    <w:p w14:paraId="389EC9FB" w14:textId="77777777" w:rsidR="009431BA" w:rsidRPr="009431BA" w:rsidRDefault="009431BA" w:rsidP="00F364B4">
      <w:pPr>
        <w:numPr>
          <w:ilvl w:val="0"/>
          <w:numId w:val="13"/>
        </w:numPr>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lastRenderedPageBreak/>
        <w:t>Actividades y resultados esperados:</w:t>
      </w:r>
      <w:r w:rsidRPr="009431BA">
        <w:rPr>
          <w:rFonts w:eastAsia="Calibri" w:cs="Arial"/>
          <w:lang w:val="es-ES"/>
        </w:rPr>
        <w:t xml:space="preserve"> </w:t>
      </w:r>
    </w:p>
    <w:p w14:paraId="3EB77DD2" w14:textId="77777777" w:rsidR="009431BA" w:rsidRPr="009431BA" w:rsidRDefault="009431BA" w:rsidP="00F364B4">
      <w:pPr>
        <w:suppressAutoHyphens/>
        <w:autoSpaceDN w:val="0"/>
        <w:spacing w:after="0" w:line="240" w:lineRule="auto"/>
        <w:ind w:left="900"/>
        <w:jc w:val="both"/>
        <w:textAlignment w:val="baseline"/>
        <w:rPr>
          <w:rFonts w:eastAsia="Calibri" w:cs="Arial"/>
          <w:b/>
          <w:lang w:val="es-ES"/>
        </w:rPr>
      </w:pPr>
    </w:p>
    <w:p w14:paraId="2062C0C0" w14:textId="77777777" w:rsidR="009431BA" w:rsidRPr="009431BA" w:rsidRDefault="009431BA" w:rsidP="00F364B4">
      <w:pPr>
        <w:suppressAutoHyphens/>
        <w:autoSpaceDN w:val="0"/>
        <w:spacing w:after="0" w:line="240" w:lineRule="auto"/>
        <w:jc w:val="both"/>
        <w:textAlignment w:val="baseline"/>
        <w:rPr>
          <w:rFonts w:eastAsia="Calibri" w:cs="Arial"/>
          <w:lang w:val="es-ES"/>
        </w:rPr>
      </w:pPr>
      <w:r w:rsidRPr="009431BA">
        <w:rPr>
          <w:rFonts w:eastAsia="Calibri" w:cs="Arial"/>
          <w:bCs/>
          <w:lang w:val="es-ES"/>
        </w:rPr>
        <w:t xml:space="preserve">Los tiburones azules se beneficiarían de la mejora de los esfuerzos propuestos en materia de información, gestión y conservación. Este documento debe servir de modelo a las partes de la CMS para ayudarlas a cumplir sus obligaciones en el marco de la CMS, a la vez que se asegura un futuro sostenible para los tiburones azules. El tiburón azul es una de las especies de tiburones con más amplia distribución; por lo tanto, cualquier recomendación para mejorar sus perspectivas de conservación tendrá probablemente efectos positivos para otras especies amenazadas e incluidas en la CMS que compartan la misma área de distribución y que capturen las mismas pescas y artes de pesca. Dichas obligaciones también se armonizarán con la Estrategia de Conservación de Tiburones Pelágicos, que está desarrollando actualmente el Grupo de Especialistas en Tiburones de la Comisión de Supervivencia de Especies de la Unión Internacional para la Conservación de la Naturaleza (SSG de la CSE de la UICN). Los Signatarios del Memorando de Entendimiento sobre la Conservación de los Tiburones Migratorios (MdE sobre tiburones) acogieron con satisfacción esta iniciativa y los progresos realizados y acordaron apoyar el enfoque esbozado en </w:t>
      </w:r>
      <w:hyperlink r:id="rId13" w:history="1">
        <w:r w:rsidRPr="009431BA">
          <w:rPr>
            <w:rFonts w:eastAsia="Calibri" w:cs="Arial"/>
            <w:color w:val="0563C1"/>
            <w:u w:val="single"/>
            <w:lang w:val="es-ES"/>
          </w:rPr>
          <w:t>CMS/Sharks/MOS4/Doc 10.2/Rev.1</w:t>
        </w:r>
      </w:hyperlink>
      <w:r w:rsidRPr="009431BA">
        <w:rPr>
          <w:rFonts w:eastAsia="Calibri" w:cs="Arial"/>
          <w:lang w:val="es-ES"/>
        </w:rPr>
        <w:t>.</w:t>
      </w:r>
    </w:p>
    <w:p w14:paraId="2B41A763" w14:textId="77777777" w:rsidR="00513FC1" w:rsidRDefault="00513FC1" w:rsidP="00F364B4">
      <w:pPr>
        <w:suppressAutoHyphens/>
        <w:autoSpaceDN w:val="0"/>
        <w:spacing w:after="0" w:line="240" w:lineRule="auto"/>
        <w:jc w:val="both"/>
        <w:textAlignment w:val="baseline"/>
        <w:rPr>
          <w:rFonts w:eastAsia="Calibri" w:cs="Arial"/>
          <w:lang w:val="es-ES"/>
        </w:rPr>
      </w:pPr>
    </w:p>
    <w:p w14:paraId="078948F7" w14:textId="7F52EC56" w:rsidR="009431BA" w:rsidRPr="009431BA" w:rsidRDefault="009431BA" w:rsidP="00F364B4">
      <w:pPr>
        <w:suppressAutoHyphens/>
        <w:autoSpaceDN w:val="0"/>
        <w:spacing w:after="0" w:line="240" w:lineRule="auto"/>
        <w:jc w:val="both"/>
        <w:textAlignment w:val="baseline"/>
        <w:rPr>
          <w:rFonts w:eastAsia="Calibri" w:cs="Arial"/>
          <w:lang w:val="es-ES"/>
        </w:rPr>
      </w:pPr>
      <w:r w:rsidRPr="009431BA">
        <w:rPr>
          <w:rFonts w:eastAsia="Calibri" w:cs="Arial"/>
          <w:lang w:val="es-ES"/>
        </w:rPr>
        <w:t xml:space="preserve">El </w:t>
      </w:r>
      <w:r w:rsidRPr="009431BA">
        <w:rPr>
          <w:rFonts w:eastAsia="Calibri" w:cs="Arial"/>
          <w:b/>
          <w:bCs/>
          <w:lang w:val="es-ES"/>
        </w:rPr>
        <w:t>Anex</w:t>
      </w:r>
      <w:r w:rsidR="00DD4560">
        <w:rPr>
          <w:rFonts w:eastAsia="Calibri" w:cs="Arial"/>
          <w:b/>
          <w:bCs/>
          <w:lang w:val="es-ES"/>
        </w:rPr>
        <w:t xml:space="preserve">o </w:t>
      </w:r>
      <w:r w:rsidR="00DD4560">
        <w:rPr>
          <w:rFonts w:eastAsia="Calibri" w:cs="Arial"/>
          <w:lang w:val="es-ES"/>
        </w:rPr>
        <w:t xml:space="preserve">a este documento </w:t>
      </w:r>
      <w:r w:rsidRPr="009431BA">
        <w:rPr>
          <w:rFonts w:eastAsia="Calibri" w:cs="Arial"/>
          <w:lang w:val="es-ES"/>
        </w:rPr>
        <w:t xml:space="preserve">indica una fuente de acciones que las Partes pueden, si procede, seguir y adoptar para una gestión satisfactoria del tiburón azul (véase el paso 6 de la extracción no perjudicial en Mundy-Taylor et al. 2014). El Anexo </w:t>
      </w:r>
      <w:r w:rsidR="00DD4560">
        <w:rPr>
          <w:rFonts w:eastAsia="Calibri" w:cs="Arial"/>
          <w:lang w:val="es-ES"/>
        </w:rPr>
        <w:t>a este documento</w:t>
      </w:r>
      <w:r w:rsidRPr="009431BA">
        <w:rPr>
          <w:rFonts w:eastAsia="Calibri" w:cs="Arial"/>
          <w:lang w:val="es-ES"/>
        </w:rPr>
        <w:t xml:space="preserve"> no es exhaustivo y puede servir como base para diseñar un plan de acción de conservación de especies en caso necesario.</w:t>
      </w:r>
    </w:p>
    <w:p w14:paraId="38C0DC96" w14:textId="77777777" w:rsidR="009431BA" w:rsidRPr="009431BA" w:rsidRDefault="009431BA" w:rsidP="00F364B4">
      <w:pPr>
        <w:suppressAutoHyphens/>
        <w:autoSpaceDN w:val="0"/>
        <w:spacing w:after="0" w:line="240" w:lineRule="auto"/>
        <w:jc w:val="both"/>
        <w:textAlignment w:val="baseline"/>
        <w:rPr>
          <w:rFonts w:eastAsia="Calibri" w:cs="Arial"/>
          <w:lang w:val="es-ES"/>
        </w:rPr>
      </w:pPr>
    </w:p>
    <w:p w14:paraId="59DB2A73" w14:textId="627D4FB4" w:rsidR="009431BA" w:rsidRPr="009431BA" w:rsidRDefault="009431BA" w:rsidP="00F364B4">
      <w:pPr>
        <w:numPr>
          <w:ilvl w:val="0"/>
          <w:numId w:val="13"/>
        </w:numPr>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Ventajas asociadas</w:t>
      </w:r>
      <w:r w:rsidRPr="009431BA">
        <w:rPr>
          <w:rFonts w:eastAsia="Calibri" w:cs="Arial"/>
          <w:lang w:val="es-ES"/>
        </w:rPr>
        <w:t xml:space="preserve"> </w:t>
      </w:r>
    </w:p>
    <w:p w14:paraId="47F87450" w14:textId="77777777" w:rsidR="009431BA" w:rsidRPr="009431BA" w:rsidRDefault="009431BA" w:rsidP="00F364B4">
      <w:pPr>
        <w:suppressAutoHyphens/>
        <w:autoSpaceDN w:val="0"/>
        <w:spacing w:after="0" w:line="240" w:lineRule="auto"/>
        <w:ind w:left="900"/>
        <w:jc w:val="both"/>
        <w:textAlignment w:val="baseline"/>
        <w:rPr>
          <w:rFonts w:eastAsia="Calibri" w:cs="Arial"/>
          <w:b/>
          <w:lang w:val="es-ES"/>
        </w:rPr>
      </w:pPr>
    </w:p>
    <w:p w14:paraId="2193088A" w14:textId="77777777" w:rsidR="009431BA" w:rsidRPr="009431BA" w:rsidRDefault="009431BA" w:rsidP="00F364B4">
      <w:pPr>
        <w:suppressAutoHyphens/>
        <w:autoSpaceDN w:val="0"/>
        <w:spacing w:after="0" w:line="240" w:lineRule="auto"/>
        <w:jc w:val="both"/>
        <w:textAlignment w:val="baseline"/>
        <w:rPr>
          <w:rFonts w:eastAsia="Calibri" w:cs="Arial"/>
          <w:lang w:val="es-ES"/>
        </w:rPr>
      </w:pPr>
      <w:r w:rsidRPr="009431BA">
        <w:rPr>
          <w:rFonts w:eastAsia="Calibri" w:cs="Arial"/>
          <w:lang w:val="es-ES"/>
        </w:rPr>
        <w:t xml:space="preserve">Los tiburones azules se beneficiarían de la mejora de los esfuerzos propuestos en materia de información, gestión y conservación. Este documento debe servir de modelo a las partes de la CMS para ayudarlas a cumplir sus obligaciones en el marco de la CMS, a la vez que se asegura un futuro sostenible para los tiburones azules. El tiburón azul es una de las especies de tiburones con más amplia distribución; por lo tanto, cualquier recomendación para mejorar sus perspectivas de conservación tendrá probablemente efectos positivos para otras especies amenazadas e incluidas en la CMS. Tales obligaciones también se ajustarán a la Estrategia y Plan de Acción para la Conservación de los Tiburones Pelágicos. </w:t>
      </w:r>
    </w:p>
    <w:p w14:paraId="20BB6A0E" w14:textId="77777777" w:rsidR="009431BA" w:rsidRPr="009431BA" w:rsidRDefault="009431BA" w:rsidP="00F364B4">
      <w:pPr>
        <w:suppressAutoHyphens/>
        <w:autoSpaceDN w:val="0"/>
        <w:spacing w:after="0" w:line="240" w:lineRule="auto"/>
        <w:jc w:val="both"/>
        <w:textAlignment w:val="baseline"/>
        <w:rPr>
          <w:rFonts w:eastAsia="Calibri" w:cs="Arial"/>
          <w:lang w:val="es-ES"/>
        </w:rPr>
      </w:pPr>
    </w:p>
    <w:p w14:paraId="50E05F58" w14:textId="77777777" w:rsidR="009431BA" w:rsidRDefault="009431BA" w:rsidP="00F364B4">
      <w:pPr>
        <w:suppressAutoHyphens/>
        <w:autoSpaceDN w:val="0"/>
        <w:spacing w:after="0" w:line="240" w:lineRule="auto"/>
        <w:jc w:val="both"/>
        <w:textAlignment w:val="baseline"/>
        <w:rPr>
          <w:rFonts w:eastAsia="Calibri" w:cs="Arial"/>
          <w:lang w:val="es-ES"/>
        </w:rPr>
      </w:pPr>
      <w:r w:rsidRPr="009431BA">
        <w:rPr>
          <w:rFonts w:eastAsia="Calibri" w:cs="Arial"/>
          <w:lang w:val="es-ES"/>
        </w:rPr>
        <w:t>El tiburón azul es también la especie de tiburón más capturada en todo el mundo, por lo que habría que abordar con diligencia cualquier pérdida socioeconómica derivada de mejorar la gestión.</w:t>
      </w:r>
    </w:p>
    <w:p w14:paraId="3C65140D" w14:textId="77777777" w:rsidR="00736645" w:rsidRPr="009431BA" w:rsidRDefault="00736645" w:rsidP="00F364B4">
      <w:pPr>
        <w:suppressAutoHyphens/>
        <w:autoSpaceDN w:val="0"/>
        <w:spacing w:after="0" w:line="240" w:lineRule="auto"/>
        <w:jc w:val="both"/>
        <w:textAlignment w:val="baseline"/>
        <w:rPr>
          <w:rFonts w:eastAsia="Calibri" w:cs="Arial"/>
          <w:lang w:val="es-ES"/>
        </w:rPr>
      </w:pPr>
    </w:p>
    <w:p w14:paraId="5AFF3372" w14:textId="472145BD" w:rsidR="009431BA" w:rsidRPr="009431BA" w:rsidRDefault="009431BA" w:rsidP="00F364B4">
      <w:pPr>
        <w:numPr>
          <w:ilvl w:val="0"/>
          <w:numId w:val="13"/>
        </w:numPr>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Calendario</w:t>
      </w:r>
      <w:r w:rsidRPr="009431BA">
        <w:rPr>
          <w:rFonts w:eastAsia="Calibri" w:cs="Arial"/>
          <w:lang w:val="es-ES"/>
        </w:rPr>
        <w:t xml:space="preserve"> </w:t>
      </w:r>
    </w:p>
    <w:p w14:paraId="0B6571D6" w14:textId="77777777" w:rsidR="009431BA" w:rsidRPr="009431BA" w:rsidRDefault="009431BA" w:rsidP="009431BA">
      <w:pPr>
        <w:suppressAutoHyphens/>
        <w:autoSpaceDN w:val="0"/>
        <w:spacing w:after="0" w:line="240" w:lineRule="auto"/>
        <w:ind w:left="900"/>
        <w:jc w:val="both"/>
        <w:textAlignment w:val="baseline"/>
        <w:rPr>
          <w:rFonts w:eastAsia="Calibri" w:cs="Arial"/>
          <w:lang w:val="es-ES"/>
        </w:rPr>
      </w:pPr>
    </w:p>
    <w:p w14:paraId="4DCCD4EA" w14:textId="67D2386E" w:rsidR="009431BA" w:rsidRPr="009431BA" w:rsidRDefault="009431BA" w:rsidP="00EE4464">
      <w:pPr>
        <w:suppressAutoHyphens/>
        <w:autoSpaceDN w:val="0"/>
        <w:spacing w:after="0" w:line="240" w:lineRule="auto"/>
        <w:jc w:val="both"/>
        <w:textAlignment w:val="baseline"/>
        <w:rPr>
          <w:rFonts w:eastAsia="Calibri" w:cs="Arial"/>
          <w:lang w:val="es-ES"/>
        </w:rPr>
      </w:pPr>
      <w:r w:rsidRPr="009431BA">
        <w:rPr>
          <w:rFonts w:eastAsia="Calibri" w:cs="Arial"/>
          <w:lang w:val="es-ES"/>
        </w:rPr>
        <w:t xml:space="preserve">Consulte el </w:t>
      </w:r>
      <w:r w:rsidRPr="009431BA">
        <w:rPr>
          <w:rFonts w:eastAsia="Calibri" w:cs="Arial"/>
          <w:b/>
          <w:bCs/>
          <w:lang w:val="es-ES"/>
        </w:rPr>
        <w:t xml:space="preserve">Anexo </w:t>
      </w:r>
      <w:r w:rsidR="00DD4560">
        <w:rPr>
          <w:rFonts w:eastAsia="Calibri" w:cs="Arial"/>
          <w:lang w:val="es-ES"/>
        </w:rPr>
        <w:t>a este documento</w:t>
      </w:r>
      <w:r w:rsidRPr="009431BA">
        <w:rPr>
          <w:rFonts w:eastAsia="Calibri" w:cs="Arial"/>
          <w:lang w:val="es-ES"/>
        </w:rPr>
        <w:t xml:space="preserve"> para obtener una panorámica.</w:t>
      </w:r>
    </w:p>
    <w:p w14:paraId="4610FB5C" w14:textId="77777777" w:rsidR="009431BA" w:rsidRPr="009431BA" w:rsidRDefault="009431BA" w:rsidP="009431BA">
      <w:pPr>
        <w:suppressAutoHyphens/>
        <w:autoSpaceDN w:val="0"/>
        <w:spacing w:after="0" w:line="240" w:lineRule="auto"/>
        <w:jc w:val="both"/>
        <w:textAlignment w:val="baseline"/>
        <w:rPr>
          <w:rFonts w:eastAsia="Calibri" w:cs="Arial"/>
          <w:lang w:val="es-ES"/>
        </w:rPr>
      </w:pPr>
    </w:p>
    <w:p w14:paraId="1487D6E9" w14:textId="6C9B905F" w:rsidR="009431BA" w:rsidRPr="009431BA" w:rsidRDefault="009431BA" w:rsidP="00EE4464">
      <w:pPr>
        <w:numPr>
          <w:ilvl w:val="0"/>
          <w:numId w:val="13"/>
        </w:numPr>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Relación con otras acciones de la CMS</w:t>
      </w:r>
      <w:r w:rsidRPr="009431BA">
        <w:rPr>
          <w:rFonts w:eastAsia="Calibri" w:cs="Arial"/>
          <w:lang w:val="es-ES"/>
        </w:rPr>
        <w:t xml:space="preserve"> </w:t>
      </w:r>
    </w:p>
    <w:p w14:paraId="3A4C5DFF" w14:textId="77777777" w:rsidR="009431BA" w:rsidRPr="009431BA" w:rsidRDefault="009431BA" w:rsidP="009431BA">
      <w:pPr>
        <w:suppressAutoHyphens/>
        <w:autoSpaceDN w:val="0"/>
        <w:spacing w:after="0" w:line="240" w:lineRule="auto"/>
        <w:ind w:left="900"/>
        <w:jc w:val="both"/>
        <w:textAlignment w:val="baseline"/>
        <w:rPr>
          <w:rFonts w:eastAsia="Calibri" w:cs="Arial"/>
          <w:color w:val="000000"/>
          <w:lang w:val="es-ES"/>
        </w:rPr>
      </w:pPr>
    </w:p>
    <w:p w14:paraId="1EBEBFB4" w14:textId="77777777" w:rsidR="009431BA" w:rsidRPr="009431BA" w:rsidRDefault="009431BA" w:rsidP="00736645">
      <w:pPr>
        <w:suppressAutoHyphens/>
        <w:autoSpaceDN w:val="0"/>
        <w:spacing w:after="80" w:line="240" w:lineRule="auto"/>
        <w:jc w:val="both"/>
        <w:textAlignment w:val="baseline"/>
        <w:rPr>
          <w:rFonts w:eastAsia="Calibri" w:cs="Arial"/>
          <w:color w:val="000000"/>
          <w:lang w:val="es-ES"/>
        </w:rPr>
      </w:pPr>
      <w:r w:rsidRPr="009431BA">
        <w:rPr>
          <w:rFonts w:eastAsia="Calibri" w:cs="Arial"/>
          <w:color w:val="000000"/>
          <w:lang w:val="es-ES"/>
        </w:rPr>
        <w:t xml:space="preserve">Esta AC contribuiría significativamente a la aplicación de los siguientes mandatos establecidos en el marco de la CMS y del MdE sobre tiburones: </w:t>
      </w:r>
    </w:p>
    <w:p w14:paraId="55A41546" w14:textId="77777777" w:rsidR="009431BA" w:rsidRPr="009431BA" w:rsidRDefault="009431BA" w:rsidP="00736645">
      <w:pPr>
        <w:numPr>
          <w:ilvl w:val="1"/>
          <w:numId w:val="14"/>
        </w:numPr>
        <w:suppressAutoHyphens/>
        <w:autoSpaceDN w:val="0"/>
        <w:spacing w:after="80" w:line="240" w:lineRule="auto"/>
        <w:ind w:left="720"/>
        <w:jc w:val="both"/>
        <w:textAlignment w:val="baseline"/>
        <w:rPr>
          <w:rFonts w:eastAsia="Calibri" w:cs="Arial"/>
          <w:color w:val="000000"/>
          <w:lang w:val="es-ES"/>
        </w:rPr>
      </w:pPr>
      <w:r w:rsidRPr="009431BA">
        <w:rPr>
          <w:rFonts w:eastAsia="Calibri" w:cs="Arial"/>
          <w:color w:val="000000"/>
          <w:lang w:val="es-ES"/>
        </w:rPr>
        <w:t>Resolución 12.22 y Decisiones 13.62 a 13.63 sobre capturas incidentales</w:t>
      </w:r>
    </w:p>
    <w:p w14:paraId="12D1053C" w14:textId="77777777" w:rsidR="009431BA" w:rsidRPr="009431BA" w:rsidRDefault="009431BA" w:rsidP="00736645">
      <w:pPr>
        <w:numPr>
          <w:ilvl w:val="1"/>
          <w:numId w:val="14"/>
        </w:numPr>
        <w:suppressAutoHyphens/>
        <w:autoSpaceDN w:val="0"/>
        <w:spacing w:after="80" w:line="240" w:lineRule="auto"/>
        <w:ind w:left="720"/>
        <w:jc w:val="both"/>
        <w:textAlignment w:val="baseline"/>
        <w:rPr>
          <w:rFonts w:eastAsia="Calibri" w:cs="Arial"/>
          <w:color w:val="000000"/>
          <w:lang w:val="es-ES"/>
        </w:rPr>
      </w:pPr>
      <w:r w:rsidRPr="009431BA">
        <w:rPr>
          <w:rFonts w:eastAsia="Calibri" w:cs="Arial"/>
          <w:color w:val="000000"/>
          <w:lang w:val="es-ES"/>
        </w:rPr>
        <w:t>Resolución 13.3 y Decisiones 13.71 a 13.73 sobre especies de condrictios</w:t>
      </w:r>
    </w:p>
    <w:p w14:paraId="77C28A5D" w14:textId="77777777" w:rsidR="009431BA" w:rsidRPr="009431BA" w:rsidRDefault="009431BA" w:rsidP="00736645">
      <w:pPr>
        <w:numPr>
          <w:ilvl w:val="1"/>
          <w:numId w:val="14"/>
        </w:numPr>
        <w:suppressAutoHyphens/>
        <w:autoSpaceDN w:val="0"/>
        <w:spacing w:after="80" w:line="240" w:lineRule="auto"/>
        <w:ind w:left="720"/>
        <w:jc w:val="both"/>
        <w:textAlignment w:val="baseline"/>
        <w:rPr>
          <w:rFonts w:eastAsia="Calibri" w:cs="Arial"/>
          <w:lang w:val="es-ES"/>
        </w:rPr>
      </w:pPr>
      <w:r w:rsidRPr="009431BA">
        <w:rPr>
          <w:rFonts w:eastAsia="Calibri" w:cs="Arial"/>
          <w:lang w:val="es-ES"/>
        </w:rPr>
        <w:t>Decisiones 13.66 a 13.68 sobre la observación de la fauna marina</w:t>
      </w:r>
    </w:p>
    <w:p w14:paraId="7D42FB22" w14:textId="77777777" w:rsidR="009431BA" w:rsidRDefault="009431BA" w:rsidP="00736645">
      <w:pPr>
        <w:numPr>
          <w:ilvl w:val="1"/>
          <w:numId w:val="14"/>
        </w:numPr>
        <w:suppressAutoHyphens/>
        <w:autoSpaceDN w:val="0"/>
        <w:spacing w:after="0" w:line="240" w:lineRule="auto"/>
        <w:ind w:left="720"/>
        <w:jc w:val="both"/>
        <w:textAlignment w:val="baseline"/>
        <w:rPr>
          <w:rFonts w:eastAsia="Calibri" w:cs="Arial"/>
          <w:color w:val="000000"/>
          <w:lang w:val="es-ES"/>
        </w:rPr>
      </w:pPr>
      <w:r w:rsidRPr="009431BA">
        <w:rPr>
          <w:rFonts w:eastAsia="Calibri" w:cs="Arial"/>
          <w:color w:val="000000"/>
          <w:lang w:val="es-ES"/>
        </w:rPr>
        <w:t xml:space="preserve">Programa de trabajo del MdE sobre tiburones 2023-2025: Desarrollo de una estrategia mundial y de planes de acción regionales para los tiburones pelágicos </w:t>
      </w:r>
    </w:p>
    <w:p w14:paraId="7832DA66" w14:textId="77777777" w:rsidR="00B75CBF" w:rsidRPr="009431BA" w:rsidRDefault="00B75CBF" w:rsidP="00B75CBF">
      <w:pPr>
        <w:suppressAutoHyphens/>
        <w:autoSpaceDN w:val="0"/>
        <w:spacing w:line="240" w:lineRule="auto"/>
        <w:ind w:left="540"/>
        <w:textAlignment w:val="baseline"/>
        <w:rPr>
          <w:rFonts w:eastAsia="Calibri" w:cs="Arial"/>
          <w:color w:val="000000"/>
          <w:lang w:val="es-ES"/>
        </w:rPr>
      </w:pPr>
    </w:p>
    <w:p w14:paraId="0DA9302E" w14:textId="77777777" w:rsidR="009431BA" w:rsidRPr="009431BA" w:rsidRDefault="009431BA" w:rsidP="00B75CBF">
      <w:pPr>
        <w:numPr>
          <w:ilvl w:val="0"/>
          <w:numId w:val="13"/>
        </w:numPr>
        <w:suppressAutoHyphens/>
        <w:autoSpaceDN w:val="0"/>
        <w:spacing w:after="0" w:line="240" w:lineRule="auto"/>
        <w:ind w:left="450" w:hanging="450"/>
        <w:jc w:val="both"/>
        <w:textAlignment w:val="baseline"/>
        <w:rPr>
          <w:rFonts w:eastAsia="Calibri" w:cs="Arial"/>
          <w:lang w:val="es-ES"/>
        </w:rPr>
      </w:pPr>
      <w:r w:rsidRPr="009431BA">
        <w:rPr>
          <w:rFonts w:eastAsia="Calibri" w:cs="Arial"/>
          <w:b/>
          <w:lang w:val="es-ES"/>
        </w:rPr>
        <w:lastRenderedPageBreak/>
        <w:t>Prioridad de conservación:</w:t>
      </w:r>
      <w:r w:rsidRPr="009431BA">
        <w:rPr>
          <w:rFonts w:eastAsia="Calibri" w:cs="Arial"/>
          <w:lang w:val="es-ES"/>
        </w:rPr>
        <w:t xml:space="preserve"> </w:t>
      </w:r>
    </w:p>
    <w:p w14:paraId="2EAA0CAF" w14:textId="77777777" w:rsidR="009431BA" w:rsidRPr="009431BA" w:rsidRDefault="009431BA" w:rsidP="00B75CBF">
      <w:pPr>
        <w:suppressAutoHyphens/>
        <w:autoSpaceDN w:val="0"/>
        <w:spacing w:after="0" w:line="240" w:lineRule="auto"/>
        <w:ind w:left="720"/>
        <w:textAlignment w:val="baseline"/>
        <w:rPr>
          <w:rFonts w:eastAsia="Calibri" w:cs="Arial"/>
          <w:lang w:val="es-ES"/>
        </w:rPr>
      </w:pPr>
    </w:p>
    <w:p w14:paraId="4CB56359" w14:textId="77777777" w:rsidR="009431BA" w:rsidRPr="009431BA" w:rsidRDefault="009431BA" w:rsidP="00331C3E">
      <w:pPr>
        <w:suppressAutoHyphens/>
        <w:autoSpaceDN w:val="0"/>
        <w:spacing w:before="40" w:after="40" w:line="240" w:lineRule="auto"/>
        <w:jc w:val="both"/>
        <w:textAlignment w:val="baseline"/>
        <w:rPr>
          <w:rFonts w:eastAsia="Calibri" w:cs="Arial"/>
          <w:lang w:val="es-ES"/>
        </w:rPr>
      </w:pPr>
      <w:r w:rsidRPr="009431BA">
        <w:rPr>
          <w:rFonts w:eastAsia="Calibri" w:cs="Arial"/>
          <w:lang w:val="es-ES"/>
        </w:rPr>
        <w:t xml:space="preserve">Los tiburones azules del Mediterráneo están en peligro crítico de extinción, y su número ha disminuido entre un 78 % y un 90 % en tres generaciones (Sims et al. 2016). Se cree que las poblaciones del Atlántico son las segundas en mayor riesgo a nivel mundial, con solapamientos espaciales cercanos al 80 % con la pesca con palangre (Queiroz et al. 2019), y un cambio poblacional medio para los tiburones azules del Atlántico Norte a lo largo de tres generaciones del -53,9 % en 2018 (Rigby et al. 2019). Aunque en la CICAA se han adoptado TAC, estos aún no se han asignado a los Estados pesqueros en forma de cuotas. En el océano Índico, los niveles de población también se están reduciendo (Rigby et al. 2019), pero las poblaciones parecen estables o en aumento en el océano Pacífico (Li et al. 2020; evaluaciones de poblaciones de la CPPOC, 2022). </w:t>
      </w:r>
    </w:p>
    <w:p w14:paraId="65B13C00" w14:textId="77777777" w:rsidR="009431BA" w:rsidRPr="009431BA" w:rsidRDefault="009431BA" w:rsidP="00331C3E">
      <w:pPr>
        <w:suppressAutoHyphens/>
        <w:autoSpaceDN w:val="0"/>
        <w:spacing w:before="40" w:after="40" w:line="240" w:lineRule="auto"/>
        <w:jc w:val="both"/>
        <w:textAlignment w:val="baseline"/>
        <w:rPr>
          <w:rFonts w:eastAsia="Calibri" w:cs="Arial"/>
          <w:lang w:val="es-ES"/>
        </w:rPr>
      </w:pPr>
    </w:p>
    <w:p w14:paraId="5B57B0B4" w14:textId="77777777" w:rsidR="009431BA" w:rsidRPr="009431BA" w:rsidRDefault="009431BA" w:rsidP="00331C3E">
      <w:pPr>
        <w:suppressAutoHyphens/>
        <w:autoSpaceDN w:val="0"/>
        <w:spacing w:before="40" w:after="40" w:line="240" w:lineRule="auto"/>
        <w:jc w:val="both"/>
        <w:textAlignment w:val="baseline"/>
        <w:rPr>
          <w:rFonts w:eastAsia="Calibri" w:cs="Arial"/>
          <w:lang w:val="es-ES"/>
        </w:rPr>
      </w:pPr>
      <w:r w:rsidRPr="009431BA">
        <w:rPr>
          <w:rFonts w:eastAsia="Calibri" w:cs="Arial"/>
          <w:lang w:val="es-ES"/>
        </w:rPr>
        <w:t>Un análisis reciente (Poseidon, 2022) estimó que se capturan alrededor de 10 M de tiburones azules al año, en todo el mundo, con frecuencia en pescas dirigidas pluriespecíficas. Esta pesca intensiva de tiburones azules realiza capturas incidentales de otros tiburones pelágicos gravemente mermados que figuran en los Apéndices de la CMS (Pacoreau et al. 2021), cuya recuperación también depende de las medidas de conservación del tiburón azul.</w:t>
      </w:r>
    </w:p>
    <w:p w14:paraId="4E22C806" w14:textId="77777777" w:rsidR="009431BA" w:rsidRPr="009431BA" w:rsidRDefault="009431BA" w:rsidP="009431BA">
      <w:pPr>
        <w:suppressAutoHyphens/>
        <w:autoSpaceDN w:val="0"/>
        <w:spacing w:before="40" w:after="40" w:line="240" w:lineRule="auto"/>
        <w:jc w:val="both"/>
        <w:textAlignment w:val="baseline"/>
        <w:rPr>
          <w:rFonts w:eastAsia="Calibri" w:cs="Arial"/>
          <w:lang w:val="es-ES"/>
        </w:rPr>
      </w:pPr>
    </w:p>
    <w:p w14:paraId="276077D5" w14:textId="18E89F3B" w:rsidR="009431BA" w:rsidRPr="009431BA" w:rsidRDefault="009431BA" w:rsidP="00331C3E">
      <w:pPr>
        <w:numPr>
          <w:ilvl w:val="0"/>
          <w:numId w:val="13"/>
        </w:numPr>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Pertinencia</w:t>
      </w:r>
      <w:r w:rsidRPr="009431BA">
        <w:rPr>
          <w:rFonts w:eastAsia="Calibri" w:cs="Arial"/>
          <w:lang w:val="es-ES"/>
        </w:rPr>
        <w:t xml:space="preserve"> </w:t>
      </w:r>
    </w:p>
    <w:p w14:paraId="3AE1DE33" w14:textId="77777777" w:rsidR="009431BA" w:rsidRPr="009431BA" w:rsidRDefault="009431BA" w:rsidP="009431BA">
      <w:pPr>
        <w:suppressAutoHyphens/>
        <w:autoSpaceDN w:val="0"/>
        <w:spacing w:after="0" w:line="240" w:lineRule="auto"/>
        <w:ind w:left="900"/>
        <w:jc w:val="both"/>
        <w:textAlignment w:val="baseline"/>
        <w:rPr>
          <w:rFonts w:eastAsia="Calibri" w:cs="Arial"/>
          <w:color w:val="000000"/>
          <w:lang w:val="es-ES"/>
        </w:rPr>
      </w:pPr>
    </w:p>
    <w:p w14:paraId="061630BC" w14:textId="77777777" w:rsidR="009431BA" w:rsidRPr="009431BA" w:rsidRDefault="009431BA" w:rsidP="00331C3E">
      <w:pPr>
        <w:suppressAutoHyphens/>
        <w:autoSpaceDN w:val="0"/>
        <w:spacing w:after="0" w:line="240" w:lineRule="auto"/>
        <w:jc w:val="both"/>
        <w:textAlignment w:val="baseline"/>
        <w:rPr>
          <w:rFonts w:eastAsia="Calibri" w:cs="Arial"/>
          <w:color w:val="000000"/>
          <w:lang w:val="es-ES"/>
        </w:rPr>
      </w:pPr>
      <w:r w:rsidRPr="009431BA">
        <w:rPr>
          <w:rFonts w:eastAsia="Calibri" w:cs="Arial"/>
          <w:color w:val="000000"/>
          <w:lang w:val="es-ES"/>
        </w:rPr>
        <w:t>La CMS proporciona una plataforma mundial para la conservación de los animales migratorios y sus hábitats, con el objetivo de garantizar que su consumo no supere los niveles sostenibles. El tiburón azul es una de las especies de tiburones más migratorias (si no la que más), y esta Acción Concertada aportará un valor añadido a la mejora de la conservación de este tiburón muy migratorio. Esta AC contribuirá significativamente a: i) reforzar la voluntad política de aplicar medidas de conservación de forma coordinada y oportuna; ii) tender puentes entre la pesca de tiburones migratorios y los intereses de conservación; y iii) contribuir a la aplicación del PAI-Tiburones de la FAO para los tiburones más pescados del mundo.</w:t>
      </w:r>
    </w:p>
    <w:p w14:paraId="1C58467C" w14:textId="77777777" w:rsidR="009431BA" w:rsidRPr="009431BA" w:rsidRDefault="009431BA" w:rsidP="00331C3E">
      <w:pPr>
        <w:suppressAutoHyphens/>
        <w:autoSpaceDN w:val="0"/>
        <w:spacing w:after="0" w:line="240" w:lineRule="auto"/>
        <w:jc w:val="both"/>
        <w:textAlignment w:val="baseline"/>
        <w:rPr>
          <w:rFonts w:eastAsia="Calibri" w:cs="Arial"/>
          <w:lang w:val="es-ES"/>
        </w:rPr>
      </w:pPr>
    </w:p>
    <w:p w14:paraId="0194C0A4" w14:textId="77777777" w:rsidR="009431BA" w:rsidRPr="009431BA" w:rsidRDefault="009431BA" w:rsidP="00331C3E">
      <w:pPr>
        <w:numPr>
          <w:ilvl w:val="0"/>
          <w:numId w:val="13"/>
        </w:numPr>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Ausencia de mejores remedios:</w:t>
      </w:r>
      <w:r w:rsidRPr="009431BA">
        <w:rPr>
          <w:rFonts w:eastAsia="Calibri" w:cs="Arial"/>
          <w:lang w:val="es-ES"/>
        </w:rPr>
        <w:t xml:space="preserve"> </w:t>
      </w:r>
    </w:p>
    <w:p w14:paraId="42AF12E5" w14:textId="77777777" w:rsidR="009431BA" w:rsidRPr="009431BA" w:rsidRDefault="009431BA" w:rsidP="009431BA">
      <w:pPr>
        <w:suppressAutoHyphens/>
        <w:autoSpaceDN w:val="0"/>
        <w:spacing w:after="0" w:line="240" w:lineRule="auto"/>
        <w:ind w:left="900"/>
        <w:jc w:val="both"/>
        <w:textAlignment w:val="baseline"/>
        <w:rPr>
          <w:rFonts w:eastAsia="Calibri" w:cs="Arial"/>
          <w:lang w:val="es-ES"/>
        </w:rPr>
      </w:pPr>
    </w:p>
    <w:p w14:paraId="5174A153" w14:textId="77777777" w:rsidR="009431BA" w:rsidRPr="009431BA" w:rsidRDefault="009431BA" w:rsidP="00331C3E">
      <w:pPr>
        <w:suppressAutoHyphens/>
        <w:autoSpaceDN w:val="0"/>
        <w:spacing w:after="0" w:line="240" w:lineRule="auto"/>
        <w:jc w:val="both"/>
        <w:textAlignment w:val="baseline"/>
        <w:rPr>
          <w:rFonts w:eastAsia="Calibri" w:cs="Arial"/>
          <w:lang w:val="es-ES"/>
        </w:rPr>
      </w:pPr>
      <w:r w:rsidRPr="009431BA">
        <w:rPr>
          <w:rFonts w:eastAsia="Calibri" w:cs="Arial"/>
          <w:lang w:val="es-ES"/>
        </w:rPr>
        <w:t>Solo unas pocas OROP-t han adoptado medidas de gestión para esta especie, y el mandato de la Convención sobre el comercio internacional de especies amenazadas de fauna y flora silvestres (CITES) se centra estrictamente en garantizar que el comercio internacional no ponga aún más en peligro a la especie. Por lo tanto, la Acción Concertada que aquí se propone facilita una vía importante para abordar las amenazas y la falta de gestión cooperativa de esta especie y para promover una mayor investigación y conservación.</w:t>
      </w:r>
    </w:p>
    <w:p w14:paraId="025DD30F" w14:textId="77777777" w:rsidR="009431BA" w:rsidRPr="009431BA" w:rsidRDefault="009431BA" w:rsidP="009431BA">
      <w:pPr>
        <w:suppressAutoHyphens/>
        <w:autoSpaceDN w:val="0"/>
        <w:spacing w:after="0" w:line="240" w:lineRule="auto"/>
        <w:ind w:left="900"/>
        <w:jc w:val="both"/>
        <w:textAlignment w:val="baseline"/>
        <w:rPr>
          <w:rFonts w:eastAsia="Calibri" w:cs="Arial"/>
          <w:lang w:val="es-ES"/>
        </w:rPr>
      </w:pPr>
    </w:p>
    <w:p w14:paraId="64769B1F" w14:textId="33390DCD" w:rsidR="009431BA" w:rsidRPr="009431BA" w:rsidRDefault="009431BA" w:rsidP="00331C3E">
      <w:pPr>
        <w:numPr>
          <w:ilvl w:val="0"/>
          <w:numId w:val="13"/>
        </w:numPr>
        <w:suppressAutoHyphens/>
        <w:autoSpaceDN w:val="0"/>
        <w:spacing w:after="0" w:line="240" w:lineRule="auto"/>
        <w:ind w:left="630" w:hanging="630"/>
        <w:jc w:val="both"/>
        <w:textAlignment w:val="baseline"/>
        <w:rPr>
          <w:rFonts w:eastAsia="Calibri" w:cs="Arial"/>
          <w:lang w:val="es-ES"/>
        </w:rPr>
      </w:pPr>
      <w:r w:rsidRPr="009431BA">
        <w:rPr>
          <w:rFonts w:eastAsia="Calibri" w:cs="Arial"/>
          <w:b/>
          <w:lang w:val="es-ES"/>
        </w:rPr>
        <w:t>Preparación y viabilidad</w:t>
      </w:r>
    </w:p>
    <w:p w14:paraId="3529E8B4" w14:textId="77777777" w:rsidR="009431BA" w:rsidRPr="009431BA" w:rsidRDefault="009431BA" w:rsidP="009431BA">
      <w:pPr>
        <w:suppressAutoHyphens/>
        <w:autoSpaceDN w:val="0"/>
        <w:spacing w:after="0" w:line="240" w:lineRule="auto"/>
        <w:ind w:left="900"/>
        <w:jc w:val="both"/>
        <w:textAlignment w:val="baseline"/>
        <w:rPr>
          <w:rFonts w:eastAsia="Calibri" w:cs="Arial"/>
          <w:color w:val="000000"/>
          <w:lang w:val="es-ES"/>
        </w:rPr>
      </w:pPr>
    </w:p>
    <w:p w14:paraId="23D11636" w14:textId="77777777" w:rsidR="009431BA" w:rsidRPr="009431BA" w:rsidRDefault="009431BA" w:rsidP="00331C3E">
      <w:pPr>
        <w:suppressAutoHyphens/>
        <w:autoSpaceDN w:val="0"/>
        <w:spacing w:after="0" w:line="240" w:lineRule="auto"/>
        <w:jc w:val="both"/>
        <w:textAlignment w:val="baseline"/>
        <w:rPr>
          <w:rFonts w:eastAsia="Calibri" w:cs="Arial"/>
          <w:color w:val="000000"/>
          <w:lang w:val="es-ES"/>
        </w:rPr>
      </w:pPr>
      <w:r w:rsidRPr="009431BA">
        <w:rPr>
          <w:rFonts w:eastAsia="Calibri" w:cs="Arial"/>
          <w:lang w:val="es-ES"/>
        </w:rPr>
        <w:t>Hay ONG, expertos y organizaciones comunitarias comprometidos dispuestos a ayudar a los Estados del área de distribución a desarrollar, financiar y poner en práctica el trabajo en colaboración.</w:t>
      </w:r>
      <w:r w:rsidRPr="009431BA">
        <w:rPr>
          <w:rFonts w:eastAsia="Calibri" w:cs="Arial"/>
          <w:color w:val="000000"/>
          <w:lang w:val="es-ES"/>
        </w:rPr>
        <w:t xml:space="preserve"> Iniciativas recientes en otros foros internacionales muestran que existen redes de expertos que podrían apoyar a los Estados del área de distribución a la hora de ejecutar las actividades propuestas. Además, se agradecerá la asistencia del MdE sobre tiburones y de los socios colaboradores para apoyar el desarrollo y la aplicación de los planes de acción.</w:t>
      </w:r>
    </w:p>
    <w:p w14:paraId="274DE0C6" w14:textId="77777777" w:rsidR="009431BA" w:rsidRPr="009431BA" w:rsidRDefault="009431BA" w:rsidP="009431BA">
      <w:pPr>
        <w:suppressAutoHyphens/>
        <w:autoSpaceDN w:val="0"/>
        <w:spacing w:after="0" w:line="240" w:lineRule="auto"/>
        <w:jc w:val="both"/>
        <w:textAlignment w:val="baseline"/>
        <w:rPr>
          <w:rFonts w:eastAsia="Calibri" w:cs="Arial"/>
          <w:lang w:val="es-ES"/>
        </w:rPr>
      </w:pPr>
    </w:p>
    <w:p w14:paraId="71B4C685" w14:textId="77777777" w:rsidR="009431BA" w:rsidRPr="009431BA" w:rsidRDefault="009431BA" w:rsidP="00331C3E">
      <w:pPr>
        <w:numPr>
          <w:ilvl w:val="0"/>
          <w:numId w:val="13"/>
        </w:numPr>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Probabilidad de éxito:</w:t>
      </w:r>
      <w:r w:rsidRPr="009431BA">
        <w:rPr>
          <w:rFonts w:eastAsia="Calibri" w:cs="Arial"/>
          <w:lang w:val="es-ES"/>
        </w:rPr>
        <w:t xml:space="preserve"> </w:t>
      </w:r>
    </w:p>
    <w:p w14:paraId="3F30DE2B" w14:textId="77777777" w:rsidR="009431BA" w:rsidRPr="009431BA" w:rsidRDefault="009431BA" w:rsidP="00331C3E">
      <w:pPr>
        <w:suppressAutoHyphens/>
        <w:autoSpaceDN w:val="0"/>
        <w:spacing w:after="0" w:line="240" w:lineRule="auto"/>
        <w:ind w:left="720"/>
        <w:textAlignment w:val="baseline"/>
        <w:rPr>
          <w:rFonts w:eastAsia="Calibri" w:cs="Arial"/>
          <w:lang w:val="es-ES"/>
        </w:rPr>
      </w:pPr>
    </w:p>
    <w:p w14:paraId="50C7E938" w14:textId="77777777" w:rsidR="009431BA" w:rsidRPr="009431BA" w:rsidRDefault="009431BA" w:rsidP="003703B5">
      <w:pPr>
        <w:tabs>
          <w:tab w:val="left" w:pos="993"/>
        </w:tabs>
        <w:suppressAutoHyphens/>
        <w:autoSpaceDN w:val="0"/>
        <w:spacing w:after="0" w:line="240" w:lineRule="auto"/>
        <w:jc w:val="both"/>
        <w:textAlignment w:val="baseline"/>
        <w:rPr>
          <w:rFonts w:eastAsia="Calibri" w:cs="Arial"/>
          <w:lang w:val="es-ES"/>
        </w:rPr>
      </w:pPr>
      <w:r w:rsidRPr="009431BA">
        <w:rPr>
          <w:rFonts w:eastAsia="Calibri" w:cs="Arial"/>
          <w:color w:val="000000"/>
          <w:lang w:val="es-ES"/>
        </w:rPr>
        <w:t xml:space="preserve">Con el apoyo de ONG, expertos y organizaciones comprometidos, y de estas Acciones Concertadas, está abocada al éxito. Además, la armonización de algunas de las Acciones Concertadas que aquí se presentan con la Estrategia de Conservación y los Planes de Acción para Tiburones y Rayas Pelágicos al amparo del MdE sobre tiburones significa que ya existe </w:t>
      </w:r>
      <w:r w:rsidRPr="009431BA">
        <w:rPr>
          <w:rFonts w:eastAsia="Calibri" w:cs="Arial"/>
          <w:color w:val="000000"/>
          <w:lang w:val="es-ES"/>
        </w:rPr>
        <w:lastRenderedPageBreak/>
        <w:t>un compromiso activo de las partes interesadas.</w:t>
      </w:r>
      <w:r w:rsidRPr="009431BA">
        <w:rPr>
          <w:rFonts w:eastAsia="Calibri" w:cs="Times New Roman"/>
          <w:sz w:val="20"/>
          <w:szCs w:val="20"/>
          <w:lang w:val="es-ES"/>
        </w:rPr>
        <w:t xml:space="preserve"> </w:t>
      </w:r>
      <w:r w:rsidRPr="009431BA">
        <w:rPr>
          <w:rFonts w:eastAsia="Calibri" w:cs="Arial"/>
          <w:color w:val="000000"/>
          <w:lang w:val="es-ES"/>
        </w:rPr>
        <w:t>No se han identificado factores de riesgo que puedan poner en peligro la realización satisfactoria de las actividades propuestas.</w:t>
      </w:r>
    </w:p>
    <w:p w14:paraId="204ADBC4" w14:textId="54673921" w:rsidR="009431BA" w:rsidRPr="009431BA" w:rsidRDefault="009431BA" w:rsidP="003703B5">
      <w:pPr>
        <w:tabs>
          <w:tab w:val="left" w:pos="993"/>
        </w:tabs>
        <w:suppressAutoHyphens/>
        <w:autoSpaceDN w:val="0"/>
        <w:spacing w:after="0" w:line="240" w:lineRule="auto"/>
        <w:ind w:left="851"/>
        <w:jc w:val="both"/>
        <w:textAlignment w:val="baseline"/>
        <w:rPr>
          <w:rFonts w:eastAsia="Calibri" w:cs="Arial"/>
          <w:lang w:val="es-ES"/>
        </w:rPr>
      </w:pPr>
    </w:p>
    <w:p w14:paraId="72DDC08C" w14:textId="77777777" w:rsidR="009431BA" w:rsidRPr="009431BA" w:rsidRDefault="009431BA" w:rsidP="003703B5">
      <w:pPr>
        <w:numPr>
          <w:ilvl w:val="0"/>
          <w:numId w:val="13"/>
        </w:numPr>
        <w:tabs>
          <w:tab w:val="left" w:pos="993"/>
        </w:tabs>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Magnitud del impacto probable:</w:t>
      </w:r>
      <w:r w:rsidRPr="009431BA">
        <w:rPr>
          <w:rFonts w:eastAsia="Calibri" w:cs="Arial"/>
          <w:lang w:val="es-ES"/>
        </w:rPr>
        <w:t xml:space="preserve"> </w:t>
      </w:r>
    </w:p>
    <w:p w14:paraId="4030AC9A" w14:textId="77777777" w:rsidR="009431BA" w:rsidRPr="009431BA" w:rsidRDefault="009431BA" w:rsidP="003703B5">
      <w:pPr>
        <w:suppressAutoHyphens/>
        <w:autoSpaceDN w:val="0"/>
        <w:spacing w:after="0" w:line="240" w:lineRule="auto"/>
        <w:ind w:left="540" w:hanging="540"/>
        <w:textAlignment w:val="baseline"/>
        <w:rPr>
          <w:rFonts w:eastAsia="Calibri" w:cs="Arial"/>
          <w:lang w:val="es-ES"/>
        </w:rPr>
      </w:pPr>
    </w:p>
    <w:p w14:paraId="265A5F99" w14:textId="77777777" w:rsidR="009431BA" w:rsidRPr="009431BA" w:rsidRDefault="009431BA" w:rsidP="003703B5">
      <w:pPr>
        <w:suppressAutoHyphens/>
        <w:autoSpaceDN w:val="0"/>
        <w:spacing w:after="0" w:line="240" w:lineRule="auto"/>
        <w:jc w:val="both"/>
        <w:textAlignment w:val="baseline"/>
        <w:rPr>
          <w:rFonts w:eastAsia="Calibri" w:cs="Arial"/>
          <w:lang w:val="es-ES"/>
        </w:rPr>
      </w:pPr>
      <w:r w:rsidRPr="009431BA">
        <w:rPr>
          <w:rFonts w:eastAsia="Calibri" w:cs="Arial"/>
          <w:lang w:val="es-ES"/>
        </w:rPr>
        <w:t xml:space="preserve">Se prevé que estas Acciones Concertadas puedan mejorar la gestión de las prácticas relacionadas con el tiburón azul, con un mayor grado de protección de la especie en toda su área de distribución geográfica al garantizar que todas las partes de la CMS participen en estas actividades. Al mismo tiempo, puede allanar el camino para una mayor consideración de la conservación del tiburón azul en alta mar trabajando conjuntamente con las OROP. </w:t>
      </w:r>
    </w:p>
    <w:p w14:paraId="74122747" w14:textId="77777777" w:rsidR="009431BA" w:rsidRPr="009431BA" w:rsidRDefault="009431BA" w:rsidP="003703B5">
      <w:pPr>
        <w:suppressAutoHyphens/>
        <w:autoSpaceDN w:val="0"/>
        <w:spacing w:after="0" w:line="240" w:lineRule="auto"/>
        <w:jc w:val="both"/>
        <w:textAlignment w:val="baseline"/>
        <w:rPr>
          <w:rFonts w:eastAsia="Calibri" w:cs="Arial"/>
          <w:lang w:val="es-ES"/>
        </w:rPr>
      </w:pPr>
    </w:p>
    <w:p w14:paraId="7779BF8F" w14:textId="77777777" w:rsidR="009431BA" w:rsidRPr="009431BA" w:rsidRDefault="009431BA" w:rsidP="003703B5">
      <w:pPr>
        <w:suppressAutoHyphens/>
        <w:autoSpaceDN w:val="0"/>
        <w:spacing w:after="0" w:line="240" w:lineRule="auto"/>
        <w:jc w:val="both"/>
        <w:textAlignment w:val="baseline"/>
        <w:rPr>
          <w:rFonts w:eastAsia="Calibri" w:cs="Arial"/>
          <w:lang w:val="es-ES"/>
        </w:rPr>
      </w:pPr>
      <w:r w:rsidRPr="009431BA">
        <w:rPr>
          <w:rFonts w:eastAsia="Calibri" w:cs="Arial"/>
          <w:lang w:val="es-ES"/>
        </w:rPr>
        <w:t>El turismo es una industria en rápido crecimiento (por ejemplo, en el Reino Unido y México), y los tiburones azules son cada vez más populares. Se prevé que la demanda de turismo para ver tiburones azules aumente en todo el mundo, convirtiéndose tanto en una amenaza como en una oportunidad. Si se administra bien, esta actividad económica puede ayudar a la gestión de la especie, contribuir a la sensibilización y facilitar la investigación. La CMS puede facilitar pautas eficaces para garantizar que esta práctica sea sostenible y equitativa, con un modelo replicable a otras especies.</w:t>
      </w:r>
    </w:p>
    <w:p w14:paraId="14B6B907" w14:textId="77777777" w:rsidR="009431BA" w:rsidRPr="009431BA" w:rsidRDefault="009431BA" w:rsidP="003703B5">
      <w:pPr>
        <w:suppressAutoHyphens/>
        <w:autoSpaceDN w:val="0"/>
        <w:spacing w:after="0" w:line="240" w:lineRule="auto"/>
        <w:ind w:left="540" w:hanging="540"/>
        <w:jc w:val="both"/>
        <w:textAlignment w:val="baseline"/>
        <w:rPr>
          <w:rFonts w:eastAsia="Calibri" w:cs="Arial"/>
          <w:lang w:val="es-ES"/>
        </w:rPr>
      </w:pPr>
    </w:p>
    <w:p w14:paraId="40E5008F" w14:textId="77777777" w:rsidR="009431BA" w:rsidRPr="009431BA" w:rsidRDefault="009431BA" w:rsidP="003703B5">
      <w:pPr>
        <w:numPr>
          <w:ilvl w:val="0"/>
          <w:numId w:val="13"/>
        </w:numPr>
        <w:suppressAutoHyphens/>
        <w:autoSpaceDN w:val="0"/>
        <w:spacing w:after="0" w:line="240" w:lineRule="auto"/>
        <w:ind w:left="540" w:hanging="540"/>
        <w:jc w:val="both"/>
        <w:textAlignment w:val="baseline"/>
        <w:rPr>
          <w:rFonts w:eastAsia="Calibri" w:cs="Arial"/>
          <w:lang w:val="es-ES"/>
        </w:rPr>
      </w:pPr>
      <w:r w:rsidRPr="009431BA">
        <w:rPr>
          <w:rFonts w:eastAsia="Calibri" w:cs="Arial"/>
          <w:b/>
          <w:lang w:val="es-ES"/>
        </w:rPr>
        <w:t>Rentabilidad:</w:t>
      </w:r>
      <w:r w:rsidRPr="009431BA">
        <w:rPr>
          <w:rFonts w:eastAsia="Calibri" w:cs="Arial"/>
          <w:lang w:val="es-ES"/>
        </w:rPr>
        <w:t xml:space="preserve"> </w:t>
      </w:r>
    </w:p>
    <w:p w14:paraId="2C533E93" w14:textId="77777777" w:rsidR="009431BA" w:rsidRPr="009431BA" w:rsidRDefault="009431BA" w:rsidP="003703B5">
      <w:pPr>
        <w:suppressAutoHyphens/>
        <w:autoSpaceDN w:val="0"/>
        <w:spacing w:after="0" w:line="240" w:lineRule="auto"/>
        <w:ind w:left="900"/>
        <w:jc w:val="both"/>
        <w:textAlignment w:val="baseline"/>
        <w:rPr>
          <w:rFonts w:eastAsia="Calibri" w:cs="Arial"/>
          <w:b/>
          <w:lang w:val="es-ES"/>
        </w:rPr>
      </w:pPr>
    </w:p>
    <w:p w14:paraId="109451F7" w14:textId="26927B3A" w:rsidR="009431BA" w:rsidRPr="009431BA" w:rsidRDefault="009431BA" w:rsidP="003703B5">
      <w:pPr>
        <w:suppressAutoHyphens/>
        <w:autoSpaceDN w:val="0"/>
        <w:spacing w:after="0" w:line="240" w:lineRule="auto"/>
        <w:jc w:val="both"/>
        <w:textAlignment w:val="baseline"/>
        <w:rPr>
          <w:rFonts w:eastAsia="Calibri" w:cs="Arial"/>
          <w:lang w:val="es-ES"/>
        </w:rPr>
      </w:pPr>
      <w:r w:rsidRPr="009431BA">
        <w:rPr>
          <w:rFonts w:eastAsia="Calibri" w:cs="Arial"/>
          <w:lang w:val="es-ES"/>
        </w:rPr>
        <w:t xml:space="preserve">Esta AC es de especial importancia dado que los Signatarios del MdE sobre tiburones aún no han incluido al tiburón azul en el Anexo </w:t>
      </w:r>
      <w:r w:rsidR="008438BE">
        <w:rPr>
          <w:rFonts w:eastAsia="Calibri" w:cs="Arial"/>
          <w:lang w:val="es-ES"/>
        </w:rPr>
        <w:t xml:space="preserve">1 </w:t>
      </w:r>
      <w:r w:rsidRPr="009431BA">
        <w:rPr>
          <w:rFonts w:eastAsia="Calibri" w:cs="Arial"/>
          <w:lang w:val="es-ES"/>
        </w:rPr>
        <w:t>del MdE. Uno de los componentes clave de las Acciones Concertadas es fomentar la cooperación entre las partes, el intercambio de información y conocimientos, y el desarrollo de estrategias eficaces. Si se pueden repetir los resultados positivos de conservación y establecer mejores prácticas (como directrices turísticas), esta colaboración resultará mucho más rentable que si cada país labra su propio camino por separado.</w:t>
      </w:r>
    </w:p>
    <w:p w14:paraId="51B6E99B" w14:textId="77777777" w:rsidR="009431BA" w:rsidRPr="009431BA" w:rsidRDefault="009431BA" w:rsidP="003703B5">
      <w:pPr>
        <w:suppressAutoHyphens/>
        <w:autoSpaceDN w:val="0"/>
        <w:spacing w:after="0" w:line="240" w:lineRule="auto"/>
        <w:jc w:val="both"/>
        <w:textAlignment w:val="baseline"/>
        <w:rPr>
          <w:rFonts w:eastAsia="Calibri" w:cs="Arial"/>
          <w:lang w:val="es-ES"/>
        </w:rPr>
      </w:pPr>
    </w:p>
    <w:p w14:paraId="712CB639" w14:textId="143660A8" w:rsidR="009431BA" w:rsidRPr="004C588E" w:rsidRDefault="009431BA" w:rsidP="003703B5">
      <w:pPr>
        <w:suppressAutoHyphens/>
        <w:autoSpaceDN w:val="0"/>
        <w:spacing w:after="0" w:line="240" w:lineRule="auto"/>
        <w:jc w:val="both"/>
        <w:textAlignment w:val="baseline"/>
        <w:rPr>
          <w:rFonts w:eastAsia="Calibri" w:cs="Arial"/>
          <w:lang w:val="fr-FR"/>
        </w:rPr>
      </w:pPr>
      <w:r w:rsidRPr="004C588E">
        <w:rPr>
          <w:rFonts w:eastAsia="Calibri" w:cs="Arial"/>
          <w:b/>
          <w:bCs/>
          <w:lang w:val="fr-FR"/>
        </w:rPr>
        <w:t>Referenc</w:t>
      </w:r>
      <w:r w:rsidR="003703B5" w:rsidRPr="004C588E">
        <w:rPr>
          <w:rFonts w:eastAsia="Calibri" w:cs="Arial"/>
          <w:b/>
          <w:bCs/>
          <w:lang w:val="fr-FR"/>
        </w:rPr>
        <w:t>ias</w:t>
      </w:r>
    </w:p>
    <w:p w14:paraId="5B579D85" w14:textId="77777777" w:rsidR="009431BA" w:rsidRPr="004C588E" w:rsidRDefault="009431BA" w:rsidP="003703B5">
      <w:pPr>
        <w:suppressAutoHyphens/>
        <w:autoSpaceDN w:val="0"/>
        <w:spacing w:after="0" w:line="240" w:lineRule="auto"/>
        <w:jc w:val="both"/>
        <w:textAlignment w:val="baseline"/>
        <w:rPr>
          <w:rFonts w:eastAsia="Calibri" w:cs="Arial"/>
          <w:lang w:val="fr-FR"/>
        </w:rPr>
      </w:pPr>
    </w:p>
    <w:p w14:paraId="4B42D80C" w14:textId="77777777" w:rsidR="009431BA" w:rsidRPr="009431BA" w:rsidRDefault="009431BA" w:rsidP="003703B5">
      <w:pPr>
        <w:suppressAutoHyphens/>
        <w:autoSpaceDN w:val="0"/>
        <w:spacing w:after="80" w:line="240" w:lineRule="auto"/>
        <w:ind w:left="547" w:hanging="547"/>
        <w:jc w:val="both"/>
        <w:textAlignment w:val="baseline"/>
        <w:rPr>
          <w:rFonts w:eastAsia="Calibri" w:cs="Arial"/>
          <w:sz w:val="20"/>
          <w:szCs w:val="20"/>
          <w:lang w:val="en-GB"/>
        </w:rPr>
      </w:pPr>
      <w:r w:rsidRPr="004C588E">
        <w:rPr>
          <w:rFonts w:eastAsia="Calibri" w:cs="Arial"/>
          <w:sz w:val="20"/>
          <w:szCs w:val="20"/>
          <w:lang w:val="fr-FR"/>
        </w:rPr>
        <w:t>Bailleul, D., Mackenzie, A., Sacchi, O., Poisson, F., Bierne, N., &amp; Arnaud</w:t>
      </w:r>
      <w:r w:rsidRPr="004C588E">
        <w:rPr>
          <w:rFonts w:ascii="Cambria Math" w:eastAsia="Calibri" w:hAnsi="Cambria Math" w:cs="Cambria Math"/>
          <w:sz w:val="20"/>
          <w:szCs w:val="20"/>
          <w:lang w:val="fr-FR"/>
        </w:rPr>
        <w:t>‐</w:t>
      </w:r>
      <w:r w:rsidRPr="004C588E">
        <w:rPr>
          <w:rFonts w:eastAsia="Calibri" w:cs="Arial"/>
          <w:sz w:val="20"/>
          <w:szCs w:val="20"/>
          <w:lang w:val="fr-FR"/>
        </w:rPr>
        <w:t xml:space="preserve">Haond, S. (2018). </w:t>
      </w:r>
      <w:r w:rsidRPr="009431BA">
        <w:rPr>
          <w:rFonts w:eastAsia="Calibri" w:cs="Arial"/>
          <w:sz w:val="20"/>
          <w:szCs w:val="20"/>
          <w:lang w:val="en-GB"/>
        </w:rPr>
        <w:t>Large</w:t>
      </w:r>
      <w:r w:rsidRPr="009431BA">
        <w:rPr>
          <w:rFonts w:ascii="Cambria Math" w:eastAsia="Calibri" w:hAnsi="Cambria Math" w:cs="Cambria Math"/>
          <w:sz w:val="20"/>
          <w:szCs w:val="20"/>
          <w:lang w:val="en-GB"/>
        </w:rPr>
        <w:t>‐</w:t>
      </w:r>
      <w:r w:rsidRPr="009431BA">
        <w:rPr>
          <w:rFonts w:eastAsia="Calibri" w:cs="Arial"/>
          <w:sz w:val="20"/>
          <w:szCs w:val="20"/>
          <w:lang w:val="en-GB"/>
        </w:rPr>
        <w:t>scale genetic panmixia in the blue shark (Prionace glauca): a single worldwide population, or a genetic lag</w:t>
      </w:r>
      <w:r w:rsidRPr="009431BA">
        <w:rPr>
          <w:rFonts w:ascii="Cambria Math" w:eastAsia="Calibri" w:hAnsi="Cambria Math" w:cs="Cambria Math"/>
          <w:sz w:val="20"/>
          <w:szCs w:val="20"/>
          <w:lang w:val="en-GB"/>
        </w:rPr>
        <w:t>‐</w:t>
      </w:r>
      <w:r w:rsidRPr="009431BA">
        <w:rPr>
          <w:rFonts w:eastAsia="Calibri" w:cs="Arial"/>
          <w:sz w:val="20"/>
          <w:szCs w:val="20"/>
          <w:lang w:val="en-GB"/>
        </w:rPr>
        <w:t>time effect of the “grey zone” of differentiation?. </w:t>
      </w:r>
      <w:r w:rsidRPr="009431BA">
        <w:rPr>
          <w:rFonts w:eastAsia="Calibri" w:cs="Arial"/>
          <w:i/>
          <w:iCs/>
          <w:sz w:val="20"/>
          <w:szCs w:val="20"/>
          <w:lang w:val="en-GB"/>
        </w:rPr>
        <w:t>Evolutionary Applications</w:t>
      </w:r>
      <w:r w:rsidRPr="009431BA">
        <w:rPr>
          <w:rFonts w:eastAsia="Calibri" w:cs="Arial"/>
          <w:sz w:val="20"/>
          <w:szCs w:val="20"/>
          <w:lang w:val="en-GB"/>
        </w:rPr>
        <w:t>, </w:t>
      </w:r>
      <w:r w:rsidRPr="009431BA">
        <w:rPr>
          <w:rFonts w:eastAsia="Calibri" w:cs="Arial"/>
          <w:i/>
          <w:iCs/>
          <w:sz w:val="20"/>
          <w:szCs w:val="20"/>
          <w:lang w:val="en-GB"/>
        </w:rPr>
        <w:t>11</w:t>
      </w:r>
      <w:r w:rsidRPr="009431BA">
        <w:rPr>
          <w:rFonts w:eastAsia="Calibri" w:cs="Arial"/>
          <w:sz w:val="20"/>
          <w:szCs w:val="20"/>
          <w:lang w:val="en-GB"/>
        </w:rPr>
        <w:t>(5), 614-630.</w:t>
      </w:r>
    </w:p>
    <w:p w14:paraId="5E67314E" w14:textId="77777777" w:rsidR="009431BA" w:rsidRPr="009431BA" w:rsidRDefault="009431BA" w:rsidP="003703B5">
      <w:pPr>
        <w:suppressAutoHyphens/>
        <w:autoSpaceDN w:val="0"/>
        <w:spacing w:after="80" w:line="240" w:lineRule="auto"/>
        <w:ind w:left="547" w:hanging="547"/>
        <w:jc w:val="both"/>
        <w:textAlignment w:val="baseline"/>
        <w:rPr>
          <w:rFonts w:eastAsia="Calibri" w:cs="Arial"/>
          <w:sz w:val="20"/>
          <w:szCs w:val="20"/>
          <w:lang w:val="en-GB"/>
        </w:rPr>
      </w:pPr>
      <w:r w:rsidRPr="009431BA">
        <w:rPr>
          <w:rFonts w:eastAsia="Calibri" w:cs="Arial"/>
          <w:sz w:val="20"/>
          <w:szCs w:val="20"/>
          <w:lang w:val="en-GB"/>
        </w:rPr>
        <w:t>Ebert, D. A., Dando, M., &amp; Fowler, S. (2021). </w:t>
      </w:r>
      <w:r w:rsidRPr="009431BA">
        <w:rPr>
          <w:rFonts w:eastAsia="Calibri" w:cs="Arial"/>
          <w:i/>
          <w:iCs/>
          <w:sz w:val="20"/>
          <w:szCs w:val="20"/>
          <w:lang w:val="en-GB"/>
        </w:rPr>
        <w:t>Sharks of the world: a complete guide</w:t>
      </w:r>
      <w:r w:rsidRPr="009431BA">
        <w:rPr>
          <w:rFonts w:eastAsia="Calibri" w:cs="Arial"/>
          <w:sz w:val="20"/>
          <w:szCs w:val="20"/>
          <w:lang w:val="en-GB"/>
        </w:rPr>
        <w:t> (Vol. 19). Princeton University Press.</w:t>
      </w:r>
    </w:p>
    <w:p w14:paraId="37DB5B39" w14:textId="77777777" w:rsidR="009431BA" w:rsidRPr="009431BA" w:rsidRDefault="009431BA" w:rsidP="003703B5">
      <w:pPr>
        <w:suppressAutoHyphens/>
        <w:autoSpaceDN w:val="0"/>
        <w:spacing w:after="80" w:line="240" w:lineRule="auto"/>
        <w:ind w:left="547" w:hanging="547"/>
        <w:jc w:val="both"/>
        <w:textAlignment w:val="baseline"/>
        <w:rPr>
          <w:rFonts w:eastAsia="Calibri" w:cs="Arial"/>
          <w:sz w:val="20"/>
          <w:szCs w:val="20"/>
          <w:lang w:val="en-GB"/>
        </w:rPr>
      </w:pPr>
      <w:r w:rsidRPr="009431BA">
        <w:rPr>
          <w:rFonts w:eastAsia="Calibri" w:cs="Arial"/>
          <w:sz w:val="20"/>
          <w:szCs w:val="20"/>
          <w:lang w:val="en-GB"/>
        </w:rPr>
        <w:t>Li, W. W., Kindong, R., Wu, F., Tian, S. Q., &amp; Dai, X. J. (2020). Catch rate and stock status of blue shark in the Pacific Ocean inferred from fishery-independent data.</w:t>
      </w:r>
    </w:p>
    <w:p w14:paraId="75476408" w14:textId="77777777" w:rsidR="009431BA" w:rsidRPr="009431BA" w:rsidRDefault="009431BA" w:rsidP="003703B5">
      <w:pPr>
        <w:suppressAutoHyphens/>
        <w:autoSpaceDN w:val="0"/>
        <w:spacing w:after="80" w:line="240" w:lineRule="auto"/>
        <w:ind w:left="547" w:hanging="547"/>
        <w:jc w:val="both"/>
        <w:textAlignment w:val="baseline"/>
        <w:rPr>
          <w:rFonts w:eastAsia="Calibri" w:cs="Arial"/>
          <w:sz w:val="20"/>
          <w:szCs w:val="20"/>
          <w:lang w:val="en-GB"/>
        </w:rPr>
      </w:pPr>
      <w:r w:rsidRPr="009431BA">
        <w:rPr>
          <w:rFonts w:eastAsia="Calibri" w:cs="Arial"/>
          <w:sz w:val="20"/>
          <w:szCs w:val="20"/>
          <w:lang w:val="en-GB"/>
        </w:rPr>
        <w:t>Mundy-Taylor, V., Crook, V., Foster, S., Fowler, S., Sant, G., &amp; Rice, J. (2014). CITES Non-detriment findings guidance for shark species. </w:t>
      </w:r>
      <w:r w:rsidRPr="009431BA">
        <w:rPr>
          <w:rFonts w:eastAsia="Calibri" w:cs="Arial"/>
          <w:i/>
          <w:iCs/>
          <w:sz w:val="20"/>
          <w:szCs w:val="20"/>
          <w:lang w:val="en-GB"/>
        </w:rPr>
        <w:t>A Framework to assist Authorities in making Non-detriment Findings (NDFs) for species listed in CITES Appendix II. Report prepared for the Germany Federal Agency for Nature Conservation (Bundesamt für Naturschutz, BfN)</w:t>
      </w:r>
      <w:r w:rsidRPr="009431BA">
        <w:rPr>
          <w:rFonts w:eastAsia="Calibri" w:cs="Arial"/>
          <w:sz w:val="20"/>
          <w:szCs w:val="20"/>
          <w:lang w:val="en-GB"/>
        </w:rPr>
        <w:t>.</w:t>
      </w:r>
    </w:p>
    <w:p w14:paraId="4ED58E4D" w14:textId="77777777" w:rsidR="009431BA" w:rsidRPr="009431BA" w:rsidRDefault="009431BA" w:rsidP="003703B5">
      <w:pPr>
        <w:suppressAutoHyphens/>
        <w:autoSpaceDN w:val="0"/>
        <w:spacing w:after="80" w:line="240" w:lineRule="auto"/>
        <w:ind w:left="547" w:hanging="547"/>
        <w:jc w:val="both"/>
        <w:textAlignment w:val="baseline"/>
        <w:rPr>
          <w:rFonts w:eastAsia="Calibri" w:cs="Arial"/>
          <w:sz w:val="20"/>
          <w:szCs w:val="20"/>
          <w:lang w:val="pt-PT"/>
        </w:rPr>
      </w:pPr>
      <w:r w:rsidRPr="004C588E">
        <w:rPr>
          <w:rFonts w:eastAsia="Calibri" w:cs="Arial"/>
          <w:sz w:val="20"/>
          <w:szCs w:val="20"/>
          <w:lang w:val="fr-FR"/>
        </w:rPr>
        <w:t>Nikolic, N., Devloo</w:t>
      </w:r>
      <w:r w:rsidRPr="004C588E">
        <w:rPr>
          <w:rFonts w:ascii="Cambria Math" w:eastAsia="Calibri" w:hAnsi="Cambria Math" w:cs="Cambria Math"/>
          <w:sz w:val="20"/>
          <w:szCs w:val="20"/>
          <w:lang w:val="fr-FR"/>
        </w:rPr>
        <w:t>‐</w:t>
      </w:r>
      <w:r w:rsidRPr="004C588E">
        <w:rPr>
          <w:rFonts w:eastAsia="Calibri" w:cs="Arial"/>
          <w:sz w:val="20"/>
          <w:szCs w:val="20"/>
          <w:lang w:val="fr-FR"/>
        </w:rPr>
        <w:t xml:space="preserve">Delva, F., Bailleul, D., Noskova, E., Rougeux, C., Delord, C., ... </w:t>
      </w:r>
      <w:r w:rsidRPr="009431BA">
        <w:rPr>
          <w:rFonts w:eastAsia="Calibri" w:cs="Arial"/>
          <w:sz w:val="20"/>
          <w:szCs w:val="20"/>
          <w:lang w:val="en-GB"/>
        </w:rPr>
        <w:t>&amp; Arnaud</w:t>
      </w:r>
      <w:r w:rsidRPr="009431BA">
        <w:rPr>
          <w:rFonts w:ascii="Cambria Math" w:eastAsia="Calibri" w:hAnsi="Cambria Math" w:cs="Cambria Math"/>
          <w:sz w:val="20"/>
          <w:szCs w:val="20"/>
          <w:lang w:val="en-GB"/>
        </w:rPr>
        <w:t>‐</w:t>
      </w:r>
      <w:r w:rsidRPr="009431BA">
        <w:rPr>
          <w:rFonts w:eastAsia="Calibri" w:cs="Arial"/>
          <w:sz w:val="20"/>
          <w:szCs w:val="20"/>
          <w:lang w:val="en-GB"/>
        </w:rPr>
        <w:t>Haond, S. (2023). Stepping up to genome scan allows stock differentiation in the worldwide distributed blue shark Prionace glauca. </w:t>
      </w:r>
      <w:r w:rsidRPr="009431BA">
        <w:rPr>
          <w:rFonts w:eastAsia="Calibri" w:cs="Arial"/>
          <w:i/>
          <w:iCs/>
          <w:sz w:val="20"/>
          <w:szCs w:val="20"/>
          <w:lang w:val="pt-PT"/>
        </w:rPr>
        <w:t>Molecular Ecology</w:t>
      </w:r>
      <w:r w:rsidRPr="009431BA">
        <w:rPr>
          <w:rFonts w:eastAsia="Calibri" w:cs="Arial"/>
          <w:sz w:val="20"/>
          <w:szCs w:val="20"/>
          <w:lang w:val="pt-PT"/>
        </w:rPr>
        <w:t>, </w:t>
      </w:r>
      <w:r w:rsidRPr="009431BA">
        <w:rPr>
          <w:rFonts w:eastAsia="Calibri" w:cs="Arial"/>
          <w:i/>
          <w:iCs/>
          <w:sz w:val="20"/>
          <w:szCs w:val="20"/>
          <w:lang w:val="pt-PT"/>
        </w:rPr>
        <w:t>32</w:t>
      </w:r>
      <w:r w:rsidRPr="009431BA">
        <w:rPr>
          <w:rFonts w:eastAsia="Calibri" w:cs="Arial"/>
          <w:sz w:val="20"/>
          <w:szCs w:val="20"/>
          <w:lang w:val="pt-PT"/>
        </w:rPr>
        <w:t>(5), 1000-1019.</w:t>
      </w:r>
    </w:p>
    <w:p w14:paraId="71C10280" w14:textId="77777777" w:rsidR="009431BA" w:rsidRPr="009431BA" w:rsidRDefault="009431BA" w:rsidP="003703B5">
      <w:pPr>
        <w:suppressAutoHyphens/>
        <w:autoSpaceDN w:val="0"/>
        <w:spacing w:after="80" w:line="240" w:lineRule="auto"/>
        <w:ind w:left="547" w:hanging="547"/>
        <w:jc w:val="both"/>
        <w:textAlignment w:val="baseline"/>
        <w:rPr>
          <w:rFonts w:eastAsia="Calibri" w:cs="Arial"/>
          <w:sz w:val="20"/>
          <w:szCs w:val="20"/>
          <w:lang w:val="es-ES"/>
        </w:rPr>
      </w:pPr>
      <w:r w:rsidRPr="009431BA">
        <w:rPr>
          <w:rFonts w:eastAsia="Calibri" w:cs="Arial"/>
          <w:sz w:val="20"/>
          <w:szCs w:val="20"/>
          <w:lang w:val="pt-PT"/>
        </w:rPr>
        <w:t xml:space="preserve">Queiroz, N., Humphries, N. E., Couto, A., Vedor, M., Da Costa, I., Sequeira, A. M., ... </w:t>
      </w:r>
      <w:r w:rsidRPr="009431BA">
        <w:rPr>
          <w:rFonts w:eastAsia="Calibri" w:cs="Arial"/>
          <w:sz w:val="20"/>
          <w:szCs w:val="20"/>
          <w:lang w:val="en-GB"/>
        </w:rPr>
        <w:t>&amp; Sousa, L. L. (2019). Global spatial risk assessment of sharks under the footprint of fisheries. </w:t>
      </w:r>
      <w:r w:rsidRPr="009431BA">
        <w:rPr>
          <w:rFonts w:eastAsia="Calibri" w:cs="Arial"/>
          <w:i/>
          <w:iCs/>
          <w:sz w:val="20"/>
          <w:szCs w:val="20"/>
          <w:lang w:val="es-ES"/>
        </w:rPr>
        <w:t>Nature</w:t>
      </w:r>
      <w:r w:rsidRPr="009431BA">
        <w:rPr>
          <w:rFonts w:eastAsia="Calibri" w:cs="Arial"/>
          <w:sz w:val="20"/>
          <w:szCs w:val="20"/>
          <w:lang w:val="es-ES"/>
        </w:rPr>
        <w:t>, </w:t>
      </w:r>
      <w:r w:rsidRPr="009431BA">
        <w:rPr>
          <w:rFonts w:eastAsia="Calibri" w:cs="Arial"/>
          <w:i/>
          <w:iCs/>
          <w:sz w:val="20"/>
          <w:szCs w:val="20"/>
          <w:lang w:val="es-ES"/>
        </w:rPr>
        <w:t>572</w:t>
      </w:r>
      <w:r w:rsidRPr="009431BA">
        <w:rPr>
          <w:rFonts w:eastAsia="Calibri" w:cs="Arial"/>
          <w:sz w:val="20"/>
          <w:szCs w:val="20"/>
          <w:lang w:val="es-ES"/>
        </w:rPr>
        <w:t>(7770), 461-466.</w:t>
      </w:r>
    </w:p>
    <w:p w14:paraId="1489E33C" w14:textId="77777777" w:rsidR="009431BA" w:rsidRPr="009431BA" w:rsidRDefault="009431BA" w:rsidP="003703B5">
      <w:pPr>
        <w:suppressAutoHyphens/>
        <w:autoSpaceDN w:val="0"/>
        <w:spacing w:after="80" w:line="240" w:lineRule="auto"/>
        <w:ind w:left="547" w:hanging="547"/>
        <w:jc w:val="both"/>
        <w:textAlignment w:val="baseline"/>
        <w:rPr>
          <w:rFonts w:eastAsia="Calibri" w:cs="Arial"/>
          <w:sz w:val="20"/>
          <w:szCs w:val="20"/>
          <w:lang w:val="en-GB"/>
        </w:rPr>
      </w:pPr>
      <w:r w:rsidRPr="009431BA">
        <w:rPr>
          <w:rFonts w:eastAsia="Calibri" w:cs="Arial"/>
          <w:sz w:val="20"/>
          <w:szCs w:val="20"/>
          <w:lang w:val="es-ES"/>
        </w:rPr>
        <w:t xml:space="preserve">Rigby, C. L., Barreto, R., Carlson, J., Fernando, D., Fordham, S., Francis, M. P., ... </w:t>
      </w:r>
      <w:r w:rsidRPr="009431BA">
        <w:rPr>
          <w:rFonts w:eastAsia="Calibri" w:cs="Arial"/>
          <w:sz w:val="20"/>
          <w:szCs w:val="20"/>
          <w:lang w:val="en-GB"/>
        </w:rPr>
        <w:t>&amp; Winker, H. (2019). Prionace glauca. </w:t>
      </w:r>
      <w:r w:rsidRPr="009431BA">
        <w:rPr>
          <w:rFonts w:eastAsia="Calibri" w:cs="Arial"/>
          <w:i/>
          <w:iCs/>
          <w:sz w:val="20"/>
          <w:szCs w:val="20"/>
          <w:lang w:val="en-GB"/>
        </w:rPr>
        <w:t>The IUCN Red List of Threatened Species</w:t>
      </w:r>
      <w:r w:rsidRPr="009431BA">
        <w:rPr>
          <w:rFonts w:eastAsia="Calibri" w:cs="Arial"/>
          <w:sz w:val="20"/>
          <w:szCs w:val="20"/>
          <w:lang w:val="en-GB"/>
        </w:rPr>
        <w:t>, 2019-3.</w:t>
      </w:r>
    </w:p>
    <w:p w14:paraId="08DF3CA8" w14:textId="77777777" w:rsidR="009431BA" w:rsidRPr="009431BA" w:rsidRDefault="009431BA" w:rsidP="003703B5">
      <w:pPr>
        <w:suppressAutoHyphens/>
        <w:autoSpaceDN w:val="0"/>
        <w:spacing w:after="80" w:line="240" w:lineRule="auto"/>
        <w:ind w:left="547" w:hanging="547"/>
        <w:jc w:val="both"/>
        <w:textAlignment w:val="baseline"/>
        <w:rPr>
          <w:rFonts w:eastAsia="Calibri" w:cs="Arial"/>
          <w:sz w:val="20"/>
          <w:szCs w:val="20"/>
          <w:lang w:val="en-GB"/>
        </w:rPr>
      </w:pPr>
      <w:r w:rsidRPr="009431BA">
        <w:rPr>
          <w:rFonts w:eastAsia="Calibri" w:cs="Arial"/>
          <w:sz w:val="20"/>
          <w:szCs w:val="20"/>
          <w:lang w:val="en-GB"/>
        </w:rPr>
        <w:t>Sims, D., Fowler, S. L., Ferretti, F., &amp; Stevens, J. (2016). Prionace glauca (Regional Assessment: Mediterranean): The IUCN Red List of Threatened Species.</w:t>
      </w:r>
    </w:p>
    <w:p w14:paraId="7726B3EC" w14:textId="77777777" w:rsidR="009431BA" w:rsidRPr="006C7196" w:rsidRDefault="009431BA" w:rsidP="003703B5">
      <w:pPr>
        <w:suppressAutoHyphens/>
        <w:autoSpaceDN w:val="0"/>
        <w:spacing w:after="80" w:line="240" w:lineRule="auto"/>
        <w:ind w:left="547" w:hanging="547"/>
        <w:jc w:val="both"/>
        <w:textAlignment w:val="baseline"/>
        <w:rPr>
          <w:rFonts w:eastAsia="Calibri" w:cs="Arial"/>
          <w:sz w:val="20"/>
          <w:szCs w:val="20"/>
          <w:lang w:val="es-ES"/>
        </w:rPr>
      </w:pPr>
      <w:r w:rsidRPr="009431BA">
        <w:rPr>
          <w:rFonts w:eastAsia="Calibri" w:cs="Arial"/>
          <w:sz w:val="20"/>
          <w:szCs w:val="20"/>
          <w:lang w:val="pt-PT"/>
        </w:rPr>
        <w:lastRenderedPageBreak/>
        <w:t xml:space="preserve">Veríssimo, A., Sampaio, Í., McDowell, J. R., Alexandrino, P., Mucientes, G., Queiroz, N., ... </w:t>
      </w:r>
      <w:r w:rsidRPr="009431BA">
        <w:rPr>
          <w:rFonts w:eastAsia="Calibri" w:cs="Arial"/>
          <w:sz w:val="20"/>
          <w:szCs w:val="20"/>
          <w:lang w:val="en-GB"/>
        </w:rPr>
        <w:t>&amp; Noble, L. R. (2017). World without borders—genetic population structure of a highly migratory marine predator, the blue shark (Prionace glauca). </w:t>
      </w:r>
      <w:r w:rsidRPr="006C7196">
        <w:rPr>
          <w:rFonts w:eastAsia="Calibri" w:cs="Arial"/>
          <w:i/>
          <w:iCs/>
          <w:sz w:val="20"/>
          <w:szCs w:val="20"/>
          <w:lang w:val="es-ES"/>
        </w:rPr>
        <w:t>Ecology and Evolution</w:t>
      </w:r>
      <w:r w:rsidRPr="006C7196">
        <w:rPr>
          <w:rFonts w:eastAsia="Calibri" w:cs="Arial"/>
          <w:sz w:val="20"/>
          <w:szCs w:val="20"/>
          <w:lang w:val="es-ES"/>
        </w:rPr>
        <w:t>, </w:t>
      </w:r>
      <w:r w:rsidRPr="006C7196">
        <w:rPr>
          <w:rFonts w:eastAsia="Calibri" w:cs="Arial"/>
          <w:i/>
          <w:iCs/>
          <w:sz w:val="20"/>
          <w:szCs w:val="20"/>
          <w:lang w:val="es-ES"/>
        </w:rPr>
        <w:t>7</w:t>
      </w:r>
      <w:r w:rsidRPr="006C7196">
        <w:rPr>
          <w:rFonts w:eastAsia="Calibri" w:cs="Arial"/>
          <w:sz w:val="20"/>
          <w:szCs w:val="20"/>
          <w:lang w:val="es-ES"/>
        </w:rPr>
        <w:t>(13), 4768-4781.</w:t>
      </w:r>
    </w:p>
    <w:p w14:paraId="54C6EC32" w14:textId="77777777" w:rsidR="009431BA" w:rsidRPr="009431BA" w:rsidRDefault="009431BA" w:rsidP="003703B5">
      <w:pPr>
        <w:suppressAutoHyphens/>
        <w:autoSpaceDN w:val="0"/>
        <w:spacing w:after="0" w:line="240" w:lineRule="auto"/>
        <w:jc w:val="both"/>
        <w:textAlignment w:val="baseline"/>
        <w:rPr>
          <w:rFonts w:eastAsia="Calibri" w:cs="Arial"/>
          <w:lang w:val="es-ES"/>
        </w:rPr>
      </w:pPr>
    </w:p>
    <w:p w14:paraId="559E8564" w14:textId="7A85303A" w:rsidR="002D5F2A" w:rsidRPr="003703B5" w:rsidRDefault="009431BA" w:rsidP="003703B5">
      <w:pPr>
        <w:spacing w:after="0" w:line="240" w:lineRule="auto"/>
        <w:rPr>
          <w:rFonts w:eastAsia="Times New Roman" w:cs="Arial"/>
          <w:lang w:val="es-ES" w:eastAsia="es-ES"/>
        </w:rPr>
      </w:pPr>
      <w:r w:rsidRPr="003703B5">
        <w:rPr>
          <w:rFonts w:eastAsia="Calibri" w:cs="Arial"/>
          <w:b/>
          <w:lang w:val="es-ES"/>
        </w:rPr>
        <w:t>Consultas previstas/realizadas:</w:t>
      </w:r>
      <w:r w:rsidRPr="003703B5">
        <w:rPr>
          <w:rFonts w:eastAsia="Calibri" w:cs="Arial"/>
          <w:lang w:val="es-ES"/>
        </w:rPr>
        <w:t xml:space="preserve"> taller previsto con las Partes y partes interesadas pertinentes para aplicar las acciones concertadas enumeradas en el presente documento.</w:t>
      </w:r>
    </w:p>
    <w:p w14:paraId="6D6C99A4" w14:textId="77777777" w:rsidR="00002A97" w:rsidRDefault="00002A97" w:rsidP="00B40E07">
      <w:pPr>
        <w:pStyle w:val="Firstnumbering1"/>
        <w:numPr>
          <w:ilvl w:val="0"/>
          <w:numId w:val="0"/>
        </w:numPr>
        <w:ind w:left="567"/>
      </w:pPr>
    </w:p>
    <w:p w14:paraId="021EA226" w14:textId="77777777" w:rsidR="008B271B" w:rsidRDefault="008B271B" w:rsidP="00B40E07">
      <w:pPr>
        <w:pStyle w:val="Firstnumbering1"/>
        <w:numPr>
          <w:ilvl w:val="0"/>
          <w:numId w:val="0"/>
        </w:numPr>
        <w:ind w:left="567"/>
        <w:sectPr w:rsidR="008B271B" w:rsidSect="005B5EBA">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20" w:footer="720" w:gutter="0"/>
          <w:cols w:space="720"/>
          <w:titlePg/>
          <w:docGrid w:linePitch="360"/>
        </w:sectPr>
      </w:pPr>
    </w:p>
    <w:p w14:paraId="0B059684" w14:textId="7B8BDE67" w:rsidR="00021690" w:rsidRPr="00021690" w:rsidRDefault="003703B5" w:rsidP="003703B5">
      <w:pPr>
        <w:suppressAutoHyphens/>
        <w:autoSpaceDN w:val="0"/>
        <w:spacing w:after="0" w:line="240" w:lineRule="auto"/>
        <w:jc w:val="right"/>
        <w:textAlignment w:val="baseline"/>
        <w:rPr>
          <w:rFonts w:eastAsia="Calibri" w:cs="Arial"/>
          <w:b/>
          <w:bCs/>
          <w:lang w:val="es-ES"/>
        </w:rPr>
      </w:pPr>
      <w:r w:rsidRPr="00021690">
        <w:rPr>
          <w:rFonts w:eastAsia="Calibri" w:cs="Arial"/>
          <w:b/>
          <w:bCs/>
          <w:lang w:val="es-ES"/>
        </w:rPr>
        <w:lastRenderedPageBreak/>
        <w:t>ANEXO</w:t>
      </w:r>
    </w:p>
    <w:p w14:paraId="706BF1A2" w14:textId="77777777" w:rsidR="00021690" w:rsidRDefault="00021690" w:rsidP="00021690">
      <w:pPr>
        <w:suppressAutoHyphens/>
        <w:autoSpaceDN w:val="0"/>
        <w:spacing w:after="0" w:line="240" w:lineRule="auto"/>
        <w:jc w:val="both"/>
        <w:textAlignment w:val="baseline"/>
        <w:rPr>
          <w:rFonts w:eastAsia="Calibri" w:cs="Arial"/>
          <w:b/>
          <w:bCs/>
          <w:lang w:val="es-ES"/>
        </w:rPr>
      </w:pPr>
    </w:p>
    <w:p w14:paraId="12B8A5CA" w14:textId="77777777" w:rsidR="003703B5" w:rsidRPr="00021690" w:rsidRDefault="003703B5" w:rsidP="00021690">
      <w:pPr>
        <w:suppressAutoHyphens/>
        <w:autoSpaceDN w:val="0"/>
        <w:spacing w:after="0" w:line="240" w:lineRule="auto"/>
        <w:jc w:val="both"/>
        <w:textAlignment w:val="baseline"/>
        <w:rPr>
          <w:rFonts w:eastAsia="Calibri" w:cs="Arial"/>
          <w:b/>
          <w:bCs/>
          <w:lang w:val="es-ES"/>
        </w:rPr>
      </w:pPr>
    </w:p>
    <w:p w14:paraId="7821D014" w14:textId="77777777" w:rsidR="00021690" w:rsidRPr="00021690" w:rsidRDefault="00021690" w:rsidP="00021690">
      <w:pPr>
        <w:suppressAutoHyphens/>
        <w:autoSpaceDN w:val="0"/>
        <w:spacing w:after="0" w:line="240" w:lineRule="auto"/>
        <w:jc w:val="both"/>
        <w:textAlignment w:val="baseline"/>
        <w:rPr>
          <w:rFonts w:eastAsia="Calibri" w:cs="Arial"/>
          <w:b/>
          <w:bCs/>
          <w:lang w:val="es-ES"/>
        </w:rPr>
      </w:pPr>
      <w:r w:rsidRPr="00021690">
        <w:rPr>
          <w:rFonts w:eastAsia="Calibri" w:cs="Arial"/>
          <w:b/>
          <w:bCs/>
          <w:lang w:val="es-ES"/>
        </w:rPr>
        <w:t>Lista de actividades en el marco de estas Acciones Concertadas para el tiburón azul. Esta lista detallada de actividades tiene por objeto orientar los cambios positivos para la especie objeto de la CMS y puede ampliarse y plasmarse en un plan de acción para la conservación de la especie.</w:t>
      </w:r>
    </w:p>
    <w:p w14:paraId="443895C3" w14:textId="77777777" w:rsidR="00021690" w:rsidRPr="00021690" w:rsidRDefault="00021690" w:rsidP="00021690">
      <w:pPr>
        <w:suppressAutoHyphens/>
        <w:autoSpaceDN w:val="0"/>
        <w:spacing w:after="0" w:line="240" w:lineRule="auto"/>
        <w:jc w:val="both"/>
        <w:textAlignment w:val="baseline"/>
        <w:rPr>
          <w:rFonts w:eastAsia="Calibri" w:cs="Arial"/>
          <w:lang w:val="es-ES"/>
        </w:rPr>
      </w:pPr>
    </w:p>
    <w:tbl>
      <w:tblPr>
        <w:tblStyle w:val="PlainTable21"/>
        <w:tblW w:w="14065" w:type="dxa"/>
        <w:tblInd w:w="-108" w:type="dxa"/>
        <w:tblLayout w:type="fixed"/>
        <w:tblLook w:val="0400" w:firstRow="0" w:lastRow="0" w:firstColumn="0" w:lastColumn="0" w:noHBand="0" w:noVBand="1"/>
      </w:tblPr>
      <w:tblGrid>
        <w:gridCol w:w="108"/>
        <w:gridCol w:w="4536"/>
        <w:gridCol w:w="2552"/>
        <w:gridCol w:w="1984"/>
        <w:gridCol w:w="2094"/>
        <w:gridCol w:w="2791"/>
      </w:tblGrid>
      <w:tr w:rsidR="00021690" w:rsidRPr="00D02594" w14:paraId="1E77DAD9" w14:textId="77777777" w:rsidTr="00A373E6">
        <w:trPr>
          <w:gridBefore w:val="1"/>
          <w:wBefore w:w="108" w:type="dxa"/>
          <w:trHeight w:val="57"/>
          <w:tblHeader/>
        </w:trPr>
        <w:tc>
          <w:tcPr>
            <w:tcW w:w="4536" w:type="dxa"/>
          </w:tcPr>
          <w:p w14:paraId="49D6357A" w14:textId="77777777" w:rsidR="00021690" w:rsidRPr="00D02594" w:rsidRDefault="00021690" w:rsidP="00021690">
            <w:pPr>
              <w:suppressAutoHyphens/>
              <w:rPr>
                <w:rFonts w:cs="Arial"/>
                <w:b/>
                <w:sz w:val="20"/>
                <w:szCs w:val="20"/>
                <w:lang w:val="es-ES"/>
              </w:rPr>
            </w:pPr>
            <w:r w:rsidRPr="00D02594">
              <w:rPr>
                <w:rFonts w:cs="Arial"/>
                <w:b/>
                <w:sz w:val="20"/>
                <w:szCs w:val="20"/>
                <w:lang w:val="es-ES"/>
              </w:rPr>
              <w:t>Actividad</w:t>
            </w:r>
          </w:p>
        </w:tc>
        <w:tc>
          <w:tcPr>
            <w:tcW w:w="2552" w:type="dxa"/>
          </w:tcPr>
          <w:p w14:paraId="39CE68C8" w14:textId="77777777" w:rsidR="00021690" w:rsidRPr="00D02594" w:rsidRDefault="00021690" w:rsidP="00021690">
            <w:pPr>
              <w:suppressAutoHyphens/>
              <w:rPr>
                <w:rFonts w:cs="Arial"/>
                <w:b/>
                <w:sz w:val="20"/>
                <w:szCs w:val="20"/>
                <w:lang w:val="es-ES"/>
              </w:rPr>
            </w:pPr>
            <w:r w:rsidRPr="00D02594">
              <w:rPr>
                <w:rFonts w:cs="Arial"/>
                <w:b/>
                <w:sz w:val="20"/>
                <w:szCs w:val="20"/>
                <w:lang w:val="es-ES"/>
              </w:rPr>
              <w:t>Resultados esperados</w:t>
            </w:r>
          </w:p>
        </w:tc>
        <w:tc>
          <w:tcPr>
            <w:tcW w:w="1984" w:type="dxa"/>
          </w:tcPr>
          <w:p w14:paraId="3E9683DE" w14:textId="77777777" w:rsidR="00021690" w:rsidRPr="00D02594" w:rsidRDefault="00021690" w:rsidP="00021690">
            <w:pPr>
              <w:suppressAutoHyphens/>
              <w:jc w:val="center"/>
              <w:rPr>
                <w:rFonts w:cs="Arial"/>
                <w:b/>
                <w:sz w:val="20"/>
                <w:szCs w:val="20"/>
                <w:lang w:val="es-ES"/>
              </w:rPr>
            </w:pPr>
            <w:r w:rsidRPr="00D02594">
              <w:rPr>
                <w:rFonts w:cs="Arial"/>
                <w:b/>
                <w:sz w:val="20"/>
                <w:szCs w:val="20"/>
                <w:lang w:val="es-ES"/>
              </w:rPr>
              <w:t>Calendario</w:t>
            </w:r>
          </w:p>
        </w:tc>
        <w:tc>
          <w:tcPr>
            <w:tcW w:w="2094" w:type="dxa"/>
          </w:tcPr>
          <w:p w14:paraId="2F4DB2DE" w14:textId="77777777" w:rsidR="00021690" w:rsidRPr="00D02594" w:rsidRDefault="00021690" w:rsidP="00021690">
            <w:pPr>
              <w:suppressAutoHyphens/>
              <w:rPr>
                <w:rFonts w:cs="Arial"/>
                <w:b/>
                <w:sz w:val="20"/>
                <w:szCs w:val="20"/>
                <w:lang w:val="es-ES"/>
              </w:rPr>
            </w:pPr>
            <w:r w:rsidRPr="00D02594">
              <w:rPr>
                <w:rFonts w:cs="Arial"/>
                <w:b/>
                <w:sz w:val="20"/>
                <w:szCs w:val="20"/>
                <w:lang w:val="es-ES"/>
              </w:rPr>
              <w:t>Entidad responsable de la aplicación</w:t>
            </w:r>
          </w:p>
        </w:tc>
        <w:tc>
          <w:tcPr>
            <w:tcW w:w="2791" w:type="dxa"/>
          </w:tcPr>
          <w:p w14:paraId="52D3B29C" w14:textId="77777777" w:rsidR="00021690" w:rsidRPr="00D02594" w:rsidRDefault="00021690" w:rsidP="00021690">
            <w:pPr>
              <w:suppressAutoHyphens/>
              <w:rPr>
                <w:rFonts w:cs="Arial"/>
                <w:b/>
                <w:sz w:val="20"/>
                <w:szCs w:val="20"/>
                <w:lang w:val="es-ES"/>
              </w:rPr>
            </w:pPr>
            <w:r w:rsidRPr="00D02594">
              <w:rPr>
                <w:rFonts w:cs="Arial"/>
                <w:b/>
                <w:sz w:val="20"/>
                <w:szCs w:val="20"/>
                <w:lang w:val="es-ES"/>
              </w:rPr>
              <w:t>Indicadores de buenos resultados</w:t>
            </w:r>
          </w:p>
        </w:tc>
      </w:tr>
      <w:tr w:rsidR="00021690" w:rsidRPr="00D02594" w14:paraId="40ED52D6" w14:textId="77777777" w:rsidTr="00A373E6">
        <w:trPr>
          <w:gridBefore w:val="1"/>
          <w:cnfStyle w:val="000000100000" w:firstRow="0" w:lastRow="0" w:firstColumn="0" w:lastColumn="0" w:oddVBand="0" w:evenVBand="0" w:oddHBand="1" w:evenHBand="0" w:firstRowFirstColumn="0" w:firstRowLastColumn="0" w:lastRowFirstColumn="0" w:lastRowLastColumn="0"/>
          <w:wBefore w:w="108" w:type="dxa"/>
          <w:trHeight w:val="57"/>
        </w:trPr>
        <w:tc>
          <w:tcPr>
            <w:tcW w:w="13957" w:type="dxa"/>
            <w:gridSpan w:val="5"/>
            <w:shd w:val="clear" w:color="auto" w:fill="D9D9D9"/>
            <w:vAlign w:val="center"/>
          </w:tcPr>
          <w:p w14:paraId="771377F1" w14:textId="77777777" w:rsidR="00021690" w:rsidRPr="00D02594" w:rsidRDefault="00021690" w:rsidP="00021690">
            <w:pPr>
              <w:suppressAutoHyphens/>
              <w:jc w:val="center"/>
              <w:rPr>
                <w:rFonts w:cs="Arial"/>
                <w:b/>
                <w:sz w:val="20"/>
                <w:szCs w:val="20"/>
                <w:lang w:val="es-ES"/>
              </w:rPr>
            </w:pPr>
            <w:r w:rsidRPr="00D02594">
              <w:rPr>
                <w:rFonts w:cs="Arial"/>
                <w:b/>
                <w:sz w:val="20"/>
                <w:szCs w:val="20"/>
                <w:lang w:val="es-ES"/>
              </w:rPr>
              <w:t>Gestión</w:t>
            </w:r>
          </w:p>
        </w:tc>
      </w:tr>
      <w:tr w:rsidR="00021690" w:rsidRPr="001E7CF3" w14:paraId="3CDA4130" w14:textId="77777777" w:rsidTr="00A373E6">
        <w:trPr>
          <w:gridBefore w:val="1"/>
          <w:wBefore w:w="108" w:type="dxa"/>
          <w:trHeight w:val="57"/>
        </w:trPr>
        <w:tc>
          <w:tcPr>
            <w:tcW w:w="4536" w:type="dxa"/>
          </w:tcPr>
          <w:p w14:paraId="4F3F9A9F" w14:textId="77777777" w:rsidR="00021690" w:rsidRDefault="00E16764" w:rsidP="00021690">
            <w:pPr>
              <w:numPr>
                <w:ilvl w:val="0"/>
                <w:numId w:val="15"/>
              </w:numPr>
              <w:suppressAutoHyphens/>
              <w:autoSpaceDE w:val="0"/>
              <w:adjustRightInd w:val="0"/>
              <w:spacing w:before="40" w:after="40"/>
              <w:ind w:left="454" w:hanging="421"/>
              <w:contextualSpacing/>
              <w:jc w:val="both"/>
              <w:rPr>
                <w:rFonts w:cs="Arial"/>
                <w:sz w:val="20"/>
                <w:szCs w:val="20"/>
                <w:lang w:val="es-ES"/>
              </w:rPr>
            </w:pPr>
            <w:r w:rsidRPr="00D02594">
              <w:rPr>
                <w:rFonts w:cs="Arial"/>
                <w:sz w:val="20"/>
                <w:szCs w:val="20"/>
                <w:lang w:val="es-ES"/>
              </w:rPr>
              <w:t>Animar a las Partes a seguir colaborando con otros AAM, ORP y otras entidades pertinentes para mejorar la gestión de</w:t>
            </w:r>
            <w:r w:rsidR="00A9099C" w:rsidRPr="00D02594">
              <w:rPr>
                <w:rFonts w:cs="Arial"/>
                <w:sz w:val="20"/>
                <w:szCs w:val="20"/>
                <w:lang w:val="es-ES"/>
              </w:rPr>
              <w:t>l tiburón azul</w:t>
            </w:r>
            <w:r w:rsidRPr="00D02594">
              <w:rPr>
                <w:rFonts w:cs="Arial"/>
                <w:sz w:val="20"/>
                <w:szCs w:val="20"/>
                <w:lang w:val="es-ES"/>
              </w:rPr>
              <w:t>, incluyendo el desarrollo de la Estrategia de Conservación y Plan de Acción para Tiburones Pelágicos y Rayas del SSG de la CSE de la UICN, en cooperación con el MdE sobre tiburones.</w:t>
            </w:r>
          </w:p>
          <w:p w14:paraId="6B8FA000" w14:textId="6CF87035" w:rsidR="00E50DB8" w:rsidRPr="00D02594" w:rsidRDefault="00E50DB8" w:rsidP="001E7CF3">
            <w:pPr>
              <w:suppressAutoHyphens/>
              <w:autoSpaceDE w:val="0"/>
              <w:adjustRightInd w:val="0"/>
              <w:spacing w:before="40" w:after="40"/>
              <w:ind w:left="454"/>
              <w:contextualSpacing/>
              <w:jc w:val="both"/>
              <w:rPr>
                <w:rFonts w:cs="Arial"/>
                <w:sz w:val="20"/>
                <w:szCs w:val="20"/>
                <w:lang w:val="es-ES"/>
              </w:rPr>
            </w:pPr>
          </w:p>
        </w:tc>
        <w:tc>
          <w:tcPr>
            <w:tcW w:w="2552" w:type="dxa"/>
          </w:tcPr>
          <w:p w14:paraId="7FFA0C0B" w14:textId="5AA34579" w:rsidR="00021690" w:rsidRPr="00D02594" w:rsidRDefault="006F5A72" w:rsidP="00021690">
            <w:pPr>
              <w:widowControl w:val="0"/>
              <w:autoSpaceDE w:val="0"/>
              <w:adjustRightInd w:val="0"/>
              <w:rPr>
                <w:rFonts w:cs="Arial"/>
                <w:color w:val="000000"/>
                <w:sz w:val="20"/>
                <w:szCs w:val="20"/>
                <w:lang w:val="es-ES"/>
              </w:rPr>
            </w:pPr>
            <w:r w:rsidRPr="00D02594">
              <w:rPr>
                <w:rFonts w:cs="Arial"/>
                <w:sz w:val="20"/>
                <w:szCs w:val="20"/>
                <w:lang w:val="es-ES"/>
              </w:rPr>
              <w:t>Mayor atención a las necesidades de conservación de</w:t>
            </w:r>
            <w:r w:rsidR="0000348E" w:rsidRPr="00D02594">
              <w:rPr>
                <w:rFonts w:cs="Arial"/>
                <w:sz w:val="20"/>
                <w:szCs w:val="20"/>
                <w:lang w:val="es-ES"/>
              </w:rPr>
              <w:t>l</w:t>
            </w:r>
            <w:r w:rsidRPr="00D02594">
              <w:rPr>
                <w:rFonts w:cs="Arial"/>
                <w:sz w:val="20"/>
                <w:szCs w:val="20"/>
                <w:lang w:val="es-ES"/>
              </w:rPr>
              <w:t xml:space="preserve"> tiburón azul</w:t>
            </w:r>
          </w:p>
        </w:tc>
        <w:tc>
          <w:tcPr>
            <w:tcW w:w="1984" w:type="dxa"/>
          </w:tcPr>
          <w:p w14:paraId="36ACFF80" w14:textId="77777777" w:rsidR="00021690" w:rsidRPr="00D02594" w:rsidRDefault="00021690" w:rsidP="00021690">
            <w:pPr>
              <w:widowControl w:val="0"/>
              <w:autoSpaceDE w:val="0"/>
              <w:adjustRightInd w:val="0"/>
              <w:jc w:val="center"/>
              <w:rPr>
                <w:rFonts w:cs="Arial"/>
                <w:sz w:val="20"/>
                <w:szCs w:val="20"/>
                <w:lang w:val="es-ES"/>
              </w:rPr>
            </w:pPr>
            <w:r w:rsidRPr="00D02594">
              <w:rPr>
                <w:rFonts w:cs="Arial"/>
                <w:sz w:val="20"/>
                <w:szCs w:val="20"/>
                <w:lang w:val="es-ES"/>
              </w:rPr>
              <w:t>2024-2026</w:t>
            </w:r>
          </w:p>
        </w:tc>
        <w:tc>
          <w:tcPr>
            <w:tcW w:w="2094" w:type="dxa"/>
          </w:tcPr>
          <w:p w14:paraId="25D2B4EF" w14:textId="77777777" w:rsidR="00021690" w:rsidRPr="00D02594" w:rsidRDefault="00021690" w:rsidP="00021690">
            <w:pPr>
              <w:widowControl w:val="0"/>
              <w:autoSpaceDE w:val="0"/>
              <w:adjustRightInd w:val="0"/>
              <w:rPr>
                <w:rFonts w:cs="Arial"/>
                <w:sz w:val="20"/>
                <w:szCs w:val="20"/>
                <w:lang w:val="es-ES"/>
              </w:rPr>
            </w:pPr>
            <w:r w:rsidRPr="00D02594">
              <w:rPr>
                <w:rFonts w:cs="Arial"/>
                <w:sz w:val="20"/>
                <w:szCs w:val="20"/>
                <w:lang w:val="es-ES"/>
              </w:rPr>
              <w:t>ONG, expertos</w:t>
            </w:r>
          </w:p>
        </w:tc>
        <w:tc>
          <w:tcPr>
            <w:tcW w:w="2791" w:type="dxa"/>
          </w:tcPr>
          <w:p w14:paraId="1F73E9BA" w14:textId="02E3F85B" w:rsidR="00021690" w:rsidRPr="00D02594" w:rsidRDefault="003B5A5F" w:rsidP="00021690">
            <w:pPr>
              <w:widowControl w:val="0"/>
              <w:autoSpaceDE w:val="0"/>
              <w:adjustRightInd w:val="0"/>
              <w:rPr>
                <w:rFonts w:cs="Arial"/>
                <w:sz w:val="20"/>
                <w:szCs w:val="20"/>
                <w:lang w:val="es-ES"/>
              </w:rPr>
            </w:pPr>
            <w:r w:rsidRPr="00D02594">
              <w:rPr>
                <w:rFonts w:cs="Arial"/>
                <w:sz w:val="20"/>
                <w:szCs w:val="20"/>
                <w:lang w:val="es-ES"/>
              </w:rPr>
              <w:t>Mejores perspectivas poblacionales a largo plazo para el tiburón azul</w:t>
            </w:r>
            <w:r w:rsidR="007A523F" w:rsidRPr="00D02594">
              <w:rPr>
                <w:rFonts w:cs="Arial"/>
                <w:sz w:val="20"/>
                <w:szCs w:val="20"/>
                <w:lang w:val="es-ES"/>
              </w:rPr>
              <w:t>.</w:t>
            </w:r>
          </w:p>
        </w:tc>
      </w:tr>
      <w:tr w:rsidR="00A373E6" w:rsidRPr="00D02594" w14:paraId="267F6100" w14:textId="77777777" w:rsidTr="00A373E6">
        <w:trPr>
          <w:cnfStyle w:val="000000100000" w:firstRow="0" w:lastRow="0" w:firstColumn="0" w:lastColumn="0" w:oddVBand="0" w:evenVBand="0" w:oddHBand="1" w:evenHBand="0" w:firstRowFirstColumn="0" w:firstRowLastColumn="0" w:lastRowFirstColumn="0" w:lastRowLastColumn="0"/>
          <w:trHeight w:val="57"/>
        </w:trPr>
        <w:tc>
          <w:tcPr>
            <w:tcW w:w="14065" w:type="dxa"/>
            <w:gridSpan w:val="6"/>
            <w:shd w:val="clear" w:color="auto" w:fill="D9D9D9"/>
          </w:tcPr>
          <w:p w14:paraId="0F32AF65" w14:textId="75829326" w:rsidR="00A373E6" w:rsidRPr="00D02594" w:rsidRDefault="00D36B97" w:rsidP="000F634A">
            <w:pPr>
              <w:widowControl w:val="0"/>
              <w:autoSpaceDE w:val="0"/>
              <w:adjustRightInd w:val="0"/>
              <w:jc w:val="center"/>
              <w:rPr>
                <w:rFonts w:cs="Arial"/>
                <w:sz w:val="20"/>
                <w:szCs w:val="20"/>
                <w:lang w:val="es-ES"/>
              </w:rPr>
            </w:pPr>
            <w:r w:rsidRPr="00D02594">
              <w:rPr>
                <w:rFonts w:cs="Arial"/>
                <w:b/>
                <w:bCs/>
                <w:sz w:val="20"/>
                <w:szCs w:val="20"/>
                <w:lang w:val="es-ES"/>
              </w:rPr>
              <w:t>Turismo sostenible</w:t>
            </w:r>
          </w:p>
        </w:tc>
      </w:tr>
      <w:tr w:rsidR="00021690" w:rsidRPr="001E7CF3" w14:paraId="40CBD443" w14:textId="77777777" w:rsidTr="00A373E6">
        <w:trPr>
          <w:gridBefore w:val="1"/>
          <w:wBefore w:w="108" w:type="dxa"/>
          <w:trHeight w:val="57"/>
        </w:trPr>
        <w:tc>
          <w:tcPr>
            <w:tcW w:w="4536" w:type="dxa"/>
          </w:tcPr>
          <w:sdt>
            <w:sdtPr>
              <w:rPr>
                <w:rFonts w:cs="Arial"/>
                <w:sz w:val="20"/>
                <w:szCs w:val="20"/>
                <w:lang w:val="es-ES"/>
              </w:rPr>
              <w:tag w:val="goog_rdk_4"/>
              <w:id w:val="1462382770"/>
            </w:sdtPr>
            <w:sdtEndPr/>
            <w:sdtContent>
              <w:p w14:paraId="1C03A642" w14:textId="1677FC2F" w:rsidR="00021690" w:rsidRPr="00D02594" w:rsidRDefault="004962E8" w:rsidP="00021690">
                <w:pPr>
                  <w:numPr>
                    <w:ilvl w:val="0"/>
                    <w:numId w:val="15"/>
                  </w:numPr>
                  <w:suppressAutoHyphens/>
                  <w:autoSpaceDE w:val="0"/>
                  <w:adjustRightInd w:val="0"/>
                  <w:spacing w:before="40" w:after="40"/>
                  <w:ind w:left="454" w:hanging="421"/>
                  <w:contextualSpacing/>
                  <w:jc w:val="both"/>
                  <w:rPr>
                    <w:rFonts w:cs="Arial"/>
                    <w:sz w:val="20"/>
                    <w:szCs w:val="20"/>
                    <w:lang w:val="es-ES"/>
                  </w:rPr>
                </w:pPr>
                <w:r w:rsidRPr="00D02594">
                  <w:rPr>
                    <w:rFonts w:cs="Arial"/>
                    <w:sz w:val="20"/>
                    <w:szCs w:val="20"/>
                    <w:lang w:val="es-ES"/>
                  </w:rPr>
                  <w:t>Desarrollar directrices internacionales de países con turismo relativos al tiburón azul establecido (por ejemplo, Azores, Reino Unido, Sudáfrica)</w:t>
                </w:r>
              </w:p>
            </w:sdtContent>
          </w:sdt>
        </w:tc>
        <w:tc>
          <w:tcPr>
            <w:tcW w:w="2552" w:type="dxa"/>
          </w:tcPr>
          <w:p w14:paraId="530DE0F5" w14:textId="67951FD9" w:rsidR="00021690" w:rsidRPr="00D02594" w:rsidRDefault="00EF0236" w:rsidP="00021690">
            <w:pPr>
              <w:widowControl w:val="0"/>
              <w:autoSpaceDE w:val="0"/>
              <w:adjustRightInd w:val="0"/>
              <w:jc w:val="both"/>
              <w:rPr>
                <w:rFonts w:cs="Arial"/>
                <w:sz w:val="20"/>
                <w:szCs w:val="20"/>
                <w:lang w:val="es-ES"/>
              </w:rPr>
            </w:pPr>
            <w:r w:rsidRPr="00D02594">
              <w:rPr>
                <w:rFonts w:cs="Arial"/>
                <w:sz w:val="20"/>
                <w:szCs w:val="20"/>
                <w:lang w:val="es-ES"/>
              </w:rPr>
              <w:t>Establecimiento de protocolos para una interacción turística responsable con el tiburón azul</w:t>
            </w:r>
          </w:p>
        </w:tc>
        <w:tc>
          <w:tcPr>
            <w:tcW w:w="1984" w:type="dxa"/>
          </w:tcPr>
          <w:p w14:paraId="567BEC92" w14:textId="1F2BD74A" w:rsidR="00021690" w:rsidRPr="00D02594" w:rsidRDefault="005D47E2" w:rsidP="00021690">
            <w:pPr>
              <w:widowControl w:val="0"/>
              <w:autoSpaceDE w:val="0"/>
              <w:adjustRightInd w:val="0"/>
              <w:jc w:val="center"/>
              <w:rPr>
                <w:rFonts w:cs="Arial"/>
                <w:sz w:val="20"/>
                <w:szCs w:val="20"/>
                <w:lang w:val="es-ES"/>
              </w:rPr>
            </w:pPr>
            <w:r w:rsidRPr="00D02594">
              <w:rPr>
                <w:rFonts w:cs="Arial"/>
                <w:sz w:val="20"/>
                <w:szCs w:val="20"/>
                <w:lang w:val="es-ES"/>
              </w:rPr>
              <w:t>2024-</w:t>
            </w:r>
            <w:r w:rsidR="00021690" w:rsidRPr="00D02594">
              <w:rPr>
                <w:rFonts w:cs="Arial"/>
                <w:sz w:val="20"/>
                <w:szCs w:val="20"/>
                <w:lang w:val="es-ES"/>
              </w:rPr>
              <w:t>2025</w:t>
            </w:r>
          </w:p>
        </w:tc>
        <w:tc>
          <w:tcPr>
            <w:tcW w:w="2094" w:type="dxa"/>
          </w:tcPr>
          <w:p w14:paraId="6B2F8783" w14:textId="77777777" w:rsidR="00021690" w:rsidRPr="00D02594" w:rsidRDefault="00021690" w:rsidP="00021690">
            <w:pPr>
              <w:widowControl w:val="0"/>
              <w:autoSpaceDE w:val="0"/>
              <w:adjustRightInd w:val="0"/>
              <w:jc w:val="both"/>
              <w:rPr>
                <w:rFonts w:cs="Arial"/>
                <w:sz w:val="20"/>
                <w:szCs w:val="20"/>
                <w:lang w:val="es-ES"/>
              </w:rPr>
            </w:pPr>
            <w:r w:rsidRPr="00D02594">
              <w:rPr>
                <w:rFonts w:cs="Arial"/>
                <w:sz w:val="20"/>
                <w:szCs w:val="20"/>
                <w:lang w:val="es-ES"/>
              </w:rPr>
              <w:t>ONG, expertos</w:t>
            </w:r>
          </w:p>
        </w:tc>
        <w:tc>
          <w:tcPr>
            <w:tcW w:w="2791" w:type="dxa"/>
          </w:tcPr>
          <w:p w14:paraId="7ED1D114" w14:textId="77777777" w:rsidR="00021690" w:rsidRDefault="003E0D7D" w:rsidP="00021690">
            <w:pPr>
              <w:widowControl w:val="0"/>
              <w:autoSpaceDE w:val="0"/>
              <w:adjustRightInd w:val="0"/>
              <w:jc w:val="both"/>
              <w:rPr>
                <w:rFonts w:cs="Arial"/>
                <w:sz w:val="20"/>
                <w:szCs w:val="20"/>
                <w:lang w:val="es-ES"/>
              </w:rPr>
            </w:pPr>
            <w:r w:rsidRPr="00D02594">
              <w:rPr>
                <w:rFonts w:cs="Arial"/>
                <w:sz w:val="20"/>
                <w:szCs w:val="20"/>
                <w:lang w:val="es-ES"/>
              </w:rPr>
              <w:t>Todas las Partes con actividades turísticas que apliquen o incorporen la aplicación de buenas prácticas en sus planes de gestión turística</w:t>
            </w:r>
          </w:p>
          <w:p w14:paraId="196E8AB4" w14:textId="32890B69" w:rsidR="00E50DB8" w:rsidRPr="00D02594" w:rsidRDefault="00E50DB8" w:rsidP="00021690">
            <w:pPr>
              <w:widowControl w:val="0"/>
              <w:autoSpaceDE w:val="0"/>
              <w:adjustRightInd w:val="0"/>
              <w:jc w:val="both"/>
              <w:rPr>
                <w:rFonts w:cs="Arial"/>
                <w:sz w:val="20"/>
                <w:szCs w:val="20"/>
                <w:lang w:val="es-ES"/>
              </w:rPr>
            </w:pPr>
          </w:p>
        </w:tc>
      </w:tr>
      <w:tr w:rsidR="00D36B97" w:rsidRPr="00D02594" w14:paraId="1BA8C61F" w14:textId="77777777" w:rsidTr="00D36B97">
        <w:trPr>
          <w:cnfStyle w:val="000000100000" w:firstRow="0" w:lastRow="0" w:firstColumn="0" w:lastColumn="0" w:oddVBand="0" w:evenVBand="0" w:oddHBand="1" w:evenHBand="0" w:firstRowFirstColumn="0" w:firstRowLastColumn="0" w:lastRowFirstColumn="0" w:lastRowLastColumn="0"/>
          <w:trHeight w:val="57"/>
        </w:trPr>
        <w:tc>
          <w:tcPr>
            <w:tcW w:w="14065" w:type="dxa"/>
            <w:gridSpan w:val="6"/>
            <w:shd w:val="clear" w:color="auto" w:fill="D9D9D9"/>
          </w:tcPr>
          <w:p w14:paraId="6096FE5B" w14:textId="6710AFE3" w:rsidR="00D36B97" w:rsidRPr="00D02594" w:rsidRDefault="00D36B97" w:rsidP="000F634A">
            <w:pPr>
              <w:widowControl w:val="0"/>
              <w:autoSpaceDE w:val="0"/>
              <w:adjustRightInd w:val="0"/>
              <w:jc w:val="center"/>
              <w:rPr>
                <w:rFonts w:cs="Arial"/>
                <w:sz w:val="20"/>
                <w:szCs w:val="20"/>
                <w:lang w:val="es-ES"/>
              </w:rPr>
            </w:pPr>
            <w:r w:rsidRPr="00D02594">
              <w:rPr>
                <w:rFonts w:cs="Arial"/>
                <w:b/>
                <w:bCs/>
                <w:sz w:val="20"/>
                <w:szCs w:val="20"/>
                <w:lang w:val="es-ES"/>
              </w:rPr>
              <w:t>Investigación</w:t>
            </w:r>
          </w:p>
        </w:tc>
      </w:tr>
      <w:tr w:rsidR="00021690" w:rsidRPr="001E7CF3" w14:paraId="16FAA733" w14:textId="77777777" w:rsidTr="00A373E6">
        <w:trPr>
          <w:gridBefore w:val="1"/>
          <w:wBefore w:w="108" w:type="dxa"/>
          <w:trHeight w:val="57"/>
        </w:trPr>
        <w:tc>
          <w:tcPr>
            <w:tcW w:w="4536" w:type="dxa"/>
          </w:tcPr>
          <w:p w14:paraId="669AE302" w14:textId="76D641FC" w:rsidR="00021690" w:rsidRPr="00D02594" w:rsidRDefault="008A34B7" w:rsidP="00021690">
            <w:pPr>
              <w:numPr>
                <w:ilvl w:val="0"/>
                <w:numId w:val="15"/>
              </w:numPr>
              <w:suppressAutoHyphens/>
              <w:autoSpaceDE w:val="0"/>
              <w:adjustRightInd w:val="0"/>
              <w:spacing w:before="40" w:after="40"/>
              <w:ind w:left="454" w:hanging="421"/>
              <w:contextualSpacing/>
              <w:jc w:val="both"/>
              <w:rPr>
                <w:rFonts w:cs="Arial"/>
                <w:sz w:val="20"/>
                <w:szCs w:val="20"/>
                <w:lang w:val="es-ES"/>
              </w:rPr>
            </w:pPr>
            <w:r w:rsidRPr="00D02594">
              <w:rPr>
                <w:rFonts w:cs="Arial"/>
                <w:sz w:val="20"/>
                <w:szCs w:val="20"/>
                <w:lang w:val="es-ES"/>
              </w:rPr>
              <w:t>Apoyar la evaluación de los impactos de la pesca en las interacciones del tiburón azul (mortalidad inducida por la pesca, descartes para diseñar estrategias de mitigación y apoyar la evaluación de la mortalidad posterior a la liberación de tiburones azules en todas las regiones, demografías y artes de pesca)</w:t>
            </w:r>
          </w:p>
        </w:tc>
        <w:tc>
          <w:tcPr>
            <w:tcW w:w="2552" w:type="dxa"/>
          </w:tcPr>
          <w:p w14:paraId="68DC0A11" w14:textId="77777777" w:rsidR="00637FEB" w:rsidRPr="00D02594" w:rsidRDefault="00637FEB" w:rsidP="008C09D5">
            <w:pPr>
              <w:widowControl w:val="0"/>
              <w:numPr>
                <w:ilvl w:val="0"/>
                <w:numId w:val="16"/>
              </w:numPr>
              <w:pBdr>
                <w:top w:val="nil"/>
                <w:left w:val="nil"/>
                <w:bottom w:val="nil"/>
                <w:right w:val="nil"/>
                <w:between w:val="nil"/>
              </w:pBdr>
              <w:suppressAutoHyphens/>
              <w:autoSpaceDE w:val="0"/>
              <w:autoSpaceDN/>
              <w:adjustRightInd w:val="0"/>
              <w:ind w:left="461" w:hanging="432"/>
              <w:jc w:val="both"/>
              <w:textAlignment w:val="auto"/>
              <w:rPr>
                <w:rFonts w:cs="Arial"/>
                <w:color w:val="000000"/>
                <w:sz w:val="20"/>
                <w:szCs w:val="20"/>
                <w:lang w:val="es-ES"/>
              </w:rPr>
            </w:pPr>
            <w:r w:rsidRPr="00D02594">
              <w:rPr>
                <w:rFonts w:cs="Arial"/>
                <w:color w:val="000000"/>
                <w:sz w:val="20"/>
                <w:szCs w:val="20"/>
                <w:lang w:val="es-ES"/>
              </w:rPr>
              <w:t>Determinación de las tasas de incidencia y mortalidad de las interacciones;</w:t>
            </w:r>
          </w:p>
          <w:p w14:paraId="5C7B2636" w14:textId="77777777" w:rsidR="00637FEB" w:rsidRPr="00D02594" w:rsidRDefault="00637FEB" w:rsidP="008C09D5">
            <w:pPr>
              <w:widowControl w:val="0"/>
              <w:numPr>
                <w:ilvl w:val="0"/>
                <w:numId w:val="16"/>
              </w:numPr>
              <w:pBdr>
                <w:top w:val="nil"/>
                <w:left w:val="nil"/>
                <w:bottom w:val="nil"/>
                <w:right w:val="nil"/>
                <w:between w:val="nil"/>
              </w:pBdr>
              <w:suppressAutoHyphens/>
              <w:autoSpaceDE w:val="0"/>
              <w:autoSpaceDN/>
              <w:adjustRightInd w:val="0"/>
              <w:ind w:left="461" w:hanging="432"/>
              <w:jc w:val="both"/>
              <w:textAlignment w:val="auto"/>
              <w:rPr>
                <w:rFonts w:cs="Arial"/>
                <w:color w:val="000000"/>
                <w:sz w:val="20"/>
                <w:szCs w:val="20"/>
                <w:lang w:val="es-ES"/>
              </w:rPr>
            </w:pPr>
            <w:r w:rsidRPr="00D02594">
              <w:rPr>
                <w:rFonts w:cs="Arial"/>
                <w:color w:val="000000"/>
                <w:sz w:val="20"/>
                <w:szCs w:val="20"/>
                <w:lang w:val="es-ES"/>
              </w:rPr>
              <w:t>Propuestas para reducir el riesgo de interacciones producidas con los tiburones azules;</w:t>
            </w:r>
          </w:p>
          <w:p w14:paraId="3B76E5C3" w14:textId="77777777" w:rsidR="00021690" w:rsidRPr="00D02594" w:rsidRDefault="00637FEB" w:rsidP="008C09D5">
            <w:pPr>
              <w:widowControl w:val="0"/>
              <w:numPr>
                <w:ilvl w:val="0"/>
                <w:numId w:val="16"/>
              </w:numPr>
              <w:pBdr>
                <w:top w:val="nil"/>
                <w:left w:val="nil"/>
                <w:bottom w:val="nil"/>
                <w:right w:val="nil"/>
                <w:between w:val="nil"/>
              </w:pBdr>
              <w:suppressAutoHyphens/>
              <w:autoSpaceDE w:val="0"/>
              <w:autoSpaceDN/>
              <w:adjustRightInd w:val="0"/>
              <w:ind w:left="461" w:hanging="432"/>
              <w:jc w:val="both"/>
              <w:textAlignment w:val="auto"/>
              <w:rPr>
                <w:rFonts w:cs="Arial"/>
                <w:color w:val="000000"/>
                <w:sz w:val="20"/>
                <w:szCs w:val="20"/>
                <w:lang w:val="es-ES"/>
              </w:rPr>
            </w:pPr>
            <w:r w:rsidRPr="00D02594">
              <w:rPr>
                <w:rFonts w:cs="Arial"/>
                <w:color w:val="000000"/>
                <w:sz w:val="20"/>
                <w:szCs w:val="20"/>
                <w:lang w:val="es-ES"/>
              </w:rPr>
              <w:lastRenderedPageBreak/>
              <w:t>Evaluación de los efectos de la interacción pesquera en las poblaciones de tiburón azul</w:t>
            </w:r>
          </w:p>
          <w:p w14:paraId="5F03A74E" w14:textId="4CAFFA4C" w:rsidR="00637FEB" w:rsidRPr="00D02594" w:rsidRDefault="008C09D5" w:rsidP="008C09D5">
            <w:pPr>
              <w:widowControl w:val="0"/>
              <w:numPr>
                <w:ilvl w:val="0"/>
                <w:numId w:val="16"/>
              </w:numPr>
              <w:pBdr>
                <w:top w:val="nil"/>
                <w:left w:val="nil"/>
                <w:bottom w:val="nil"/>
                <w:right w:val="nil"/>
                <w:between w:val="nil"/>
              </w:pBdr>
              <w:suppressAutoHyphens/>
              <w:autoSpaceDE w:val="0"/>
              <w:autoSpaceDN/>
              <w:adjustRightInd w:val="0"/>
              <w:ind w:left="461" w:hanging="432"/>
              <w:jc w:val="both"/>
              <w:textAlignment w:val="auto"/>
              <w:rPr>
                <w:rFonts w:cs="Arial"/>
                <w:color w:val="000000"/>
                <w:sz w:val="20"/>
                <w:szCs w:val="20"/>
                <w:lang w:val="es-ES"/>
              </w:rPr>
            </w:pPr>
            <w:r w:rsidRPr="00D02594">
              <w:rPr>
                <w:rFonts w:cs="Arial"/>
                <w:color w:val="000000"/>
                <w:sz w:val="20"/>
                <w:szCs w:val="20"/>
                <w:lang w:val="es-ES"/>
              </w:rPr>
              <w:t>Determinada la supervivencia del tiburón azul tras su liberación</w:t>
            </w:r>
          </w:p>
        </w:tc>
        <w:tc>
          <w:tcPr>
            <w:tcW w:w="1984" w:type="dxa"/>
          </w:tcPr>
          <w:p w14:paraId="2A364489" w14:textId="77777777" w:rsidR="00021690" w:rsidRPr="00D02594" w:rsidRDefault="00021690" w:rsidP="00021690">
            <w:pPr>
              <w:widowControl w:val="0"/>
              <w:autoSpaceDE w:val="0"/>
              <w:adjustRightInd w:val="0"/>
              <w:jc w:val="center"/>
              <w:rPr>
                <w:rFonts w:cs="Arial"/>
                <w:sz w:val="20"/>
                <w:szCs w:val="20"/>
                <w:lang w:val="es-ES"/>
              </w:rPr>
            </w:pPr>
            <w:r w:rsidRPr="00D02594">
              <w:rPr>
                <w:rFonts w:cs="Arial"/>
                <w:sz w:val="20"/>
                <w:szCs w:val="20"/>
                <w:lang w:val="es-ES"/>
              </w:rPr>
              <w:lastRenderedPageBreak/>
              <w:t>2025-2026</w:t>
            </w:r>
          </w:p>
        </w:tc>
        <w:tc>
          <w:tcPr>
            <w:tcW w:w="2094" w:type="dxa"/>
          </w:tcPr>
          <w:p w14:paraId="7EF01681" w14:textId="195AA156" w:rsidR="00021690" w:rsidRPr="00D02594" w:rsidRDefault="00067E1C" w:rsidP="00021690">
            <w:pPr>
              <w:widowControl w:val="0"/>
              <w:autoSpaceDE w:val="0"/>
              <w:adjustRightInd w:val="0"/>
              <w:jc w:val="both"/>
              <w:rPr>
                <w:rFonts w:cs="Arial"/>
                <w:sz w:val="20"/>
                <w:szCs w:val="20"/>
                <w:lang w:val="es-ES"/>
              </w:rPr>
            </w:pPr>
            <w:r w:rsidRPr="00D02594">
              <w:rPr>
                <w:rFonts w:cs="Arial"/>
                <w:sz w:val="20"/>
                <w:szCs w:val="20"/>
                <w:lang w:val="es-ES"/>
              </w:rPr>
              <w:t>Partes de la CMS (y Estados del área de distribución que no son Partes)</w:t>
            </w:r>
          </w:p>
        </w:tc>
        <w:tc>
          <w:tcPr>
            <w:tcW w:w="2791" w:type="dxa"/>
          </w:tcPr>
          <w:p w14:paraId="0CE163E7" w14:textId="77777777" w:rsidR="003F222B" w:rsidRPr="00D02594" w:rsidRDefault="003F222B" w:rsidP="003F222B">
            <w:pPr>
              <w:widowControl w:val="0"/>
              <w:autoSpaceDE w:val="0"/>
              <w:adjustRightInd w:val="0"/>
              <w:jc w:val="both"/>
              <w:rPr>
                <w:rFonts w:cs="Arial"/>
                <w:sz w:val="20"/>
                <w:szCs w:val="20"/>
                <w:lang w:val="es-ES"/>
              </w:rPr>
            </w:pPr>
            <w:r w:rsidRPr="00D02594">
              <w:rPr>
                <w:rFonts w:cs="Arial"/>
                <w:sz w:val="20"/>
                <w:szCs w:val="20"/>
                <w:lang w:val="es-ES"/>
              </w:rPr>
              <w:t>Los Estados del área de distribución de las Partes están desarrollando investigaciones sobre las interacciones y el riesgo de captura.</w:t>
            </w:r>
          </w:p>
          <w:p w14:paraId="5B9C51CA" w14:textId="3DC2459F" w:rsidR="00021690" w:rsidRPr="00D02594" w:rsidRDefault="003F222B" w:rsidP="003F222B">
            <w:pPr>
              <w:widowControl w:val="0"/>
              <w:autoSpaceDE w:val="0"/>
              <w:adjustRightInd w:val="0"/>
              <w:jc w:val="both"/>
              <w:rPr>
                <w:rFonts w:cs="Arial"/>
                <w:sz w:val="20"/>
                <w:szCs w:val="20"/>
                <w:lang w:val="es-ES"/>
              </w:rPr>
            </w:pPr>
            <w:r w:rsidRPr="00D02594">
              <w:rPr>
                <w:rFonts w:cs="Arial"/>
                <w:sz w:val="20"/>
                <w:szCs w:val="20"/>
                <w:lang w:val="es-ES"/>
              </w:rPr>
              <w:t xml:space="preserve">Buen conocimiento de la supervivencia posterior a la liberación de cada especie </w:t>
            </w:r>
            <w:r w:rsidRPr="00D02594">
              <w:rPr>
                <w:rFonts w:cs="Arial"/>
                <w:sz w:val="20"/>
                <w:szCs w:val="20"/>
                <w:lang w:val="es-ES"/>
              </w:rPr>
              <w:lastRenderedPageBreak/>
              <w:t>en las distintas artes y regiones.</w:t>
            </w:r>
          </w:p>
        </w:tc>
      </w:tr>
      <w:tr w:rsidR="00085084" w:rsidRPr="001E7CF3" w14:paraId="73FE160A" w14:textId="77777777" w:rsidTr="00A373E6">
        <w:trPr>
          <w:gridBefore w:val="1"/>
          <w:cnfStyle w:val="000000100000" w:firstRow="0" w:lastRow="0" w:firstColumn="0" w:lastColumn="0" w:oddVBand="0" w:evenVBand="0" w:oddHBand="1" w:evenHBand="0" w:firstRowFirstColumn="0" w:firstRowLastColumn="0" w:lastRowFirstColumn="0" w:lastRowLastColumn="0"/>
          <w:wBefore w:w="108" w:type="dxa"/>
          <w:trHeight w:val="57"/>
        </w:trPr>
        <w:tc>
          <w:tcPr>
            <w:tcW w:w="4536" w:type="dxa"/>
          </w:tcPr>
          <w:p w14:paraId="0FB0E6F5" w14:textId="26F1A48C" w:rsidR="00085084" w:rsidRPr="00D02594" w:rsidRDefault="00085084" w:rsidP="00085084">
            <w:pPr>
              <w:numPr>
                <w:ilvl w:val="0"/>
                <w:numId w:val="15"/>
              </w:numPr>
              <w:suppressAutoHyphens/>
              <w:autoSpaceDE w:val="0"/>
              <w:adjustRightInd w:val="0"/>
              <w:spacing w:before="40" w:after="40"/>
              <w:ind w:left="454" w:hanging="421"/>
              <w:contextualSpacing/>
              <w:jc w:val="both"/>
              <w:rPr>
                <w:rFonts w:cs="Arial"/>
                <w:sz w:val="20"/>
                <w:szCs w:val="20"/>
                <w:lang w:val="es-ES"/>
              </w:rPr>
            </w:pPr>
            <w:r w:rsidRPr="00D02594">
              <w:rPr>
                <w:rFonts w:cs="Arial"/>
                <w:sz w:val="20"/>
                <w:szCs w:val="20"/>
                <w:lang w:val="es-ES"/>
              </w:rPr>
              <w:lastRenderedPageBreak/>
              <w:t>Apoyar la identificación de subpoblaciones y diferencias genéticas (para apoyar los TAC regionales mediante datos independientes de la pesca)</w:t>
            </w:r>
          </w:p>
        </w:tc>
        <w:tc>
          <w:tcPr>
            <w:tcW w:w="2552" w:type="dxa"/>
          </w:tcPr>
          <w:p w14:paraId="1098FC87" w14:textId="3DB0C3AD" w:rsidR="00085084" w:rsidRPr="00D02594" w:rsidRDefault="00085084" w:rsidP="00085084">
            <w:pPr>
              <w:widowControl w:val="0"/>
              <w:autoSpaceDE w:val="0"/>
              <w:adjustRightInd w:val="0"/>
              <w:jc w:val="both"/>
              <w:rPr>
                <w:rFonts w:cs="Arial"/>
                <w:sz w:val="20"/>
                <w:szCs w:val="20"/>
                <w:lang w:val="es-ES"/>
              </w:rPr>
            </w:pPr>
            <w:r w:rsidRPr="00D02594">
              <w:rPr>
                <w:rFonts w:cs="Arial"/>
                <w:sz w:val="20"/>
                <w:szCs w:val="20"/>
                <w:lang w:val="es-ES"/>
              </w:rPr>
              <w:t xml:space="preserve">Subpoblaciones identificadas </w:t>
            </w:r>
          </w:p>
        </w:tc>
        <w:tc>
          <w:tcPr>
            <w:tcW w:w="1984" w:type="dxa"/>
          </w:tcPr>
          <w:p w14:paraId="581C915F" w14:textId="414F9153" w:rsidR="00085084" w:rsidRPr="00D02594" w:rsidRDefault="00085084" w:rsidP="00085084">
            <w:pPr>
              <w:widowControl w:val="0"/>
              <w:autoSpaceDE w:val="0"/>
              <w:adjustRightInd w:val="0"/>
              <w:jc w:val="center"/>
              <w:rPr>
                <w:rFonts w:cs="Arial"/>
                <w:sz w:val="20"/>
                <w:szCs w:val="20"/>
                <w:lang w:val="es-ES"/>
              </w:rPr>
            </w:pPr>
            <w:r w:rsidRPr="00D02594">
              <w:rPr>
                <w:rFonts w:cs="Arial"/>
                <w:sz w:val="20"/>
                <w:szCs w:val="20"/>
                <w:lang w:val="es-ES"/>
              </w:rPr>
              <w:t>2025</w:t>
            </w:r>
          </w:p>
        </w:tc>
        <w:tc>
          <w:tcPr>
            <w:tcW w:w="2094" w:type="dxa"/>
          </w:tcPr>
          <w:p w14:paraId="5B01CA8B" w14:textId="2486EFF3" w:rsidR="00085084" w:rsidRPr="00D02594" w:rsidRDefault="00085084" w:rsidP="00085084">
            <w:pPr>
              <w:widowControl w:val="0"/>
              <w:autoSpaceDE w:val="0"/>
              <w:adjustRightInd w:val="0"/>
              <w:jc w:val="both"/>
              <w:rPr>
                <w:rFonts w:cs="Arial"/>
                <w:sz w:val="20"/>
                <w:szCs w:val="20"/>
                <w:lang w:val="es-ES"/>
              </w:rPr>
            </w:pPr>
            <w:r w:rsidRPr="00D02594">
              <w:rPr>
                <w:rFonts w:cs="Arial"/>
                <w:sz w:val="20"/>
                <w:szCs w:val="20"/>
                <w:lang w:val="es-ES"/>
              </w:rPr>
              <w:t>Partes de la CMS (y Estados del área de distribución que no son Partes)</w:t>
            </w:r>
          </w:p>
        </w:tc>
        <w:tc>
          <w:tcPr>
            <w:tcW w:w="2791" w:type="dxa"/>
          </w:tcPr>
          <w:p w14:paraId="6EC418F3" w14:textId="67B00C1A" w:rsidR="00085084" w:rsidRPr="00D02594" w:rsidRDefault="00085084" w:rsidP="00085084">
            <w:pPr>
              <w:widowControl w:val="0"/>
              <w:autoSpaceDE w:val="0"/>
              <w:adjustRightInd w:val="0"/>
              <w:jc w:val="both"/>
              <w:rPr>
                <w:rFonts w:cs="Arial"/>
                <w:sz w:val="20"/>
                <w:szCs w:val="20"/>
                <w:lang w:val="es-ES"/>
              </w:rPr>
            </w:pPr>
            <w:r w:rsidRPr="00D02594">
              <w:rPr>
                <w:rFonts w:cs="Arial"/>
                <w:color w:val="000000"/>
                <w:sz w:val="20"/>
                <w:szCs w:val="20"/>
                <w:lang w:val="es-ES"/>
              </w:rPr>
              <w:t xml:space="preserve">Todas las unidades de gestión/poblaciones identificadas genéticamente. </w:t>
            </w:r>
          </w:p>
        </w:tc>
      </w:tr>
      <w:tr w:rsidR="003B75D0" w:rsidRPr="001E7CF3" w14:paraId="27C1AC69" w14:textId="77777777" w:rsidTr="00A373E6">
        <w:trPr>
          <w:gridBefore w:val="1"/>
          <w:wBefore w:w="108" w:type="dxa"/>
          <w:trHeight w:val="57"/>
        </w:trPr>
        <w:tc>
          <w:tcPr>
            <w:tcW w:w="4536" w:type="dxa"/>
          </w:tcPr>
          <w:p w14:paraId="431B4486" w14:textId="1844A224" w:rsidR="003B75D0" w:rsidRPr="00D02594" w:rsidRDefault="003B75D0" w:rsidP="003B75D0">
            <w:pPr>
              <w:numPr>
                <w:ilvl w:val="0"/>
                <w:numId w:val="15"/>
              </w:numPr>
              <w:suppressAutoHyphens/>
              <w:autoSpaceDE w:val="0"/>
              <w:adjustRightInd w:val="0"/>
              <w:spacing w:before="40" w:after="40"/>
              <w:ind w:left="454" w:hanging="421"/>
              <w:contextualSpacing/>
              <w:jc w:val="both"/>
              <w:rPr>
                <w:rFonts w:cs="Arial"/>
                <w:sz w:val="20"/>
                <w:szCs w:val="20"/>
                <w:lang w:val="es-ES"/>
              </w:rPr>
            </w:pPr>
            <w:r w:rsidRPr="00D02594">
              <w:rPr>
                <w:rFonts w:cs="Arial"/>
                <w:sz w:val="20"/>
                <w:szCs w:val="20"/>
                <w:lang w:val="es-ES"/>
              </w:rPr>
              <w:t>Identificar incoherencias en el nivel de protección garantizado por los distintos Estados del área de distribución de las Partes</w:t>
            </w:r>
          </w:p>
        </w:tc>
        <w:tc>
          <w:tcPr>
            <w:tcW w:w="2552" w:type="dxa"/>
          </w:tcPr>
          <w:p w14:paraId="08209795" w14:textId="68CB1816" w:rsidR="003B75D0" w:rsidRPr="00D02594" w:rsidRDefault="003B75D0" w:rsidP="003B75D0">
            <w:pPr>
              <w:widowControl w:val="0"/>
              <w:autoSpaceDE w:val="0"/>
              <w:adjustRightInd w:val="0"/>
              <w:jc w:val="both"/>
              <w:rPr>
                <w:rFonts w:cs="Arial"/>
                <w:sz w:val="20"/>
                <w:szCs w:val="20"/>
                <w:lang w:val="es-ES"/>
              </w:rPr>
            </w:pPr>
            <w:r w:rsidRPr="00D02594">
              <w:rPr>
                <w:rFonts w:cs="Arial"/>
                <w:sz w:val="20"/>
                <w:szCs w:val="20"/>
                <w:lang w:val="es-ES"/>
              </w:rPr>
              <w:t>Análisis de las carencias en materia de protección.</w:t>
            </w:r>
          </w:p>
        </w:tc>
        <w:tc>
          <w:tcPr>
            <w:tcW w:w="1984" w:type="dxa"/>
          </w:tcPr>
          <w:p w14:paraId="6563ECDE" w14:textId="5267F402" w:rsidR="003B75D0" w:rsidRPr="00D02594" w:rsidRDefault="003B75D0" w:rsidP="003B75D0">
            <w:pPr>
              <w:widowControl w:val="0"/>
              <w:autoSpaceDE w:val="0"/>
              <w:adjustRightInd w:val="0"/>
              <w:jc w:val="center"/>
              <w:rPr>
                <w:rFonts w:cs="Arial"/>
                <w:sz w:val="20"/>
                <w:szCs w:val="20"/>
                <w:lang w:val="es-ES"/>
              </w:rPr>
            </w:pPr>
            <w:r w:rsidRPr="00D02594">
              <w:rPr>
                <w:rFonts w:cs="Arial"/>
                <w:sz w:val="20"/>
                <w:szCs w:val="20"/>
                <w:lang w:val="es-ES"/>
              </w:rPr>
              <w:t>2024</w:t>
            </w:r>
          </w:p>
        </w:tc>
        <w:tc>
          <w:tcPr>
            <w:tcW w:w="2094" w:type="dxa"/>
          </w:tcPr>
          <w:p w14:paraId="4582F443" w14:textId="7908DFC4" w:rsidR="003B75D0" w:rsidRPr="00D02594" w:rsidRDefault="003B75D0" w:rsidP="003B75D0">
            <w:pPr>
              <w:widowControl w:val="0"/>
              <w:autoSpaceDE w:val="0"/>
              <w:adjustRightInd w:val="0"/>
              <w:jc w:val="both"/>
              <w:rPr>
                <w:rFonts w:cs="Arial"/>
                <w:sz w:val="20"/>
                <w:szCs w:val="20"/>
                <w:lang w:val="es-ES"/>
              </w:rPr>
            </w:pPr>
            <w:r w:rsidRPr="00D02594">
              <w:rPr>
                <w:rFonts w:cs="Arial"/>
                <w:sz w:val="20"/>
                <w:szCs w:val="20"/>
                <w:lang w:val="es-ES"/>
              </w:rPr>
              <w:t>ONG</w:t>
            </w:r>
          </w:p>
        </w:tc>
        <w:tc>
          <w:tcPr>
            <w:tcW w:w="2791" w:type="dxa"/>
          </w:tcPr>
          <w:p w14:paraId="4BE19298" w14:textId="647D69BF" w:rsidR="003B75D0" w:rsidRPr="00D02594" w:rsidRDefault="003B75D0" w:rsidP="003B75D0">
            <w:pPr>
              <w:widowControl w:val="0"/>
              <w:autoSpaceDE w:val="0"/>
              <w:adjustRightInd w:val="0"/>
              <w:jc w:val="both"/>
              <w:rPr>
                <w:rFonts w:cs="Arial"/>
                <w:sz w:val="20"/>
                <w:szCs w:val="20"/>
                <w:lang w:val="es-ES"/>
              </w:rPr>
            </w:pPr>
            <w:r w:rsidRPr="00D02594">
              <w:rPr>
                <w:rFonts w:cs="Arial"/>
                <w:sz w:val="20"/>
                <w:szCs w:val="20"/>
                <w:lang w:val="es-ES"/>
              </w:rPr>
              <w:t xml:space="preserve">Identificación de todos los </w:t>
            </w:r>
            <w:r w:rsidRPr="00D02594">
              <w:rPr>
                <w:rFonts w:cs="Arial"/>
                <w:color w:val="000000"/>
                <w:sz w:val="20"/>
                <w:szCs w:val="20"/>
                <w:lang w:val="es-ES"/>
              </w:rPr>
              <w:t>Estados Partes del área de distribución con lagunas</w:t>
            </w:r>
          </w:p>
        </w:tc>
      </w:tr>
      <w:tr w:rsidR="00653624" w:rsidRPr="001E7CF3" w14:paraId="757BF13A" w14:textId="77777777" w:rsidTr="00A373E6">
        <w:trPr>
          <w:gridBefore w:val="1"/>
          <w:cnfStyle w:val="000000100000" w:firstRow="0" w:lastRow="0" w:firstColumn="0" w:lastColumn="0" w:oddVBand="0" w:evenVBand="0" w:oddHBand="1" w:evenHBand="0" w:firstRowFirstColumn="0" w:firstRowLastColumn="0" w:lastRowFirstColumn="0" w:lastRowLastColumn="0"/>
          <w:wBefore w:w="108" w:type="dxa"/>
          <w:trHeight w:val="57"/>
        </w:trPr>
        <w:tc>
          <w:tcPr>
            <w:tcW w:w="4536" w:type="dxa"/>
          </w:tcPr>
          <w:p w14:paraId="62F96F7D" w14:textId="4120F0AB" w:rsidR="00653624" w:rsidRPr="00D02594" w:rsidRDefault="00653624" w:rsidP="00653624">
            <w:pPr>
              <w:numPr>
                <w:ilvl w:val="0"/>
                <w:numId w:val="15"/>
              </w:numPr>
              <w:suppressAutoHyphens/>
              <w:autoSpaceDE w:val="0"/>
              <w:adjustRightInd w:val="0"/>
              <w:spacing w:before="40" w:after="40"/>
              <w:ind w:left="454" w:hanging="421"/>
              <w:contextualSpacing/>
              <w:jc w:val="both"/>
              <w:rPr>
                <w:rFonts w:cs="Arial"/>
                <w:sz w:val="20"/>
                <w:szCs w:val="20"/>
                <w:lang w:val="es-ES"/>
              </w:rPr>
            </w:pPr>
            <w:r w:rsidRPr="00D02594">
              <w:rPr>
                <w:rFonts w:cs="Arial"/>
                <w:sz w:val="20"/>
                <w:szCs w:val="20"/>
                <w:lang w:val="es-ES"/>
              </w:rPr>
              <w:t xml:space="preserve">Identificar los hábitats críticos y comprender la conectividad y las migraciones; </w:t>
            </w:r>
          </w:p>
        </w:tc>
        <w:tc>
          <w:tcPr>
            <w:tcW w:w="2552" w:type="dxa"/>
          </w:tcPr>
          <w:p w14:paraId="2AA8763B" w14:textId="77777777" w:rsidR="00653624" w:rsidRPr="00D02594" w:rsidRDefault="00653624" w:rsidP="00653624">
            <w:pPr>
              <w:widowControl w:val="0"/>
              <w:numPr>
                <w:ilvl w:val="0"/>
                <w:numId w:val="16"/>
              </w:numPr>
              <w:pBdr>
                <w:top w:val="nil"/>
                <w:left w:val="nil"/>
                <w:bottom w:val="nil"/>
                <w:right w:val="nil"/>
                <w:between w:val="nil"/>
              </w:pBdr>
              <w:suppressAutoHyphens/>
              <w:autoSpaceDE w:val="0"/>
              <w:adjustRightInd w:val="0"/>
              <w:ind w:left="455" w:hanging="426"/>
              <w:jc w:val="both"/>
              <w:rPr>
                <w:rFonts w:cs="Arial"/>
                <w:color w:val="000000"/>
                <w:sz w:val="20"/>
                <w:szCs w:val="20"/>
                <w:lang w:val="es-ES"/>
              </w:rPr>
            </w:pPr>
            <w:r w:rsidRPr="00D02594">
              <w:rPr>
                <w:rFonts w:cs="Arial"/>
                <w:color w:val="000000"/>
                <w:sz w:val="20"/>
                <w:szCs w:val="20"/>
                <w:lang w:val="es-ES"/>
              </w:rPr>
              <w:t>Identificación de las áreas críticas;</w:t>
            </w:r>
          </w:p>
          <w:p w14:paraId="1BCC8F0D" w14:textId="77777777" w:rsidR="00653624" w:rsidRPr="00D02594" w:rsidRDefault="00653624" w:rsidP="00653624">
            <w:pPr>
              <w:widowControl w:val="0"/>
              <w:numPr>
                <w:ilvl w:val="0"/>
                <w:numId w:val="16"/>
              </w:numPr>
              <w:pBdr>
                <w:top w:val="nil"/>
                <w:left w:val="nil"/>
                <w:bottom w:val="nil"/>
                <w:right w:val="nil"/>
                <w:between w:val="nil"/>
              </w:pBdr>
              <w:suppressAutoHyphens/>
              <w:autoSpaceDE w:val="0"/>
              <w:adjustRightInd w:val="0"/>
              <w:ind w:left="455" w:hanging="426"/>
              <w:jc w:val="both"/>
              <w:rPr>
                <w:rFonts w:cs="Arial"/>
                <w:color w:val="000000"/>
                <w:sz w:val="20"/>
                <w:szCs w:val="20"/>
                <w:lang w:val="es-ES"/>
              </w:rPr>
            </w:pPr>
            <w:r w:rsidRPr="00D02594">
              <w:rPr>
                <w:rFonts w:cs="Arial"/>
                <w:color w:val="000000"/>
                <w:sz w:val="20"/>
                <w:szCs w:val="20"/>
                <w:lang w:val="es-ES"/>
              </w:rPr>
              <w:t>Identificación de las rutas migratorias;</w:t>
            </w:r>
          </w:p>
          <w:p w14:paraId="2098128D" w14:textId="77777777" w:rsidR="00653624" w:rsidRPr="00D02594" w:rsidRDefault="00653624" w:rsidP="00653624">
            <w:pPr>
              <w:widowControl w:val="0"/>
              <w:numPr>
                <w:ilvl w:val="0"/>
                <w:numId w:val="16"/>
              </w:numPr>
              <w:pBdr>
                <w:top w:val="nil"/>
                <w:left w:val="nil"/>
                <w:bottom w:val="nil"/>
                <w:right w:val="nil"/>
                <w:between w:val="nil"/>
              </w:pBdr>
              <w:suppressAutoHyphens/>
              <w:autoSpaceDE w:val="0"/>
              <w:adjustRightInd w:val="0"/>
              <w:ind w:left="455" w:hanging="426"/>
              <w:jc w:val="both"/>
              <w:rPr>
                <w:rFonts w:cs="Arial"/>
                <w:color w:val="000000"/>
                <w:sz w:val="20"/>
                <w:szCs w:val="20"/>
                <w:lang w:val="es-ES"/>
              </w:rPr>
            </w:pPr>
            <w:r w:rsidRPr="00D02594">
              <w:rPr>
                <w:rFonts w:cs="Arial"/>
                <w:color w:val="000000"/>
                <w:sz w:val="20"/>
                <w:szCs w:val="20"/>
                <w:lang w:val="es-ES"/>
              </w:rPr>
              <w:t>Identificación de las áreas prioritarias para la conservación (PAC).</w:t>
            </w:r>
          </w:p>
          <w:p w14:paraId="1636FF41" w14:textId="5BBA6B5A" w:rsidR="00653624" w:rsidRPr="00D02594" w:rsidRDefault="00854738" w:rsidP="00653624">
            <w:pPr>
              <w:widowControl w:val="0"/>
              <w:numPr>
                <w:ilvl w:val="0"/>
                <w:numId w:val="16"/>
              </w:numPr>
              <w:pBdr>
                <w:top w:val="nil"/>
                <w:left w:val="nil"/>
                <w:bottom w:val="nil"/>
                <w:right w:val="nil"/>
                <w:between w:val="nil"/>
              </w:pBdr>
              <w:suppressAutoHyphens/>
              <w:autoSpaceDE w:val="0"/>
              <w:adjustRightInd w:val="0"/>
              <w:ind w:left="455" w:hanging="426"/>
              <w:jc w:val="both"/>
              <w:rPr>
                <w:rFonts w:cs="Arial"/>
                <w:color w:val="000000"/>
                <w:sz w:val="20"/>
                <w:szCs w:val="20"/>
                <w:lang w:val="es-ES"/>
              </w:rPr>
            </w:pPr>
            <w:r w:rsidRPr="00D02594">
              <w:rPr>
                <w:rFonts w:cs="Arial"/>
                <w:color w:val="000000"/>
                <w:sz w:val="20"/>
                <w:szCs w:val="20"/>
                <w:lang w:val="es-ES"/>
              </w:rPr>
              <w:t>E-Atlas/otros resultados SIG de hábitats críticos</w:t>
            </w:r>
          </w:p>
        </w:tc>
        <w:tc>
          <w:tcPr>
            <w:tcW w:w="1984" w:type="dxa"/>
          </w:tcPr>
          <w:p w14:paraId="56EB2938" w14:textId="279E7B2A" w:rsidR="00653624" w:rsidRPr="00D02594" w:rsidRDefault="00653624" w:rsidP="00653624">
            <w:pPr>
              <w:widowControl w:val="0"/>
              <w:autoSpaceDE w:val="0"/>
              <w:adjustRightInd w:val="0"/>
              <w:jc w:val="center"/>
              <w:rPr>
                <w:rFonts w:cs="Arial"/>
                <w:sz w:val="20"/>
                <w:szCs w:val="20"/>
                <w:lang w:val="es-ES"/>
              </w:rPr>
            </w:pPr>
            <w:r w:rsidRPr="00D02594">
              <w:rPr>
                <w:rFonts w:cs="Arial"/>
                <w:color w:val="000000"/>
                <w:sz w:val="20"/>
                <w:szCs w:val="20"/>
                <w:lang w:val="es-ES"/>
              </w:rPr>
              <w:t>2024-2025</w:t>
            </w:r>
          </w:p>
        </w:tc>
        <w:tc>
          <w:tcPr>
            <w:tcW w:w="2094" w:type="dxa"/>
          </w:tcPr>
          <w:p w14:paraId="1699238F" w14:textId="16AFFC50" w:rsidR="00653624" w:rsidRPr="00D02594" w:rsidRDefault="00653624" w:rsidP="00653624">
            <w:pPr>
              <w:widowControl w:val="0"/>
              <w:autoSpaceDE w:val="0"/>
              <w:adjustRightInd w:val="0"/>
              <w:jc w:val="both"/>
              <w:rPr>
                <w:rFonts w:cs="Arial"/>
                <w:sz w:val="20"/>
                <w:szCs w:val="20"/>
                <w:lang w:val="es-ES"/>
              </w:rPr>
            </w:pPr>
            <w:r w:rsidRPr="00D02594">
              <w:rPr>
                <w:rFonts w:cs="Arial"/>
                <w:sz w:val="20"/>
                <w:szCs w:val="20"/>
                <w:lang w:val="es-ES"/>
              </w:rPr>
              <w:t>ONG/grupos de investigación</w:t>
            </w:r>
            <w:r w:rsidR="003171DA" w:rsidRPr="00D02594">
              <w:rPr>
                <w:rFonts w:cs="Arial"/>
                <w:sz w:val="20"/>
                <w:szCs w:val="20"/>
                <w:lang w:val="es-ES"/>
              </w:rPr>
              <w:t>/</w:t>
            </w:r>
            <w:r w:rsidR="004D3BEC" w:rsidRPr="00D02594">
              <w:rPr>
                <w:rFonts w:cs="Arial"/>
                <w:sz w:val="20"/>
                <w:szCs w:val="20"/>
                <w:lang w:val="es-ES"/>
              </w:rPr>
              <w:t>SSG DE LA UICN</w:t>
            </w:r>
            <w:r w:rsidR="003171DA" w:rsidRPr="00D02594">
              <w:rPr>
                <w:rFonts w:cs="Arial"/>
                <w:sz w:val="20"/>
                <w:szCs w:val="20"/>
                <w:lang w:val="es-ES"/>
              </w:rPr>
              <w:t xml:space="preserve"> ISRA </w:t>
            </w:r>
          </w:p>
        </w:tc>
        <w:tc>
          <w:tcPr>
            <w:tcW w:w="2791" w:type="dxa"/>
          </w:tcPr>
          <w:p w14:paraId="27D7EABE" w14:textId="77777777" w:rsidR="00653624" w:rsidRPr="00D02594" w:rsidRDefault="00653624" w:rsidP="00653624">
            <w:pPr>
              <w:widowControl w:val="0"/>
              <w:pBdr>
                <w:top w:val="nil"/>
                <w:left w:val="nil"/>
                <w:bottom w:val="nil"/>
                <w:right w:val="nil"/>
                <w:between w:val="nil"/>
              </w:pBdr>
              <w:autoSpaceDE w:val="0"/>
              <w:adjustRightInd w:val="0"/>
              <w:contextualSpacing/>
              <w:rPr>
                <w:rFonts w:cs="Arial"/>
                <w:color w:val="000000"/>
                <w:sz w:val="20"/>
                <w:szCs w:val="20"/>
                <w:lang w:val="es-ES"/>
              </w:rPr>
            </w:pPr>
            <w:r w:rsidRPr="00D02594">
              <w:rPr>
                <w:rFonts w:cs="Arial"/>
                <w:color w:val="000000"/>
                <w:sz w:val="20"/>
                <w:szCs w:val="20"/>
                <w:lang w:val="es-ES"/>
              </w:rPr>
              <w:t xml:space="preserve">Base de datos mundial de hábitats y rutas migratorias fundamentales del tiburón azul </w:t>
            </w:r>
          </w:p>
          <w:p w14:paraId="0BF5F31A" w14:textId="2543D15F" w:rsidR="00653624" w:rsidRPr="00D02594" w:rsidRDefault="00653624" w:rsidP="00653624">
            <w:pPr>
              <w:widowControl w:val="0"/>
              <w:autoSpaceDE w:val="0"/>
              <w:adjustRightInd w:val="0"/>
              <w:jc w:val="both"/>
              <w:rPr>
                <w:rFonts w:cs="Arial"/>
                <w:sz w:val="20"/>
                <w:szCs w:val="20"/>
                <w:lang w:val="es-ES"/>
              </w:rPr>
            </w:pPr>
            <w:r w:rsidRPr="00D02594">
              <w:rPr>
                <w:rFonts w:cs="Arial"/>
                <w:color w:val="000000"/>
                <w:sz w:val="20"/>
                <w:szCs w:val="20"/>
                <w:lang w:val="es-ES"/>
              </w:rPr>
              <w:t>Identificación de las PAC</w:t>
            </w:r>
            <w:r w:rsidR="00456642" w:rsidRPr="00D02594">
              <w:rPr>
                <w:rFonts w:cs="Arial"/>
                <w:color w:val="000000"/>
                <w:sz w:val="20"/>
                <w:szCs w:val="20"/>
                <w:lang w:val="es-ES"/>
              </w:rPr>
              <w:t xml:space="preserve"> y compartida con iniciativas mundiales (por ejemplo, las ISRA).</w:t>
            </w:r>
          </w:p>
        </w:tc>
      </w:tr>
      <w:tr w:rsidR="008217FB" w:rsidRPr="001E7CF3" w14:paraId="6CB0E48A" w14:textId="77777777" w:rsidTr="00A373E6">
        <w:trPr>
          <w:gridBefore w:val="1"/>
          <w:wBefore w:w="108" w:type="dxa"/>
          <w:trHeight w:val="57"/>
        </w:trPr>
        <w:tc>
          <w:tcPr>
            <w:tcW w:w="4536" w:type="dxa"/>
          </w:tcPr>
          <w:p w14:paraId="46D1F858" w14:textId="78C77B02" w:rsidR="008217FB" w:rsidRPr="00D02594" w:rsidRDefault="008217FB" w:rsidP="008217FB">
            <w:pPr>
              <w:numPr>
                <w:ilvl w:val="0"/>
                <w:numId w:val="15"/>
              </w:numPr>
              <w:suppressAutoHyphens/>
              <w:autoSpaceDE w:val="0"/>
              <w:adjustRightInd w:val="0"/>
              <w:spacing w:before="40" w:after="40"/>
              <w:ind w:left="454" w:hanging="421"/>
              <w:contextualSpacing/>
              <w:jc w:val="both"/>
              <w:rPr>
                <w:rFonts w:cs="Arial"/>
                <w:sz w:val="20"/>
                <w:szCs w:val="20"/>
                <w:lang w:val="es-ES"/>
              </w:rPr>
            </w:pPr>
            <w:r w:rsidRPr="00D02594">
              <w:rPr>
                <w:rFonts w:cs="Arial"/>
                <w:sz w:val="20"/>
                <w:szCs w:val="20"/>
                <w:lang w:val="es-ES"/>
              </w:rPr>
              <w:t>Apoyar las evaluaciones de los impactos del cambio climático en las tintoreras por población o región</w:t>
            </w:r>
          </w:p>
        </w:tc>
        <w:tc>
          <w:tcPr>
            <w:tcW w:w="2552" w:type="dxa"/>
          </w:tcPr>
          <w:p w14:paraId="00312436" w14:textId="7CAF13CC" w:rsidR="008217FB" w:rsidRPr="00D02594" w:rsidRDefault="008217FB" w:rsidP="008217FB">
            <w:pPr>
              <w:widowControl w:val="0"/>
              <w:autoSpaceDE w:val="0"/>
              <w:adjustRightInd w:val="0"/>
              <w:jc w:val="both"/>
              <w:rPr>
                <w:rFonts w:cs="Arial"/>
                <w:sz w:val="20"/>
                <w:szCs w:val="20"/>
                <w:lang w:val="es-ES"/>
              </w:rPr>
            </w:pPr>
            <w:r w:rsidRPr="00D02594">
              <w:rPr>
                <w:rFonts w:cs="Arial"/>
                <w:sz w:val="20"/>
                <w:szCs w:val="20"/>
                <w:lang w:val="es-ES"/>
              </w:rPr>
              <w:t>Mejor comprensión de la vulnerabilidad y los efectos del cambio climático en las poblaciones de tiburón azul.</w:t>
            </w:r>
          </w:p>
        </w:tc>
        <w:tc>
          <w:tcPr>
            <w:tcW w:w="1984" w:type="dxa"/>
          </w:tcPr>
          <w:p w14:paraId="7846CFBB" w14:textId="639780E1" w:rsidR="008217FB" w:rsidRPr="00D02594" w:rsidRDefault="008217FB" w:rsidP="008217FB">
            <w:pPr>
              <w:widowControl w:val="0"/>
              <w:autoSpaceDE w:val="0"/>
              <w:adjustRightInd w:val="0"/>
              <w:jc w:val="center"/>
              <w:rPr>
                <w:rFonts w:cs="Arial"/>
                <w:sz w:val="20"/>
                <w:szCs w:val="20"/>
                <w:lang w:val="es-ES"/>
              </w:rPr>
            </w:pPr>
            <w:r w:rsidRPr="00D02594">
              <w:rPr>
                <w:rFonts w:cs="Arial"/>
                <w:sz w:val="20"/>
                <w:szCs w:val="20"/>
                <w:lang w:val="es-ES"/>
              </w:rPr>
              <w:t>2025</w:t>
            </w:r>
          </w:p>
        </w:tc>
        <w:tc>
          <w:tcPr>
            <w:tcW w:w="2094" w:type="dxa"/>
          </w:tcPr>
          <w:p w14:paraId="4F9C27E7" w14:textId="463816AC" w:rsidR="008217FB" w:rsidRPr="00D02594" w:rsidRDefault="008217FB" w:rsidP="008217FB">
            <w:pPr>
              <w:widowControl w:val="0"/>
              <w:autoSpaceDE w:val="0"/>
              <w:adjustRightInd w:val="0"/>
              <w:jc w:val="both"/>
              <w:rPr>
                <w:rFonts w:cs="Arial"/>
                <w:sz w:val="20"/>
                <w:szCs w:val="20"/>
                <w:lang w:val="es-ES"/>
              </w:rPr>
            </w:pPr>
            <w:r w:rsidRPr="00D02594">
              <w:rPr>
                <w:rFonts w:cs="Arial"/>
                <w:sz w:val="20"/>
                <w:szCs w:val="20"/>
                <w:lang w:val="es-ES"/>
              </w:rPr>
              <w:t>ONG/grupos de investigación</w:t>
            </w:r>
          </w:p>
        </w:tc>
        <w:tc>
          <w:tcPr>
            <w:tcW w:w="2791" w:type="dxa"/>
          </w:tcPr>
          <w:p w14:paraId="34B3B198" w14:textId="70CAA3A4" w:rsidR="008217FB" w:rsidRPr="00D02594" w:rsidRDefault="008217FB" w:rsidP="008217FB">
            <w:pPr>
              <w:widowControl w:val="0"/>
              <w:autoSpaceDE w:val="0"/>
              <w:adjustRightInd w:val="0"/>
              <w:jc w:val="both"/>
              <w:rPr>
                <w:rFonts w:cs="Arial"/>
                <w:sz w:val="20"/>
                <w:szCs w:val="20"/>
                <w:lang w:val="es-ES"/>
              </w:rPr>
            </w:pPr>
            <w:r w:rsidRPr="00D02594">
              <w:rPr>
                <w:rFonts w:cs="Arial"/>
                <w:sz w:val="20"/>
                <w:szCs w:val="20"/>
                <w:lang w:val="es-ES"/>
              </w:rPr>
              <w:t>Evaluaciones de riesgo para definir la vulnerabilidad de los tiburones azules al cambio climático</w:t>
            </w:r>
          </w:p>
        </w:tc>
      </w:tr>
    </w:tbl>
    <w:p w14:paraId="6E10C141" w14:textId="77777777" w:rsidR="002D5F2A" w:rsidRPr="00800CB3" w:rsidRDefault="002D5F2A" w:rsidP="00B40E07">
      <w:pPr>
        <w:pStyle w:val="Firstnumbering1"/>
        <w:numPr>
          <w:ilvl w:val="0"/>
          <w:numId w:val="0"/>
        </w:numPr>
        <w:ind w:left="567"/>
      </w:pPr>
    </w:p>
    <w:sectPr w:rsidR="002D5F2A" w:rsidRPr="00800CB3" w:rsidSect="005B5EBA">
      <w:headerReference w:type="even" r:id="rId20"/>
      <w:headerReference w:type="default" r:id="rId21"/>
      <w:headerReference w:type="first" r:id="rId22"/>
      <w:footerReference w:type="first" r:id="rId23"/>
      <w:endnotePr>
        <w:numFmt w:val="decimal"/>
      </w:endnotePr>
      <w:pgSz w:w="16837" w:h="11905" w:orient="landscape"/>
      <w:pgMar w:top="1440" w:right="1440" w:bottom="1440" w:left="1440" w:header="81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34410" w14:textId="77777777" w:rsidR="005B5EBA" w:rsidRDefault="005B5EBA" w:rsidP="00002A97">
      <w:pPr>
        <w:spacing w:after="0" w:line="240" w:lineRule="auto"/>
      </w:pPr>
      <w:r>
        <w:separator/>
      </w:r>
    </w:p>
  </w:endnote>
  <w:endnote w:type="continuationSeparator" w:id="0">
    <w:p w14:paraId="2A1E29BE" w14:textId="77777777" w:rsidR="005B5EBA" w:rsidRDefault="005B5EBA" w:rsidP="00002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858933"/>
      <w:docPartObj>
        <w:docPartGallery w:val="Page Numbers (Bottom of Page)"/>
        <w:docPartUnique/>
      </w:docPartObj>
    </w:sdtPr>
    <w:sdtEndPr>
      <w:rPr>
        <w:noProof/>
        <w:sz w:val="18"/>
        <w:szCs w:val="18"/>
      </w:rPr>
    </w:sdtEndPr>
    <w:sdtContent>
      <w:p w14:paraId="602E550D" w14:textId="4A028FE9"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702069"/>
      <w:docPartObj>
        <w:docPartGallery w:val="Page Numbers (Bottom of Page)"/>
        <w:docPartUnique/>
      </w:docPartObj>
    </w:sdtPr>
    <w:sdtEndPr>
      <w:rPr>
        <w:noProof/>
        <w:sz w:val="18"/>
        <w:szCs w:val="18"/>
      </w:rPr>
    </w:sdtEndPr>
    <w:sdtContent>
      <w:p w14:paraId="301D92B9" w14:textId="0535CE5A" w:rsidR="000F4BDA" w:rsidRPr="000F4BDA" w:rsidRDefault="000F4BDA">
        <w:pPr>
          <w:pStyle w:val="Footer"/>
          <w:jc w:val="center"/>
          <w:rPr>
            <w:sz w:val="18"/>
            <w:szCs w:val="18"/>
          </w:rPr>
        </w:pPr>
        <w:r w:rsidRPr="000F4BDA">
          <w:rPr>
            <w:sz w:val="18"/>
            <w:szCs w:val="18"/>
          </w:rPr>
          <w:fldChar w:fldCharType="begin"/>
        </w:r>
        <w:r w:rsidRPr="000F4BDA">
          <w:rPr>
            <w:sz w:val="18"/>
            <w:szCs w:val="18"/>
          </w:rPr>
          <w:instrText xml:space="preserve"> PAGE   \* MERGEFORMAT </w:instrText>
        </w:r>
        <w:r w:rsidRPr="000F4BDA">
          <w:rPr>
            <w:sz w:val="18"/>
            <w:szCs w:val="18"/>
          </w:rPr>
          <w:fldChar w:fldCharType="separate"/>
        </w:r>
        <w:r w:rsidRPr="000F4BDA">
          <w:rPr>
            <w:noProof/>
            <w:sz w:val="18"/>
            <w:szCs w:val="18"/>
          </w:rPr>
          <w:t>2</w:t>
        </w:r>
        <w:r w:rsidRPr="000F4BDA">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1958C" w14:textId="29B06CDA" w:rsidR="00D70275" w:rsidRPr="00D70275" w:rsidRDefault="00D70275">
    <w:pPr>
      <w:pStyle w:val="Footer"/>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388208"/>
      <w:docPartObj>
        <w:docPartGallery w:val="Page Numbers (Bottom of Page)"/>
        <w:docPartUnique/>
      </w:docPartObj>
    </w:sdtPr>
    <w:sdtEndPr>
      <w:rPr>
        <w:noProof/>
        <w:sz w:val="18"/>
        <w:szCs w:val="18"/>
      </w:rPr>
    </w:sdtEndPr>
    <w:sdtContent>
      <w:p w14:paraId="2B9B76B3" w14:textId="5B4FC224" w:rsidR="00F420BB" w:rsidRPr="00F420BB" w:rsidRDefault="00F420BB">
        <w:pPr>
          <w:pStyle w:val="Footer"/>
          <w:jc w:val="center"/>
          <w:rPr>
            <w:sz w:val="18"/>
            <w:szCs w:val="18"/>
          </w:rPr>
        </w:pPr>
        <w:r w:rsidRPr="00F420BB">
          <w:rPr>
            <w:sz w:val="18"/>
            <w:szCs w:val="18"/>
          </w:rPr>
          <w:fldChar w:fldCharType="begin"/>
        </w:r>
        <w:r w:rsidRPr="00F420BB">
          <w:rPr>
            <w:sz w:val="18"/>
            <w:szCs w:val="18"/>
          </w:rPr>
          <w:instrText xml:space="preserve"> PAGE   \* MERGEFORMAT </w:instrText>
        </w:r>
        <w:r w:rsidRPr="00F420BB">
          <w:rPr>
            <w:sz w:val="18"/>
            <w:szCs w:val="18"/>
          </w:rPr>
          <w:fldChar w:fldCharType="separate"/>
        </w:r>
        <w:r w:rsidRPr="00F420BB">
          <w:rPr>
            <w:noProof/>
            <w:sz w:val="18"/>
            <w:szCs w:val="18"/>
          </w:rPr>
          <w:t>2</w:t>
        </w:r>
        <w:r w:rsidRPr="00F420BB">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8AB9F" w14:textId="77777777" w:rsidR="005B5EBA" w:rsidRDefault="005B5EBA" w:rsidP="00002A97">
      <w:pPr>
        <w:spacing w:after="0" w:line="240" w:lineRule="auto"/>
      </w:pPr>
      <w:r>
        <w:separator/>
      </w:r>
    </w:p>
  </w:footnote>
  <w:footnote w:type="continuationSeparator" w:id="0">
    <w:p w14:paraId="5B7CC468" w14:textId="77777777" w:rsidR="005B5EBA" w:rsidRDefault="005B5EBA" w:rsidP="00002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902E" w14:textId="3B6F5466" w:rsidR="00D70275" w:rsidRPr="00B75CBF" w:rsidRDefault="00D70275" w:rsidP="00002A97">
    <w:pPr>
      <w:pStyle w:val="Header"/>
      <w:pBdr>
        <w:bottom w:val="single" w:sz="4" w:space="1" w:color="auto"/>
      </w:pBdr>
      <w:rPr>
        <w:i/>
        <w:sz w:val="18"/>
        <w:szCs w:val="18"/>
      </w:rPr>
    </w:pPr>
    <w:bookmarkStart w:id="0" w:name="_Hlk124847022"/>
    <w:bookmarkStart w:id="1" w:name="_Hlk124847023"/>
    <w:bookmarkStart w:id="2" w:name="_Hlk124847024"/>
    <w:bookmarkStart w:id="3" w:name="_Hlk124847025"/>
    <w:bookmarkStart w:id="4" w:name="_Hlk124847026"/>
    <w:bookmarkStart w:id="5" w:name="_Hlk124847027"/>
    <w:bookmarkStart w:id="6" w:name="_Hlk124847217"/>
    <w:bookmarkStart w:id="7" w:name="_Hlk124847218"/>
    <w:r w:rsidRPr="00B75CBF">
      <w:rPr>
        <w:rFonts w:eastAsia="Times New Roman" w:cs="Arial"/>
        <w:i/>
        <w:sz w:val="18"/>
        <w:szCs w:val="18"/>
        <w:lang w:eastAsia="es-ES"/>
      </w:rPr>
      <w:t>UNEP/CMS/COP1</w:t>
    </w:r>
    <w:r w:rsidR="000F4BDA" w:rsidRPr="00B75CBF">
      <w:rPr>
        <w:rFonts w:eastAsia="Times New Roman" w:cs="Arial"/>
        <w:i/>
        <w:sz w:val="18"/>
        <w:szCs w:val="18"/>
        <w:lang w:eastAsia="es-ES"/>
      </w:rPr>
      <w:t>4</w:t>
    </w:r>
    <w:r w:rsidRPr="00B75CBF">
      <w:rPr>
        <w:rFonts w:eastAsia="Times New Roman" w:cs="Arial"/>
        <w:i/>
        <w:sz w:val="18"/>
        <w:szCs w:val="18"/>
        <w:lang w:eastAsia="es-ES"/>
      </w:rPr>
      <w:t>/Doc.</w:t>
    </w:r>
    <w:bookmarkEnd w:id="0"/>
    <w:bookmarkEnd w:id="1"/>
    <w:bookmarkEnd w:id="2"/>
    <w:bookmarkEnd w:id="3"/>
    <w:bookmarkEnd w:id="4"/>
    <w:bookmarkEnd w:id="5"/>
    <w:bookmarkEnd w:id="6"/>
    <w:bookmarkEnd w:id="7"/>
    <w:r w:rsidR="006423CD" w:rsidRPr="00B75CBF">
      <w:rPr>
        <w:rFonts w:eastAsia="Times New Roman" w:cs="Arial"/>
        <w:i/>
        <w:sz w:val="18"/>
        <w:szCs w:val="18"/>
        <w:lang w:eastAsia="es-ES"/>
      </w:rPr>
      <w:t>32.3.</w:t>
    </w:r>
    <w:r w:rsidR="00A96472" w:rsidRPr="00B75CBF">
      <w:rPr>
        <w:rFonts w:eastAsia="Times New Roman" w:cs="Arial"/>
        <w:i/>
        <w:sz w:val="18"/>
        <w:szCs w:val="18"/>
        <w:lang w:eastAsia="es-ES"/>
      </w:rPr>
      <w:t>7</w:t>
    </w:r>
    <w:r w:rsidR="00B75CBF" w:rsidRPr="00B75CBF">
      <w:rPr>
        <w:rFonts w:eastAsia="Times New Roman" w:cs="Arial"/>
        <w:i/>
        <w:sz w:val="18"/>
        <w:szCs w:val="18"/>
        <w:lang w:eastAsia="es-ES"/>
      </w:rPr>
      <w:t>/Rev.</w:t>
    </w:r>
    <w:r w:rsidR="00B75CBF">
      <w:rPr>
        <w:rFonts w:eastAsia="Times New Roman" w:cs="Arial"/>
        <w:i/>
        <w:sz w:val="18"/>
        <w:szCs w:val="18"/>
        <w:lang w:eastAsia="es-ES"/>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8442" w14:textId="1D3B9D11" w:rsidR="000F4BDA" w:rsidRPr="00B75CBF" w:rsidRDefault="000F4BDA" w:rsidP="000F4BDA">
    <w:pPr>
      <w:pStyle w:val="Header"/>
      <w:pBdr>
        <w:bottom w:val="single" w:sz="4" w:space="1" w:color="auto"/>
      </w:pBdr>
      <w:jc w:val="right"/>
      <w:rPr>
        <w:i/>
        <w:sz w:val="18"/>
        <w:szCs w:val="18"/>
      </w:rPr>
    </w:pPr>
    <w:r w:rsidRPr="00B75CBF">
      <w:rPr>
        <w:rFonts w:eastAsia="Times New Roman" w:cs="Arial"/>
        <w:i/>
        <w:sz w:val="18"/>
        <w:szCs w:val="18"/>
        <w:lang w:eastAsia="es-ES"/>
      </w:rPr>
      <w:t>UNEP/CMS/COP14/</w:t>
    </w:r>
    <w:r w:rsidR="007B53CC" w:rsidRPr="00B75CBF">
      <w:rPr>
        <w:rFonts w:eastAsia="Times New Roman" w:cs="Arial"/>
        <w:i/>
        <w:sz w:val="18"/>
        <w:szCs w:val="18"/>
        <w:lang w:eastAsia="es-ES"/>
      </w:rPr>
      <w:t>Doc</w:t>
    </w:r>
    <w:r w:rsidR="00430A25" w:rsidRPr="00B75CBF">
      <w:rPr>
        <w:rFonts w:eastAsia="Times New Roman" w:cs="Arial"/>
        <w:i/>
        <w:sz w:val="18"/>
        <w:szCs w:val="18"/>
        <w:lang w:eastAsia="es-ES"/>
      </w:rPr>
      <w:t>.</w:t>
    </w:r>
    <w:r w:rsidR="00F420BB" w:rsidRPr="00B75CBF">
      <w:rPr>
        <w:rFonts w:eastAsia="Times New Roman" w:cs="Arial"/>
        <w:i/>
        <w:sz w:val="18"/>
        <w:szCs w:val="18"/>
        <w:lang w:eastAsia="es-ES"/>
      </w:rPr>
      <w:t>32.3.7</w:t>
    </w:r>
    <w:r w:rsidR="00B75CBF" w:rsidRPr="00B75CBF">
      <w:rPr>
        <w:rFonts w:eastAsia="Times New Roman" w:cs="Arial"/>
        <w:i/>
        <w:sz w:val="18"/>
        <w:szCs w:val="18"/>
        <w:lang w:eastAsia="es-ES"/>
      </w:rPr>
      <w:t>/Rev</w:t>
    </w:r>
    <w:r w:rsidR="00B75CBF">
      <w:rPr>
        <w:rFonts w:eastAsia="Times New Roman" w:cs="Arial"/>
        <w:i/>
        <w:sz w:val="18"/>
        <w:szCs w:val="18"/>
        <w:lang w:eastAsia="es-ES"/>
      </w:rPr>
      <w:t>.1</w:t>
    </w:r>
  </w:p>
  <w:p w14:paraId="1543D16E" w14:textId="77777777" w:rsidR="000F4BDA" w:rsidRDefault="000F4B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BB20" w14:textId="2192B564" w:rsidR="006F22B0" w:rsidRPr="00002A97" w:rsidRDefault="00457C8A" w:rsidP="006F22B0">
    <w:pPr>
      <w:widowControl w:val="0"/>
      <w:tabs>
        <w:tab w:val="center" w:pos="4153"/>
        <w:tab w:val="right" w:pos="8306"/>
      </w:tabs>
      <w:suppressAutoHyphens/>
      <w:autoSpaceDE w:val="0"/>
      <w:autoSpaceDN w:val="0"/>
      <w:spacing w:after="0" w:line="240" w:lineRule="auto"/>
      <w:jc w:val="right"/>
      <w:textAlignment w:val="baseline"/>
      <w:rPr>
        <w:rFonts w:eastAsia="Times New Roman" w:cs="Times New Roman"/>
        <w:sz w:val="18"/>
        <w:szCs w:val="20"/>
        <w:lang w:val="es-ES" w:eastAsia="es-ES"/>
      </w:rPr>
    </w:pPr>
    <w:r>
      <w:rPr>
        <w:rFonts w:eastAsia="Times New Roman" w:cs="Times New Roman"/>
        <w:noProof/>
        <w:sz w:val="18"/>
        <w:szCs w:val="20"/>
        <w:lang w:val="es-ES" w:eastAsia="es-ES"/>
      </w:rPr>
      <w:drawing>
        <wp:anchor distT="0" distB="0" distL="114300" distR="114300" simplePos="0" relativeHeight="251661824" behindDoc="1" locked="0" layoutInCell="1" allowOverlap="1" wp14:anchorId="0CFECFDF" wp14:editId="557917C4">
          <wp:simplePos x="0" y="0"/>
          <wp:positionH relativeFrom="column">
            <wp:posOffset>-11430</wp:posOffset>
          </wp:positionH>
          <wp:positionV relativeFrom="paragraph">
            <wp:posOffset>-257175</wp:posOffset>
          </wp:positionV>
          <wp:extent cx="731520" cy="731520"/>
          <wp:effectExtent l="0" t="0" r="0" b="0"/>
          <wp:wrapTight wrapText="bothSides">
            <wp:wrapPolygon edited="0">
              <wp:start x="0" y="0"/>
              <wp:lineTo x="0" y="20813"/>
              <wp:lineTo x="20813" y="20813"/>
              <wp:lineTo x="208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14:sizeRelH relativeFrom="margin">
            <wp14:pctWidth>0</wp14:pctWidth>
          </wp14:sizeRelH>
          <wp14:sizeRelV relativeFrom="margin">
            <wp14:pctHeight>0</wp14:pctHeight>
          </wp14:sizeRelV>
        </wp:anchor>
      </w:drawing>
    </w:r>
    <w:r w:rsidR="006F22B0" w:rsidRPr="00002A97">
      <w:rPr>
        <w:rFonts w:eastAsia="Times New Roman" w:cs="Times New Roman"/>
        <w:noProof/>
        <w:sz w:val="18"/>
        <w:szCs w:val="20"/>
        <w:lang w:val="es-ES" w:eastAsia="es-ES"/>
      </w:rPr>
      <w:drawing>
        <wp:anchor distT="0" distB="0" distL="114300" distR="114300" simplePos="0" relativeHeight="251658752" behindDoc="0" locked="0" layoutInCell="1" allowOverlap="1" wp14:anchorId="5BB0F591" wp14:editId="7CD9231B">
          <wp:simplePos x="0" y="0"/>
          <wp:positionH relativeFrom="column">
            <wp:posOffset>5609587</wp:posOffset>
          </wp:positionH>
          <wp:positionV relativeFrom="paragraph">
            <wp:posOffset>78108</wp:posOffset>
          </wp:positionV>
          <wp:extent cx="619121" cy="288922"/>
          <wp:effectExtent l="0" t="0" r="0" b="0"/>
          <wp:wrapTight wrapText="bothSides">
            <wp:wrapPolygon edited="0">
              <wp:start x="0" y="0"/>
              <wp:lineTo x="0" y="19939"/>
              <wp:lineTo x="20603" y="19939"/>
              <wp:lineTo x="20603" y="0"/>
              <wp:lineTo x="0" y="0"/>
            </wp:wrapPolygon>
          </wp:wrapTight>
          <wp:docPr id="10"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19121" cy="288922"/>
                  </a:xfrm>
                  <a:prstGeom prst="rect">
                    <a:avLst/>
                  </a:prstGeom>
                  <a:noFill/>
                  <a:ln>
                    <a:noFill/>
                    <a:prstDash/>
                  </a:ln>
                </pic:spPr>
              </pic:pic>
            </a:graphicData>
          </a:graphic>
        </wp:anchor>
      </w:drawing>
    </w:r>
    <w:r w:rsidR="006F22B0" w:rsidRPr="00002A97">
      <w:rPr>
        <w:rFonts w:eastAsia="Times New Roman" w:cs="Times New Roman"/>
        <w:noProof/>
        <w:sz w:val="18"/>
        <w:szCs w:val="20"/>
      </w:rPr>
      <w:drawing>
        <wp:anchor distT="0" distB="0" distL="114300" distR="114300" simplePos="0" relativeHeight="251655680" behindDoc="0" locked="0" layoutInCell="1" allowOverlap="1" wp14:anchorId="09063D46" wp14:editId="6FDC4C4C">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50FCC012" w14:textId="77777777" w:rsidR="00B40E07" w:rsidRPr="006F22B0" w:rsidRDefault="00B40E07" w:rsidP="006F22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AB40" w14:textId="6B295690" w:rsidR="00F420BB" w:rsidRPr="00002A97" w:rsidRDefault="00F420BB" w:rsidP="00002A97">
    <w:pPr>
      <w:pStyle w:val="Header"/>
      <w:pBdr>
        <w:bottom w:val="single" w:sz="4" w:space="1" w:color="auto"/>
      </w:pBdr>
      <w:rPr>
        <w:i/>
        <w:sz w:val="18"/>
        <w:szCs w:val="18"/>
      </w:rPr>
    </w:pPr>
    <w:r w:rsidRPr="00B75CBF">
      <w:rPr>
        <w:rFonts w:eastAsia="Times New Roman" w:cs="Arial"/>
        <w:i/>
        <w:sz w:val="18"/>
        <w:szCs w:val="18"/>
        <w:lang w:eastAsia="es-ES"/>
      </w:rPr>
      <w:t>UNEP/CMS/COP14/Doc.32.3.7/</w:t>
    </w:r>
    <w:r w:rsidR="00B75CBF" w:rsidRPr="00B75CBF">
      <w:rPr>
        <w:rFonts w:eastAsia="Times New Roman" w:cs="Arial"/>
        <w:i/>
        <w:sz w:val="18"/>
        <w:szCs w:val="18"/>
        <w:lang w:eastAsia="es-ES"/>
      </w:rPr>
      <w:t>Rev.1/</w:t>
    </w:r>
    <w:r w:rsidRPr="00B75CBF">
      <w:rPr>
        <w:rFonts w:eastAsia="Times New Roman" w:cs="Arial"/>
        <w:i/>
        <w:sz w:val="18"/>
        <w:szCs w:val="18"/>
        <w:lang w:eastAsia="es-ES"/>
      </w:rPr>
      <w:t>Anexo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F44EF" w14:textId="5339CCD7" w:rsidR="003703B5" w:rsidRPr="00F420BB" w:rsidRDefault="003703B5" w:rsidP="000F4BDA">
    <w:pPr>
      <w:pStyle w:val="Header"/>
      <w:pBdr>
        <w:bottom w:val="single" w:sz="4" w:space="1" w:color="auto"/>
      </w:pBdr>
      <w:jc w:val="right"/>
      <w:rPr>
        <w:i/>
        <w:sz w:val="18"/>
        <w:szCs w:val="18"/>
      </w:rPr>
    </w:pPr>
    <w:r w:rsidRPr="00F420BB">
      <w:rPr>
        <w:rFonts w:eastAsia="Times New Roman" w:cs="Arial"/>
        <w:i/>
        <w:sz w:val="18"/>
        <w:szCs w:val="18"/>
        <w:lang w:eastAsia="es-ES"/>
      </w:rPr>
      <w:t>UNEP/CMS/COP14/Doc.</w:t>
    </w:r>
    <w:r w:rsidR="00F420BB" w:rsidRPr="00F420BB">
      <w:rPr>
        <w:rFonts w:eastAsia="Times New Roman" w:cs="Arial"/>
        <w:i/>
        <w:sz w:val="18"/>
        <w:szCs w:val="18"/>
        <w:lang w:eastAsia="es-ES"/>
      </w:rPr>
      <w:t>32.3.7/</w:t>
    </w:r>
    <w:r w:rsidR="00B75CBF">
      <w:rPr>
        <w:rFonts w:eastAsia="Times New Roman" w:cs="Arial"/>
        <w:i/>
        <w:sz w:val="18"/>
        <w:szCs w:val="18"/>
        <w:lang w:eastAsia="es-ES"/>
      </w:rPr>
      <w:t>Rev.1/</w:t>
    </w:r>
    <w:r w:rsidR="00F420BB" w:rsidRPr="00F420BB">
      <w:rPr>
        <w:rFonts w:eastAsia="Times New Roman" w:cs="Arial"/>
        <w:i/>
        <w:sz w:val="18"/>
        <w:szCs w:val="18"/>
        <w:lang w:eastAsia="es-ES"/>
      </w:rPr>
      <w:t>A</w:t>
    </w:r>
    <w:r w:rsidR="00F420BB">
      <w:rPr>
        <w:rFonts w:eastAsia="Times New Roman" w:cs="Arial"/>
        <w:i/>
        <w:sz w:val="18"/>
        <w:szCs w:val="18"/>
        <w:lang w:eastAsia="es-ES"/>
      </w:rPr>
      <w:t xml:space="preserve">nexo </w:t>
    </w:r>
  </w:p>
  <w:p w14:paraId="59946C4D" w14:textId="77777777" w:rsidR="003703B5" w:rsidRDefault="003703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1A9E" w14:textId="1AA069BD" w:rsidR="006C7196" w:rsidRDefault="006C7196">
    <w:pPr>
      <w:pStyle w:val="Header"/>
      <w:pBdr>
        <w:bottom w:val="single" w:sz="4" w:space="1" w:color="000000"/>
      </w:pBdr>
    </w:pPr>
    <w:r w:rsidRPr="00B75CBF">
      <w:rPr>
        <w:rFonts w:cs="Arial"/>
        <w:i/>
        <w:sz w:val="18"/>
        <w:szCs w:val="18"/>
      </w:rPr>
      <w:t>UNEP/CMS/COP14/Doc.</w:t>
    </w:r>
    <w:r w:rsidR="003703B5" w:rsidRPr="00B75CBF">
      <w:rPr>
        <w:rFonts w:cs="Arial"/>
        <w:i/>
        <w:sz w:val="18"/>
        <w:szCs w:val="18"/>
      </w:rPr>
      <w:t>32.3.7/</w:t>
    </w:r>
    <w:r w:rsidR="00B75CBF" w:rsidRPr="00B75CBF">
      <w:rPr>
        <w:rFonts w:cs="Arial"/>
        <w:i/>
        <w:sz w:val="18"/>
        <w:szCs w:val="18"/>
      </w:rPr>
      <w:t>Rev.1/</w:t>
    </w:r>
    <w:r w:rsidR="003703B5" w:rsidRPr="00B75CBF">
      <w:rPr>
        <w:rFonts w:cs="Arial"/>
        <w:i/>
        <w:sz w:val="18"/>
        <w:szCs w:val="18"/>
      </w:rPr>
      <w:t>Anexo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6F8C"/>
    <w:multiLevelType w:val="hybridMultilevel"/>
    <w:tmpl w:val="1FF2CCC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506409"/>
    <w:multiLevelType w:val="hybridMultilevel"/>
    <w:tmpl w:val="9078CAB6"/>
    <w:lvl w:ilvl="0" w:tplc="3D6816F8">
      <w:start w:val="1"/>
      <w:numFmt w:val="decimal"/>
      <w:pStyle w:val="Firstnumbering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F22C7"/>
    <w:multiLevelType w:val="hybridMultilevel"/>
    <w:tmpl w:val="80DAB9C6"/>
    <w:lvl w:ilvl="0" w:tplc="87DEB022">
      <w:start w:val="1"/>
      <w:numFmt w:val="lowerLetter"/>
      <w:pStyle w:val="Second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061C7F"/>
    <w:multiLevelType w:val="hybridMultilevel"/>
    <w:tmpl w:val="00BA1968"/>
    <w:lvl w:ilvl="0" w:tplc="EE1E7ABA">
      <w:start w:val="1"/>
      <w:numFmt w:val="lowerRoman"/>
      <w:pStyle w:val="Thirdnumberingi"/>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D24A62"/>
    <w:multiLevelType w:val="hybridMultilevel"/>
    <w:tmpl w:val="C3D2FBB8"/>
    <w:lvl w:ilvl="0" w:tplc="32A415F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58E782C"/>
    <w:multiLevelType w:val="multilevel"/>
    <w:tmpl w:val="1332B3DE"/>
    <w:lvl w:ilvl="0">
      <w:start w:val="1"/>
      <w:numFmt w:val="lowerRoman"/>
      <w:lvlText w:val="(%1)."/>
      <w:lvlJc w:val="left"/>
      <w:pPr>
        <w:ind w:left="720" w:hanging="360"/>
      </w:pPr>
      <w:rPr>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933BFE"/>
    <w:multiLevelType w:val="hybridMultilevel"/>
    <w:tmpl w:val="C33EC9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9A51F54"/>
    <w:multiLevelType w:val="hybridMultilevel"/>
    <w:tmpl w:val="249005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9D57185"/>
    <w:multiLevelType w:val="hybridMultilevel"/>
    <w:tmpl w:val="1444C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3F7345"/>
    <w:multiLevelType w:val="hybridMultilevel"/>
    <w:tmpl w:val="D75C8D50"/>
    <w:lvl w:ilvl="0" w:tplc="C96494C4">
      <w:start w:val="1"/>
      <w:numFmt w:val="decimal"/>
      <w:lvlText w:val="%1."/>
      <w:lvlJc w:val="left"/>
      <w:pPr>
        <w:ind w:left="720" w:hanging="360"/>
      </w:pPr>
      <w:rPr>
        <w:rFonts w:ascii="Arial" w:hAnsi="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9D4FA4"/>
    <w:multiLevelType w:val="hybridMultilevel"/>
    <w:tmpl w:val="CDE69C9E"/>
    <w:lvl w:ilvl="0" w:tplc="D0E21E14">
      <w:start w:val="1"/>
      <w:numFmt w:val="upperLetter"/>
      <w:pStyle w:val="FourthnumberingA"/>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9D1E50"/>
    <w:multiLevelType w:val="hybridMultilevel"/>
    <w:tmpl w:val="271238F6"/>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91B2A54"/>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1176E72"/>
    <w:multiLevelType w:val="hybridMultilevel"/>
    <w:tmpl w:val="5CEC3454"/>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3CA1566"/>
    <w:multiLevelType w:val="hybridMultilevel"/>
    <w:tmpl w:val="4F68A00E"/>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7E206986"/>
    <w:multiLevelType w:val="hybridMultilevel"/>
    <w:tmpl w:val="F39657BA"/>
    <w:lvl w:ilvl="0" w:tplc="08090017">
      <w:start w:val="1"/>
      <w:numFmt w:val="lowerLetter"/>
      <w:lvlText w:val="%1)"/>
      <w:lvlJc w:val="left"/>
      <w:pPr>
        <w:ind w:left="360" w:hanging="360"/>
      </w:pPr>
    </w:lvl>
    <w:lvl w:ilvl="1" w:tplc="15909506">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14625602">
    <w:abstractNumId w:val="1"/>
  </w:num>
  <w:num w:numId="2" w16cid:durableId="598490445">
    <w:abstractNumId w:val="2"/>
  </w:num>
  <w:num w:numId="3" w16cid:durableId="1481076609">
    <w:abstractNumId w:val="3"/>
  </w:num>
  <w:num w:numId="4" w16cid:durableId="2146239410">
    <w:abstractNumId w:val="10"/>
  </w:num>
  <w:num w:numId="5" w16cid:durableId="37974177">
    <w:abstractNumId w:val="6"/>
  </w:num>
  <w:num w:numId="6" w16cid:durableId="1958830237">
    <w:abstractNumId w:val="11"/>
  </w:num>
  <w:num w:numId="7" w16cid:durableId="396439182">
    <w:abstractNumId w:val="13"/>
  </w:num>
  <w:num w:numId="8" w16cid:durableId="260603560">
    <w:abstractNumId w:val="9"/>
  </w:num>
  <w:num w:numId="9" w16cid:durableId="1356272424">
    <w:abstractNumId w:val="8"/>
  </w:num>
  <w:num w:numId="10" w16cid:durableId="630594039">
    <w:abstractNumId w:val="15"/>
  </w:num>
  <w:num w:numId="11" w16cid:durableId="2069759870">
    <w:abstractNumId w:val="12"/>
  </w:num>
  <w:num w:numId="12" w16cid:durableId="904724938">
    <w:abstractNumId w:val="14"/>
  </w:num>
  <w:num w:numId="13" w16cid:durableId="314572810">
    <w:abstractNumId w:val="5"/>
  </w:num>
  <w:num w:numId="14" w16cid:durableId="449663937">
    <w:abstractNumId w:val="0"/>
  </w:num>
  <w:num w:numId="15" w16cid:durableId="1941914095">
    <w:abstractNumId w:val="7"/>
  </w:num>
  <w:num w:numId="16" w16cid:durableId="5279852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97"/>
    <w:rsid w:val="00002A97"/>
    <w:rsid w:val="0000348E"/>
    <w:rsid w:val="00021690"/>
    <w:rsid w:val="00067E1C"/>
    <w:rsid w:val="00085084"/>
    <w:rsid w:val="000E192F"/>
    <w:rsid w:val="000F4BDA"/>
    <w:rsid w:val="00127CCF"/>
    <w:rsid w:val="00192411"/>
    <w:rsid w:val="001E7CF3"/>
    <w:rsid w:val="00207E04"/>
    <w:rsid w:val="0024152C"/>
    <w:rsid w:val="00261631"/>
    <w:rsid w:val="00272A44"/>
    <w:rsid w:val="002A40B8"/>
    <w:rsid w:val="002A5ABE"/>
    <w:rsid w:val="002D5F2A"/>
    <w:rsid w:val="002F7EC2"/>
    <w:rsid w:val="003133A7"/>
    <w:rsid w:val="003171DA"/>
    <w:rsid w:val="00323406"/>
    <w:rsid w:val="00331C3E"/>
    <w:rsid w:val="00354973"/>
    <w:rsid w:val="00357802"/>
    <w:rsid w:val="003703B5"/>
    <w:rsid w:val="00370A63"/>
    <w:rsid w:val="003B5A5F"/>
    <w:rsid w:val="003B75D0"/>
    <w:rsid w:val="003E0D7D"/>
    <w:rsid w:val="003E5675"/>
    <w:rsid w:val="003F222B"/>
    <w:rsid w:val="00414DE2"/>
    <w:rsid w:val="00427F80"/>
    <w:rsid w:val="00430A25"/>
    <w:rsid w:val="00446762"/>
    <w:rsid w:val="00456642"/>
    <w:rsid w:val="00457C8A"/>
    <w:rsid w:val="004962E8"/>
    <w:rsid w:val="004C588E"/>
    <w:rsid w:val="004C7808"/>
    <w:rsid w:val="004D3BEC"/>
    <w:rsid w:val="00513FC1"/>
    <w:rsid w:val="00530846"/>
    <w:rsid w:val="005330F7"/>
    <w:rsid w:val="00563598"/>
    <w:rsid w:val="00591364"/>
    <w:rsid w:val="005B5EBA"/>
    <w:rsid w:val="005D47E2"/>
    <w:rsid w:val="00637FEB"/>
    <w:rsid w:val="006423CD"/>
    <w:rsid w:val="00653624"/>
    <w:rsid w:val="00671C82"/>
    <w:rsid w:val="006B100C"/>
    <w:rsid w:val="006C2EF5"/>
    <w:rsid w:val="006C7196"/>
    <w:rsid w:val="006D0596"/>
    <w:rsid w:val="006F22B0"/>
    <w:rsid w:val="006F5A72"/>
    <w:rsid w:val="00736645"/>
    <w:rsid w:val="00753268"/>
    <w:rsid w:val="00773583"/>
    <w:rsid w:val="00790422"/>
    <w:rsid w:val="007A523F"/>
    <w:rsid w:val="007B53CC"/>
    <w:rsid w:val="007C212E"/>
    <w:rsid w:val="007E5A82"/>
    <w:rsid w:val="00800CB3"/>
    <w:rsid w:val="00810C64"/>
    <w:rsid w:val="008217FB"/>
    <w:rsid w:val="0082508E"/>
    <w:rsid w:val="008438BE"/>
    <w:rsid w:val="00854738"/>
    <w:rsid w:val="00894DC0"/>
    <w:rsid w:val="008A34B7"/>
    <w:rsid w:val="008B271B"/>
    <w:rsid w:val="008C09D5"/>
    <w:rsid w:val="009059D0"/>
    <w:rsid w:val="009431BA"/>
    <w:rsid w:val="00943D15"/>
    <w:rsid w:val="009E5943"/>
    <w:rsid w:val="00A21656"/>
    <w:rsid w:val="00A33845"/>
    <w:rsid w:val="00A373E6"/>
    <w:rsid w:val="00A4519F"/>
    <w:rsid w:val="00A9099C"/>
    <w:rsid w:val="00A96472"/>
    <w:rsid w:val="00AC09AE"/>
    <w:rsid w:val="00AC5956"/>
    <w:rsid w:val="00B104EC"/>
    <w:rsid w:val="00B30DF6"/>
    <w:rsid w:val="00B40E07"/>
    <w:rsid w:val="00B75CBF"/>
    <w:rsid w:val="00BC5707"/>
    <w:rsid w:val="00BF7838"/>
    <w:rsid w:val="00C0333F"/>
    <w:rsid w:val="00C41DAD"/>
    <w:rsid w:val="00D02594"/>
    <w:rsid w:val="00D1060A"/>
    <w:rsid w:val="00D36B97"/>
    <w:rsid w:val="00D70275"/>
    <w:rsid w:val="00D84650"/>
    <w:rsid w:val="00D90AD9"/>
    <w:rsid w:val="00DD4560"/>
    <w:rsid w:val="00E163CF"/>
    <w:rsid w:val="00E16764"/>
    <w:rsid w:val="00E25C23"/>
    <w:rsid w:val="00E27237"/>
    <w:rsid w:val="00E50DB8"/>
    <w:rsid w:val="00E607BD"/>
    <w:rsid w:val="00E77A9F"/>
    <w:rsid w:val="00E81B4A"/>
    <w:rsid w:val="00EE4464"/>
    <w:rsid w:val="00EF0236"/>
    <w:rsid w:val="00EF1D13"/>
    <w:rsid w:val="00F147ED"/>
    <w:rsid w:val="00F2071F"/>
    <w:rsid w:val="00F364B4"/>
    <w:rsid w:val="00F42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5060B"/>
  <w15:chartTrackingRefBased/>
  <w15:docId w15:val="{7F5A1F93-24F7-4A43-8283-27B668275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F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A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A97"/>
  </w:style>
  <w:style w:type="paragraph" w:styleId="Footer">
    <w:name w:val="footer"/>
    <w:basedOn w:val="Normal"/>
    <w:link w:val="FooterChar"/>
    <w:uiPriority w:val="99"/>
    <w:unhideWhenUsed/>
    <w:rsid w:val="00002A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A97"/>
  </w:style>
  <w:style w:type="paragraph" w:styleId="BalloonText">
    <w:name w:val="Balloon Text"/>
    <w:basedOn w:val="Normal"/>
    <w:link w:val="BalloonTextChar"/>
    <w:uiPriority w:val="99"/>
    <w:semiHidden/>
    <w:unhideWhenUsed/>
    <w:rsid w:val="00E81B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4A"/>
    <w:rPr>
      <w:rFonts w:ascii="Segoe UI" w:hAnsi="Segoe UI" w:cs="Segoe UI"/>
      <w:sz w:val="18"/>
      <w:szCs w:val="18"/>
    </w:rPr>
  </w:style>
  <w:style w:type="paragraph" w:customStyle="1" w:styleId="Title1">
    <w:name w:val="Title1"/>
    <w:basedOn w:val="Normal"/>
    <w:link w:val="TITLEChar"/>
    <w:qFormat/>
    <w:rsid w:val="00F147E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120" w:line="240" w:lineRule="auto"/>
      <w:jc w:val="center"/>
      <w:textAlignment w:val="baseline"/>
      <w:outlineLvl w:val="1"/>
    </w:pPr>
    <w:rPr>
      <w:rFonts w:eastAsia="Times New Roman" w:cs="Arial"/>
      <w:b/>
      <w:bCs/>
      <w:caps/>
      <w:sz w:val="24"/>
      <w:szCs w:val="24"/>
      <w:lang w:val="es-ES" w:eastAsia="es-ES"/>
    </w:rPr>
  </w:style>
  <w:style w:type="paragraph" w:styleId="ListParagraph">
    <w:name w:val="List Paragraph"/>
    <w:basedOn w:val="Normal"/>
    <w:link w:val="ListParagraphChar"/>
    <w:uiPriority w:val="34"/>
    <w:qFormat/>
    <w:rsid w:val="00F147ED"/>
    <w:pPr>
      <w:ind w:left="720"/>
      <w:contextualSpacing/>
    </w:pPr>
  </w:style>
  <w:style w:type="character" w:customStyle="1" w:styleId="TITLEChar">
    <w:name w:val="TITLE Char"/>
    <w:basedOn w:val="DefaultParagraphFont"/>
    <w:link w:val="Title1"/>
    <w:rsid w:val="00F147ED"/>
    <w:rPr>
      <w:rFonts w:eastAsia="Times New Roman" w:cs="Arial"/>
      <w:b/>
      <w:bCs/>
      <w:caps/>
      <w:sz w:val="24"/>
      <w:szCs w:val="24"/>
      <w:lang w:val="es-ES" w:eastAsia="es-ES"/>
    </w:rPr>
  </w:style>
  <w:style w:type="paragraph" w:customStyle="1" w:styleId="Firstnumbering1">
    <w:name w:val="First numbering 1."/>
    <w:basedOn w:val="ListParagraph"/>
    <w:link w:val="Firstnumbering1Char"/>
    <w:qFormat/>
    <w:rsid w:val="000E192F"/>
    <w:pPr>
      <w:widowControl w:val="0"/>
      <w:numPr>
        <w:numId w:val="1"/>
      </w:numPr>
      <w:suppressAutoHyphens/>
      <w:autoSpaceDE w:val="0"/>
      <w:autoSpaceDN w:val="0"/>
      <w:spacing w:after="0" w:line="240" w:lineRule="auto"/>
      <w:ind w:left="567" w:hanging="567"/>
      <w:jc w:val="both"/>
      <w:textAlignment w:val="baseline"/>
    </w:pPr>
    <w:rPr>
      <w:rFonts w:eastAsia="Times New Roman" w:cs="Arial"/>
      <w:lang w:val="es-ES" w:eastAsia="es-ES"/>
    </w:rPr>
  </w:style>
  <w:style w:type="paragraph" w:customStyle="1" w:styleId="Secondnumberinga">
    <w:name w:val="Second numbering a)."/>
    <w:basedOn w:val="ListParagraph"/>
    <w:link w:val="SecondnumberingaChar"/>
    <w:qFormat/>
    <w:rsid w:val="000E192F"/>
    <w:pPr>
      <w:numPr>
        <w:numId w:val="2"/>
      </w:numPr>
      <w:spacing w:after="0" w:line="240" w:lineRule="auto"/>
      <w:ind w:left="1134" w:hanging="283"/>
      <w:jc w:val="both"/>
    </w:pPr>
    <w:rPr>
      <w:lang w:val="es-ES"/>
    </w:rPr>
  </w:style>
  <w:style w:type="character" w:customStyle="1" w:styleId="ListParagraphChar">
    <w:name w:val="List Paragraph Char"/>
    <w:basedOn w:val="DefaultParagraphFont"/>
    <w:link w:val="ListParagraph"/>
    <w:uiPriority w:val="34"/>
    <w:rsid w:val="00F147ED"/>
  </w:style>
  <w:style w:type="character" w:customStyle="1" w:styleId="Firstnumbering1Char">
    <w:name w:val="First numbering 1. Char"/>
    <w:basedOn w:val="ListParagraphChar"/>
    <w:link w:val="Firstnumbering1"/>
    <w:rsid w:val="000E192F"/>
    <w:rPr>
      <w:rFonts w:eastAsia="Times New Roman" w:cs="Arial"/>
      <w:lang w:val="es-ES" w:eastAsia="es-ES"/>
    </w:rPr>
  </w:style>
  <w:style w:type="character" w:customStyle="1" w:styleId="SecondnumberingaChar">
    <w:name w:val="Second numbering a). Char"/>
    <w:basedOn w:val="ListParagraphChar"/>
    <w:link w:val="Secondnumberinga"/>
    <w:rsid w:val="000E192F"/>
    <w:rPr>
      <w:lang w:val="es-ES"/>
    </w:rPr>
  </w:style>
  <w:style w:type="paragraph" w:customStyle="1" w:styleId="Thirdnumberingi">
    <w:name w:val="Third numbering i)."/>
    <w:basedOn w:val="ListParagraph"/>
    <w:link w:val="ThirdnumberingiChar"/>
    <w:qFormat/>
    <w:rsid w:val="00943D15"/>
    <w:pPr>
      <w:numPr>
        <w:numId w:val="3"/>
      </w:numPr>
      <w:spacing w:after="0" w:line="240" w:lineRule="auto"/>
      <w:ind w:left="1560" w:hanging="284"/>
    </w:pPr>
    <w:rPr>
      <w:lang w:val="es-ES"/>
    </w:rPr>
  </w:style>
  <w:style w:type="paragraph" w:customStyle="1" w:styleId="FourthnumberingA">
    <w:name w:val="Fourth numbering A."/>
    <w:basedOn w:val="ListParagraph"/>
    <w:link w:val="FourthnumberingAChar"/>
    <w:qFormat/>
    <w:rsid w:val="00943D15"/>
    <w:pPr>
      <w:numPr>
        <w:numId w:val="4"/>
      </w:numPr>
      <w:spacing w:after="0" w:line="240" w:lineRule="auto"/>
      <w:ind w:left="1985" w:hanging="284"/>
    </w:pPr>
    <w:rPr>
      <w:lang w:val="es-ES"/>
    </w:rPr>
  </w:style>
  <w:style w:type="character" w:customStyle="1" w:styleId="ThirdnumberingiChar">
    <w:name w:val="Third numbering i). Char"/>
    <w:basedOn w:val="ListParagraphChar"/>
    <w:link w:val="Thirdnumberingi"/>
    <w:rsid w:val="00943D15"/>
    <w:rPr>
      <w:lang w:val="es-ES"/>
    </w:rPr>
  </w:style>
  <w:style w:type="character" w:customStyle="1" w:styleId="FourthnumberingAChar">
    <w:name w:val="Fourth numbering A. Char"/>
    <w:basedOn w:val="ListParagraphChar"/>
    <w:link w:val="FourthnumberingA"/>
    <w:rsid w:val="00943D15"/>
    <w:rPr>
      <w:lang w:val="es-ES"/>
    </w:rPr>
  </w:style>
  <w:style w:type="character" w:styleId="Hyperlink">
    <w:name w:val="Hyperlink"/>
    <w:basedOn w:val="DefaultParagraphFont"/>
    <w:uiPriority w:val="99"/>
    <w:unhideWhenUsed/>
    <w:rsid w:val="00AC09AE"/>
    <w:rPr>
      <w:color w:val="0563C1" w:themeColor="hyperlink"/>
      <w:u w:val="single"/>
    </w:rPr>
  </w:style>
  <w:style w:type="character" w:styleId="FootnoteReference">
    <w:name w:val="footnote reference"/>
    <w:uiPriority w:val="99"/>
    <w:semiHidden/>
    <w:rsid w:val="00810C64"/>
    <w:rPr>
      <w:rFonts w:cs="Times New Roman"/>
    </w:rPr>
  </w:style>
  <w:style w:type="table" w:customStyle="1" w:styleId="PlainTable21">
    <w:name w:val="Plain Table 21"/>
    <w:basedOn w:val="TableNormal"/>
    <w:next w:val="PlainTable2"/>
    <w:uiPriority w:val="42"/>
    <w:rsid w:val="00021690"/>
    <w:pPr>
      <w:autoSpaceDN w:val="0"/>
      <w:spacing w:after="0" w:line="240" w:lineRule="auto"/>
      <w:textAlignment w:val="baseline"/>
    </w:pPr>
    <w:rPr>
      <w:rFonts w:eastAsia="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02169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736594">
      <w:bodyDiv w:val="1"/>
      <w:marLeft w:val="0"/>
      <w:marRight w:val="0"/>
      <w:marTop w:val="0"/>
      <w:marBottom w:val="0"/>
      <w:divBdr>
        <w:top w:val="none" w:sz="0" w:space="0" w:color="auto"/>
        <w:left w:val="none" w:sz="0" w:space="0" w:color="auto"/>
        <w:bottom w:val="none" w:sz="0" w:space="0" w:color="auto"/>
        <w:right w:val="none" w:sz="0" w:space="0" w:color="auto"/>
      </w:divBdr>
    </w:div>
    <w:div w:id="202763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ms.int/sharks/en/document/development-conservation-strategy-and-action-plans-pelagic-sharks-and-rays-0"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8370bde3526d8f4f091c6e50b038ed07">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19981f3cc8a8926fa36e23e2c1e4629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KeywordTaxHTField xmlns="c15478a5-0be8-4f5d-8383-b307d5ba8bf6">
      <Terms xmlns="http://schemas.microsoft.com/office/infopath/2007/PartnerControls"/>
    </TaxKeywordTaxHTField>
    <_Flow_SignoffStatus xmlns="a7b50396-0b06-45c1-b28e-46f86d566a10" xsi:nil="true"/>
    <Reviewer xmlns="a7b50396-0b06-45c1-b28e-46f86d566a10" xsi:nil="true"/>
    <MariaJoseOrtiz xmlns="a7b50396-0b06-45c1-b28e-46f86d566a10" xsi:nil="true"/>
    <Notes xmlns="a7b50396-0b06-45c1-b28e-46f86d566a10" xsi:nil="true"/>
    <Sent xmlns="a7b50396-0b06-45c1-b28e-46f86d566a10" xsi:nil="true"/>
  </documentManagement>
</p:properties>
</file>

<file path=customXml/itemProps1.xml><?xml version="1.0" encoding="utf-8"?>
<ds:datastoreItem xmlns:ds="http://schemas.openxmlformats.org/officeDocument/2006/customXml" ds:itemID="{84D73FA1-BF34-46ED-ACEA-890967853F1B}">
  <ds:schemaRefs>
    <ds:schemaRef ds:uri="http://schemas.openxmlformats.org/officeDocument/2006/bibliography"/>
  </ds:schemaRefs>
</ds:datastoreItem>
</file>

<file path=customXml/itemProps2.xml><?xml version="1.0" encoding="utf-8"?>
<ds:datastoreItem xmlns:ds="http://schemas.openxmlformats.org/officeDocument/2006/customXml" ds:itemID="{85A06210-D73F-4C62-AA97-C69067A60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D31A09-9336-4BDA-A396-44ED1E003CDA}">
  <ds:schemaRefs>
    <ds:schemaRef ds:uri="http://schemas.microsoft.com/sharepoint/v3/contenttype/forms"/>
  </ds:schemaRefs>
</ds:datastoreItem>
</file>

<file path=customXml/itemProps4.xml><?xml version="1.0" encoding="utf-8"?>
<ds:datastoreItem xmlns:ds="http://schemas.openxmlformats.org/officeDocument/2006/customXml" ds:itemID="{48907917-C27C-4920-BCC6-5C06DA29E76A}">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Pages>
  <Words>2670</Words>
  <Characters>15224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77</cp:revision>
  <dcterms:created xsi:type="dcterms:W3CDTF">2023-05-17T14:28:00Z</dcterms:created>
  <dcterms:modified xsi:type="dcterms:W3CDTF">2024-01-31T13:15:00Z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