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46133B">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46133B" w:rsidRDefault="00974134">
            <w:pPr>
              <w:widowControl w:val="0"/>
              <w:autoSpaceDE w:val="0"/>
              <w:spacing w:after="0"/>
            </w:pPr>
            <w:r>
              <w:rPr>
                <w:rFonts w:eastAsia="Times New Roman" w:cs="Arial"/>
                <w:noProof/>
              </w:rPr>
              <w:drawing>
                <wp:inline distT="0" distB="0" distL="0" distR="0">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46133B" w:rsidRDefault="0046133B">
            <w:pPr>
              <w:keepNext/>
              <w:widowControl w:val="0"/>
              <w:autoSpaceDE w:val="0"/>
              <w:spacing w:after="0"/>
              <w:ind w:left="-108"/>
              <w:outlineLvl w:val="1"/>
              <w:rPr>
                <w:rFonts w:eastAsia="Times New Roman" w:cs="Arial"/>
                <w:sz w:val="12"/>
                <w:szCs w:val="12"/>
              </w:rPr>
            </w:pPr>
          </w:p>
          <w:p w:rsidR="0046133B" w:rsidRDefault="00974134">
            <w:pPr>
              <w:keepNext/>
              <w:widowControl w:val="0"/>
              <w:autoSpaceDE w:val="0"/>
              <w:spacing w:after="0"/>
              <w:ind w:left="-108"/>
              <w:outlineLvl w:val="1"/>
              <w:rPr>
                <w:rFonts w:eastAsia="Times New Roman" w:cs="Arial"/>
                <w:b/>
                <w:sz w:val="32"/>
                <w:szCs w:val="32"/>
              </w:rPr>
            </w:pPr>
            <w:r>
              <w:rPr>
                <w:rFonts w:eastAsia="Times New Roman" w:cs="Arial"/>
                <w:b/>
                <w:sz w:val="32"/>
                <w:szCs w:val="32"/>
              </w:rPr>
              <w:t>CONVENTION ON</w:t>
            </w:r>
          </w:p>
          <w:p w:rsidR="0046133B" w:rsidRDefault="00974134">
            <w:pPr>
              <w:keepNext/>
              <w:widowControl w:val="0"/>
              <w:autoSpaceDE w:val="0"/>
              <w:spacing w:after="0"/>
              <w:ind w:left="-108"/>
              <w:outlineLvl w:val="1"/>
              <w:rPr>
                <w:rFonts w:eastAsia="Times New Roman" w:cs="Arial"/>
                <w:b/>
                <w:sz w:val="32"/>
                <w:szCs w:val="32"/>
              </w:rPr>
            </w:pPr>
            <w:r>
              <w:rPr>
                <w:rFonts w:eastAsia="Times New Roman" w:cs="Arial"/>
                <w:b/>
                <w:sz w:val="32"/>
                <w:szCs w:val="32"/>
              </w:rPr>
              <w:t>MIGRATORY</w:t>
            </w:r>
          </w:p>
          <w:p w:rsidR="0046133B" w:rsidRDefault="00974134">
            <w:pPr>
              <w:keepNext/>
              <w:widowControl w:val="0"/>
              <w:autoSpaceDE w:val="0"/>
              <w:spacing w:after="0"/>
              <w:ind w:left="-108"/>
              <w:outlineLvl w:val="1"/>
            </w:pPr>
            <w:r>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46133B" w:rsidRPr="00547ABF" w:rsidRDefault="00974134" w:rsidP="00547ABF">
            <w:pPr>
              <w:widowControl w:val="0"/>
              <w:tabs>
                <w:tab w:val="left" w:pos="5040"/>
                <w:tab w:val="left" w:pos="5760"/>
                <w:tab w:val="left" w:pos="6008"/>
                <w:tab w:val="left" w:pos="6480"/>
                <w:tab w:val="left" w:pos="7200"/>
                <w:tab w:val="left" w:pos="7920"/>
                <w:tab w:val="left" w:pos="8640"/>
              </w:tabs>
              <w:autoSpaceDE w:val="0"/>
              <w:spacing w:before="120" w:after="120"/>
              <w:rPr>
                <w:rFonts w:eastAsia="Times New Roman" w:cs="Arial"/>
                <w:lang w:val="en-GB"/>
              </w:rPr>
            </w:pPr>
            <w:r>
              <w:rPr>
                <w:rFonts w:eastAsia="Times New Roman" w:cs="Arial"/>
                <w:lang w:val="en-GB"/>
              </w:rPr>
              <w:t>UNEP/CMS/COP13/</w:t>
            </w:r>
            <w:r w:rsidRPr="00547ABF">
              <w:rPr>
                <w:rFonts w:eastAsia="Times New Roman" w:cs="Arial"/>
                <w:lang w:val="en-GB"/>
              </w:rPr>
              <w:t>Doc</w:t>
            </w:r>
            <w:r w:rsidR="007D16AC" w:rsidRPr="00547ABF">
              <w:rPr>
                <w:rFonts w:eastAsia="Times New Roman" w:cs="Arial"/>
                <w:lang w:val="en-GB"/>
              </w:rPr>
              <w:t>.</w:t>
            </w:r>
            <w:bookmarkStart w:id="0" w:name="_Hlk21942058"/>
            <w:r w:rsidR="00614F89" w:rsidRPr="00547ABF">
              <w:rPr>
                <w:rFonts w:eastAsia="Times New Roman" w:cs="Arial"/>
                <w:lang w:val="en-GB"/>
              </w:rPr>
              <w:t>28.2.1</w:t>
            </w:r>
            <w:bookmarkEnd w:id="0"/>
            <w:r w:rsidR="00441F6C" w:rsidRPr="00547ABF">
              <w:rPr>
                <w:rFonts w:eastAsia="Times New Roman" w:cs="Arial"/>
                <w:lang w:val="en-GB"/>
              </w:rPr>
              <w:t>2</w:t>
            </w:r>
          </w:p>
          <w:p w:rsidR="0046133B" w:rsidRPr="00547ABF" w:rsidRDefault="00547ABF" w:rsidP="00547ABF">
            <w:pPr>
              <w:widowControl w:val="0"/>
              <w:tabs>
                <w:tab w:val="left" w:pos="5040"/>
                <w:tab w:val="left" w:pos="5760"/>
                <w:tab w:val="left" w:pos="6008"/>
                <w:tab w:val="left" w:pos="6480"/>
                <w:tab w:val="left" w:pos="7200"/>
                <w:tab w:val="left" w:pos="7920"/>
                <w:tab w:val="left" w:pos="8640"/>
              </w:tabs>
              <w:autoSpaceDE w:val="0"/>
              <w:spacing w:before="120" w:after="120"/>
              <w:rPr>
                <w:rFonts w:eastAsia="Times New Roman" w:cs="Arial"/>
                <w:lang w:val="en-GB"/>
              </w:rPr>
            </w:pPr>
            <w:r>
              <w:rPr>
                <w:rFonts w:eastAsia="Times New Roman" w:cs="Arial"/>
                <w:lang w:val="en-GB"/>
              </w:rPr>
              <w:t>14</w:t>
            </w:r>
            <w:r w:rsidR="007D16AC" w:rsidRPr="00547ABF">
              <w:rPr>
                <w:rFonts w:eastAsia="Times New Roman" w:cs="Arial"/>
                <w:lang w:val="en-GB"/>
              </w:rPr>
              <w:t xml:space="preserve"> </w:t>
            </w:r>
            <w:r w:rsidR="00180D51" w:rsidRPr="00547ABF">
              <w:rPr>
                <w:rFonts w:eastAsia="Times New Roman" w:cs="Arial"/>
                <w:lang w:val="en-GB"/>
              </w:rPr>
              <w:t>October</w:t>
            </w:r>
            <w:r w:rsidR="007D16AC" w:rsidRPr="00547ABF">
              <w:rPr>
                <w:rFonts w:eastAsia="Times New Roman" w:cs="Arial"/>
                <w:lang w:val="en-GB"/>
              </w:rPr>
              <w:t xml:space="preserve"> </w:t>
            </w:r>
            <w:r w:rsidR="00974134" w:rsidRPr="00547ABF">
              <w:rPr>
                <w:rFonts w:eastAsia="Times New Roman" w:cs="Arial"/>
                <w:lang w:val="en-GB"/>
              </w:rPr>
              <w:t>2019</w:t>
            </w:r>
          </w:p>
          <w:p w:rsidR="0046133B" w:rsidRDefault="00974134" w:rsidP="00547ABF">
            <w:pPr>
              <w:widowControl w:val="0"/>
              <w:autoSpaceDE w:val="0"/>
              <w:spacing w:before="120" w:after="120"/>
              <w:rPr>
                <w:rFonts w:eastAsia="Times New Roman" w:cs="Arial"/>
                <w:lang w:val="en-GB"/>
              </w:rPr>
            </w:pPr>
            <w:r>
              <w:rPr>
                <w:rFonts w:eastAsia="Times New Roman" w:cs="Arial"/>
                <w:lang w:val="en-GB"/>
              </w:rPr>
              <w:t>Original: English</w:t>
            </w:r>
          </w:p>
          <w:p w:rsidR="0046133B" w:rsidRDefault="0046133B">
            <w:pPr>
              <w:widowControl w:val="0"/>
              <w:autoSpaceDE w:val="0"/>
              <w:spacing w:after="0"/>
              <w:rPr>
                <w:rFonts w:eastAsia="Times New Roman" w:cs="Arial"/>
                <w:sz w:val="12"/>
                <w:szCs w:val="12"/>
                <w:lang w:val="en-GB"/>
              </w:rPr>
            </w:pPr>
          </w:p>
        </w:tc>
      </w:tr>
    </w:tbl>
    <w:p w:rsidR="0046133B" w:rsidRDefault="0046133B">
      <w:pPr>
        <w:widowControl w:val="0"/>
        <w:tabs>
          <w:tab w:val="left" w:pos="-1057"/>
          <w:tab w:val="left" w:pos="-720"/>
        </w:tabs>
        <w:autoSpaceDE w:val="0"/>
        <w:spacing w:after="0"/>
        <w:ind w:left="-90"/>
        <w:rPr>
          <w:rFonts w:eastAsia="Times New Roman" w:cs="Arial"/>
          <w:spacing w:val="-8"/>
          <w:sz w:val="8"/>
          <w:szCs w:val="8"/>
          <w:lang w:val="en-GB"/>
        </w:rPr>
      </w:pPr>
    </w:p>
    <w:p w:rsidR="0046133B" w:rsidRDefault="00974134">
      <w:pPr>
        <w:widowControl w:val="0"/>
        <w:tabs>
          <w:tab w:val="left" w:pos="-1057"/>
          <w:tab w:val="left" w:pos="-720"/>
        </w:tabs>
        <w:autoSpaceDE w:val="0"/>
        <w:spacing w:after="0"/>
      </w:pPr>
      <w:r>
        <w:rPr>
          <w:rFonts w:eastAsia="Times New Roman" w:cs="Arial"/>
          <w:lang w:val="en-GB"/>
        </w:rPr>
        <w:t>13</w:t>
      </w:r>
      <w:r>
        <w:rPr>
          <w:rFonts w:eastAsia="Times New Roman" w:cs="Arial"/>
          <w:vertAlign w:val="superscript"/>
          <w:lang w:val="en-GB"/>
        </w:rPr>
        <w:t>th</w:t>
      </w:r>
      <w:r>
        <w:rPr>
          <w:rFonts w:eastAsia="Times New Roman" w:cs="Arial"/>
          <w:lang w:val="en-GB"/>
        </w:rPr>
        <w:t xml:space="preserve"> MEETING OF THE CONFERENCE OF THE PARTIES</w:t>
      </w:r>
    </w:p>
    <w:p w:rsidR="0046133B" w:rsidRDefault="00974134">
      <w:pPr>
        <w:widowControl w:val="0"/>
        <w:pBdr>
          <w:top w:val="single" w:sz="6" w:space="0" w:color="FFFFFF"/>
          <w:left w:val="single" w:sz="6" w:space="0" w:color="FFFFFF"/>
          <w:bottom w:val="single" w:sz="6" w:space="0" w:color="FFFFFF"/>
          <w:right w:val="single" w:sz="6" w:space="0" w:color="FFFFFF"/>
        </w:pBdr>
        <w:autoSpaceDE w:val="0"/>
        <w:spacing w:after="0"/>
        <w:outlineLvl w:val="1"/>
      </w:pPr>
      <w:r>
        <w:rPr>
          <w:rFonts w:eastAsia="Times New Roman" w:cs="Arial"/>
          <w:bCs/>
          <w:lang w:val="en-GB"/>
        </w:rPr>
        <w:t>Gand</w:t>
      </w:r>
      <w:r w:rsidR="00636EC1">
        <w:rPr>
          <w:rFonts w:eastAsia="Times New Roman" w:cs="Arial"/>
          <w:bCs/>
          <w:lang w:val="en-GB"/>
        </w:rPr>
        <w:t>h</w:t>
      </w:r>
      <w:r>
        <w:rPr>
          <w:rFonts w:eastAsia="Times New Roman" w:cs="Arial"/>
          <w:bCs/>
          <w:lang w:val="en-GB"/>
        </w:rPr>
        <w:t>inagar, India</w:t>
      </w:r>
      <w:r>
        <w:rPr>
          <w:rFonts w:eastAsia="Times New Roman" w:cs="Arial"/>
          <w:bCs/>
          <w:lang w:val="pt-PT"/>
        </w:rPr>
        <w:t>, 17 - 22 February 2020</w:t>
      </w:r>
    </w:p>
    <w:p w:rsidR="0046133B" w:rsidRPr="00547ABF" w:rsidRDefault="00974134" w:rsidP="00547ABF">
      <w:pPr>
        <w:widowControl w:val="0"/>
        <w:tabs>
          <w:tab w:val="left" w:pos="7020"/>
        </w:tabs>
        <w:autoSpaceDE w:val="0"/>
        <w:spacing w:after="0"/>
        <w:rPr>
          <w:rFonts w:eastAsia="Times New Roman" w:cs="Arial"/>
          <w:iCs/>
          <w:lang w:val="pt-PT"/>
        </w:rPr>
      </w:pPr>
      <w:r>
        <w:rPr>
          <w:rFonts w:eastAsia="Times New Roman" w:cs="Arial"/>
          <w:iCs/>
          <w:lang w:val="pt-PT"/>
        </w:rPr>
        <w:t>Agenda Item</w:t>
      </w:r>
      <w:r w:rsidR="007D16AC">
        <w:rPr>
          <w:rFonts w:eastAsia="Times New Roman" w:cs="Arial"/>
          <w:iCs/>
          <w:lang w:val="pt-PT"/>
        </w:rPr>
        <w:t xml:space="preserve"> </w:t>
      </w:r>
      <w:r w:rsidR="005A43FA" w:rsidRPr="00547ABF">
        <w:rPr>
          <w:rFonts w:eastAsia="Times New Roman" w:cs="Arial"/>
          <w:iCs/>
          <w:lang w:val="pt-PT"/>
        </w:rPr>
        <w:t>28.2.1</w:t>
      </w:r>
      <w:r w:rsidR="00441F6C" w:rsidRPr="00547ABF">
        <w:rPr>
          <w:rFonts w:eastAsia="Times New Roman" w:cs="Arial"/>
          <w:iCs/>
          <w:lang w:val="pt-PT"/>
        </w:rPr>
        <w:t>2</w:t>
      </w:r>
    </w:p>
    <w:p w:rsidR="00180D51" w:rsidRPr="0095077E" w:rsidRDefault="00180D51">
      <w:pPr>
        <w:widowControl w:val="0"/>
        <w:autoSpaceDE w:val="0"/>
        <w:spacing w:after="0"/>
        <w:rPr>
          <w:rFonts w:eastAsia="Times New Roman" w:cs="Arial"/>
          <w:lang w:val="en-GB"/>
        </w:rPr>
      </w:pPr>
    </w:p>
    <w:p w:rsidR="0046133B" w:rsidRDefault="0046133B">
      <w:pPr>
        <w:widowControl w:val="0"/>
        <w:autoSpaceDE w:val="0"/>
        <w:spacing w:after="0"/>
        <w:rPr>
          <w:rFonts w:eastAsia="Times New Roman" w:cs="Arial"/>
        </w:rPr>
      </w:pPr>
    </w:p>
    <w:p w:rsidR="00921A2D" w:rsidRPr="003B17F9" w:rsidRDefault="00921A2D" w:rsidP="00921A2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3B17F9">
        <w:rPr>
          <w:rFonts w:eastAsia="Times New Roman" w:cs="Arial"/>
          <w:b/>
          <w:bCs/>
          <w:lang w:val="en-GB"/>
        </w:rPr>
        <w:t>PROPOSAL FOR A CONCERTED ACTION FOR</w:t>
      </w:r>
    </w:p>
    <w:p w:rsidR="00921A2D" w:rsidRDefault="00921A2D" w:rsidP="00921A2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3B17F9">
        <w:rPr>
          <w:rFonts w:eastAsia="Times New Roman" w:cs="Arial"/>
          <w:b/>
          <w:bCs/>
          <w:lang w:val="en-GB"/>
        </w:rPr>
        <w:t>THE ANTIPODEAN ALBATROSS</w:t>
      </w:r>
      <w:r w:rsidRPr="003B17F9">
        <w:rPr>
          <w:i/>
          <w:iCs/>
        </w:rPr>
        <w:t xml:space="preserve"> </w:t>
      </w:r>
      <w:r w:rsidRPr="003B17F9">
        <w:rPr>
          <w:rFonts w:eastAsia="Times New Roman" w:cs="Arial"/>
          <w:b/>
          <w:bCs/>
          <w:lang w:val="en-GB"/>
        </w:rPr>
        <w:t>(</w:t>
      </w:r>
      <w:proofErr w:type="spellStart"/>
      <w:r w:rsidRPr="003B17F9">
        <w:rPr>
          <w:rFonts w:eastAsia="Times New Roman" w:cs="Arial"/>
          <w:b/>
          <w:bCs/>
          <w:i/>
          <w:iCs/>
          <w:lang w:val="en-GB"/>
        </w:rPr>
        <w:t>Diomedea</w:t>
      </w:r>
      <w:proofErr w:type="spellEnd"/>
      <w:r w:rsidRPr="003B17F9">
        <w:rPr>
          <w:rFonts w:eastAsia="Times New Roman" w:cs="Arial"/>
          <w:b/>
          <w:bCs/>
          <w:i/>
          <w:iCs/>
          <w:lang w:val="en-GB"/>
        </w:rPr>
        <w:t xml:space="preserve"> </w:t>
      </w:r>
      <w:proofErr w:type="spellStart"/>
      <w:r w:rsidRPr="003B17F9">
        <w:rPr>
          <w:rFonts w:eastAsia="Times New Roman" w:cs="Arial"/>
          <w:b/>
          <w:bCs/>
          <w:i/>
          <w:iCs/>
          <w:lang w:val="en-GB"/>
        </w:rPr>
        <w:t>antipodensis</w:t>
      </w:r>
      <w:proofErr w:type="spellEnd"/>
      <w:r w:rsidRPr="003B17F9">
        <w:rPr>
          <w:rFonts w:eastAsia="Times New Roman" w:cs="Arial"/>
          <w:b/>
          <w:bCs/>
          <w:lang w:val="en-GB"/>
        </w:rPr>
        <w:t xml:space="preserve">) </w:t>
      </w:r>
    </w:p>
    <w:p w:rsidR="00921A2D" w:rsidRPr="003B17F9" w:rsidRDefault="00921A2D" w:rsidP="00921A2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pPr>
      <w:r w:rsidRPr="003B17F9">
        <w:rPr>
          <w:rFonts w:eastAsia="Times New Roman" w:cs="Arial"/>
          <w:b/>
          <w:bCs/>
          <w:lang w:val="en-GB"/>
        </w:rPr>
        <w:t>PROPOSED FOR LISTING ON APPENDIX I OF THE CONVENTION</w:t>
      </w:r>
      <w:r w:rsidRPr="003B17F9">
        <w:rPr>
          <w:rFonts w:eastAsia="Times New Roman" w:cs="Arial"/>
          <w:lang w:val="en-GB"/>
        </w:rPr>
        <w:t>*</w:t>
      </w:r>
    </w:p>
    <w:p w:rsidR="0046133B" w:rsidRDefault="0046133B">
      <w:pPr>
        <w:widowControl w:val="0"/>
        <w:autoSpaceDE w:val="0"/>
        <w:spacing w:after="0"/>
        <w:jc w:val="center"/>
        <w:rPr>
          <w:rFonts w:eastAsia="Times New Roman" w:cs="Arial"/>
          <w:i/>
          <w:lang w:val="en-GB"/>
        </w:rPr>
      </w:pPr>
    </w:p>
    <w:p w:rsidR="0046133B" w:rsidRDefault="0046133B">
      <w:pPr>
        <w:widowControl w:val="0"/>
        <w:autoSpaceDE w:val="0"/>
        <w:spacing w:after="0"/>
        <w:jc w:val="both"/>
        <w:rPr>
          <w:rFonts w:eastAsia="Times New Roman" w:cs="Arial"/>
          <w:sz w:val="21"/>
          <w:szCs w:val="21"/>
          <w:lang w:val="en-GB"/>
        </w:rPr>
      </w:pPr>
    </w:p>
    <w:p w:rsidR="0046133B" w:rsidRDefault="0046133B">
      <w:pPr>
        <w:widowControl w:val="0"/>
        <w:tabs>
          <w:tab w:val="left" w:pos="8295"/>
        </w:tabs>
        <w:autoSpaceDE w:val="0"/>
        <w:spacing w:after="0"/>
        <w:jc w:val="both"/>
        <w:rPr>
          <w:rFonts w:eastAsia="Times New Roman" w:cs="Arial"/>
          <w:sz w:val="21"/>
          <w:szCs w:val="21"/>
        </w:rPr>
      </w:pPr>
    </w:p>
    <w:p w:rsidR="0046133B" w:rsidRDefault="00974134">
      <w:pPr>
        <w:widowControl w:val="0"/>
        <w:autoSpaceDE w:val="0"/>
        <w:spacing w:after="0"/>
      </w:pPr>
      <w:r>
        <w:rPr>
          <w:rFonts w:eastAsia="Times New Roman" w:cs="Arial"/>
          <w:noProof/>
          <w:sz w:val="21"/>
          <w:szCs w:val="21"/>
        </w:rPr>
        <mc:AlternateContent>
          <mc:Choice Requires="wps">
            <w:drawing>
              <wp:anchor distT="0" distB="0" distL="114300" distR="114300" simplePos="0" relativeHeight="251659264" behindDoc="0" locked="0" layoutInCell="1" allowOverlap="1">
                <wp:simplePos x="0" y="0"/>
                <wp:positionH relativeFrom="column">
                  <wp:posOffset>789940</wp:posOffset>
                </wp:positionH>
                <wp:positionV relativeFrom="paragraph">
                  <wp:posOffset>158750</wp:posOffset>
                </wp:positionV>
                <wp:extent cx="4295140" cy="1152525"/>
                <wp:effectExtent l="0" t="0" r="10160" b="28575"/>
                <wp:wrapNone/>
                <wp:docPr id="5" name="Text Box 4"/>
                <wp:cNvGraphicFramePr/>
                <a:graphic xmlns:a="http://schemas.openxmlformats.org/drawingml/2006/main">
                  <a:graphicData uri="http://schemas.microsoft.com/office/word/2010/wordprocessingShape">
                    <wps:wsp>
                      <wps:cNvSpPr txBox="1"/>
                      <wps:spPr>
                        <a:xfrm>
                          <a:off x="0" y="0"/>
                          <a:ext cx="4295140" cy="1152525"/>
                        </a:xfrm>
                        <a:prstGeom prst="rect">
                          <a:avLst/>
                        </a:prstGeom>
                        <a:solidFill>
                          <a:srgbClr val="FFFFFF"/>
                        </a:solidFill>
                        <a:ln w="3172">
                          <a:solidFill>
                            <a:srgbClr val="000000"/>
                          </a:solidFill>
                          <a:prstDash val="solid"/>
                        </a:ln>
                      </wps:spPr>
                      <wps:txbx>
                        <w:txbxContent>
                          <w:p w:rsidR="0046133B" w:rsidRPr="00547ABF" w:rsidRDefault="00974134" w:rsidP="00547ABF">
                            <w:pPr>
                              <w:spacing w:after="0"/>
                              <w:jc w:val="both"/>
                              <w:rPr>
                                <w:rFonts w:cs="Arial"/>
                              </w:rPr>
                            </w:pPr>
                            <w:r w:rsidRPr="00547ABF">
                              <w:rPr>
                                <w:rFonts w:cs="Arial"/>
                              </w:rPr>
                              <w:t>Summary:</w:t>
                            </w:r>
                          </w:p>
                          <w:p w:rsidR="0046133B" w:rsidRPr="00547ABF" w:rsidRDefault="0046133B" w:rsidP="00547ABF">
                            <w:pPr>
                              <w:widowControl w:val="0"/>
                              <w:suppressAutoHyphens w:val="0"/>
                              <w:autoSpaceDE w:val="0"/>
                              <w:spacing w:after="0"/>
                              <w:jc w:val="both"/>
                              <w:textAlignment w:val="auto"/>
                              <w:rPr>
                                <w:rFonts w:eastAsia="Times New Roman" w:cs="Arial"/>
                                <w:lang w:val="en-GB"/>
                              </w:rPr>
                            </w:pPr>
                          </w:p>
                          <w:p w:rsidR="00921A2D" w:rsidRPr="00547ABF" w:rsidRDefault="00921A2D" w:rsidP="00547ABF">
                            <w:pPr>
                              <w:widowControl w:val="0"/>
                              <w:autoSpaceDE w:val="0"/>
                              <w:spacing w:after="0"/>
                              <w:jc w:val="both"/>
                              <w:rPr>
                                <w:rFonts w:eastAsia="Times New Roman" w:cs="Arial"/>
                                <w:lang w:val="en-GB"/>
                              </w:rPr>
                            </w:pPr>
                            <w:r w:rsidRPr="00547ABF">
                              <w:rPr>
                                <w:rFonts w:eastAsia="Times New Roman" w:cs="Arial"/>
                                <w:lang w:val="en-GB"/>
                              </w:rPr>
                              <w:t xml:space="preserve">The Governments of New Zealand, Australia and Chile have submitted the attached proposal for a Concerted Action for the Antipodean </w:t>
                            </w:r>
                            <w:r w:rsidR="00441F6C" w:rsidRPr="00547ABF">
                              <w:rPr>
                                <w:rFonts w:eastAsia="Times New Roman" w:cs="Arial"/>
                                <w:lang w:val="en-GB"/>
                              </w:rPr>
                              <w:t>A</w:t>
                            </w:r>
                            <w:r w:rsidRPr="00547ABF">
                              <w:rPr>
                                <w:rFonts w:eastAsia="Times New Roman" w:cs="Arial"/>
                                <w:lang w:val="en-GB"/>
                              </w:rPr>
                              <w:t xml:space="preserve">lbatross </w:t>
                            </w:r>
                            <w:r w:rsidRPr="00547ABF">
                              <w:rPr>
                                <w:rFonts w:eastAsia="Times New Roman" w:cs="Arial"/>
                                <w:i/>
                                <w:lang w:val="en-GB"/>
                              </w:rPr>
                              <w:t>(</w:t>
                            </w:r>
                            <w:proofErr w:type="spellStart"/>
                            <w:r w:rsidRPr="00547ABF">
                              <w:rPr>
                                <w:rFonts w:eastAsia="Times New Roman" w:cs="Arial"/>
                                <w:i/>
                                <w:lang w:val="en-GB"/>
                              </w:rPr>
                              <w:t>Diomedea</w:t>
                            </w:r>
                            <w:proofErr w:type="spellEnd"/>
                            <w:r w:rsidRPr="00547ABF">
                              <w:rPr>
                                <w:rFonts w:eastAsia="Times New Roman" w:cs="Arial"/>
                                <w:i/>
                                <w:lang w:val="en-GB"/>
                              </w:rPr>
                              <w:t xml:space="preserve"> </w:t>
                            </w:r>
                            <w:proofErr w:type="spellStart"/>
                            <w:r w:rsidRPr="00547ABF">
                              <w:rPr>
                                <w:rFonts w:eastAsia="Times New Roman" w:cs="Arial"/>
                                <w:i/>
                                <w:lang w:val="en-GB"/>
                              </w:rPr>
                              <w:t>antipodensis</w:t>
                            </w:r>
                            <w:proofErr w:type="spellEnd"/>
                            <w:r w:rsidRPr="00547ABF">
                              <w:rPr>
                                <w:rFonts w:eastAsia="Times New Roman" w:cs="Arial"/>
                                <w:i/>
                                <w:iCs/>
                                <w:lang w:val="en-GB"/>
                              </w:rPr>
                              <w:t>)</w:t>
                            </w:r>
                            <w:r w:rsidRPr="00547ABF">
                              <w:rPr>
                                <w:rFonts w:eastAsia="Times New Roman" w:cs="Arial"/>
                                <w:lang w:val="en-GB"/>
                              </w:rPr>
                              <w:t xml:space="preserve"> in accordance with the process elaborated in Resolution 12.28. </w:t>
                            </w:r>
                          </w:p>
                          <w:p w:rsidR="0046133B" w:rsidRDefault="0046133B">
                            <w:pPr>
                              <w:spacing w:after="0"/>
                              <w:rPr>
                                <w:rFonts w:cs="Arial"/>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2.2pt;margin-top:12.5pt;width:338.2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" strokeweight=".08811mm">
                <v:textbox>
                  <w:txbxContent>
                    <w:p w:rsidR="0046133B" w:rsidRPr="00547ABF" w:rsidRDefault="00974134" w:rsidP="00547ABF">
                      <w:pPr>
                        <w:spacing w:after="0"/>
                        <w:jc w:val="both"/>
                        <w:rPr>
                          <w:rFonts w:cs="Arial"/>
                        </w:rPr>
                      </w:pPr>
                      <w:r w:rsidRPr="00547ABF">
                        <w:rPr>
                          <w:rFonts w:cs="Arial"/>
                        </w:rPr>
                        <w:t>Summary:</w:t>
                      </w:r>
                    </w:p>
                    <w:p w:rsidR="0046133B" w:rsidRPr="00547ABF" w:rsidRDefault="0046133B" w:rsidP="00547ABF">
                      <w:pPr>
                        <w:widowControl w:val="0"/>
                        <w:suppressAutoHyphens w:val="0"/>
                        <w:autoSpaceDE w:val="0"/>
                        <w:spacing w:after="0"/>
                        <w:jc w:val="both"/>
                        <w:textAlignment w:val="auto"/>
                        <w:rPr>
                          <w:rFonts w:eastAsia="Times New Roman" w:cs="Arial"/>
                          <w:lang w:val="en-GB"/>
                        </w:rPr>
                      </w:pPr>
                    </w:p>
                    <w:p w:rsidR="00921A2D" w:rsidRPr="00547ABF" w:rsidRDefault="00921A2D" w:rsidP="00547ABF">
                      <w:pPr>
                        <w:widowControl w:val="0"/>
                        <w:autoSpaceDE w:val="0"/>
                        <w:spacing w:after="0"/>
                        <w:jc w:val="both"/>
                        <w:rPr>
                          <w:rFonts w:eastAsia="Times New Roman" w:cs="Arial"/>
                          <w:lang w:val="en-GB"/>
                        </w:rPr>
                      </w:pPr>
                      <w:r w:rsidRPr="00547ABF">
                        <w:rPr>
                          <w:rFonts w:eastAsia="Times New Roman" w:cs="Arial"/>
                          <w:lang w:val="en-GB"/>
                        </w:rPr>
                        <w:t xml:space="preserve">The Governments of New Zealand, Australia and Chile have submitted the attached proposal for a Concerted Action for the Antipodean </w:t>
                      </w:r>
                      <w:r w:rsidR="00441F6C" w:rsidRPr="00547ABF">
                        <w:rPr>
                          <w:rFonts w:eastAsia="Times New Roman" w:cs="Arial"/>
                          <w:lang w:val="en-GB"/>
                        </w:rPr>
                        <w:t>A</w:t>
                      </w:r>
                      <w:r w:rsidRPr="00547ABF">
                        <w:rPr>
                          <w:rFonts w:eastAsia="Times New Roman" w:cs="Arial"/>
                          <w:lang w:val="en-GB"/>
                        </w:rPr>
                        <w:t xml:space="preserve">lbatross </w:t>
                      </w:r>
                      <w:r w:rsidRPr="00547ABF">
                        <w:rPr>
                          <w:rFonts w:eastAsia="Times New Roman" w:cs="Arial"/>
                          <w:i/>
                          <w:lang w:val="en-GB"/>
                        </w:rPr>
                        <w:t>(</w:t>
                      </w:r>
                      <w:proofErr w:type="spellStart"/>
                      <w:r w:rsidRPr="00547ABF">
                        <w:rPr>
                          <w:rFonts w:eastAsia="Times New Roman" w:cs="Arial"/>
                          <w:i/>
                          <w:lang w:val="en-GB"/>
                        </w:rPr>
                        <w:t>Diomedea</w:t>
                      </w:r>
                      <w:proofErr w:type="spellEnd"/>
                      <w:r w:rsidRPr="00547ABF">
                        <w:rPr>
                          <w:rFonts w:eastAsia="Times New Roman" w:cs="Arial"/>
                          <w:i/>
                          <w:lang w:val="en-GB"/>
                        </w:rPr>
                        <w:t xml:space="preserve"> </w:t>
                      </w:r>
                      <w:proofErr w:type="spellStart"/>
                      <w:r w:rsidRPr="00547ABF">
                        <w:rPr>
                          <w:rFonts w:eastAsia="Times New Roman" w:cs="Arial"/>
                          <w:i/>
                          <w:lang w:val="en-GB"/>
                        </w:rPr>
                        <w:t>antipodensis</w:t>
                      </w:r>
                      <w:proofErr w:type="spellEnd"/>
                      <w:r w:rsidRPr="00547ABF">
                        <w:rPr>
                          <w:rFonts w:eastAsia="Times New Roman" w:cs="Arial"/>
                          <w:i/>
                          <w:iCs/>
                          <w:lang w:val="en-GB"/>
                        </w:rPr>
                        <w:t>)</w:t>
                      </w:r>
                      <w:r w:rsidRPr="00547ABF">
                        <w:rPr>
                          <w:rFonts w:eastAsia="Times New Roman" w:cs="Arial"/>
                          <w:lang w:val="en-GB"/>
                        </w:rPr>
                        <w:t xml:space="preserve"> in accordance with the process elaborated in Resolution 12.28. </w:t>
                      </w:r>
                    </w:p>
                    <w:p w:rsidR="0046133B" w:rsidRDefault="0046133B">
                      <w:pPr>
                        <w:spacing w:after="0"/>
                        <w:rPr>
                          <w:rFonts w:cs="Arial"/>
                        </w:rPr>
                      </w:pPr>
                    </w:p>
                  </w:txbxContent>
                </v:textbox>
              </v:shape>
            </w:pict>
          </mc:Fallback>
        </mc:AlternateContent>
      </w: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974134">
      <w:pPr>
        <w:widowControl w:val="0"/>
        <w:autoSpaceDE w:val="0"/>
        <w:spacing w:after="0"/>
        <w:jc w:val="both"/>
        <w:sectPr w:rsidR="0046133B">
          <w:headerReference w:type="default" r:id="rId8"/>
          <w:footerReference w:type="default" r:id="rId9"/>
          <w:headerReference w:type="first" r:id="rId10"/>
          <w:footerReference w:type="first" r:id="rId11"/>
          <w:endnotePr>
            <w:numFmt w:val="decimal"/>
          </w:endnotePr>
          <w:pgSz w:w="11905" w:h="16837"/>
          <w:pgMar w:top="1008" w:right="1411" w:bottom="1152" w:left="1411" w:header="432" w:footer="432" w:gutter="0"/>
          <w:cols w:space="720"/>
          <w:titlePg/>
        </w:sectPr>
      </w:pPr>
      <w:r>
        <w:rPr>
          <w:rFonts w:eastAsia="Times New Roman" w:cs="Arial"/>
          <w:sz w:val="18"/>
          <w:szCs w:val="18"/>
        </w:rPr>
        <w:t xml:space="preserve">*The geographical designations employed in this document do not imply the expression of any opinion whatsoever on the part of the CMS Secretariat (or the United Nations Environment </w:t>
      </w:r>
      <w:proofErr w:type="spellStart"/>
      <w:r>
        <w:rPr>
          <w:rFonts w:eastAsia="Times New Roman" w:cs="Arial"/>
          <w:sz w:val="18"/>
          <w:szCs w:val="18"/>
        </w:rPr>
        <w:t>Programme</w:t>
      </w:r>
      <w:proofErr w:type="spellEnd"/>
      <w:r>
        <w:rPr>
          <w:rFonts w:eastAsia="Times New Roman" w:cs="Arial"/>
          <w:sz w:val="18"/>
          <w:szCs w:val="18"/>
        </w:rPr>
        <w:t>) concerning the legal status of any country, territory, or area, or concerning the delimitation of its frontiers or boundaries. The responsibility for the contents of the document rests exclusively with its author</w:t>
      </w:r>
    </w:p>
    <w:p w:rsidR="00441F6C" w:rsidRDefault="00441F6C" w:rsidP="00547ABF">
      <w:pPr>
        <w:suppressAutoHyphens w:val="0"/>
        <w:autoSpaceDN/>
        <w:spacing w:after="0"/>
        <w:jc w:val="center"/>
        <w:textAlignment w:val="auto"/>
        <w:rPr>
          <w:rFonts w:cs="Arial"/>
          <w:b/>
          <w:bCs/>
          <w:i/>
          <w:iCs/>
          <w:sz w:val="24"/>
          <w:szCs w:val="24"/>
          <w:lang w:val="en-NZ"/>
        </w:rPr>
      </w:pPr>
      <w:r w:rsidRPr="00441F6C">
        <w:rPr>
          <w:rFonts w:cs="Arial"/>
          <w:b/>
          <w:bCs/>
          <w:sz w:val="24"/>
          <w:szCs w:val="24"/>
          <w:lang w:val="en-NZ"/>
        </w:rPr>
        <w:lastRenderedPageBreak/>
        <w:t xml:space="preserve">Concerted Action for Antipodean </w:t>
      </w:r>
      <w:r>
        <w:rPr>
          <w:rFonts w:cs="Arial"/>
          <w:b/>
          <w:bCs/>
          <w:sz w:val="24"/>
          <w:szCs w:val="24"/>
          <w:lang w:val="en-NZ"/>
        </w:rPr>
        <w:t>A</w:t>
      </w:r>
      <w:r w:rsidRPr="00441F6C">
        <w:rPr>
          <w:rFonts w:cs="Arial"/>
          <w:b/>
          <w:bCs/>
          <w:sz w:val="24"/>
          <w:szCs w:val="24"/>
          <w:lang w:val="en-NZ"/>
        </w:rPr>
        <w:t>lbatross</w:t>
      </w:r>
      <w:r w:rsidRPr="00441F6C">
        <w:rPr>
          <w:rFonts w:ascii="Calibri" w:hAnsi="Calibri"/>
          <w:i/>
          <w:iCs/>
          <w:sz w:val="20"/>
          <w:szCs w:val="20"/>
          <w:lang w:val="en-NZ"/>
        </w:rPr>
        <w:t xml:space="preserve"> </w:t>
      </w:r>
      <w:r w:rsidRPr="00441F6C">
        <w:rPr>
          <w:rFonts w:cs="Arial"/>
          <w:b/>
          <w:bCs/>
          <w:i/>
          <w:iCs/>
          <w:sz w:val="24"/>
          <w:szCs w:val="24"/>
          <w:lang w:val="en-NZ"/>
        </w:rPr>
        <w:t>(</w:t>
      </w:r>
      <w:proofErr w:type="spellStart"/>
      <w:r w:rsidRPr="00441F6C">
        <w:rPr>
          <w:rFonts w:cs="Arial"/>
          <w:b/>
          <w:bCs/>
          <w:i/>
          <w:iCs/>
          <w:sz w:val="24"/>
          <w:szCs w:val="24"/>
          <w:lang w:val="en-NZ"/>
        </w:rPr>
        <w:t>Diomedea</w:t>
      </w:r>
      <w:proofErr w:type="spellEnd"/>
      <w:r w:rsidRPr="00441F6C">
        <w:rPr>
          <w:rFonts w:cs="Arial"/>
          <w:b/>
          <w:bCs/>
          <w:i/>
          <w:iCs/>
          <w:sz w:val="24"/>
          <w:szCs w:val="24"/>
          <w:lang w:val="en-NZ"/>
        </w:rPr>
        <w:t xml:space="preserve"> </w:t>
      </w:r>
      <w:proofErr w:type="spellStart"/>
      <w:r w:rsidRPr="00441F6C">
        <w:rPr>
          <w:rFonts w:cs="Arial"/>
          <w:b/>
          <w:bCs/>
          <w:i/>
          <w:iCs/>
          <w:sz w:val="24"/>
          <w:szCs w:val="24"/>
          <w:lang w:val="en-NZ"/>
        </w:rPr>
        <w:t>antipodensis</w:t>
      </w:r>
      <w:proofErr w:type="spellEnd"/>
      <w:r w:rsidRPr="00441F6C">
        <w:rPr>
          <w:rFonts w:cs="Arial"/>
          <w:b/>
          <w:bCs/>
          <w:i/>
          <w:iCs/>
          <w:sz w:val="24"/>
          <w:szCs w:val="24"/>
          <w:lang w:val="en-NZ"/>
        </w:rPr>
        <w:t>)</w:t>
      </w:r>
    </w:p>
    <w:p w:rsidR="00547ABF" w:rsidRDefault="00547ABF" w:rsidP="00547ABF">
      <w:pPr>
        <w:suppressAutoHyphens w:val="0"/>
        <w:autoSpaceDN/>
        <w:spacing w:after="0"/>
        <w:jc w:val="center"/>
        <w:textAlignment w:val="auto"/>
        <w:rPr>
          <w:rFonts w:cs="Arial"/>
          <w:b/>
          <w:bCs/>
          <w:sz w:val="24"/>
          <w:szCs w:val="24"/>
          <w:lang w:val="en-NZ"/>
        </w:rPr>
      </w:pPr>
    </w:p>
    <w:p w:rsidR="00547ABF" w:rsidRPr="00441F6C" w:rsidRDefault="00547ABF" w:rsidP="00547ABF">
      <w:pPr>
        <w:suppressAutoHyphens w:val="0"/>
        <w:autoSpaceDN/>
        <w:spacing w:after="0"/>
        <w:jc w:val="center"/>
        <w:textAlignment w:val="auto"/>
        <w:rPr>
          <w:rFonts w:cs="Arial"/>
          <w:b/>
          <w:bCs/>
          <w:sz w:val="24"/>
          <w:szCs w:val="24"/>
          <w:lang w:val="en-NZ"/>
        </w:rPr>
      </w:pPr>
    </w:p>
    <w:p w:rsidR="00441F6C" w:rsidRPr="00441F6C" w:rsidRDefault="00441F6C" w:rsidP="00441F6C">
      <w:pPr>
        <w:numPr>
          <w:ilvl w:val="0"/>
          <w:numId w:val="1"/>
        </w:numPr>
        <w:suppressAutoHyphens w:val="0"/>
        <w:autoSpaceDN/>
        <w:spacing w:after="0"/>
        <w:ind w:left="540" w:hanging="540"/>
        <w:jc w:val="both"/>
        <w:textAlignment w:val="auto"/>
        <w:rPr>
          <w:rFonts w:cs="Arial"/>
          <w:lang w:val="en-NZ"/>
        </w:rPr>
      </w:pPr>
      <w:r w:rsidRPr="00441F6C">
        <w:rPr>
          <w:rFonts w:cs="Arial"/>
          <w:b/>
          <w:lang w:val="en-NZ"/>
        </w:rPr>
        <w:t>Proponents:</w:t>
      </w:r>
      <w:r w:rsidRPr="00441F6C">
        <w:rPr>
          <w:rFonts w:cs="Arial"/>
          <w:lang w:val="en-NZ"/>
        </w:rPr>
        <w:t xml:space="preserve"> Governments of New Zealand, Australia and Chile. </w:t>
      </w:r>
    </w:p>
    <w:p w:rsidR="00441F6C" w:rsidRPr="00441F6C" w:rsidRDefault="00441F6C" w:rsidP="00441F6C">
      <w:pPr>
        <w:suppressAutoHyphens w:val="0"/>
        <w:autoSpaceDN/>
        <w:spacing w:after="0"/>
        <w:ind w:left="540" w:hanging="540"/>
        <w:jc w:val="both"/>
        <w:textAlignment w:val="auto"/>
        <w:rPr>
          <w:rFonts w:cs="Arial"/>
          <w:lang w:val="en-NZ"/>
        </w:rPr>
      </w:pPr>
    </w:p>
    <w:p w:rsidR="00441F6C" w:rsidRPr="00441F6C" w:rsidRDefault="00441F6C" w:rsidP="00441F6C">
      <w:pPr>
        <w:numPr>
          <w:ilvl w:val="0"/>
          <w:numId w:val="1"/>
        </w:numPr>
        <w:suppressAutoHyphens w:val="0"/>
        <w:autoSpaceDN/>
        <w:spacing w:after="0"/>
        <w:ind w:left="540" w:hanging="540"/>
        <w:jc w:val="both"/>
        <w:textAlignment w:val="auto"/>
        <w:rPr>
          <w:rFonts w:cs="Arial"/>
          <w:lang w:val="en-NZ"/>
        </w:rPr>
      </w:pPr>
      <w:r w:rsidRPr="00441F6C">
        <w:rPr>
          <w:rFonts w:cs="Arial"/>
          <w:b/>
          <w:lang w:val="en-NZ"/>
        </w:rPr>
        <w:t>Target species, lower taxon or population, or group of taxa with needs in common:</w:t>
      </w:r>
      <w:r w:rsidRPr="00441F6C">
        <w:rPr>
          <w:rFonts w:cs="Arial"/>
          <w:lang w:val="en-NZ"/>
        </w:rPr>
        <w:t xml:space="preserve"> </w:t>
      </w:r>
      <w:proofErr w:type="spellStart"/>
      <w:r w:rsidRPr="00441F6C">
        <w:rPr>
          <w:rFonts w:cs="Arial"/>
          <w:i/>
          <w:iCs/>
          <w:lang w:val="en-NZ"/>
        </w:rPr>
        <w:t>Diomedea</w:t>
      </w:r>
      <w:proofErr w:type="spellEnd"/>
      <w:r w:rsidRPr="00441F6C">
        <w:rPr>
          <w:rFonts w:cs="Arial"/>
          <w:i/>
          <w:iCs/>
          <w:lang w:val="en-NZ"/>
        </w:rPr>
        <w:t xml:space="preserve"> </w:t>
      </w:r>
      <w:proofErr w:type="spellStart"/>
      <w:r w:rsidRPr="00441F6C">
        <w:rPr>
          <w:rFonts w:cs="Arial"/>
          <w:i/>
          <w:iCs/>
          <w:lang w:val="en-NZ"/>
        </w:rPr>
        <w:t>antipodensis</w:t>
      </w:r>
      <w:proofErr w:type="spellEnd"/>
      <w:r w:rsidRPr="00441F6C">
        <w:rPr>
          <w:rFonts w:cs="Arial"/>
          <w:lang w:val="en-NZ"/>
        </w:rPr>
        <w:t xml:space="preserve"> (Robertson &amp; </w:t>
      </w:r>
      <w:proofErr w:type="spellStart"/>
      <w:r w:rsidRPr="00441F6C">
        <w:rPr>
          <w:rFonts w:cs="Arial"/>
          <w:lang w:val="en-NZ"/>
        </w:rPr>
        <w:t>Warham</w:t>
      </w:r>
      <w:proofErr w:type="spellEnd"/>
      <w:r w:rsidRPr="00441F6C">
        <w:rPr>
          <w:rFonts w:cs="Arial"/>
          <w:lang w:val="en-NZ"/>
        </w:rPr>
        <w:t xml:space="preserve"> 1992), which includes two subspecies: </w:t>
      </w:r>
      <w:proofErr w:type="spellStart"/>
      <w:r w:rsidRPr="00441F6C">
        <w:rPr>
          <w:rFonts w:cs="Arial"/>
          <w:i/>
          <w:iCs/>
          <w:lang w:val="en-NZ"/>
        </w:rPr>
        <w:t>Diomedea</w:t>
      </w:r>
      <w:proofErr w:type="spellEnd"/>
      <w:r w:rsidRPr="00441F6C">
        <w:rPr>
          <w:rFonts w:cs="Arial"/>
          <w:i/>
          <w:iCs/>
          <w:lang w:val="en-NZ"/>
        </w:rPr>
        <w:t xml:space="preserve"> </w:t>
      </w:r>
      <w:proofErr w:type="spellStart"/>
      <w:r w:rsidRPr="00441F6C">
        <w:rPr>
          <w:rFonts w:cs="Arial"/>
          <w:i/>
          <w:iCs/>
          <w:lang w:val="en-NZ"/>
        </w:rPr>
        <w:t>antipodensis</w:t>
      </w:r>
      <w:proofErr w:type="spellEnd"/>
      <w:r w:rsidRPr="00441F6C">
        <w:rPr>
          <w:rFonts w:cs="Arial"/>
          <w:i/>
          <w:iCs/>
          <w:lang w:val="en-NZ"/>
        </w:rPr>
        <w:t xml:space="preserve"> </w:t>
      </w:r>
      <w:proofErr w:type="spellStart"/>
      <w:r w:rsidRPr="00441F6C">
        <w:rPr>
          <w:rFonts w:cs="Arial"/>
          <w:i/>
          <w:iCs/>
          <w:lang w:val="en-NZ"/>
        </w:rPr>
        <w:t>antipodensis</w:t>
      </w:r>
      <w:proofErr w:type="spellEnd"/>
      <w:r w:rsidRPr="00441F6C">
        <w:rPr>
          <w:rFonts w:cs="Arial"/>
          <w:i/>
          <w:iCs/>
          <w:lang w:val="en-NZ"/>
        </w:rPr>
        <w:t xml:space="preserve"> </w:t>
      </w:r>
      <w:r w:rsidRPr="00441F6C">
        <w:rPr>
          <w:rFonts w:cs="Arial"/>
          <w:lang w:val="en-NZ"/>
        </w:rPr>
        <w:t xml:space="preserve">and </w:t>
      </w:r>
      <w:proofErr w:type="spellStart"/>
      <w:r w:rsidRPr="00441F6C">
        <w:rPr>
          <w:rFonts w:cs="Arial"/>
          <w:i/>
          <w:iCs/>
          <w:lang w:val="en-NZ"/>
        </w:rPr>
        <w:t>Diomedea</w:t>
      </w:r>
      <w:proofErr w:type="spellEnd"/>
      <w:r w:rsidRPr="00441F6C">
        <w:rPr>
          <w:rFonts w:cs="Arial"/>
          <w:i/>
          <w:iCs/>
          <w:lang w:val="en-NZ"/>
        </w:rPr>
        <w:t xml:space="preserve"> </w:t>
      </w:r>
      <w:proofErr w:type="spellStart"/>
      <w:r w:rsidRPr="00441F6C">
        <w:rPr>
          <w:rFonts w:cs="Arial"/>
          <w:i/>
          <w:iCs/>
          <w:lang w:val="en-NZ"/>
        </w:rPr>
        <w:t>antipodensis</w:t>
      </w:r>
      <w:proofErr w:type="spellEnd"/>
      <w:r w:rsidRPr="00441F6C">
        <w:rPr>
          <w:rFonts w:cs="Arial"/>
          <w:i/>
          <w:iCs/>
          <w:lang w:val="en-NZ"/>
        </w:rPr>
        <w:t xml:space="preserve"> </w:t>
      </w:r>
      <w:proofErr w:type="spellStart"/>
      <w:r w:rsidRPr="00441F6C">
        <w:rPr>
          <w:rFonts w:cs="Arial"/>
          <w:i/>
          <w:iCs/>
          <w:lang w:val="en-NZ"/>
        </w:rPr>
        <w:t>gibsoni</w:t>
      </w:r>
      <w:proofErr w:type="spellEnd"/>
      <w:r w:rsidRPr="00441F6C">
        <w:rPr>
          <w:rFonts w:cs="Arial"/>
          <w:lang w:val="en-NZ"/>
        </w:rPr>
        <w:t xml:space="preserve">. </w:t>
      </w:r>
    </w:p>
    <w:p w:rsidR="00441F6C" w:rsidRPr="00441F6C" w:rsidRDefault="00441F6C" w:rsidP="00441F6C">
      <w:pPr>
        <w:suppressAutoHyphens w:val="0"/>
        <w:autoSpaceDN/>
        <w:spacing w:after="0"/>
        <w:ind w:left="540" w:hanging="540"/>
        <w:jc w:val="both"/>
        <w:textAlignment w:val="auto"/>
        <w:rPr>
          <w:rFonts w:cs="Arial"/>
          <w:lang w:val="en-NZ"/>
        </w:rPr>
      </w:pPr>
    </w:p>
    <w:p w:rsidR="00441F6C" w:rsidRPr="00441F6C" w:rsidRDefault="00441F6C" w:rsidP="00441F6C">
      <w:pPr>
        <w:numPr>
          <w:ilvl w:val="0"/>
          <w:numId w:val="1"/>
        </w:numPr>
        <w:suppressAutoHyphens w:val="0"/>
        <w:autoSpaceDN/>
        <w:spacing w:after="0"/>
        <w:ind w:left="540" w:hanging="540"/>
        <w:jc w:val="both"/>
        <w:textAlignment w:val="auto"/>
        <w:rPr>
          <w:rFonts w:cs="Arial"/>
          <w:lang w:val="en-NZ"/>
        </w:rPr>
      </w:pPr>
      <w:r w:rsidRPr="00441F6C">
        <w:rPr>
          <w:rFonts w:cs="Arial"/>
          <w:b/>
          <w:lang w:val="en-NZ"/>
        </w:rPr>
        <w:t>Geographical range:</w:t>
      </w:r>
      <w:r w:rsidRPr="00441F6C">
        <w:rPr>
          <w:rFonts w:cs="Arial"/>
          <w:lang w:val="en-NZ"/>
        </w:rPr>
        <w:t xml:space="preserve"> </w:t>
      </w:r>
      <w:proofErr w:type="spellStart"/>
      <w:r w:rsidRPr="00441F6C">
        <w:rPr>
          <w:rFonts w:cs="Arial"/>
          <w:i/>
          <w:iCs/>
          <w:lang w:val="en-NZ"/>
        </w:rPr>
        <w:t>Diomedea</w:t>
      </w:r>
      <w:proofErr w:type="spellEnd"/>
      <w:r w:rsidRPr="00441F6C">
        <w:rPr>
          <w:rFonts w:cs="Arial"/>
          <w:i/>
          <w:iCs/>
          <w:lang w:val="en-NZ"/>
        </w:rPr>
        <w:t xml:space="preserve"> </w:t>
      </w:r>
      <w:proofErr w:type="spellStart"/>
      <w:r w:rsidRPr="00441F6C">
        <w:rPr>
          <w:rFonts w:cs="Arial"/>
          <w:i/>
          <w:iCs/>
          <w:lang w:val="en-NZ"/>
        </w:rPr>
        <w:t>antipodensis</w:t>
      </w:r>
      <w:proofErr w:type="spellEnd"/>
      <w:r w:rsidRPr="00441F6C">
        <w:rPr>
          <w:rFonts w:cs="Arial"/>
          <w:lang w:val="en-NZ"/>
        </w:rPr>
        <w:t xml:space="preserve"> breeds on four island groups off southern New Zealand and migrates across the waters of the South Pacific Ocean, from Chile to Australia.</w:t>
      </w:r>
    </w:p>
    <w:p w:rsidR="00441F6C" w:rsidRPr="00441F6C" w:rsidRDefault="00441F6C" w:rsidP="00441F6C">
      <w:pPr>
        <w:suppressAutoHyphens w:val="0"/>
        <w:autoSpaceDN/>
        <w:spacing w:after="200"/>
        <w:ind w:left="720"/>
        <w:contextualSpacing/>
        <w:textAlignment w:val="auto"/>
        <w:rPr>
          <w:rFonts w:cs="Arial"/>
          <w:b/>
          <w:lang w:val="en-NZ"/>
        </w:rPr>
      </w:pPr>
    </w:p>
    <w:p w:rsidR="00441F6C" w:rsidRPr="00441F6C" w:rsidRDefault="00441F6C" w:rsidP="00441F6C">
      <w:pPr>
        <w:numPr>
          <w:ilvl w:val="0"/>
          <w:numId w:val="1"/>
        </w:numPr>
        <w:suppressAutoHyphens w:val="0"/>
        <w:autoSpaceDN/>
        <w:spacing w:after="0"/>
        <w:ind w:left="540" w:hanging="540"/>
        <w:jc w:val="both"/>
        <w:textAlignment w:val="auto"/>
        <w:rPr>
          <w:rFonts w:cs="Arial"/>
          <w:lang w:val="en-NZ"/>
        </w:rPr>
      </w:pPr>
      <w:r w:rsidRPr="00441F6C">
        <w:rPr>
          <w:rFonts w:cs="Arial"/>
          <w:b/>
          <w:lang w:val="en-NZ"/>
        </w:rPr>
        <w:t>Summary of Activities:</w:t>
      </w:r>
      <w:r w:rsidRPr="00441F6C">
        <w:rPr>
          <w:rFonts w:cs="Arial"/>
          <w:lang w:val="en-NZ"/>
        </w:rPr>
        <w:t xml:space="preserve"> This Concerted Action focuses on managing fisheries bycatch, considered to be the greatest threat to </w:t>
      </w:r>
      <w:proofErr w:type="spellStart"/>
      <w:r w:rsidRPr="00441F6C">
        <w:rPr>
          <w:rFonts w:cs="Arial"/>
          <w:i/>
          <w:iCs/>
          <w:lang w:val="en-NZ"/>
        </w:rPr>
        <w:t>Diomedea</w:t>
      </w:r>
      <w:proofErr w:type="spellEnd"/>
      <w:r w:rsidRPr="00441F6C">
        <w:rPr>
          <w:rFonts w:cs="Arial"/>
          <w:i/>
          <w:iCs/>
          <w:lang w:val="en-NZ"/>
        </w:rPr>
        <w:t xml:space="preserve"> </w:t>
      </w:r>
      <w:proofErr w:type="spellStart"/>
      <w:r w:rsidRPr="00441F6C">
        <w:rPr>
          <w:rFonts w:cs="Arial"/>
          <w:i/>
          <w:iCs/>
          <w:lang w:val="en-NZ"/>
        </w:rPr>
        <w:t>antipodensis</w:t>
      </w:r>
      <w:proofErr w:type="spellEnd"/>
      <w:r w:rsidRPr="00441F6C">
        <w:rPr>
          <w:rFonts w:cs="Arial"/>
          <w:lang w:val="en-NZ"/>
        </w:rPr>
        <w:t xml:space="preserve">. This threat occurs across national jurisdictions as well as in the high seas. </w:t>
      </w:r>
    </w:p>
    <w:p w:rsidR="00441F6C" w:rsidRPr="00441F6C" w:rsidRDefault="00441F6C" w:rsidP="00441F6C">
      <w:pPr>
        <w:suppressAutoHyphens w:val="0"/>
        <w:autoSpaceDN/>
        <w:spacing w:after="200"/>
        <w:ind w:left="720"/>
        <w:contextualSpacing/>
        <w:textAlignment w:val="auto"/>
        <w:rPr>
          <w:rFonts w:cs="Arial"/>
          <w:lang w:val="en-NZ"/>
        </w:rPr>
      </w:pPr>
    </w:p>
    <w:p w:rsidR="00441F6C" w:rsidRPr="00441F6C" w:rsidRDefault="00441F6C" w:rsidP="00441F6C">
      <w:pPr>
        <w:spacing w:after="0"/>
        <w:ind w:left="540"/>
        <w:jc w:val="both"/>
        <w:rPr>
          <w:rFonts w:cs="Arial"/>
          <w:lang w:val="en-NZ"/>
        </w:rPr>
      </w:pPr>
      <w:r w:rsidRPr="00441F6C">
        <w:rPr>
          <w:rFonts w:cs="Arial"/>
          <w:lang w:val="en-NZ"/>
        </w:rPr>
        <w:t xml:space="preserve">The activities to address fisheries bycatch under this Concerted Action include: </w:t>
      </w:r>
    </w:p>
    <w:p w:rsidR="00441F6C" w:rsidRPr="00441F6C" w:rsidRDefault="00441F6C" w:rsidP="00441F6C">
      <w:pPr>
        <w:numPr>
          <w:ilvl w:val="0"/>
          <w:numId w:val="8"/>
        </w:numPr>
        <w:suppressAutoHyphens w:val="0"/>
        <w:autoSpaceDN/>
        <w:spacing w:after="0"/>
        <w:ind w:left="900"/>
        <w:jc w:val="both"/>
        <w:textAlignment w:val="auto"/>
        <w:rPr>
          <w:rFonts w:cs="Arial"/>
          <w:lang w:val="en-NZ"/>
        </w:rPr>
      </w:pPr>
      <w:r w:rsidRPr="00441F6C">
        <w:rPr>
          <w:rFonts w:cs="Arial"/>
          <w:lang w:val="en-NZ"/>
        </w:rPr>
        <w:t xml:space="preserve">the use of effective seabird bycatch mitigation measures in pelagic longline fishing operations and associated monitoring and compliance; </w:t>
      </w:r>
    </w:p>
    <w:p w:rsidR="00441F6C" w:rsidRPr="00441F6C" w:rsidRDefault="00441F6C" w:rsidP="00441F6C">
      <w:pPr>
        <w:numPr>
          <w:ilvl w:val="0"/>
          <w:numId w:val="8"/>
        </w:numPr>
        <w:suppressAutoHyphens w:val="0"/>
        <w:autoSpaceDN/>
        <w:spacing w:after="0"/>
        <w:ind w:left="900"/>
        <w:jc w:val="both"/>
        <w:textAlignment w:val="auto"/>
        <w:rPr>
          <w:rFonts w:cs="Arial"/>
          <w:lang w:val="en-NZ"/>
        </w:rPr>
      </w:pPr>
      <w:r w:rsidRPr="00441F6C">
        <w:rPr>
          <w:rFonts w:cs="Arial"/>
          <w:lang w:val="en-NZ"/>
        </w:rPr>
        <w:t xml:space="preserve">data sharing and bycatch risk assessment, including for other fishing methods, such as trawl and demersal longline that are known to pose some level of risk, and the use of effective seabird bycatch mitigation where appropriate; and </w:t>
      </w:r>
    </w:p>
    <w:p w:rsidR="00441F6C" w:rsidRPr="00441F6C" w:rsidRDefault="00441F6C" w:rsidP="00441F6C">
      <w:pPr>
        <w:numPr>
          <w:ilvl w:val="0"/>
          <w:numId w:val="8"/>
        </w:numPr>
        <w:suppressAutoHyphens w:val="0"/>
        <w:autoSpaceDN/>
        <w:spacing w:after="0"/>
        <w:ind w:left="900"/>
        <w:jc w:val="both"/>
        <w:textAlignment w:val="auto"/>
        <w:rPr>
          <w:rFonts w:cs="Arial"/>
          <w:lang w:val="en-NZ"/>
        </w:rPr>
      </w:pPr>
      <w:r w:rsidRPr="00441F6C">
        <w:rPr>
          <w:rFonts w:cs="Arial"/>
          <w:lang w:val="en-NZ"/>
        </w:rPr>
        <w:t>the collection of data from other fisheries such as squid jigging where there may be a risk of bycatch, vessel collision or other indirect effects.</w:t>
      </w:r>
    </w:p>
    <w:p w:rsidR="00441F6C" w:rsidRPr="00441F6C" w:rsidRDefault="00441F6C" w:rsidP="00441F6C">
      <w:pPr>
        <w:suppressAutoHyphens w:val="0"/>
        <w:autoSpaceDN/>
        <w:spacing w:after="200"/>
        <w:ind w:left="720"/>
        <w:contextualSpacing/>
        <w:textAlignment w:val="auto"/>
        <w:rPr>
          <w:rFonts w:cs="Arial"/>
          <w:lang w:val="en-NZ"/>
        </w:rPr>
      </w:pPr>
    </w:p>
    <w:p w:rsidR="00441F6C" w:rsidRPr="00441F6C" w:rsidRDefault="00441F6C" w:rsidP="00441F6C">
      <w:pPr>
        <w:spacing w:after="0"/>
        <w:ind w:left="540"/>
        <w:jc w:val="both"/>
        <w:rPr>
          <w:rFonts w:cs="Arial"/>
          <w:lang w:val="en-NZ"/>
        </w:rPr>
      </w:pPr>
      <w:r w:rsidRPr="00441F6C">
        <w:rPr>
          <w:rFonts w:cs="Arial"/>
          <w:lang w:val="en-NZ"/>
        </w:rPr>
        <w:t xml:space="preserve">Other activities, such as maintaining protection and quarantine of breeding sites, and research to better understand the population dynamics and foraging behaviour, are already being undertaken by the New Zealand Government. The research programme provides opportunities to develop </w:t>
      </w:r>
      <w:proofErr w:type="spellStart"/>
      <w:r w:rsidRPr="00441F6C">
        <w:rPr>
          <w:rFonts w:cs="Arial"/>
          <w:lang w:val="en-NZ"/>
        </w:rPr>
        <w:t>mātauranga</w:t>
      </w:r>
      <w:proofErr w:type="spellEnd"/>
      <w:r w:rsidRPr="00441F6C">
        <w:rPr>
          <w:rFonts w:cs="Arial"/>
          <w:lang w:val="en-NZ"/>
        </w:rPr>
        <w:t xml:space="preserve"> Māori (New Zealand’s indigenous knowledge) and develop a stronger connection between </w:t>
      </w:r>
      <w:proofErr w:type="spellStart"/>
      <w:r w:rsidRPr="00441F6C">
        <w:rPr>
          <w:rFonts w:cs="Arial"/>
          <w:lang w:val="en-NZ"/>
        </w:rPr>
        <w:t>Ngāi</w:t>
      </w:r>
      <w:proofErr w:type="spellEnd"/>
      <w:r w:rsidRPr="00441F6C">
        <w:rPr>
          <w:rFonts w:cs="Arial"/>
          <w:lang w:val="en-NZ"/>
        </w:rPr>
        <w:t xml:space="preserve"> </w:t>
      </w:r>
      <w:proofErr w:type="spellStart"/>
      <w:r w:rsidRPr="00441F6C">
        <w:rPr>
          <w:rFonts w:cs="Arial"/>
          <w:lang w:val="en-NZ"/>
        </w:rPr>
        <w:t>Tahu</w:t>
      </w:r>
      <w:proofErr w:type="spellEnd"/>
      <w:r w:rsidRPr="00441F6C">
        <w:rPr>
          <w:rFonts w:cs="Arial"/>
          <w:lang w:val="en-NZ"/>
        </w:rPr>
        <w:t xml:space="preserve"> (the principal indigenous tribe of the southern region of New Zealand) and </w:t>
      </w:r>
      <w:proofErr w:type="spellStart"/>
      <w:r w:rsidRPr="00441F6C">
        <w:rPr>
          <w:rFonts w:cs="Arial"/>
          <w:i/>
          <w:iCs/>
          <w:lang w:val="en-NZ"/>
        </w:rPr>
        <w:t>Diomedea</w:t>
      </w:r>
      <w:proofErr w:type="spellEnd"/>
      <w:r w:rsidRPr="00441F6C">
        <w:rPr>
          <w:rFonts w:cs="Arial"/>
          <w:i/>
          <w:iCs/>
          <w:lang w:val="en-NZ"/>
        </w:rPr>
        <w:t xml:space="preserve"> </w:t>
      </w:r>
      <w:proofErr w:type="spellStart"/>
      <w:r w:rsidRPr="00441F6C">
        <w:rPr>
          <w:rFonts w:cs="Arial"/>
          <w:i/>
          <w:iCs/>
          <w:lang w:val="en-NZ"/>
        </w:rPr>
        <w:t>antipodensis</w:t>
      </w:r>
      <w:proofErr w:type="spellEnd"/>
      <w:r w:rsidRPr="00441F6C">
        <w:rPr>
          <w:rFonts w:cs="Arial"/>
          <w:lang w:val="en-NZ"/>
        </w:rPr>
        <w:t>. Further international collaboration with the scientific elements would be beneficial.</w:t>
      </w:r>
    </w:p>
    <w:p w:rsidR="00441F6C" w:rsidRPr="00441F6C" w:rsidRDefault="00441F6C" w:rsidP="00441F6C">
      <w:pPr>
        <w:suppressAutoHyphens w:val="0"/>
        <w:autoSpaceDN/>
        <w:spacing w:after="200"/>
        <w:ind w:left="720"/>
        <w:contextualSpacing/>
        <w:textAlignment w:val="auto"/>
        <w:rPr>
          <w:rFonts w:cs="Arial"/>
          <w:b/>
          <w:lang w:val="en-NZ"/>
        </w:rPr>
      </w:pPr>
    </w:p>
    <w:p w:rsidR="00441F6C" w:rsidRPr="00441F6C" w:rsidRDefault="00441F6C" w:rsidP="00441F6C">
      <w:pPr>
        <w:numPr>
          <w:ilvl w:val="0"/>
          <w:numId w:val="1"/>
        </w:numPr>
        <w:suppressAutoHyphens w:val="0"/>
        <w:autoSpaceDN/>
        <w:spacing w:after="0"/>
        <w:ind w:left="540" w:hanging="540"/>
        <w:jc w:val="both"/>
        <w:textAlignment w:val="auto"/>
        <w:rPr>
          <w:rFonts w:cs="Arial"/>
          <w:lang w:val="en-NZ"/>
        </w:rPr>
      </w:pPr>
      <w:r w:rsidRPr="00441F6C">
        <w:rPr>
          <w:rFonts w:cs="Arial"/>
          <w:b/>
          <w:lang w:val="en-NZ"/>
        </w:rPr>
        <w:t>Activities and expected outcomes:</w:t>
      </w:r>
      <w:r w:rsidRPr="00441F6C">
        <w:rPr>
          <w:rFonts w:cs="Arial"/>
          <w:lang w:val="en-NZ"/>
        </w:rPr>
        <w:t xml:space="preserve"> Activities and expected outcomes under this Concerted Action cover the following work areas:</w:t>
      </w:r>
    </w:p>
    <w:p w:rsidR="00441F6C" w:rsidRPr="00441F6C" w:rsidRDefault="00441F6C" w:rsidP="00441F6C">
      <w:pPr>
        <w:numPr>
          <w:ilvl w:val="0"/>
          <w:numId w:val="9"/>
        </w:numPr>
        <w:suppressAutoHyphens w:val="0"/>
        <w:autoSpaceDN/>
        <w:spacing w:after="0"/>
        <w:contextualSpacing/>
        <w:jc w:val="both"/>
        <w:textAlignment w:val="auto"/>
        <w:rPr>
          <w:rFonts w:cs="Arial"/>
          <w:lang w:val="en-NZ"/>
        </w:rPr>
      </w:pPr>
      <w:r w:rsidRPr="00441F6C">
        <w:rPr>
          <w:rFonts w:cs="Arial"/>
          <w:lang w:val="en-NZ"/>
        </w:rPr>
        <w:t>Fisheries bycatch in Range State jurisdictions;</w:t>
      </w:r>
    </w:p>
    <w:p w:rsidR="00441F6C" w:rsidRPr="00441F6C" w:rsidRDefault="00441F6C" w:rsidP="00441F6C">
      <w:pPr>
        <w:numPr>
          <w:ilvl w:val="0"/>
          <w:numId w:val="9"/>
        </w:numPr>
        <w:suppressAutoHyphens w:val="0"/>
        <w:autoSpaceDN/>
        <w:spacing w:after="0"/>
        <w:contextualSpacing/>
        <w:jc w:val="both"/>
        <w:textAlignment w:val="auto"/>
        <w:rPr>
          <w:rFonts w:cs="Arial"/>
          <w:lang w:val="en-NZ"/>
        </w:rPr>
      </w:pPr>
      <w:r w:rsidRPr="00441F6C">
        <w:rPr>
          <w:rFonts w:cs="Arial"/>
          <w:lang w:val="en-NZ"/>
        </w:rPr>
        <w:t>Fisheries bycatch on the high seas;</w:t>
      </w:r>
    </w:p>
    <w:p w:rsidR="00441F6C" w:rsidRPr="00441F6C" w:rsidRDefault="00441F6C" w:rsidP="00441F6C">
      <w:pPr>
        <w:numPr>
          <w:ilvl w:val="0"/>
          <w:numId w:val="9"/>
        </w:numPr>
        <w:suppressAutoHyphens w:val="0"/>
        <w:autoSpaceDN/>
        <w:spacing w:after="0"/>
        <w:contextualSpacing/>
        <w:jc w:val="both"/>
        <w:textAlignment w:val="auto"/>
        <w:rPr>
          <w:rFonts w:cs="Arial"/>
          <w:lang w:val="en-NZ"/>
        </w:rPr>
      </w:pPr>
      <w:r w:rsidRPr="00441F6C">
        <w:rPr>
          <w:rFonts w:cs="Arial"/>
          <w:lang w:val="en-NZ"/>
        </w:rPr>
        <w:t>Research; and</w:t>
      </w:r>
    </w:p>
    <w:p w:rsidR="00441F6C" w:rsidRPr="00441F6C" w:rsidRDefault="00441F6C" w:rsidP="00441F6C">
      <w:pPr>
        <w:numPr>
          <w:ilvl w:val="0"/>
          <w:numId w:val="9"/>
        </w:numPr>
        <w:suppressAutoHyphens w:val="0"/>
        <w:autoSpaceDN/>
        <w:spacing w:after="0"/>
        <w:contextualSpacing/>
        <w:jc w:val="both"/>
        <w:textAlignment w:val="auto"/>
        <w:rPr>
          <w:rFonts w:cs="Arial"/>
          <w:lang w:val="en-NZ"/>
        </w:rPr>
      </w:pPr>
      <w:r w:rsidRPr="00441F6C">
        <w:rPr>
          <w:rFonts w:cs="Arial"/>
          <w:lang w:val="en-NZ"/>
        </w:rPr>
        <w:t>Breeding site management.</w:t>
      </w:r>
    </w:p>
    <w:p w:rsidR="00441F6C" w:rsidRPr="00441F6C" w:rsidRDefault="00441F6C" w:rsidP="00441F6C">
      <w:pPr>
        <w:spacing w:after="0"/>
        <w:ind w:left="540"/>
        <w:jc w:val="both"/>
        <w:rPr>
          <w:rFonts w:cs="Arial"/>
          <w:lang w:val="en-NZ"/>
        </w:rPr>
      </w:pPr>
    </w:p>
    <w:p w:rsidR="00441F6C" w:rsidRPr="00441F6C" w:rsidRDefault="00441F6C" w:rsidP="00441F6C">
      <w:pPr>
        <w:spacing w:after="0"/>
        <w:ind w:left="540"/>
        <w:jc w:val="both"/>
        <w:rPr>
          <w:rFonts w:cs="Arial"/>
          <w:lang w:val="en-NZ"/>
        </w:rPr>
      </w:pPr>
      <w:r w:rsidRPr="00441F6C">
        <w:rPr>
          <w:rFonts w:cs="Arial"/>
          <w:lang w:val="en-NZ"/>
        </w:rPr>
        <w:t>Activities and expected outcomes can be found in Annex 1: Concerted Actions for Conservation of Antipodean Albatross (</w:t>
      </w:r>
      <w:proofErr w:type="spellStart"/>
      <w:r w:rsidRPr="00441F6C">
        <w:rPr>
          <w:rFonts w:cs="Arial"/>
          <w:i/>
          <w:iCs/>
          <w:lang w:val="en-NZ"/>
        </w:rPr>
        <w:t>Diomedea</w:t>
      </w:r>
      <w:proofErr w:type="spellEnd"/>
      <w:r w:rsidRPr="00441F6C">
        <w:rPr>
          <w:rFonts w:cs="Arial"/>
          <w:i/>
          <w:iCs/>
          <w:lang w:val="en-NZ"/>
        </w:rPr>
        <w:t xml:space="preserve"> </w:t>
      </w:r>
      <w:proofErr w:type="spellStart"/>
      <w:r w:rsidRPr="00441F6C">
        <w:rPr>
          <w:rFonts w:cs="Arial"/>
          <w:i/>
          <w:iCs/>
          <w:lang w:val="en-NZ"/>
        </w:rPr>
        <w:t>antipodensis</w:t>
      </w:r>
      <w:proofErr w:type="spellEnd"/>
      <w:r w:rsidRPr="00441F6C">
        <w:rPr>
          <w:rFonts w:cs="Arial"/>
          <w:lang w:val="en-NZ"/>
        </w:rPr>
        <w:t>) under the Convention for the Conservation of Migratory Species of Wild Animals (CMS).</w:t>
      </w:r>
    </w:p>
    <w:p w:rsidR="00441F6C" w:rsidRPr="00441F6C" w:rsidRDefault="00441F6C" w:rsidP="00441F6C">
      <w:pPr>
        <w:spacing w:after="0"/>
        <w:ind w:left="540"/>
        <w:jc w:val="both"/>
        <w:rPr>
          <w:rFonts w:cs="Arial"/>
          <w:lang w:val="en-NZ"/>
        </w:rPr>
      </w:pPr>
    </w:p>
    <w:p w:rsidR="00441F6C" w:rsidRPr="00441F6C" w:rsidRDefault="00441F6C" w:rsidP="00441F6C">
      <w:pPr>
        <w:numPr>
          <w:ilvl w:val="0"/>
          <w:numId w:val="1"/>
        </w:numPr>
        <w:suppressAutoHyphens w:val="0"/>
        <w:autoSpaceDN/>
        <w:spacing w:after="0"/>
        <w:ind w:left="540" w:hanging="540"/>
        <w:jc w:val="both"/>
        <w:textAlignment w:val="auto"/>
        <w:rPr>
          <w:rFonts w:cs="Arial"/>
          <w:lang w:val="en-NZ"/>
        </w:rPr>
      </w:pPr>
      <w:r w:rsidRPr="00441F6C">
        <w:rPr>
          <w:rFonts w:cs="Arial"/>
          <w:b/>
          <w:lang w:val="en-NZ"/>
        </w:rPr>
        <w:t>Associated benefits:</w:t>
      </w:r>
      <w:r w:rsidRPr="00441F6C">
        <w:rPr>
          <w:rFonts w:cs="Arial"/>
          <w:lang w:val="en-NZ"/>
        </w:rPr>
        <w:t xml:space="preserve"> The risk posed by bycatch in fisheries is not restricted to </w:t>
      </w:r>
      <w:proofErr w:type="spellStart"/>
      <w:r w:rsidRPr="00441F6C">
        <w:rPr>
          <w:rFonts w:cs="Arial"/>
          <w:i/>
          <w:iCs/>
          <w:lang w:val="en-NZ"/>
        </w:rPr>
        <w:t>Diomedea</w:t>
      </w:r>
      <w:proofErr w:type="spellEnd"/>
      <w:r w:rsidRPr="00441F6C">
        <w:rPr>
          <w:rFonts w:cs="Arial"/>
          <w:i/>
          <w:iCs/>
          <w:lang w:val="en-NZ"/>
        </w:rPr>
        <w:t xml:space="preserve"> </w:t>
      </w:r>
      <w:proofErr w:type="spellStart"/>
      <w:r w:rsidRPr="00441F6C">
        <w:rPr>
          <w:rFonts w:cs="Arial"/>
          <w:i/>
          <w:iCs/>
          <w:lang w:val="en-NZ"/>
        </w:rPr>
        <w:t>antipodensis</w:t>
      </w:r>
      <w:proofErr w:type="spellEnd"/>
      <w:r w:rsidRPr="00441F6C">
        <w:rPr>
          <w:rFonts w:cs="Arial"/>
          <w:lang w:val="en-NZ"/>
        </w:rPr>
        <w:t xml:space="preserve"> alone, but also impacts other migratory seabird species that overlap with fishing effort. These include those albatross and petrel species listed on Appendix II of CMS that forage exclusively or in part in the South Pacific Ocean. The bycatch mitigation practices that reduce the risk of bycatch of </w:t>
      </w:r>
      <w:proofErr w:type="spellStart"/>
      <w:r w:rsidRPr="00441F6C">
        <w:rPr>
          <w:rFonts w:cs="Arial"/>
          <w:i/>
          <w:iCs/>
          <w:lang w:val="en-NZ"/>
        </w:rPr>
        <w:t>Diomedea</w:t>
      </w:r>
      <w:proofErr w:type="spellEnd"/>
      <w:r w:rsidRPr="00441F6C">
        <w:rPr>
          <w:rFonts w:cs="Arial"/>
          <w:i/>
          <w:iCs/>
          <w:lang w:val="en-NZ"/>
        </w:rPr>
        <w:t xml:space="preserve"> </w:t>
      </w:r>
      <w:proofErr w:type="spellStart"/>
      <w:r w:rsidRPr="00441F6C">
        <w:rPr>
          <w:rFonts w:cs="Arial"/>
          <w:i/>
          <w:iCs/>
          <w:lang w:val="en-NZ"/>
        </w:rPr>
        <w:t>antipodensis</w:t>
      </w:r>
      <w:proofErr w:type="spellEnd"/>
      <w:r w:rsidRPr="00441F6C">
        <w:rPr>
          <w:rFonts w:cs="Arial"/>
          <w:lang w:val="en-NZ"/>
        </w:rPr>
        <w:t xml:space="preserve"> will also reduce the risk of bycatch of other seabird species. </w:t>
      </w:r>
    </w:p>
    <w:p w:rsidR="00441F6C" w:rsidRPr="00441F6C" w:rsidRDefault="00441F6C" w:rsidP="00441F6C">
      <w:pPr>
        <w:spacing w:after="0"/>
        <w:ind w:left="540"/>
        <w:jc w:val="both"/>
        <w:rPr>
          <w:rFonts w:cs="Arial"/>
          <w:lang w:val="en-NZ"/>
        </w:rPr>
      </w:pPr>
    </w:p>
    <w:p w:rsidR="00441F6C" w:rsidRPr="00441F6C" w:rsidRDefault="00441F6C" w:rsidP="00441F6C">
      <w:pPr>
        <w:spacing w:after="0"/>
        <w:ind w:left="540"/>
        <w:jc w:val="both"/>
        <w:rPr>
          <w:rFonts w:cs="Arial"/>
          <w:lang w:val="en-NZ"/>
        </w:rPr>
      </w:pPr>
      <w:r w:rsidRPr="00441F6C">
        <w:rPr>
          <w:rFonts w:cs="Arial"/>
          <w:lang w:val="en-NZ"/>
        </w:rPr>
        <w:t xml:space="preserve">Whilst the activities required for </w:t>
      </w:r>
      <w:proofErr w:type="spellStart"/>
      <w:r w:rsidRPr="00441F6C">
        <w:rPr>
          <w:rFonts w:cs="Arial"/>
          <w:i/>
          <w:iCs/>
          <w:lang w:val="en-NZ"/>
        </w:rPr>
        <w:t>Diomedea</w:t>
      </w:r>
      <w:proofErr w:type="spellEnd"/>
      <w:r w:rsidRPr="00441F6C">
        <w:rPr>
          <w:rFonts w:cs="Arial"/>
          <w:i/>
          <w:iCs/>
          <w:lang w:val="en-NZ"/>
        </w:rPr>
        <w:t xml:space="preserve"> </w:t>
      </w:r>
      <w:proofErr w:type="spellStart"/>
      <w:r w:rsidRPr="00441F6C">
        <w:rPr>
          <w:rFonts w:cs="Arial"/>
          <w:i/>
          <w:iCs/>
          <w:lang w:val="en-NZ"/>
        </w:rPr>
        <w:t>antipodensis</w:t>
      </w:r>
      <w:proofErr w:type="spellEnd"/>
      <w:r w:rsidRPr="00441F6C">
        <w:rPr>
          <w:rFonts w:cs="Arial"/>
          <w:lang w:val="en-NZ"/>
        </w:rPr>
        <w:t xml:space="preserve"> are restricted to the South Pacific Ocean, these Concerted Actions may act as a precedent to improve seabird bycatch management in similar fisheries operating in other oceans. </w:t>
      </w:r>
    </w:p>
    <w:p w:rsidR="00547ABF" w:rsidRDefault="00547ABF" w:rsidP="00441F6C">
      <w:pPr>
        <w:suppressAutoHyphens w:val="0"/>
        <w:autoSpaceDN/>
        <w:spacing w:after="200"/>
        <w:ind w:left="720"/>
        <w:contextualSpacing/>
        <w:textAlignment w:val="auto"/>
        <w:rPr>
          <w:rFonts w:cs="Arial"/>
          <w:lang w:val="en-NZ"/>
        </w:rPr>
      </w:pPr>
      <w:r>
        <w:rPr>
          <w:rFonts w:cs="Arial"/>
          <w:lang w:val="en-NZ"/>
        </w:rPr>
        <w:br w:type="page"/>
      </w:r>
    </w:p>
    <w:p w:rsidR="00441F6C" w:rsidRPr="00441F6C" w:rsidRDefault="00441F6C" w:rsidP="00441F6C">
      <w:pPr>
        <w:suppressAutoHyphens w:val="0"/>
        <w:autoSpaceDN/>
        <w:spacing w:after="200"/>
        <w:ind w:left="720"/>
        <w:contextualSpacing/>
        <w:textAlignment w:val="auto"/>
        <w:rPr>
          <w:rFonts w:cs="Arial"/>
          <w:lang w:val="en-NZ"/>
        </w:rPr>
      </w:pPr>
    </w:p>
    <w:p w:rsidR="00441F6C" w:rsidRPr="00441F6C" w:rsidRDefault="00441F6C" w:rsidP="00441F6C">
      <w:pPr>
        <w:spacing w:after="0"/>
        <w:ind w:left="540"/>
        <w:jc w:val="both"/>
        <w:rPr>
          <w:rFonts w:cs="Arial"/>
          <w:lang w:val="en-NZ"/>
        </w:rPr>
      </w:pPr>
      <w:r w:rsidRPr="00441F6C">
        <w:rPr>
          <w:rFonts w:cs="Arial"/>
          <w:lang w:val="en-NZ"/>
        </w:rPr>
        <w:t xml:space="preserve">Additional benefits include opportunities for awareness raising of the conservation status of </w:t>
      </w:r>
      <w:proofErr w:type="spellStart"/>
      <w:r w:rsidRPr="00441F6C">
        <w:rPr>
          <w:rFonts w:cs="Arial"/>
          <w:i/>
          <w:iCs/>
          <w:lang w:val="en-NZ"/>
        </w:rPr>
        <w:t>Diomedea</w:t>
      </w:r>
      <w:proofErr w:type="spellEnd"/>
      <w:r w:rsidRPr="00441F6C">
        <w:rPr>
          <w:rFonts w:cs="Arial"/>
          <w:i/>
          <w:iCs/>
          <w:lang w:val="en-NZ"/>
        </w:rPr>
        <w:t xml:space="preserve"> </w:t>
      </w:r>
      <w:proofErr w:type="spellStart"/>
      <w:r w:rsidRPr="00441F6C">
        <w:rPr>
          <w:rFonts w:cs="Arial"/>
          <w:i/>
          <w:iCs/>
          <w:lang w:val="en-NZ"/>
        </w:rPr>
        <w:t>antipodensis</w:t>
      </w:r>
      <w:proofErr w:type="spellEnd"/>
      <w:r w:rsidRPr="00441F6C">
        <w:rPr>
          <w:rFonts w:cs="Arial"/>
          <w:lang w:val="en-NZ"/>
        </w:rPr>
        <w:t xml:space="preserve"> and the threats it faces amongst CMS Parties and non-CMS Parties that belong to relevant Regional Fisheries Management Organisations (RFMOs). The Concerted Action may also create a catalyst for capacity building activities relating to seabird bycatch mitigation and data collection among CMS Parties.  </w:t>
      </w:r>
    </w:p>
    <w:p w:rsidR="00441F6C" w:rsidRPr="00441F6C" w:rsidRDefault="00441F6C" w:rsidP="00441F6C">
      <w:pPr>
        <w:suppressAutoHyphens w:val="0"/>
        <w:autoSpaceDN/>
        <w:spacing w:after="0"/>
        <w:jc w:val="both"/>
        <w:textAlignment w:val="auto"/>
        <w:rPr>
          <w:rFonts w:cs="Arial"/>
          <w:lang w:val="en-NZ"/>
        </w:rPr>
      </w:pPr>
    </w:p>
    <w:p w:rsidR="00441F6C" w:rsidRPr="00441F6C" w:rsidRDefault="00441F6C" w:rsidP="00441F6C">
      <w:pPr>
        <w:numPr>
          <w:ilvl w:val="0"/>
          <w:numId w:val="1"/>
        </w:numPr>
        <w:suppressAutoHyphens w:val="0"/>
        <w:autoSpaceDN/>
        <w:spacing w:after="0"/>
        <w:ind w:left="540" w:hanging="540"/>
        <w:jc w:val="both"/>
        <w:textAlignment w:val="auto"/>
        <w:rPr>
          <w:rFonts w:cs="Arial"/>
          <w:lang w:val="en-NZ"/>
        </w:rPr>
      </w:pPr>
      <w:r w:rsidRPr="00441F6C">
        <w:rPr>
          <w:rFonts w:cs="Arial"/>
          <w:b/>
          <w:lang w:val="en-NZ"/>
        </w:rPr>
        <w:t>Timeframe:</w:t>
      </w:r>
      <w:r w:rsidRPr="00441F6C">
        <w:rPr>
          <w:rFonts w:cs="Arial"/>
          <w:lang w:val="en-NZ"/>
        </w:rPr>
        <w:t xml:space="preserve"> Timeframes have been identified for each activity (see Annex ).</w:t>
      </w:r>
    </w:p>
    <w:p w:rsidR="00441F6C" w:rsidRPr="00441F6C" w:rsidRDefault="00441F6C" w:rsidP="00441F6C">
      <w:pPr>
        <w:suppressAutoHyphens w:val="0"/>
        <w:autoSpaceDN/>
        <w:spacing w:after="0"/>
        <w:jc w:val="both"/>
        <w:textAlignment w:val="auto"/>
        <w:rPr>
          <w:rFonts w:cs="Arial"/>
          <w:lang w:val="en-NZ"/>
        </w:rPr>
      </w:pPr>
    </w:p>
    <w:p w:rsidR="00441F6C" w:rsidRPr="00547ABF" w:rsidRDefault="00441F6C" w:rsidP="00441F6C">
      <w:pPr>
        <w:numPr>
          <w:ilvl w:val="0"/>
          <w:numId w:val="1"/>
        </w:numPr>
        <w:suppressAutoHyphens w:val="0"/>
        <w:autoSpaceDN/>
        <w:spacing w:after="0"/>
        <w:ind w:left="540" w:hanging="540"/>
        <w:jc w:val="both"/>
        <w:textAlignment w:val="auto"/>
        <w:rPr>
          <w:rFonts w:cs="Arial"/>
          <w:lang w:val="en-NZ"/>
        </w:rPr>
      </w:pPr>
      <w:r w:rsidRPr="00441F6C">
        <w:rPr>
          <w:rFonts w:cs="Arial"/>
          <w:b/>
          <w:lang w:val="en-NZ"/>
        </w:rPr>
        <w:t>Relationship to other CMS actions:</w:t>
      </w:r>
      <w:r w:rsidRPr="00441F6C">
        <w:rPr>
          <w:rFonts w:cs="Arial"/>
          <w:lang w:val="en-NZ"/>
        </w:rPr>
        <w:t xml:space="preserve"> This Concerted Action supports implementation of the CMS Strategic Plan for Migratory Species 2015-2023 (UNEP/CMS/Resolution 11.2) and the CMS Bycatch Resolution (UNEP/CMS/Resolution 12.22)</w:t>
      </w:r>
      <w:r w:rsidR="00547ABF">
        <w:rPr>
          <w:rFonts w:cs="Arial"/>
          <w:lang w:val="en-NZ"/>
        </w:rPr>
        <w:t>.</w:t>
      </w:r>
    </w:p>
    <w:p w:rsidR="00441F6C" w:rsidRPr="00441F6C" w:rsidRDefault="00441F6C" w:rsidP="00441F6C">
      <w:pPr>
        <w:spacing w:after="0"/>
        <w:ind w:left="720"/>
        <w:contextualSpacing/>
        <w:jc w:val="both"/>
        <w:rPr>
          <w:rFonts w:cs="Arial"/>
          <w:lang w:val="en-NZ"/>
        </w:rPr>
      </w:pPr>
    </w:p>
    <w:p w:rsidR="00441F6C" w:rsidRPr="00441F6C" w:rsidRDefault="00441F6C" w:rsidP="00441F6C">
      <w:pPr>
        <w:spacing w:after="0"/>
        <w:ind w:left="540"/>
        <w:jc w:val="both"/>
        <w:rPr>
          <w:rFonts w:cs="Arial"/>
          <w:lang w:val="en-NZ"/>
        </w:rPr>
      </w:pPr>
      <w:r w:rsidRPr="00441F6C">
        <w:rPr>
          <w:rFonts w:cs="Arial"/>
          <w:lang w:val="en-NZ"/>
        </w:rPr>
        <w:t xml:space="preserve">It also supports and complements the work of the Agreement on the Conservation of Albatrosses and Petrels (ACAP), a CMS subsidiary agreement. </w:t>
      </w:r>
    </w:p>
    <w:p w:rsidR="00441F6C" w:rsidRPr="00441F6C" w:rsidRDefault="00441F6C" w:rsidP="00441F6C">
      <w:pPr>
        <w:suppressAutoHyphens w:val="0"/>
        <w:autoSpaceDN/>
        <w:spacing w:after="0"/>
        <w:jc w:val="both"/>
        <w:textAlignment w:val="auto"/>
        <w:rPr>
          <w:rFonts w:cs="Arial"/>
          <w:lang w:val="en-NZ"/>
        </w:rPr>
      </w:pPr>
    </w:p>
    <w:p w:rsidR="00441F6C" w:rsidRPr="00441F6C" w:rsidRDefault="00441F6C" w:rsidP="00441F6C">
      <w:pPr>
        <w:numPr>
          <w:ilvl w:val="0"/>
          <w:numId w:val="1"/>
        </w:numPr>
        <w:suppressAutoHyphens w:val="0"/>
        <w:autoSpaceDN/>
        <w:spacing w:after="0"/>
        <w:ind w:left="540" w:hanging="540"/>
        <w:jc w:val="both"/>
        <w:textAlignment w:val="auto"/>
        <w:rPr>
          <w:rFonts w:cs="Arial"/>
          <w:lang w:val="en-NZ"/>
        </w:rPr>
      </w:pPr>
      <w:r w:rsidRPr="00441F6C">
        <w:rPr>
          <w:rFonts w:cs="Arial"/>
          <w:b/>
          <w:lang w:val="en-NZ"/>
        </w:rPr>
        <w:t>Conservation priority:</w:t>
      </w:r>
      <w:r w:rsidRPr="00441F6C">
        <w:rPr>
          <w:rFonts w:cs="Arial"/>
          <w:lang w:val="en-NZ"/>
        </w:rPr>
        <w:t xml:space="preserve"> The conservation priority of </w:t>
      </w:r>
      <w:proofErr w:type="spellStart"/>
      <w:r w:rsidRPr="00441F6C">
        <w:rPr>
          <w:rFonts w:cs="Arial"/>
          <w:i/>
          <w:iCs/>
          <w:lang w:val="en-NZ"/>
        </w:rPr>
        <w:t>Diomedea</w:t>
      </w:r>
      <w:proofErr w:type="spellEnd"/>
      <w:r w:rsidRPr="00441F6C">
        <w:rPr>
          <w:rFonts w:cs="Arial"/>
          <w:i/>
          <w:iCs/>
          <w:lang w:val="en-NZ"/>
        </w:rPr>
        <w:t xml:space="preserve"> </w:t>
      </w:r>
      <w:proofErr w:type="spellStart"/>
      <w:r w:rsidRPr="00441F6C">
        <w:rPr>
          <w:rFonts w:cs="Arial"/>
          <w:i/>
          <w:iCs/>
          <w:lang w:val="en-NZ"/>
        </w:rPr>
        <w:t>antipodensis</w:t>
      </w:r>
      <w:proofErr w:type="spellEnd"/>
      <w:r w:rsidRPr="00441F6C">
        <w:rPr>
          <w:rFonts w:cs="Arial"/>
          <w:lang w:val="en-NZ"/>
        </w:rPr>
        <w:t xml:space="preserve"> is extremely high and is classified as Endangered (IUCN). </w:t>
      </w:r>
    </w:p>
    <w:p w:rsidR="00441F6C" w:rsidRPr="00441F6C" w:rsidRDefault="00441F6C" w:rsidP="00441F6C">
      <w:pPr>
        <w:spacing w:after="0"/>
        <w:ind w:left="540"/>
        <w:jc w:val="both"/>
        <w:rPr>
          <w:rFonts w:cs="Arial"/>
          <w:lang w:val="en-NZ"/>
        </w:rPr>
      </w:pPr>
    </w:p>
    <w:p w:rsidR="00441F6C" w:rsidRPr="00441F6C" w:rsidRDefault="00441F6C" w:rsidP="00441F6C">
      <w:pPr>
        <w:spacing w:after="0"/>
        <w:ind w:left="540"/>
        <w:jc w:val="both"/>
        <w:rPr>
          <w:rFonts w:cs="Arial"/>
          <w:lang w:val="en-NZ"/>
        </w:rPr>
      </w:pPr>
      <w:r w:rsidRPr="00441F6C">
        <w:rPr>
          <w:rFonts w:cs="Arial"/>
          <w:lang w:val="en-NZ"/>
        </w:rPr>
        <w:t>Both subspecies have undergone substantial population declines since 2004, following a period of population increase or stability in 1990s. The Antipodes Island breeding population has halved since 2004. These great albatross species don’t begin nesting until they are typically 10-12 years or older and only raise a maximum of one chick every two years. The current rate of decline, if it continues, could lead to functional extinction of the Antipodes Island population in the next 20-30 years. The Antipodes Island population is recognised as a priority conservation concern by ACAP.</w:t>
      </w:r>
    </w:p>
    <w:p w:rsidR="00441F6C" w:rsidRPr="00441F6C" w:rsidRDefault="00441F6C" w:rsidP="00441F6C">
      <w:pPr>
        <w:spacing w:after="0"/>
        <w:ind w:left="540"/>
        <w:jc w:val="both"/>
        <w:rPr>
          <w:rFonts w:cs="Arial"/>
          <w:lang w:val="en-NZ"/>
        </w:rPr>
      </w:pPr>
    </w:p>
    <w:p w:rsidR="00441F6C" w:rsidRPr="00441F6C" w:rsidRDefault="00441F6C" w:rsidP="00441F6C">
      <w:pPr>
        <w:spacing w:after="0"/>
        <w:ind w:left="540"/>
        <w:jc w:val="both"/>
        <w:rPr>
          <w:rFonts w:cs="Arial"/>
          <w:lang w:val="en-NZ"/>
        </w:rPr>
      </w:pPr>
      <w:r w:rsidRPr="00441F6C">
        <w:rPr>
          <w:rFonts w:cs="Arial"/>
          <w:lang w:val="en-NZ"/>
        </w:rPr>
        <w:t xml:space="preserve">This Concerted Action will contribute to achieving priority conservation actions in the CMS Bycatch Resolution (UNEP/CMS/Resolution 12.22).  </w:t>
      </w:r>
    </w:p>
    <w:p w:rsidR="00441F6C" w:rsidRPr="00441F6C" w:rsidRDefault="00441F6C" w:rsidP="00441F6C">
      <w:pPr>
        <w:suppressAutoHyphens w:val="0"/>
        <w:autoSpaceDN/>
        <w:spacing w:after="0"/>
        <w:jc w:val="both"/>
        <w:textAlignment w:val="auto"/>
        <w:rPr>
          <w:rFonts w:cs="Arial"/>
          <w:lang w:val="en-NZ"/>
        </w:rPr>
      </w:pPr>
    </w:p>
    <w:p w:rsidR="00441F6C" w:rsidRPr="00547ABF" w:rsidRDefault="00441F6C" w:rsidP="00441F6C">
      <w:pPr>
        <w:numPr>
          <w:ilvl w:val="0"/>
          <w:numId w:val="1"/>
        </w:numPr>
        <w:suppressAutoHyphens w:val="0"/>
        <w:autoSpaceDN/>
        <w:spacing w:after="0"/>
        <w:ind w:left="540" w:hanging="540"/>
        <w:jc w:val="both"/>
        <w:textAlignment w:val="auto"/>
        <w:rPr>
          <w:rFonts w:cs="Arial"/>
          <w:lang w:val="en-NZ"/>
        </w:rPr>
      </w:pPr>
      <w:r w:rsidRPr="00441F6C">
        <w:rPr>
          <w:rFonts w:cs="Arial"/>
          <w:b/>
          <w:lang w:val="en-NZ"/>
        </w:rPr>
        <w:t>Relevance:</w:t>
      </w:r>
      <w:r w:rsidRPr="00441F6C">
        <w:rPr>
          <w:rFonts w:cs="Arial"/>
          <w:lang w:val="en-NZ"/>
        </w:rPr>
        <w:t xml:space="preserve"> The major threat to </w:t>
      </w:r>
      <w:proofErr w:type="spellStart"/>
      <w:r w:rsidRPr="00441F6C">
        <w:rPr>
          <w:rFonts w:cs="Arial"/>
          <w:i/>
          <w:iCs/>
          <w:lang w:val="en-NZ"/>
        </w:rPr>
        <w:t>Diomedea</w:t>
      </w:r>
      <w:proofErr w:type="spellEnd"/>
      <w:r w:rsidRPr="00441F6C">
        <w:rPr>
          <w:rFonts w:cs="Arial"/>
          <w:i/>
          <w:iCs/>
          <w:lang w:val="en-NZ"/>
        </w:rPr>
        <w:t xml:space="preserve"> </w:t>
      </w:r>
      <w:proofErr w:type="spellStart"/>
      <w:r w:rsidRPr="00441F6C">
        <w:rPr>
          <w:rFonts w:cs="Arial"/>
          <w:i/>
          <w:iCs/>
          <w:lang w:val="en-NZ"/>
        </w:rPr>
        <w:t>antipodensis</w:t>
      </w:r>
      <w:proofErr w:type="spellEnd"/>
      <w:r w:rsidRPr="00441F6C">
        <w:rPr>
          <w:rFonts w:cs="Arial"/>
          <w:lang w:val="en-NZ"/>
        </w:rPr>
        <w:t xml:space="preserve"> is fisheries bycatch at an ocean-basin scale, across multiple jurisdictions and the high seas. The widespread nature of this threat is due to the highly migratory nature of the species, which breeds only in one jurisdiction (New Zealand). To meaningfully manage this threat across the migratory range of the species requires cooperation and alignment of fishery management efforts by the Range States and states operating distant water fishing fleets in the area. The Range States include a number of CMS Parties. </w:t>
      </w:r>
    </w:p>
    <w:p w:rsidR="00441F6C" w:rsidRPr="00441F6C" w:rsidRDefault="00441F6C" w:rsidP="00441F6C">
      <w:pPr>
        <w:suppressAutoHyphens w:val="0"/>
        <w:autoSpaceDN/>
        <w:spacing w:after="0"/>
        <w:jc w:val="both"/>
        <w:textAlignment w:val="auto"/>
        <w:rPr>
          <w:rFonts w:cs="Arial"/>
          <w:lang w:val="en-NZ"/>
        </w:rPr>
      </w:pPr>
    </w:p>
    <w:p w:rsidR="00441F6C" w:rsidRPr="00441F6C" w:rsidRDefault="00441F6C" w:rsidP="00441F6C">
      <w:pPr>
        <w:numPr>
          <w:ilvl w:val="0"/>
          <w:numId w:val="1"/>
        </w:numPr>
        <w:suppressAutoHyphens w:val="0"/>
        <w:autoSpaceDN/>
        <w:spacing w:after="0"/>
        <w:ind w:left="540" w:hanging="540"/>
        <w:jc w:val="both"/>
        <w:textAlignment w:val="auto"/>
        <w:rPr>
          <w:rFonts w:cs="Arial"/>
          <w:lang w:val="en-NZ"/>
        </w:rPr>
      </w:pPr>
      <w:r w:rsidRPr="00441F6C">
        <w:rPr>
          <w:rFonts w:cs="Arial"/>
          <w:b/>
          <w:lang w:val="en-NZ"/>
        </w:rPr>
        <w:t>Absence of better remedies:</w:t>
      </w:r>
      <w:r w:rsidRPr="00441F6C">
        <w:rPr>
          <w:rFonts w:cs="Arial"/>
          <w:lang w:val="en-NZ"/>
        </w:rPr>
        <w:t xml:space="preserve"> Other mechanisms in place to improve the conservation status of </w:t>
      </w:r>
      <w:proofErr w:type="spellStart"/>
      <w:r w:rsidRPr="00441F6C">
        <w:rPr>
          <w:rFonts w:cs="Arial"/>
          <w:i/>
          <w:iCs/>
          <w:lang w:val="en-NZ"/>
        </w:rPr>
        <w:t>Diomedea</w:t>
      </w:r>
      <w:proofErr w:type="spellEnd"/>
      <w:r w:rsidRPr="00441F6C">
        <w:rPr>
          <w:rFonts w:cs="Arial"/>
          <w:i/>
          <w:iCs/>
          <w:lang w:val="en-NZ"/>
        </w:rPr>
        <w:t xml:space="preserve"> </w:t>
      </w:r>
      <w:proofErr w:type="spellStart"/>
      <w:r w:rsidRPr="00441F6C">
        <w:rPr>
          <w:rFonts w:cs="Arial"/>
          <w:i/>
          <w:iCs/>
          <w:lang w:val="en-NZ"/>
        </w:rPr>
        <w:t>antipodensis</w:t>
      </w:r>
      <w:proofErr w:type="spellEnd"/>
      <w:r w:rsidRPr="00441F6C">
        <w:rPr>
          <w:rFonts w:cs="Arial"/>
          <w:lang w:val="en-NZ"/>
        </w:rPr>
        <w:t xml:space="preserve"> and address the threats it faces include cooperation amongst ACAP Parties on matters such as development of seabird bycatch mitigation advice, and through conservation and management measures adopted by RFMOs. In spite of these mechanisms in place, a number of challenges remain, such as New Zealand having limited influence in management organisations such as Inter-American Tropical Tuna Commission (IATTC) where </w:t>
      </w:r>
      <w:proofErr w:type="spellStart"/>
      <w:r w:rsidRPr="00441F6C">
        <w:rPr>
          <w:rFonts w:cs="Arial"/>
          <w:i/>
          <w:iCs/>
          <w:lang w:val="en-NZ"/>
        </w:rPr>
        <w:t>Diomedea</w:t>
      </w:r>
      <w:proofErr w:type="spellEnd"/>
      <w:r w:rsidRPr="00441F6C">
        <w:rPr>
          <w:rFonts w:cs="Arial"/>
          <w:i/>
          <w:iCs/>
          <w:lang w:val="en-NZ"/>
        </w:rPr>
        <w:t xml:space="preserve"> </w:t>
      </w:r>
      <w:proofErr w:type="spellStart"/>
      <w:r w:rsidRPr="00441F6C">
        <w:rPr>
          <w:rFonts w:cs="Arial"/>
          <w:i/>
          <w:iCs/>
          <w:lang w:val="en-NZ"/>
        </w:rPr>
        <w:t>antipodensis</w:t>
      </w:r>
      <w:proofErr w:type="spellEnd"/>
      <w:r w:rsidRPr="00441F6C">
        <w:rPr>
          <w:rFonts w:cs="Arial"/>
          <w:lang w:val="en-NZ"/>
        </w:rPr>
        <w:t xml:space="preserve"> forages. While it is important to continue working in ACAP and RFMOs, a Concerted Action under CMS will increase awareness among CMS Parties and will facilitate action by a broader number of Parties. A Concerted Action under CMS is therefore considered fundamental to improving the conservation status of </w:t>
      </w:r>
      <w:proofErr w:type="spellStart"/>
      <w:r w:rsidRPr="00441F6C">
        <w:rPr>
          <w:rFonts w:cs="Arial"/>
          <w:i/>
          <w:iCs/>
          <w:lang w:val="en-NZ"/>
        </w:rPr>
        <w:t>Diomedea</w:t>
      </w:r>
      <w:proofErr w:type="spellEnd"/>
      <w:r w:rsidRPr="00441F6C">
        <w:rPr>
          <w:rFonts w:cs="Arial"/>
          <w:i/>
          <w:iCs/>
          <w:lang w:val="en-NZ"/>
        </w:rPr>
        <w:t xml:space="preserve"> </w:t>
      </w:r>
      <w:proofErr w:type="spellStart"/>
      <w:r w:rsidRPr="00441F6C">
        <w:rPr>
          <w:rFonts w:cs="Arial"/>
          <w:i/>
          <w:iCs/>
          <w:lang w:val="en-NZ"/>
        </w:rPr>
        <w:t>antipodensis</w:t>
      </w:r>
      <w:proofErr w:type="spellEnd"/>
      <w:r w:rsidRPr="00441F6C">
        <w:rPr>
          <w:rFonts w:cs="Arial"/>
          <w:lang w:val="en-NZ"/>
        </w:rPr>
        <w:t xml:space="preserve"> and will complement and potentially enhance mechanisms already in place. </w:t>
      </w:r>
    </w:p>
    <w:p w:rsidR="00547ABF" w:rsidRPr="00547ABF" w:rsidRDefault="00547ABF" w:rsidP="00441F6C">
      <w:pPr>
        <w:spacing w:after="0"/>
        <w:ind w:left="540"/>
        <w:jc w:val="both"/>
        <w:rPr>
          <w:rFonts w:cs="Arial"/>
          <w:lang w:val="en-NZ"/>
        </w:rPr>
      </w:pPr>
      <w:r>
        <w:rPr>
          <w:rFonts w:cs="Arial"/>
          <w:color w:val="0000FF"/>
          <w:lang w:val="en-NZ"/>
        </w:rPr>
        <w:br w:type="page"/>
      </w:r>
    </w:p>
    <w:p w:rsidR="00441F6C" w:rsidRPr="00547ABF" w:rsidRDefault="00441F6C" w:rsidP="00441F6C">
      <w:pPr>
        <w:spacing w:after="0"/>
        <w:ind w:left="540"/>
        <w:jc w:val="both"/>
        <w:rPr>
          <w:rFonts w:cs="Arial"/>
          <w:lang w:val="en-NZ"/>
        </w:rPr>
      </w:pPr>
    </w:p>
    <w:p w:rsidR="00441F6C" w:rsidRPr="00547ABF" w:rsidRDefault="00441F6C" w:rsidP="00441F6C">
      <w:pPr>
        <w:numPr>
          <w:ilvl w:val="0"/>
          <w:numId w:val="1"/>
        </w:numPr>
        <w:suppressAutoHyphens w:val="0"/>
        <w:autoSpaceDN/>
        <w:spacing w:after="0"/>
        <w:ind w:left="540" w:hanging="540"/>
        <w:jc w:val="both"/>
        <w:textAlignment w:val="auto"/>
        <w:rPr>
          <w:rFonts w:cs="Arial"/>
          <w:lang w:val="en-NZ"/>
        </w:rPr>
      </w:pPr>
      <w:r w:rsidRPr="00441F6C">
        <w:rPr>
          <w:rFonts w:cs="Arial"/>
          <w:b/>
          <w:lang w:val="en-NZ"/>
        </w:rPr>
        <w:t>Readiness and feasibility:</w:t>
      </w:r>
      <w:r w:rsidRPr="00441F6C">
        <w:rPr>
          <w:rFonts w:cs="Arial"/>
          <w:lang w:val="en-NZ"/>
        </w:rPr>
        <w:t xml:space="preserve"> The activities identified in this Concerted Action are focussed on using existing conservation and fisheries management structures in which many Parties already engage. Effective seabird bycatch mitigation practices, such as those options recommended as ACAP best practice mitigation advice, have been proven and are used by a number of fleets. Current challenges in the type of fisheries management activities described in this Concerted Action may include observer coverage, monitoring of use of mitigation and data collection and sharing. It is envisaged that adoption of this Concerted Action will facilitate the cooperation to overcome these challenges. As such, the activities are ready and feasible, and require leadership driven by this Concerted Action to achieve the desired outcomes.</w:t>
      </w:r>
    </w:p>
    <w:p w:rsidR="00441F6C" w:rsidRPr="00547ABF" w:rsidRDefault="00441F6C" w:rsidP="00441F6C">
      <w:pPr>
        <w:suppressAutoHyphens w:val="0"/>
        <w:autoSpaceDN/>
        <w:spacing w:after="200"/>
        <w:ind w:left="720"/>
        <w:contextualSpacing/>
        <w:textAlignment w:val="auto"/>
        <w:rPr>
          <w:rFonts w:cs="Arial"/>
          <w:lang w:val="en-NZ"/>
        </w:rPr>
      </w:pPr>
    </w:p>
    <w:p w:rsidR="00441F6C" w:rsidRPr="00547ABF" w:rsidRDefault="00441F6C" w:rsidP="00441F6C">
      <w:pPr>
        <w:spacing w:after="0"/>
        <w:ind w:left="540"/>
        <w:jc w:val="both"/>
        <w:rPr>
          <w:rFonts w:cs="Arial"/>
          <w:lang w:val="en-NZ"/>
        </w:rPr>
      </w:pPr>
      <w:r w:rsidRPr="00547ABF">
        <w:rPr>
          <w:rFonts w:cs="Arial"/>
          <w:lang w:val="en-NZ"/>
        </w:rPr>
        <w:t>The research activities are largely underway and based on standard protocols and are thus ready and feasible. Risk assessment methods have been developed and used at a number of scales, and the main challenge (as already highlighted) will be to source adequate data on fishery operations. Breeding site management and biosecurity controls are already in place.</w:t>
      </w:r>
    </w:p>
    <w:p w:rsidR="00441F6C" w:rsidRPr="00547ABF" w:rsidRDefault="00441F6C" w:rsidP="00441F6C">
      <w:pPr>
        <w:spacing w:after="0"/>
        <w:jc w:val="both"/>
        <w:rPr>
          <w:rFonts w:cs="Arial"/>
          <w:lang w:val="en-NZ"/>
        </w:rPr>
      </w:pPr>
      <w:r w:rsidRPr="00547ABF">
        <w:rPr>
          <w:rFonts w:cs="Arial"/>
          <w:lang w:val="en-NZ"/>
        </w:rPr>
        <w:t xml:space="preserve"> </w:t>
      </w:r>
    </w:p>
    <w:p w:rsidR="00441F6C" w:rsidRPr="00547ABF" w:rsidRDefault="00441F6C" w:rsidP="00441F6C">
      <w:pPr>
        <w:numPr>
          <w:ilvl w:val="0"/>
          <w:numId w:val="1"/>
        </w:numPr>
        <w:suppressAutoHyphens w:val="0"/>
        <w:autoSpaceDN/>
        <w:spacing w:after="0"/>
        <w:ind w:left="540" w:hanging="540"/>
        <w:jc w:val="both"/>
        <w:textAlignment w:val="auto"/>
        <w:rPr>
          <w:rFonts w:cs="Arial"/>
          <w:lang w:val="en-NZ"/>
        </w:rPr>
      </w:pPr>
      <w:r w:rsidRPr="00547ABF">
        <w:rPr>
          <w:rFonts w:cs="Arial"/>
          <w:b/>
          <w:lang w:val="en-NZ"/>
        </w:rPr>
        <w:t>Likelihood of success:</w:t>
      </w:r>
      <w:r w:rsidRPr="00547ABF">
        <w:rPr>
          <w:rFonts w:cs="Arial"/>
          <w:lang w:val="en-NZ"/>
        </w:rPr>
        <w:t xml:space="preserve"> There remains some uncertainty as to the level of threat to </w:t>
      </w:r>
      <w:proofErr w:type="spellStart"/>
      <w:r w:rsidRPr="00547ABF">
        <w:rPr>
          <w:rFonts w:cs="Arial"/>
          <w:i/>
          <w:iCs/>
          <w:lang w:val="en-NZ"/>
        </w:rPr>
        <w:t>Diomedea</w:t>
      </w:r>
      <w:proofErr w:type="spellEnd"/>
      <w:r w:rsidRPr="00547ABF">
        <w:rPr>
          <w:rFonts w:cs="Arial"/>
          <w:i/>
          <w:iCs/>
          <w:lang w:val="en-NZ"/>
        </w:rPr>
        <w:t xml:space="preserve"> </w:t>
      </w:r>
      <w:proofErr w:type="spellStart"/>
      <w:r w:rsidRPr="00547ABF">
        <w:rPr>
          <w:rFonts w:cs="Arial"/>
          <w:i/>
          <w:iCs/>
          <w:lang w:val="en-NZ"/>
        </w:rPr>
        <w:t>antipodensis</w:t>
      </w:r>
      <w:proofErr w:type="spellEnd"/>
      <w:r w:rsidRPr="00547ABF">
        <w:rPr>
          <w:rFonts w:cs="Arial"/>
          <w:lang w:val="en-NZ"/>
        </w:rPr>
        <w:t xml:space="preserve"> that fisheries bycatch poses. As such, there remains the risk that the population could still decline even with well managed fisheries bycatch. However, the management of all fisheries impacts, including possible utilization for food by vessel crews operating in the high seas, is the only substantive and readily manageable threat to the species and thus represents the management intervention with the highest potential benefit to the species.</w:t>
      </w:r>
    </w:p>
    <w:p w:rsidR="00441F6C" w:rsidRPr="00547ABF" w:rsidRDefault="00441F6C" w:rsidP="00441F6C">
      <w:pPr>
        <w:suppressAutoHyphens w:val="0"/>
        <w:autoSpaceDN/>
        <w:spacing w:after="0"/>
        <w:jc w:val="both"/>
        <w:textAlignment w:val="auto"/>
        <w:rPr>
          <w:rFonts w:cs="Arial"/>
          <w:lang w:val="en-NZ"/>
        </w:rPr>
      </w:pPr>
    </w:p>
    <w:p w:rsidR="00441F6C" w:rsidRPr="00547ABF" w:rsidRDefault="00441F6C" w:rsidP="00441F6C">
      <w:pPr>
        <w:numPr>
          <w:ilvl w:val="0"/>
          <w:numId w:val="1"/>
        </w:numPr>
        <w:suppressAutoHyphens w:val="0"/>
        <w:autoSpaceDN/>
        <w:spacing w:after="0"/>
        <w:ind w:left="540" w:hanging="540"/>
        <w:jc w:val="both"/>
        <w:textAlignment w:val="auto"/>
        <w:rPr>
          <w:rFonts w:cs="Arial"/>
          <w:lang w:val="en-NZ"/>
        </w:rPr>
      </w:pPr>
      <w:r w:rsidRPr="00547ABF">
        <w:rPr>
          <w:rFonts w:cs="Arial"/>
          <w:b/>
          <w:lang w:val="en-NZ"/>
        </w:rPr>
        <w:t>Magnitude of likely impact:</w:t>
      </w:r>
      <w:r w:rsidRPr="00547ABF">
        <w:rPr>
          <w:rFonts w:cs="Arial"/>
          <w:lang w:val="en-NZ"/>
        </w:rPr>
        <w:t xml:space="preserve"> The activities described in this Concerted Action aim to reduce seabird bycatch across fisheries in the main Range States and on the high seas of the South Pacific Ocean south of the area approximately 25° South. Other seabird species known, or likely, to be bycaught in fisheries operating in these areas, and therefore also impacted by the activities to be addressed in this Concerted Action Plan, include the following CMS Appendix II and ACAP-listed species: </w:t>
      </w:r>
      <w:proofErr w:type="spellStart"/>
      <w:r w:rsidRPr="00547ABF">
        <w:rPr>
          <w:rFonts w:cs="Arial"/>
          <w:i/>
          <w:iCs/>
          <w:lang w:val="en-NZ"/>
        </w:rPr>
        <w:t>Diomedea</w:t>
      </w:r>
      <w:proofErr w:type="spellEnd"/>
      <w:r w:rsidRPr="00547ABF">
        <w:rPr>
          <w:rFonts w:cs="Arial"/>
          <w:i/>
          <w:iCs/>
          <w:lang w:val="en-NZ"/>
        </w:rPr>
        <w:t xml:space="preserve"> </w:t>
      </w:r>
      <w:proofErr w:type="spellStart"/>
      <w:r w:rsidRPr="00547ABF">
        <w:rPr>
          <w:rFonts w:cs="Arial"/>
          <w:i/>
          <w:iCs/>
          <w:lang w:val="en-NZ"/>
        </w:rPr>
        <w:t>exulans</w:t>
      </w:r>
      <w:proofErr w:type="spellEnd"/>
      <w:r w:rsidRPr="00547ABF">
        <w:rPr>
          <w:rFonts w:cs="Arial"/>
          <w:i/>
          <w:iCs/>
          <w:lang w:val="en-NZ"/>
        </w:rPr>
        <w:t xml:space="preserve">, </w:t>
      </w:r>
      <w:proofErr w:type="spellStart"/>
      <w:r w:rsidRPr="00547ABF">
        <w:rPr>
          <w:rFonts w:cs="Arial"/>
          <w:i/>
          <w:iCs/>
          <w:lang w:val="en-NZ"/>
        </w:rPr>
        <w:t>Diomedea</w:t>
      </w:r>
      <w:proofErr w:type="spellEnd"/>
      <w:r w:rsidRPr="00547ABF">
        <w:rPr>
          <w:rFonts w:cs="Arial"/>
          <w:i/>
          <w:iCs/>
          <w:lang w:val="en-NZ"/>
        </w:rPr>
        <w:t xml:space="preserve"> </w:t>
      </w:r>
      <w:proofErr w:type="spellStart"/>
      <w:r w:rsidRPr="00547ABF">
        <w:rPr>
          <w:rFonts w:cs="Arial"/>
          <w:i/>
          <w:iCs/>
          <w:lang w:val="en-NZ"/>
        </w:rPr>
        <w:t>epomophora</w:t>
      </w:r>
      <w:proofErr w:type="spellEnd"/>
      <w:r w:rsidRPr="00547ABF">
        <w:rPr>
          <w:rFonts w:cs="Arial"/>
          <w:i/>
          <w:iCs/>
          <w:lang w:val="en-NZ"/>
        </w:rPr>
        <w:t xml:space="preserve">, </w:t>
      </w:r>
      <w:proofErr w:type="spellStart"/>
      <w:r w:rsidRPr="00547ABF">
        <w:rPr>
          <w:rFonts w:cs="Arial"/>
          <w:i/>
          <w:iCs/>
          <w:lang w:val="en-NZ"/>
        </w:rPr>
        <w:t>Diomedea</w:t>
      </w:r>
      <w:proofErr w:type="spellEnd"/>
      <w:r w:rsidRPr="00547ABF">
        <w:rPr>
          <w:rFonts w:cs="Arial"/>
          <w:i/>
          <w:iCs/>
          <w:lang w:val="en-NZ"/>
        </w:rPr>
        <w:t xml:space="preserve"> </w:t>
      </w:r>
      <w:proofErr w:type="spellStart"/>
      <w:r w:rsidRPr="00547ABF">
        <w:rPr>
          <w:rFonts w:cs="Arial"/>
          <w:i/>
          <w:iCs/>
          <w:lang w:val="en-NZ"/>
        </w:rPr>
        <w:t>sanfordi</w:t>
      </w:r>
      <w:proofErr w:type="spellEnd"/>
      <w:r w:rsidRPr="00547ABF">
        <w:rPr>
          <w:rFonts w:cs="Arial"/>
          <w:i/>
          <w:iCs/>
          <w:lang w:val="en-NZ"/>
        </w:rPr>
        <w:t xml:space="preserve">, </w:t>
      </w:r>
      <w:proofErr w:type="spellStart"/>
      <w:r w:rsidRPr="00547ABF">
        <w:rPr>
          <w:rFonts w:cs="Arial"/>
          <w:i/>
          <w:iCs/>
          <w:lang w:val="en-NZ"/>
        </w:rPr>
        <w:t>Thalassarche</w:t>
      </w:r>
      <w:proofErr w:type="spellEnd"/>
      <w:r w:rsidRPr="00547ABF">
        <w:rPr>
          <w:rFonts w:cs="Arial"/>
          <w:i/>
          <w:iCs/>
          <w:lang w:val="en-NZ"/>
        </w:rPr>
        <w:t xml:space="preserve"> </w:t>
      </w:r>
      <w:proofErr w:type="spellStart"/>
      <w:r w:rsidRPr="00547ABF">
        <w:rPr>
          <w:rFonts w:cs="Arial"/>
          <w:i/>
          <w:iCs/>
          <w:lang w:val="en-NZ"/>
        </w:rPr>
        <w:t>carteri</w:t>
      </w:r>
      <w:proofErr w:type="spellEnd"/>
      <w:r w:rsidRPr="00547ABF">
        <w:rPr>
          <w:rFonts w:cs="Arial"/>
          <w:i/>
          <w:iCs/>
          <w:lang w:val="en-NZ"/>
        </w:rPr>
        <w:t xml:space="preserve">, </w:t>
      </w:r>
      <w:proofErr w:type="spellStart"/>
      <w:r w:rsidRPr="00547ABF">
        <w:rPr>
          <w:rFonts w:cs="Arial"/>
          <w:i/>
          <w:iCs/>
          <w:lang w:val="en-NZ"/>
        </w:rPr>
        <w:t>Thalassarche</w:t>
      </w:r>
      <w:proofErr w:type="spellEnd"/>
      <w:r w:rsidRPr="00547ABF">
        <w:rPr>
          <w:rFonts w:cs="Arial"/>
          <w:i/>
          <w:iCs/>
          <w:lang w:val="en-NZ"/>
        </w:rPr>
        <w:t xml:space="preserve"> </w:t>
      </w:r>
      <w:proofErr w:type="spellStart"/>
      <w:r w:rsidRPr="00547ABF">
        <w:rPr>
          <w:rFonts w:cs="Arial"/>
          <w:i/>
          <w:iCs/>
          <w:lang w:val="en-NZ"/>
        </w:rPr>
        <w:t>melanophris</w:t>
      </w:r>
      <w:proofErr w:type="spellEnd"/>
      <w:r w:rsidRPr="00547ABF">
        <w:rPr>
          <w:rFonts w:cs="Arial"/>
          <w:i/>
          <w:iCs/>
          <w:lang w:val="en-NZ"/>
        </w:rPr>
        <w:t xml:space="preserve">, </w:t>
      </w:r>
      <w:proofErr w:type="spellStart"/>
      <w:r w:rsidRPr="00547ABF">
        <w:rPr>
          <w:rFonts w:cs="Arial"/>
          <w:i/>
          <w:iCs/>
          <w:lang w:val="en-NZ"/>
        </w:rPr>
        <w:t>Thalassarche</w:t>
      </w:r>
      <w:proofErr w:type="spellEnd"/>
      <w:r w:rsidRPr="00547ABF">
        <w:rPr>
          <w:rFonts w:cs="Arial"/>
          <w:i/>
          <w:iCs/>
          <w:lang w:val="en-NZ"/>
        </w:rPr>
        <w:t xml:space="preserve"> </w:t>
      </w:r>
      <w:proofErr w:type="spellStart"/>
      <w:r w:rsidRPr="00547ABF">
        <w:rPr>
          <w:rFonts w:cs="Arial"/>
          <w:i/>
          <w:iCs/>
          <w:lang w:val="en-NZ"/>
        </w:rPr>
        <w:t>impavida</w:t>
      </w:r>
      <w:proofErr w:type="spellEnd"/>
      <w:r w:rsidRPr="00547ABF">
        <w:rPr>
          <w:rFonts w:cs="Arial"/>
          <w:i/>
          <w:iCs/>
          <w:lang w:val="en-NZ"/>
        </w:rPr>
        <w:t xml:space="preserve">, </w:t>
      </w:r>
      <w:proofErr w:type="spellStart"/>
      <w:r w:rsidRPr="00547ABF">
        <w:rPr>
          <w:rFonts w:cs="Arial"/>
          <w:i/>
          <w:iCs/>
          <w:lang w:val="en-NZ"/>
        </w:rPr>
        <w:t>Thalassarche</w:t>
      </w:r>
      <w:proofErr w:type="spellEnd"/>
      <w:r w:rsidRPr="00547ABF">
        <w:rPr>
          <w:rFonts w:cs="Arial"/>
          <w:i/>
          <w:iCs/>
          <w:lang w:val="en-NZ"/>
        </w:rPr>
        <w:t xml:space="preserve"> </w:t>
      </w:r>
      <w:proofErr w:type="spellStart"/>
      <w:r w:rsidRPr="00547ABF">
        <w:rPr>
          <w:rFonts w:cs="Arial"/>
          <w:i/>
          <w:iCs/>
          <w:lang w:val="en-NZ"/>
        </w:rPr>
        <w:t>chrysostoma</w:t>
      </w:r>
      <w:proofErr w:type="spellEnd"/>
      <w:r w:rsidRPr="00547ABF">
        <w:rPr>
          <w:rFonts w:cs="Arial"/>
          <w:i/>
          <w:iCs/>
          <w:lang w:val="en-NZ"/>
        </w:rPr>
        <w:t xml:space="preserve">, </w:t>
      </w:r>
      <w:proofErr w:type="spellStart"/>
      <w:r w:rsidRPr="00547ABF">
        <w:rPr>
          <w:rFonts w:cs="Arial"/>
          <w:i/>
          <w:iCs/>
          <w:lang w:val="en-NZ"/>
        </w:rPr>
        <w:t>Thalassarche</w:t>
      </w:r>
      <w:proofErr w:type="spellEnd"/>
      <w:r w:rsidRPr="00547ABF">
        <w:rPr>
          <w:rFonts w:cs="Arial"/>
          <w:i/>
          <w:iCs/>
          <w:lang w:val="en-NZ"/>
        </w:rPr>
        <w:t xml:space="preserve"> </w:t>
      </w:r>
      <w:proofErr w:type="spellStart"/>
      <w:r w:rsidRPr="00547ABF">
        <w:rPr>
          <w:rFonts w:cs="Arial"/>
          <w:i/>
          <w:iCs/>
          <w:lang w:val="en-NZ"/>
        </w:rPr>
        <w:t>bulleri</w:t>
      </w:r>
      <w:proofErr w:type="spellEnd"/>
      <w:r w:rsidRPr="00547ABF">
        <w:rPr>
          <w:rFonts w:cs="Arial"/>
          <w:i/>
          <w:iCs/>
          <w:lang w:val="en-NZ"/>
        </w:rPr>
        <w:t xml:space="preserve">, </w:t>
      </w:r>
      <w:proofErr w:type="spellStart"/>
      <w:r w:rsidRPr="00547ABF">
        <w:rPr>
          <w:rFonts w:cs="Arial"/>
          <w:i/>
          <w:iCs/>
          <w:lang w:val="en-NZ"/>
        </w:rPr>
        <w:t>Thalassarche</w:t>
      </w:r>
      <w:proofErr w:type="spellEnd"/>
      <w:r w:rsidRPr="00547ABF">
        <w:rPr>
          <w:rFonts w:cs="Arial"/>
          <w:i/>
          <w:iCs/>
          <w:lang w:val="en-NZ"/>
        </w:rPr>
        <w:t xml:space="preserve"> </w:t>
      </w:r>
      <w:proofErr w:type="spellStart"/>
      <w:r w:rsidRPr="00547ABF">
        <w:rPr>
          <w:rFonts w:cs="Arial"/>
          <w:i/>
          <w:iCs/>
          <w:lang w:val="en-NZ"/>
        </w:rPr>
        <w:t>cauta</w:t>
      </w:r>
      <w:proofErr w:type="spellEnd"/>
      <w:r w:rsidRPr="00547ABF">
        <w:rPr>
          <w:rFonts w:cs="Arial"/>
          <w:i/>
          <w:iCs/>
          <w:lang w:val="en-NZ"/>
        </w:rPr>
        <w:t xml:space="preserve">, </w:t>
      </w:r>
      <w:proofErr w:type="spellStart"/>
      <w:r w:rsidRPr="00547ABF">
        <w:rPr>
          <w:rFonts w:cs="Arial"/>
          <w:i/>
          <w:iCs/>
          <w:lang w:val="en-NZ"/>
        </w:rPr>
        <w:t>Thalassarche</w:t>
      </w:r>
      <w:proofErr w:type="spellEnd"/>
      <w:r w:rsidRPr="00547ABF">
        <w:rPr>
          <w:rFonts w:cs="Arial"/>
          <w:i/>
          <w:iCs/>
          <w:lang w:val="en-NZ"/>
        </w:rPr>
        <w:t xml:space="preserve"> </w:t>
      </w:r>
      <w:proofErr w:type="spellStart"/>
      <w:r w:rsidRPr="00547ABF">
        <w:rPr>
          <w:rFonts w:cs="Arial"/>
          <w:i/>
          <w:iCs/>
          <w:lang w:val="en-NZ"/>
        </w:rPr>
        <w:t>steadi</w:t>
      </w:r>
      <w:proofErr w:type="spellEnd"/>
      <w:r w:rsidRPr="00547ABF">
        <w:rPr>
          <w:rFonts w:cs="Arial"/>
          <w:i/>
          <w:iCs/>
          <w:lang w:val="en-NZ"/>
        </w:rPr>
        <w:t xml:space="preserve">, </w:t>
      </w:r>
      <w:proofErr w:type="spellStart"/>
      <w:r w:rsidRPr="00547ABF">
        <w:rPr>
          <w:rFonts w:cs="Arial"/>
          <w:i/>
          <w:iCs/>
          <w:lang w:val="en-NZ"/>
        </w:rPr>
        <w:t>Thalassarche</w:t>
      </w:r>
      <w:proofErr w:type="spellEnd"/>
      <w:r w:rsidRPr="00547ABF">
        <w:rPr>
          <w:rFonts w:cs="Arial"/>
          <w:i/>
          <w:iCs/>
          <w:lang w:val="en-NZ"/>
        </w:rPr>
        <w:t xml:space="preserve"> </w:t>
      </w:r>
      <w:proofErr w:type="spellStart"/>
      <w:r w:rsidRPr="00547ABF">
        <w:rPr>
          <w:rFonts w:cs="Arial"/>
          <w:i/>
          <w:iCs/>
          <w:lang w:val="en-NZ"/>
        </w:rPr>
        <w:t>eremita</w:t>
      </w:r>
      <w:proofErr w:type="spellEnd"/>
      <w:r w:rsidRPr="00547ABF">
        <w:rPr>
          <w:rFonts w:cs="Arial"/>
          <w:i/>
          <w:iCs/>
          <w:lang w:val="en-NZ"/>
        </w:rPr>
        <w:t xml:space="preserve">, </w:t>
      </w:r>
      <w:proofErr w:type="spellStart"/>
      <w:r w:rsidRPr="00547ABF">
        <w:rPr>
          <w:rFonts w:cs="Arial"/>
          <w:i/>
          <w:iCs/>
          <w:lang w:val="en-NZ"/>
        </w:rPr>
        <w:t>Thalassarche</w:t>
      </w:r>
      <w:proofErr w:type="spellEnd"/>
      <w:r w:rsidRPr="00547ABF">
        <w:rPr>
          <w:rFonts w:cs="Arial"/>
          <w:i/>
          <w:iCs/>
          <w:lang w:val="en-NZ"/>
        </w:rPr>
        <w:t xml:space="preserve"> </w:t>
      </w:r>
      <w:proofErr w:type="spellStart"/>
      <w:r w:rsidRPr="00547ABF">
        <w:rPr>
          <w:rFonts w:cs="Arial"/>
          <w:i/>
          <w:iCs/>
          <w:lang w:val="en-NZ"/>
        </w:rPr>
        <w:t>salvini</w:t>
      </w:r>
      <w:proofErr w:type="spellEnd"/>
      <w:r w:rsidRPr="00547ABF">
        <w:rPr>
          <w:rFonts w:cs="Arial"/>
          <w:i/>
          <w:iCs/>
          <w:lang w:val="en-NZ"/>
        </w:rPr>
        <w:t xml:space="preserve">, </w:t>
      </w:r>
      <w:proofErr w:type="spellStart"/>
      <w:r w:rsidRPr="00547ABF">
        <w:rPr>
          <w:rFonts w:cs="Arial"/>
          <w:i/>
          <w:iCs/>
          <w:lang w:val="en-NZ"/>
        </w:rPr>
        <w:t>Phoebetria</w:t>
      </w:r>
      <w:proofErr w:type="spellEnd"/>
      <w:r w:rsidRPr="00547ABF">
        <w:rPr>
          <w:rFonts w:cs="Arial"/>
          <w:i/>
          <w:iCs/>
          <w:lang w:val="en-NZ"/>
        </w:rPr>
        <w:t xml:space="preserve"> </w:t>
      </w:r>
      <w:proofErr w:type="spellStart"/>
      <w:r w:rsidRPr="00547ABF">
        <w:rPr>
          <w:rFonts w:cs="Arial"/>
          <w:i/>
          <w:iCs/>
          <w:lang w:val="en-NZ"/>
        </w:rPr>
        <w:t>palpebrata</w:t>
      </w:r>
      <w:proofErr w:type="spellEnd"/>
      <w:r w:rsidRPr="00547ABF">
        <w:rPr>
          <w:rFonts w:cs="Arial"/>
          <w:i/>
          <w:iCs/>
          <w:lang w:val="en-NZ"/>
        </w:rPr>
        <w:t xml:space="preserve">, </w:t>
      </w:r>
      <w:proofErr w:type="spellStart"/>
      <w:r w:rsidRPr="00547ABF">
        <w:rPr>
          <w:rFonts w:cs="Arial"/>
          <w:i/>
          <w:iCs/>
          <w:lang w:val="en-NZ"/>
        </w:rPr>
        <w:t>Macronectes</w:t>
      </w:r>
      <w:proofErr w:type="spellEnd"/>
      <w:r w:rsidRPr="00547ABF">
        <w:rPr>
          <w:rFonts w:cs="Arial"/>
          <w:i/>
          <w:iCs/>
          <w:lang w:val="en-NZ"/>
        </w:rPr>
        <w:t xml:space="preserve"> </w:t>
      </w:r>
      <w:proofErr w:type="spellStart"/>
      <w:r w:rsidRPr="00547ABF">
        <w:rPr>
          <w:rFonts w:cs="Arial"/>
          <w:i/>
          <w:iCs/>
          <w:lang w:val="en-NZ"/>
        </w:rPr>
        <w:t>giganteus</w:t>
      </w:r>
      <w:proofErr w:type="spellEnd"/>
      <w:r w:rsidRPr="00547ABF">
        <w:rPr>
          <w:rFonts w:cs="Arial"/>
          <w:i/>
          <w:iCs/>
          <w:lang w:val="en-NZ"/>
        </w:rPr>
        <w:t xml:space="preserve">, </w:t>
      </w:r>
      <w:proofErr w:type="spellStart"/>
      <w:r w:rsidRPr="00547ABF">
        <w:rPr>
          <w:rFonts w:cs="Arial"/>
          <w:i/>
          <w:iCs/>
          <w:lang w:val="en-NZ"/>
        </w:rPr>
        <w:t>Macronectes</w:t>
      </w:r>
      <w:proofErr w:type="spellEnd"/>
      <w:r w:rsidRPr="00547ABF">
        <w:rPr>
          <w:rFonts w:cs="Arial"/>
          <w:i/>
          <w:iCs/>
          <w:lang w:val="en-NZ"/>
        </w:rPr>
        <w:t xml:space="preserve"> </w:t>
      </w:r>
      <w:proofErr w:type="spellStart"/>
      <w:r w:rsidRPr="00547ABF">
        <w:rPr>
          <w:rFonts w:cs="Arial"/>
          <w:i/>
          <w:iCs/>
          <w:lang w:val="en-NZ"/>
        </w:rPr>
        <w:t>halli</w:t>
      </w:r>
      <w:proofErr w:type="spellEnd"/>
      <w:r w:rsidRPr="00547ABF">
        <w:rPr>
          <w:rFonts w:cs="Arial"/>
          <w:i/>
          <w:iCs/>
          <w:lang w:val="en-NZ"/>
        </w:rPr>
        <w:t xml:space="preserve">, </w:t>
      </w:r>
      <w:proofErr w:type="spellStart"/>
      <w:r w:rsidRPr="00547ABF">
        <w:rPr>
          <w:rFonts w:cs="Arial"/>
          <w:i/>
          <w:iCs/>
          <w:lang w:val="en-NZ"/>
        </w:rPr>
        <w:t>Procellaria</w:t>
      </w:r>
      <w:proofErr w:type="spellEnd"/>
      <w:r w:rsidRPr="00547ABF">
        <w:rPr>
          <w:rFonts w:cs="Arial"/>
          <w:i/>
          <w:iCs/>
          <w:lang w:val="en-NZ"/>
        </w:rPr>
        <w:t xml:space="preserve"> </w:t>
      </w:r>
      <w:proofErr w:type="spellStart"/>
      <w:r w:rsidRPr="00547ABF">
        <w:rPr>
          <w:rFonts w:cs="Arial"/>
          <w:i/>
          <w:iCs/>
          <w:lang w:val="en-NZ"/>
        </w:rPr>
        <w:t>aequinoctialis</w:t>
      </w:r>
      <w:proofErr w:type="spellEnd"/>
      <w:r w:rsidRPr="00547ABF">
        <w:rPr>
          <w:rFonts w:cs="Arial"/>
          <w:i/>
          <w:iCs/>
          <w:lang w:val="en-NZ"/>
        </w:rPr>
        <w:t xml:space="preserve">, </w:t>
      </w:r>
      <w:proofErr w:type="spellStart"/>
      <w:r w:rsidRPr="00547ABF">
        <w:rPr>
          <w:rFonts w:cs="Arial"/>
          <w:i/>
          <w:iCs/>
          <w:lang w:val="en-NZ"/>
        </w:rPr>
        <w:t>Procellaria</w:t>
      </w:r>
      <w:proofErr w:type="spellEnd"/>
      <w:r w:rsidRPr="00547ABF">
        <w:rPr>
          <w:rFonts w:cs="Arial"/>
          <w:i/>
          <w:iCs/>
          <w:lang w:val="en-NZ"/>
        </w:rPr>
        <w:t xml:space="preserve"> </w:t>
      </w:r>
      <w:proofErr w:type="spellStart"/>
      <w:r w:rsidRPr="00547ABF">
        <w:rPr>
          <w:rFonts w:cs="Arial"/>
          <w:i/>
          <w:iCs/>
          <w:lang w:val="en-NZ"/>
        </w:rPr>
        <w:t>westlandica</w:t>
      </w:r>
      <w:proofErr w:type="spellEnd"/>
      <w:r w:rsidRPr="00547ABF">
        <w:rPr>
          <w:rFonts w:cs="Arial"/>
          <w:i/>
          <w:iCs/>
          <w:lang w:val="en-NZ"/>
        </w:rPr>
        <w:t xml:space="preserve">, </w:t>
      </w:r>
      <w:proofErr w:type="spellStart"/>
      <w:r w:rsidRPr="00547ABF">
        <w:rPr>
          <w:rFonts w:cs="Arial"/>
          <w:i/>
          <w:iCs/>
          <w:lang w:val="en-NZ"/>
        </w:rPr>
        <w:t>Procellaria</w:t>
      </w:r>
      <w:proofErr w:type="spellEnd"/>
      <w:r w:rsidRPr="00547ABF">
        <w:rPr>
          <w:rFonts w:cs="Arial"/>
          <w:i/>
          <w:iCs/>
          <w:lang w:val="en-NZ"/>
        </w:rPr>
        <w:t xml:space="preserve"> </w:t>
      </w:r>
      <w:proofErr w:type="spellStart"/>
      <w:r w:rsidRPr="00547ABF">
        <w:rPr>
          <w:rFonts w:cs="Arial"/>
          <w:i/>
          <w:iCs/>
          <w:lang w:val="en-NZ"/>
        </w:rPr>
        <w:t>parkinsoni</w:t>
      </w:r>
      <w:proofErr w:type="spellEnd"/>
      <w:r w:rsidRPr="00547ABF">
        <w:rPr>
          <w:rFonts w:cs="Arial"/>
          <w:lang w:val="en-NZ"/>
        </w:rPr>
        <w:t xml:space="preserve"> and </w:t>
      </w:r>
      <w:proofErr w:type="spellStart"/>
      <w:r w:rsidRPr="00547ABF">
        <w:rPr>
          <w:rFonts w:cs="Arial"/>
          <w:i/>
          <w:iCs/>
          <w:lang w:val="en-NZ"/>
        </w:rPr>
        <w:t>Procellaria</w:t>
      </w:r>
      <w:proofErr w:type="spellEnd"/>
      <w:r w:rsidRPr="00547ABF">
        <w:rPr>
          <w:rFonts w:cs="Arial"/>
          <w:i/>
          <w:iCs/>
          <w:lang w:val="en-NZ"/>
        </w:rPr>
        <w:t xml:space="preserve"> </w:t>
      </w:r>
      <w:proofErr w:type="spellStart"/>
      <w:r w:rsidRPr="00547ABF">
        <w:rPr>
          <w:rFonts w:cs="Arial"/>
          <w:i/>
          <w:iCs/>
          <w:lang w:val="en-NZ"/>
        </w:rPr>
        <w:t>cinerea</w:t>
      </w:r>
      <w:proofErr w:type="spellEnd"/>
      <w:r w:rsidRPr="00547ABF">
        <w:rPr>
          <w:rFonts w:cs="Arial"/>
          <w:lang w:val="en-NZ"/>
        </w:rPr>
        <w:t>.</w:t>
      </w:r>
    </w:p>
    <w:p w:rsidR="00441F6C" w:rsidRPr="00441F6C" w:rsidRDefault="00441F6C" w:rsidP="00441F6C">
      <w:pPr>
        <w:suppressAutoHyphens w:val="0"/>
        <w:autoSpaceDN/>
        <w:spacing w:after="0"/>
        <w:jc w:val="both"/>
        <w:textAlignment w:val="auto"/>
        <w:rPr>
          <w:rFonts w:cs="Arial"/>
          <w:lang w:val="en-NZ"/>
        </w:rPr>
      </w:pPr>
    </w:p>
    <w:p w:rsidR="00441F6C" w:rsidRPr="00547ABF" w:rsidRDefault="00441F6C" w:rsidP="00441F6C">
      <w:pPr>
        <w:numPr>
          <w:ilvl w:val="0"/>
          <w:numId w:val="1"/>
        </w:numPr>
        <w:suppressAutoHyphens w:val="0"/>
        <w:autoSpaceDN/>
        <w:spacing w:after="0"/>
        <w:ind w:left="540" w:hanging="540"/>
        <w:jc w:val="both"/>
        <w:textAlignment w:val="auto"/>
        <w:rPr>
          <w:rFonts w:cs="Arial"/>
          <w:lang w:val="en-NZ"/>
        </w:rPr>
      </w:pPr>
      <w:r w:rsidRPr="00441F6C">
        <w:rPr>
          <w:rFonts w:cs="Arial"/>
          <w:b/>
          <w:lang w:val="en-NZ"/>
        </w:rPr>
        <w:t>Cost-effectiveness:</w:t>
      </w:r>
      <w:r w:rsidRPr="00441F6C">
        <w:rPr>
          <w:rFonts w:cs="Arial"/>
          <w:lang w:val="en-NZ"/>
        </w:rPr>
        <w:t xml:space="preserve"> The activities identified in this Concerted Action are focussed on using existing fisheries management structures. As such any additional costs related to management of domestic fisheries, or engaging with relevant RFMOs, are low and will consist of resourcing sufficient capacity, and/or prioritising existing capacity, to engage with the bycatch management elements of these </w:t>
      </w:r>
      <w:proofErr w:type="gramStart"/>
      <w:r w:rsidRPr="00441F6C">
        <w:rPr>
          <w:rFonts w:cs="Arial"/>
          <w:lang w:val="en-NZ"/>
        </w:rPr>
        <w:t>fisheries</w:t>
      </w:r>
      <w:proofErr w:type="gramEnd"/>
      <w:r w:rsidRPr="00441F6C">
        <w:rPr>
          <w:rFonts w:cs="Arial"/>
          <w:lang w:val="en-NZ"/>
        </w:rPr>
        <w:t xml:space="preserve"> management processes. For relevant fishing fleets that do not currently deploy effective seabird mitigation measures, and/or collect data on seabird interactions, there may be costs involved in improving their </w:t>
      </w:r>
      <w:r w:rsidRPr="00547ABF">
        <w:rPr>
          <w:rFonts w:cs="Arial"/>
          <w:lang w:val="en-NZ"/>
        </w:rPr>
        <w:t xml:space="preserve">operations. Additional costs would be related to the monitoring of the use of mitigation practices and recording the data. However, it must be noted that actions taken by fishing fleets to reduce the risk of </w:t>
      </w:r>
      <w:proofErr w:type="spellStart"/>
      <w:r w:rsidRPr="00547ABF">
        <w:rPr>
          <w:rFonts w:cs="Arial"/>
          <w:i/>
          <w:iCs/>
          <w:lang w:val="en-NZ"/>
        </w:rPr>
        <w:t>Diomedea</w:t>
      </w:r>
      <w:proofErr w:type="spellEnd"/>
      <w:r w:rsidRPr="00547ABF">
        <w:rPr>
          <w:rFonts w:cs="Arial"/>
          <w:i/>
          <w:iCs/>
          <w:lang w:val="en-NZ"/>
        </w:rPr>
        <w:t xml:space="preserve"> </w:t>
      </w:r>
      <w:proofErr w:type="spellStart"/>
      <w:r w:rsidRPr="00547ABF">
        <w:rPr>
          <w:rFonts w:cs="Arial"/>
          <w:i/>
          <w:iCs/>
          <w:lang w:val="en-NZ"/>
        </w:rPr>
        <w:t>antipodensis</w:t>
      </w:r>
      <w:proofErr w:type="spellEnd"/>
      <w:r w:rsidRPr="00547ABF">
        <w:rPr>
          <w:rFonts w:cs="Arial"/>
          <w:lang w:val="en-NZ"/>
        </w:rPr>
        <w:t xml:space="preserve"> bycatch will also reduce the risk of other seabird species bycatch and therefore enhance sustainability aspects of their operation. </w:t>
      </w:r>
    </w:p>
    <w:p w:rsidR="00441F6C" w:rsidRPr="00547ABF" w:rsidRDefault="00441F6C" w:rsidP="00441F6C">
      <w:pPr>
        <w:suppressAutoHyphens w:val="0"/>
        <w:autoSpaceDN/>
        <w:spacing w:after="200"/>
        <w:ind w:left="720"/>
        <w:contextualSpacing/>
        <w:textAlignment w:val="auto"/>
        <w:rPr>
          <w:rFonts w:cs="Arial"/>
          <w:lang w:val="en-NZ"/>
        </w:rPr>
      </w:pPr>
    </w:p>
    <w:p w:rsidR="00441F6C" w:rsidRPr="00441F6C" w:rsidRDefault="00441F6C" w:rsidP="00441F6C">
      <w:pPr>
        <w:spacing w:after="0"/>
        <w:ind w:left="540"/>
        <w:jc w:val="both"/>
        <w:rPr>
          <w:rFonts w:cs="Arial"/>
          <w:lang w:val="en-NZ"/>
        </w:rPr>
      </w:pPr>
      <w:r w:rsidRPr="00547ABF">
        <w:rPr>
          <w:rFonts w:cs="Arial"/>
          <w:lang w:val="en-NZ"/>
        </w:rPr>
        <w:t xml:space="preserve">Costs for baseline research and monitoring of the species have already been allocated by the New </w:t>
      </w:r>
      <w:r w:rsidRPr="00441F6C">
        <w:rPr>
          <w:rFonts w:cs="Arial"/>
          <w:lang w:val="en-NZ"/>
        </w:rPr>
        <w:t>Zealand Government. Collaboration or additional funds would allow an expanded programme of research (e.g. additional at-sea tracking, diet assessment).</w:t>
      </w:r>
    </w:p>
    <w:p w:rsidR="00547ABF" w:rsidRDefault="00547ABF" w:rsidP="00441F6C">
      <w:pPr>
        <w:spacing w:after="0"/>
        <w:ind w:left="540"/>
        <w:jc w:val="both"/>
        <w:rPr>
          <w:rFonts w:cs="Arial"/>
          <w:lang w:val="en-NZ"/>
        </w:rPr>
      </w:pPr>
      <w:r>
        <w:rPr>
          <w:rFonts w:cs="Arial"/>
          <w:lang w:val="en-NZ"/>
        </w:rPr>
        <w:br w:type="page"/>
      </w:r>
    </w:p>
    <w:p w:rsidR="00441F6C" w:rsidRPr="00441F6C" w:rsidRDefault="00441F6C" w:rsidP="00441F6C">
      <w:pPr>
        <w:spacing w:after="0"/>
        <w:ind w:left="540"/>
        <w:jc w:val="both"/>
        <w:rPr>
          <w:rFonts w:cs="Arial"/>
          <w:lang w:val="en-NZ"/>
        </w:rPr>
      </w:pPr>
    </w:p>
    <w:p w:rsidR="00441F6C" w:rsidRPr="00547ABF" w:rsidRDefault="00441F6C" w:rsidP="00441F6C">
      <w:pPr>
        <w:spacing w:after="0"/>
        <w:ind w:left="540"/>
        <w:jc w:val="both"/>
        <w:rPr>
          <w:rFonts w:cs="Arial"/>
          <w:lang w:val="en-NZ"/>
        </w:rPr>
      </w:pPr>
      <w:r w:rsidRPr="00441F6C">
        <w:rPr>
          <w:rFonts w:cs="Arial"/>
          <w:lang w:val="en-NZ"/>
        </w:rPr>
        <w:t xml:space="preserve">The costs for continued protection and biosecurity control of the breeding sites have already been allocated by the New Zealand Government. The mammalian pest eradication at Auckland Island has been allocated NZD2 million by the New Zealand Government for the feasibility and planning stages, and the full operation is currently estimated at NZD60 million, for which funds have yet to be secured. The costs of these site-based management actions benefit a range of other species of conservation concern. </w:t>
      </w:r>
    </w:p>
    <w:p w:rsidR="00441F6C" w:rsidRPr="00547ABF" w:rsidRDefault="00441F6C" w:rsidP="00441F6C">
      <w:pPr>
        <w:suppressAutoHyphens w:val="0"/>
        <w:autoSpaceDN/>
        <w:spacing w:after="0"/>
        <w:ind w:left="540" w:hanging="540"/>
        <w:jc w:val="both"/>
        <w:textAlignment w:val="auto"/>
        <w:rPr>
          <w:rFonts w:cs="Arial"/>
          <w:lang w:val="en-NZ"/>
        </w:rPr>
      </w:pPr>
    </w:p>
    <w:p w:rsidR="00441F6C" w:rsidRPr="00441F6C" w:rsidRDefault="00441F6C" w:rsidP="00441F6C">
      <w:pPr>
        <w:numPr>
          <w:ilvl w:val="0"/>
          <w:numId w:val="1"/>
        </w:numPr>
        <w:suppressAutoHyphens w:val="0"/>
        <w:autoSpaceDN/>
        <w:spacing w:after="0"/>
        <w:ind w:left="540" w:hanging="540"/>
        <w:jc w:val="both"/>
        <w:textAlignment w:val="auto"/>
        <w:rPr>
          <w:rFonts w:cs="Arial"/>
          <w:lang w:val="en-NZ"/>
        </w:rPr>
      </w:pPr>
      <w:r w:rsidRPr="00441F6C">
        <w:rPr>
          <w:rFonts w:cs="Arial"/>
          <w:b/>
          <w:lang w:val="en-NZ"/>
        </w:rPr>
        <w:t>Consultations Planned/Undertaken:</w:t>
      </w:r>
      <w:r w:rsidRPr="00441F6C">
        <w:rPr>
          <w:rFonts w:cs="Arial"/>
          <w:lang w:val="en-NZ"/>
        </w:rPr>
        <w:t xml:space="preserve"> All CMS Range States have been consulted on this Concerted Action, as well as the ACAP Secretariat, Birdlife International and the Secretariat of the Pacific Regional Environment Programme (SPREP). </w:t>
      </w:r>
    </w:p>
    <w:p w:rsidR="00441F6C" w:rsidRPr="00441F6C" w:rsidRDefault="00441F6C" w:rsidP="00441F6C">
      <w:pPr>
        <w:spacing w:after="0"/>
        <w:ind w:left="540"/>
        <w:jc w:val="both"/>
        <w:rPr>
          <w:rFonts w:cs="Arial"/>
          <w:lang w:val="en-NZ"/>
        </w:rPr>
      </w:pPr>
    </w:p>
    <w:p w:rsidR="00441F6C" w:rsidRPr="00441F6C" w:rsidRDefault="00441F6C" w:rsidP="00441F6C">
      <w:pPr>
        <w:spacing w:after="0"/>
        <w:ind w:left="540"/>
        <w:jc w:val="both"/>
        <w:rPr>
          <w:rFonts w:cs="Arial"/>
          <w:lang w:val="en-NZ"/>
        </w:rPr>
      </w:pPr>
      <w:r w:rsidRPr="00441F6C">
        <w:rPr>
          <w:rFonts w:cs="Arial"/>
          <w:lang w:val="en-NZ"/>
        </w:rPr>
        <w:t xml:space="preserve">Consultation has also been undertaken with </w:t>
      </w:r>
      <w:proofErr w:type="spellStart"/>
      <w:r w:rsidRPr="00441F6C">
        <w:rPr>
          <w:rFonts w:cs="Arial"/>
          <w:lang w:val="en-NZ"/>
        </w:rPr>
        <w:t>Ngāi</w:t>
      </w:r>
      <w:proofErr w:type="spellEnd"/>
      <w:r w:rsidRPr="00441F6C">
        <w:rPr>
          <w:rFonts w:cs="Arial"/>
          <w:lang w:val="en-NZ"/>
        </w:rPr>
        <w:t xml:space="preserve"> </w:t>
      </w:r>
      <w:proofErr w:type="spellStart"/>
      <w:r w:rsidRPr="00441F6C">
        <w:rPr>
          <w:rFonts w:cs="Arial"/>
          <w:lang w:val="en-NZ"/>
        </w:rPr>
        <w:t>Tahu</w:t>
      </w:r>
      <w:proofErr w:type="spellEnd"/>
      <w:r w:rsidRPr="00441F6C">
        <w:rPr>
          <w:rFonts w:cs="Arial"/>
          <w:lang w:val="en-NZ"/>
        </w:rPr>
        <w:t xml:space="preserve">, the principal Māori (indigenous) iwi (tribe) of the southern region of New Zealand where the Antipodean albatross, or </w:t>
      </w:r>
      <w:proofErr w:type="spellStart"/>
      <w:r w:rsidRPr="00441F6C">
        <w:rPr>
          <w:rFonts w:cs="Arial"/>
          <w:lang w:val="en-NZ"/>
        </w:rPr>
        <w:t>Toroa</w:t>
      </w:r>
      <w:proofErr w:type="spellEnd"/>
      <w:r w:rsidRPr="00441F6C">
        <w:rPr>
          <w:rFonts w:cs="Arial"/>
          <w:lang w:val="en-NZ"/>
        </w:rPr>
        <w:t>, breed.</w:t>
      </w:r>
    </w:p>
    <w:p w:rsidR="00441F6C" w:rsidRPr="00441F6C" w:rsidRDefault="00441F6C" w:rsidP="00441F6C">
      <w:pPr>
        <w:spacing w:after="0"/>
        <w:ind w:left="540"/>
        <w:jc w:val="both"/>
        <w:rPr>
          <w:rFonts w:cs="Arial"/>
          <w:lang w:val="en-NZ"/>
        </w:rPr>
      </w:pPr>
    </w:p>
    <w:p w:rsidR="00441F6C" w:rsidRPr="00441F6C" w:rsidRDefault="00441F6C" w:rsidP="00441F6C">
      <w:pPr>
        <w:spacing w:after="0"/>
        <w:ind w:left="540"/>
        <w:jc w:val="both"/>
        <w:rPr>
          <w:rFonts w:cs="Arial"/>
          <w:lang w:val="en-NZ"/>
        </w:rPr>
      </w:pPr>
      <w:r w:rsidRPr="00441F6C">
        <w:rPr>
          <w:rFonts w:cs="Arial"/>
          <w:lang w:val="en-NZ"/>
        </w:rPr>
        <w:t xml:space="preserve">Consultations around actions to recover </w:t>
      </w:r>
      <w:proofErr w:type="spellStart"/>
      <w:r w:rsidRPr="00441F6C">
        <w:rPr>
          <w:rFonts w:cs="Arial"/>
          <w:i/>
          <w:iCs/>
          <w:lang w:val="en-NZ"/>
        </w:rPr>
        <w:t>Diomedea</w:t>
      </w:r>
      <w:proofErr w:type="spellEnd"/>
      <w:r w:rsidRPr="00441F6C">
        <w:rPr>
          <w:rFonts w:cs="Arial"/>
          <w:i/>
          <w:iCs/>
          <w:lang w:val="en-NZ"/>
        </w:rPr>
        <w:t xml:space="preserve"> </w:t>
      </w:r>
      <w:proofErr w:type="spellStart"/>
      <w:r w:rsidRPr="00441F6C">
        <w:rPr>
          <w:rFonts w:cs="Arial"/>
          <w:i/>
          <w:iCs/>
          <w:lang w:val="en-NZ"/>
        </w:rPr>
        <w:t>antipodensis</w:t>
      </w:r>
      <w:proofErr w:type="spellEnd"/>
      <w:r w:rsidRPr="00441F6C">
        <w:rPr>
          <w:rFonts w:cs="Arial"/>
          <w:lang w:val="en-NZ"/>
        </w:rPr>
        <w:t xml:space="preserve"> have been undertaken between New Zealand and Chile as part of an Arrangement on seabird conservation between the Governments of New Zealand and Chile. </w:t>
      </w:r>
    </w:p>
    <w:p w:rsidR="00441F6C" w:rsidRPr="00441F6C" w:rsidRDefault="00441F6C" w:rsidP="00441F6C">
      <w:pPr>
        <w:spacing w:after="0"/>
        <w:ind w:left="540"/>
        <w:jc w:val="both"/>
        <w:rPr>
          <w:rFonts w:cs="Arial"/>
          <w:lang w:val="en-NZ"/>
        </w:rPr>
      </w:pPr>
    </w:p>
    <w:p w:rsidR="00441F6C" w:rsidRDefault="00441F6C" w:rsidP="00441F6C">
      <w:pPr>
        <w:spacing w:after="0"/>
        <w:ind w:left="540"/>
        <w:jc w:val="both"/>
        <w:rPr>
          <w:rFonts w:cs="Arial"/>
          <w:lang w:val="en-NZ"/>
        </w:rPr>
        <w:sectPr w:rsidR="00441F6C">
          <w:headerReference w:type="even" r:id="rId12"/>
          <w:headerReference w:type="default" r:id="rId13"/>
          <w:footerReference w:type="default" r:id="rId14"/>
          <w:headerReference w:type="first" r:id="rId15"/>
          <w:footerReference w:type="first" r:id="rId16"/>
          <w:endnotePr>
            <w:numFmt w:val="decimal"/>
          </w:endnotePr>
          <w:pgSz w:w="11905" w:h="16837"/>
          <w:pgMar w:top="1008" w:right="1411" w:bottom="1152" w:left="1411" w:header="432" w:footer="432" w:gutter="0"/>
          <w:cols w:space="720"/>
          <w:titlePg/>
        </w:sectPr>
      </w:pPr>
      <w:r w:rsidRPr="00441F6C">
        <w:rPr>
          <w:rFonts w:cs="Arial"/>
          <w:lang w:val="en-NZ"/>
        </w:rPr>
        <w:t>New Zealand has collaborated with Birdlife International and ACAP on seabird bycatch projects in Fiji and French Polynesia.</w:t>
      </w:r>
    </w:p>
    <w:p w:rsidR="00441F6C" w:rsidRPr="00441F6C" w:rsidRDefault="00441F6C" w:rsidP="00547ABF">
      <w:pPr>
        <w:suppressAutoHyphens w:val="0"/>
        <w:autoSpaceDN/>
        <w:spacing w:after="200"/>
        <w:ind w:left="-284"/>
        <w:textAlignment w:val="auto"/>
        <w:rPr>
          <w:rFonts w:cs="Arial"/>
          <w:b/>
          <w:bCs/>
          <w:sz w:val="20"/>
          <w:szCs w:val="20"/>
          <w:lang w:val="en-NZ"/>
        </w:rPr>
      </w:pPr>
      <w:r w:rsidRPr="00441F6C">
        <w:rPr>
          <w:rFonts w:cs="Arial"/>
          <w:b/>
          <w:bCs/>
          <w:sz w:val="20"/>
          <w:szCs w:val="20"/>
          <w:lang w:val="en-NZ"/>
        </w:rPr>
        <w:lastRenderedPageBreak/>
        <w:t xml:space="preserve">Annex . Concerted Actions for Conservation of Antipodean Albatross </w:t>
      </w:r>
      <w:r w:rsidRPr="00441F6C">
        <w:rPr>
          <w:rFonts w:cs="Arial"/>
          <w:b/>
          <w:bCs/>
          <w:i/>
          <w:iCs/>
          <w:sz w:val="20"/>
          <w:szCs w:val="20"/>
          <w:lang w:val="en-NZ"/>
        </w:rPr>
        <w:t>(</w:t>
      </w:r>
      <w:proofErr w:type="spellStart"/>
      <w:r w:rsidRPr="00441F6C">
        <w:rPr>
          <w:rFonts w:cs="Arial"/>
          <w:b/>
          <w:bCs/>
          <w:i/>
          <w:iCs/>
          <w:sz w:val="20"/>
          <w:szCs w:val="20"/>
          <w:lang w:val="en-NZ"/>
        </w:rPr>
        <w:t>Diomedea</w:t>
      </w:r>
      <w:proofErr w:type="spellEnd"/>
      <w:r w:rsidRPr="00441F6C">
        <w:rPr>
          <w:rFonts w:cs="Arial"/>
          <w:b/>
          <w:bCs/>
          <w:i/>
          <w:iCs/>
          <w:sz w:val="20"/>
          <w:szCs w:val="20"/>
          <w:lang w:val="en-NZ"/>
        </w:rPr>
        <w:t xml:space="preserve"> </w:t>
      </w:r>
      <w:proofErr w:type="spellStart"/>
      <w:r w:rsidRPr="00441F6C">
        <w:rPr>
          <w:rFonts w:cs="Arial"/>
          <w:b/>
          <w:bCs/>
          <w:i/>
          <w:iCs/>
          <w:sz w:val="20"/>
          <w:szCs w:val="20"/>
          <w:lang w:val="en-NZ"/>
        </w:rPr>
        <w:t>antipodensis</w:t>
      </w:r>
      <w:proofErr w:type="spellEnd"/>
      <w:r w:rsidRPr="00441F6C">
        <w:rPr>
          <w:rFonts w:cs="Arial"/>
          <w:b/>
          <w:bCs/>
          <w:i/>
          <w:iCs/>
          <w:sz w:val="20"/>
          <w:szCs w:val="20"/>
          <w:lang w:val="en-NZ"/>
        </w:rPr>
        <w:t>)</w:t>
      </w:r>
      <w:r w:rsidRPr="00441F6C">
        <w:rPr>
          <w:rFonts w:cs="Arial"/>
          <w:b/>
          <w:bCs/>
          <w:sz w:val="20"/>
          <w:szCs w:val="20"/>
          <w:lang w:val="en-NZ"/>
        </w:rPr>
        <w:t xml:space="preserve"> under the Convention for the Conservation of Migratory Species of Wild Animals (CMS)</w:t>
      </w:r>
    </w:p>
    <w:tbl>
      <w:tblPr>
        <w:tblStyle w:val="TableGrid1"/>
        <w:tblW w:w="15031" w:type="dxa"/>
        <w:tblInd w:w="-289" w:type="dxa"/>
        <w:tblLook w:val="04A0" w:firstRow="1" w:lastRow="0" w:firstColumn="1" w:lastColumn="0" w:noHBand="0" w:noVBand="1"/>
      </w:tblPr>
      <w:tblGrid>
        <w:gridCol w:w="4531"/>
        <w:gridCol w:w="2977"/>
        <w:gridCol w:w="1559"/>
        <w:gridCol w:w="1984"/>
        <w:gridCol w:w="3969"/>
        <w:gridCol w:w="11"/>
      </w:tblGrid>
      <w:tr w:rsidR="00441F6C" w:rsidRPr="008E47C7" w:rsidTr="002930DA">
        <w:trPr>
          <w:gridAfter w:val="1"/>
          <w:wAfter w:w="11" w:type="dxa"/>
          <w:cantSplit/>
          <w:tblHeader/>
        </w:trPr>
        <w:tc>
          <w:tcPr>
            <w:tcW w:w="4531" w:type="dxa"/>
            <w:shd w:val="clear" w:color="auto" w:fill="BFBFBF"/>
          </w:tcPr>
          <w:p w:rsidR="00441F6C" w:rsidRPr="00441F6C" w:rsidRDefault="00441F6C" w:rsidP="007A380A">
            <w:pPr>
              <w:suppressAutoHyphens w:val="0"/>
              <w:spacing w:before="60" w:after="60"/>
              <w:rPr>
                <w:rFonts w:ascii="Arial" w:hAnsi="Arial" w:cs="Arial"/>
                <w:b/>
                <w:bCs/>
                <w:sz w:val="20"/>
                <w:szCs w:val="20"/>
              </w:rPr>
            </w:pPr>
            <w:r w:rsidRPr="00441F6C">
              <w:rPr>
                <w:rFonts w:ascii="Arial" w:hAnsi="Arial" w:cs="Arial"/>
                <w:b/>
                <w:bCs/>
                <w:sz w:val="20"/>
                <w:szCs w:val="20"/>
              </w:rPr>
              <w:t>Activity</w:t>
            </w:r>
          </w:p>
        </w:tc>
        <w:tc>
          <w:tcPr>
            <w:tcW w:w="2977" w:type="dxa"/>
            <w:shd w:val="clear" w:color="auto" w:fill="BFBFBF"/>
          </w:tcPr>
          <w:p w:rsidR="00441F6C" w:rsidRPr="00441F6C" w:rsidRDefault="00441F6C" w:rsidP="007A380A">
            <w:pPr>
              <w:suppressAutoHyphens w:val="0"/>
              <w:spacing w:before="60" w:after="60"/>
              <w:rPr>
                <w:rFonts w:ascii="Arial" w:hAnsi="Arial" w:cs="Arial"/>
                <w:b/>
                <w:bCs/>
                <w:sz w:val="20"/>
                <w:szCs w:val="20"/>
              </w:rPr>
            </w:pPr>
            <w:r w:rsidRPr="00441F6C">
              <w:rPr>
                <w:rFonts w:ascii="Arial" w:hAnsi="Arial" w:cs="Arial"/>
                <w:b/>
                <w:bCs/>
                <w:sz w:val="20"/>
                <w:szCs w:val="20"/>
              </w:rPr>
              <w:t>Output/outcome</w:t>
            </w:r>
          </w:p>
        </w:tc>
        <w:tc>
          <w:tcPr>
            <w:tcW w:w="1559" w:type="dxa"/>
            <w:shd w:val="clear" w:color="auto" w:fill="BFBFBF"/>
          </w:tcPr>
          <w:p w:rsidR="00441F6C" w:rsidRPr="00441F6C" w:rsidRDefault="00441F6C" w:rsidP="007A380A">
            <w:pPr>
              <w:suppressAutoHyphens w:val="0"/>
              <w:spacing w:before="60" w:after="60"/>
              <w:rPr>
                <w:rFonts w:ascii="Arial" w:hAnsi="Arial" w:cs="Arial"/>
                <w:b/>
                <w:bCs/>
                <w:sz w:val="20"/>
                <w:szCs w:val="20"/>
              </w:rPr>
            </w:pPr>
            <w:r w:rsidRPr="00441F6C">
              <w:rPr>
                <w:rFonts w:ascii="Arial" w:hAnsi="Arial" w:cs="Arial"/>
                <w:b/>
                <w:bCs/>
                <w:sz w:val="20"/>
                <w:szCs w:val="20"/>
              </w:rPr>
              <w:t>Timeframe</w:t>
            </w:r>
          </w:p>
        </w:tc>
        <w:tc>
          <w:tcPr>
            <w:tcW w:w="1984" w:type="dxa"/>
            <w:shd w:val="clear" w:color="auto" w:fill="BFBFBF"/>
          </w:tcPr>
          <w:p w:rsidR="00441F6C" w:rsidRPr="00441F6C" w:rsidRDefault="00441F6C" w:rsidP="007A380A">
            <w:pPr>
              <w:suppressAutoHyphens w:val="0"/>
              <w:spacing w:before="60" w:after="60"/>
              <w:rPr>
                <w:rFonts w:ascii="Arial" w:hAnsi="Arial" w:cs="Arial"/>
                <w:b/>
                <w:bCs/>
                <w:sz w:val="20"/>
                <w:szCs w:val="20"/>
              </w:rPr>
            </w:pPr>
            <w:r w:rsidRPr="00441F6C">
              <w:rPr>
                <w:rFonts w:ascii="Arial" w:hAnsi="Arial" w:cs="Arial"/>
                <w:b/>
                <w:bCs/>
                <w:sz w:val="20"/>
                <w:szCs w:val="20"/>
              </w:rPr>
              <w:t>Responsibility</w:t>
            </w:r>
          </w:p>
        </w:tc>
        <w:tc>
          <w:tcPr>
            <w:tcW w:w="3969" w:type="dxa"/>
            <w:shd w:val="clear" w:color="auto" w:fill="BFBFBF"/>
          </w:tcPr>
          <w:p w:rsidR="00441F6C" w:rsidRPr="00441F6C" w:rsidRDefault="00441F6C" w:rsidP="007A380A">
            <w:pPr>
              <w:suppressAutoHyphens w:val="0"/>
              <w:spacing w:before="60" w:after="60"/>
              <w:rPr>
                <w:rFonts w:ascii="Arial" w:hAnsi="Arial" w:cs="Arial"/>
                <w:b/>
                <w:bCs/>
                <w:sz w:val="20"/>
                <w:szCs w:val="20"/>
              </w:rPr>
            </w:pPr>
            <w:r w:rsidRPr="00441F6C">
              <w:rPr>
                <w:rFonts w:ascii="Arial" w:hAnsi="Arial" w:cs="Arial"/>
                <w:b/>
                <w:bCs/>
                <w:sz w:val="20"/>
                <w:szCs w:val="20"/>
              </w:rPr>
              <w:t>Funding</w:t>
            </w:r>
          </w:p>
        </w:tc>
      </w:tr>
      <w:tr w:rsidR="00441F6C" w:rsidRPr="00441F6C" w:rsidTr="00547ABF">
        <w:tc>
          <w:tcPr>
            <w:tcW w:w="15031" w:type="dxa"/>
            <w:gridSpan w:val="6"/>
            <w:shd w:val="clear" w:color="auto" w:fill="D9D9D9"/>
            <w:vAlign w:val="center"/>
          </w:tcPr>
          <w:p w:rsidR="00441F6C" w:rsidRPr="00441F6C" w:rsidRDefault="00441F6C" w:rsidP="007A380A">
            <w:pPr>
              <w:numPr>
                <w:ilvl w:val="0"/>
                <w:numId w:val="10"/>
              </w:numPr>
              <w:suppressAutoHyphens w:val="0"/>
              <w:spacing w:before="60" w:after="60"/>
              <w:contextualSpacing/>
              <w:rPr>
                <w:rFonts w:ascii="Arial" w:hAnsi="Arial" w:cs="Arial"/>
                <w:b/>
                <w:bCs/>
                <w:sz w:val="20"/>
                <w:szCs w:val="20"/>
              </w:rPr>
            </w:pPr>
            <w:r w:rsidRPr="00441F6C">
              <w:rPr>
                <w:rFonts w:ascii="Arial" w:hAnsi="Arial" w:cs="Arial"/>
                <w:b/>
                <w:bCs/>
                <w:sz w:val="20"/>
                <w:szCs w:val="20"/>
              </w:rPr>
              <w:t>Fisheries bycatch in Range State jurisdictions</w:t>
            </w:r>
          </w:p>
        </w:tc>
      </w:tr>
      <w:tr w:rsidR="00441F6C" w:rsidRPr="00441F6C" w:rsidTr="00547ABF">
        <w:trPr>
          <w:gridAfter w:val="1"/>
          <w:wAfter w:w="11" w:type="dxa"/>
        </w:trPr>
        <w:tc>
          <w:tcPr>
            <w:tcW w:w="4531" w:type="dxa"/>
          </w:tcPr>
          <w:p w:rsidR="00441F6C" w:rsidRPr="00441F6C" w:rsidRDefault="00441F6C" w:rsidP="00547ABF">
            <w:pPr>
              <w:numPr>
                <w:ilvl w:val="1"/>
                <w:numId w:val="10"/>
              </w:numPr>
              <w:suppressAutoHyphens w:val="0"/>
              <w:spacing w:before="60" w:after="60"/>
              <w:jc w:val="both"/>
              <w:rPr>
                <w:rFonts w:ascii="Arial" w:hAnsi="Arial" w:cs="Arial"/>
                <w:b/>
                <w:bCs/>
                <w:sz w:val="20"/>
                <w:szCs w:val="20"/>
              </w:rPr>
            </w:pPr>
            <w:r w:rsidRPr="00441F6C">
              <w:rPr>
                <w:rFonts w:ascii="Arial" w:hAnsi="Arial" w:cs="Arial"/>
                <w:sz w:val="20"/>
                <w:szCs w:val="20"/>
              </w:rPr>
              <w:t>Continue implementation of effective bycatch mitigation measures in pelagic longline fisheries, trawl and any other relevant fisheries</w:t>
            </w:r>
            <w:r w:rsidRPr="00441F6C">
              <w:rPr>
                <w:rFonts w:ascii="Arial" w:hAnsi="Arial" w:cs="Arial"/>
                <w:bCs/>
                <w:sz w:val="20"/>
                <w:szCs w:val="20"/>
              </w:rPr>
              <w:t>, including outreach to fishers regarding seabird bycatch</w:t>
            </w:r>
          </w:p>
        </w:tc>
        <w:tc>
          <w:tcPr>
            <w:tcW w:w="2977" w:type="dxa"/>
          </w:tcPr>
          <w:p w:rsidR="00441F6C" w:rsidRPr="00441F6C" w:rsidRDefault="00441F6C" w:rsidP="007A380A">
            <w:pPr>
              <w:suppressAutoHyphens w:val="0"/>
              <w:spacing w:before="60" w:after="60"/>
              <w:rPr>
                <w:rFonts w:ascii="Arial" w:hAnsi="Arial" w:cs="Arial"/>
                <w:b/>
                <w:bCs/>
                <w:sz w:val="20"/>
                <w:szCs w:val="20"/>
              </w:rPr>
            </w:pPr>
            <w:r w:rsidRPr="00441F6C">
              <w:rPr>
                <w:rFonts w:ascii="Arial" w:hAnsi="Arial" w:cs="Arial"/>
                <w:sz w:val="20"/>
                <w:szCs w:val="20"/>
              </w:rPr>
              <w:t>Fisheries bycatch risk minimised within Range State jurisdictions</w:t>
            </w:r>
          </w:p>
        </w:tc>
        <w:tc>
          <w:tcPr>
            <w:tcW w:w="1559" w:type="dxa"/>
          </w:tcPr>
          <w:p w:rsidR="00441F6C" w:rsidRPr="00441F6C" w:rsidRDefault="00441F6C" w:rsidP="007A380A">
            <w:pPr>
              <w:suppressAutoHyphens w:val="0"/>
              <w:spacing w:before="60" w:after="60"/>
              <w:rPr>
                <w:rFonts w:ascii="Arial" w:hAnsi="Arial" w:cs="Arial"/>
                <w:b/>
                <w:bCs/>
                <w:sz w:val="20"/>
                <w:szCs w:val="20"/>
              </w:rPr>
            </w:pPr>
            <w:r w:rsidRPr="00441F6C">
              <w:rPr>
                <w:rFonts w:ascii="Arial" w:hAnsi="Arial" w:cs="Arial"/>
                <w:sz w:val="20"/>
                <w:szCs w:val="20"/>
              </w:rPr>
              <w:t>Ongoing</w:t>
            </w:r>
          </w:p>
        </w:tc>
        <w:tc>
          <w:tcPr>
            <w:tcW w:w="1984" w:type="dxa"/>
          </w:tcPr>
          <w:p w:rsidR="00441F6C" w:rsidRPr="00441F6C" w:rsidRDefault="00441F6C" w:rsidP="007A380A">
            <w:pPr>
              <w:suppressAutoHyphens w:val="0"/>
              <w:spacing w:before="60" w:after="60"/>
              <w:rPr>
                <w:rFonts w:ascii="Arial" w:hAnsi="Arial" w:cs="Arial"/>
                <w:b/>
                <w:bCs/>
                <w:sz w:val="20"/>
                <w:szCs w:val="20"/>
              </w:rPr>
            </w:pPr>
            <w:r w:rsidRPr="00441F6C">
              <w:rPr>
                <w:rFonts w:ascii="Arial" w:hAnsi="Arial" w:cs="Arial"/>
                <w:sz w:val="20"/>
                <w:szCs w:val="20"/>
              </w:rPr>
              <w:t>CMS Party Range States</w:t>
            </w:r>
          </w:p>
        </w:tc>
        <w:tc>
          <w:tcPr>
            <w:tcW w:w="3969" w:type="dxa"/>
          </w:tcPr>
          <w:p w:rsidR="00441F6C" w:rsidRPr="00441F6C" w:rsidRDefault="00441F6C" w:rsidP="00547ABF">
            <w:pPr>
              <w:suppressAutoHyphens w:val="0"/>
              <w:spacing w:before="60" w:after="60"/>
              <w:jc w:val="both"/>
              <w:rPr>
                <w:rFonts w:ascii="Arial" w:hAnsi="Arial" w:cs="Arial"/>
                <w:sz w:val="20"/>
                <w:szCs w:val="20"/>
              </w:rPr>
            </w:pPr>
            <w:r w:rsidRPr="00441F6C">
              <w:rPr>
                <w:rFonts w:ascii="Arial" w:hAnsi="Arial" w:cs="Arial"/>
                <w:sz w:val="20"/>
                <w:szCs w:val="20"/>
              </w:rPr>
              <w:t>Mechanisms are in place to manage fisheries bycatch. Any new requirements for fisheries operators may incur costs to them</w:t>
            </w:r>
          </w:p>
        </w:tc>
      </w:tr>
      <w:tr w:rsidR="00441F6C" w:rsidRPr="00441F6C" w:rsidTr="00547ABF">
        <w:trPr>
          <w:gridAfter w:val="1"/>
          <w:wAfter w:w="11" w:type="dxa"/>
        </w:trPr>
        <w:tc>
          <w:tcPr>
            <w:tcW w:w="4531" w:type="dxa"/>
          </w:tcPr>
          <w:p w:rsidR="00441F6C" w:rsidRPr="00441F6C" w:rsidRDefault="00441F6C" w:rsidP="00547ABF">
            <w:pPr>
              <w:numPr>
                <w:ilvl w:val="1"/>
                <w:numId w:val="10"/>
              </w:numPr>
              <w:suppressAutoHyphens w:val="0"/>
              <w:spacing w:before="60" w:after="60"/>
              <w:jc w:val="both"/>
              <w:rPr>
                <w:rFonts w:ascii="Arial" w:hAnsi="Arial" w:cs="Arial"/>
                <w:sz w:val="20"/>
                <w:szCs w:val="20"/>
              </w:rPr>
            </w:pPr>
            <w:r w:rsidRPr="00441F6C">
              <w:rPr>
                <w:rFonts w:ascii="Arial" w:hAnsi="Arial" w:cs="Arial"/>
                <w:sz w:val="20"/>
                <w:szCs w:val="20"/>
              </w:rPr>
              <w:t>Ensure there is adequate observation coverage to monitor mitigation use and identify any seabird bycatch to species level</w:t>
            </w:r>
          </w:p>
          <w:p w:rsidR="00441F6C" w:rsidRPr="00441F6C" w:rsidRDefault="00441F6C" w:rsidP="00547ABF">
            <w:pPr>
              <w:suppressAutoHyphens w:val="0"/>
              <w:spacing w:before="60" w:after="60"/>
              <w:jc w:val="both"/>
              <w:rPr>
                <w:rFonts w:ascii="Arial" w:hAnsi="Arial" w:cs="Arial"/>
                <w:b/>
                <w:bCs/>
                <w:sz w:val="20"/>
                <w:szCs w:val="20"/>
              </w:rPr>
            </w:pPr>
          </w:p>
        </w:tc>
        <w:tc>
          <w:tcPr>
            <w:tcW w:w="2977" w:type="dxa"/>
          </w:tcPr>
          <w:p w:rsidR="00441F6C" w:rsidRPr="00441F6C" w:rsidRDefault="00441F6C" w:rsidP="007A380A">
            <w:pPr>
              <w:suppressAutoHyphens w:val="0"/>
              <w:spacing w:before="60" w:after="60"/>
              <w:rPr>
                <w:rFonts w:ascii="Arial" w:hAnsi="Arial" w:cs="Arial"/>
                <w:b/>
                <w:bCs/>
                <w:sz w:val="20"/>
                <w:szCs w:val="20"/>
              </w:rPr>
            </w:pPr>
            <w:r w:rsidRPr="00441F6C">
              <w:rPr>
                <w:rFonts w:ascii="Arial" w:hAnsi="Arial" w:cs="Arial"/>
                <w:sz w:val="20"/>
                <w:szCs w:val="20"/>
              </w:rPr>
              <w:t>Fisheries bycatch levels and risk, at species level, are known and can be reported</w:t>
            </w:r>
          </w:p>
        </w:tc>
        <w:tc>
          <w:tcPr>
            <w:tcW w:w="1559" w:type="dxa"/>
          </w:tcPr>
          <w:p w:rsidR="00441F6C" w:rsidRPr="00441F6C" w:rsidRDefault="00441F6C" w:rsidP="007A380A">
            <w:pPr>
              <w:suppressAutoHyphens w:val="0"/>
              <w:spacing w:before="60" w:after="60"/>
              <w:rPr>
                <w:rFonts w:ascii="Arial" w:hAnsi="Arial" w:cs="Arial"/>
                <w:b/>
                <w:bCs/>
                <w:sz w:val="20"/>
                <w:szCs w:val="20"/>
              </w:rPr>
            </w:pPr>
            <w:r w:rsidRPr="00441F6C">
              <w:rPr>
                <w:rFonts w:ascii="Arial" w:hAnsi="Arial" w:cs="Arial"/>
                <w:sz w:val="20"/>
                <w:szCs w:val="20"/>
              </w:rPr>
              <w:t>Ongoing</w:t>
            </w:r>
          </w:p>
        </w:tc>
        <w:tc>
          <w:tcPr>
            <w:tcW w:w="1984" w:type="dxa"/>
          </w:tcPr>
          <w:p w:rsidR="00441F6C" w:rsidRPr="00441F6C" w:rsidRDefault="00441F6C" w:rsidP="007A380A">
            <w:pPr>
              <w:suppressAutoHyphens w:val="0"/>
              <w:spacing w:before="60" w:after="60"/>
              <w:rPr>
                <w:rFonts w:ascii="Arial" w:hAnsi="Arial" w:cs="Arial"/>
                <w:b/>
                <w:bCs/>
                <w:sz w:val="20"/>
                <w:szCs w:val="20"/>
              </w:rPr>
            </w:pPr>
            <w:r w:rsidRPr="00441F6C">
              <w:rPr>
                <w:rFonts w:ascii="Arial" w:hAnsi="Arial" w:cs="Arial"/>
                <w:sz w:val="20"/>
                <w:szCs w:val="20"/>
              </w:rPr>
              <w:t>CMS Party Range States</w:t>
            </w:r>
          </w:p>
        </w:tc>
        <w:tc>
          <w:tcPr>
            <w:tcW w:w="3969" w:type="dxa"/>
          </w:tcPr>
          <w:p w:rsidR="00441F6C" w:rsidRPr="00441F6C" w:rsidRDefault="00441F6C" w:rsidP="00547ABF">
            <w:pPr>
              <w:suppressAutoHyphens w:val="0"/>
              <w:spacing w:before="60" w:after="60"/>
              <w:jc w:val="both"/>
              <w:rPr>
                <w:rFonts w:ascii="Arial" w:hAnsi="Arial" w:cs="Arial"/>
                <w:sz w:val="20"/>
                <w:szCs w:val="20"/>
              </w:rPr>
            </w:pPr>
            <w:r w:rsidRPr="00441F6C">
              <w:rPr>
                <w:rFonts w:ascii="Arial" w:hAnsi="Arial" w:cs="Arial"/>
                <w:sz w:val="20"/>
                <w:szCs w:val="20"/>
              </w:rPr>
              <w:t>Observation programmes are already in place, and increased requirements will require funding from relevant Parties. May require improvements in seabird identification in some fisheries</w:t>
            </w:r>
          </w:p>
        </w:tc>
      </w:tr>
      <w:tr w:rsidR="00441F6C" w:rsidRPr="00441F6C" w:rsidTr="00547ABF">
        <w:trPr>
          <w:gridAfter w:val="1"/>
          <w:wAfter w:w="11" w:type="dxa"/>
        </w:trPr>
        <w:tc>
          <w:tcPr>
            <w:tcW w:w="4531" w:type="dxa"/>
          </w:tcPr>
          <w:p w:rsidR="00441F6C" w:rsidRPr="00441F6C" w:rsidRDefault="00441F6C" w:rsidP="00547ABF">
            <w:pPr>
              <w:numPr>
                <w:ilvl w:val="1"/>
                <w:numId w:val="10"/>
              </w:numPr>
              <w:suppressAutoHyphens w:val="0"/>
              <w:spacing w:before="60" w:after="60"/>
              <w:contextualSpacing/>
              <w:jc w:val="both"/>
              <w:rPr>
                <w:rFonts w:ascii="Arial" w:hAnsi="Arial" w:cs="Arial"/>
                <w:b/>
                <w:bCs/>
                <w:sz w:val="20"/>
                <w:szCs w:val="20"/>
              </w:rPr>
            </w:pPr>
            <w:r w:rsidRPr="00441F6C">
              <w:rPr>
                <w:rFonts w:ascii="Arial" w:hAnsi="Arial" w:cs="Arial"/>
                <w:sz w:val="20"/>
                <w:szCs w:val="20"/>
              </w:rPr>
              <w:t>Develop and maintain bilateral/multilateral collaboration on mitigation development, data collection, data sharing and risk assessment. A cooperation arrangement between New Zealand and Chile on seabird conservation has already been agreed and provides a framework for this activity between these two Range States</w:t>
            </w:r>
          </w:p>
        </w:tc>
        <w:tc>
          <w:tcPr>
            <w:tcW w:w="2977" w:type="dxa"/>
          </w:tcPr>
          <w:p w:rsidR="00441F6C" w:rsidRPr="00441F6C" w:rsidRDefault="00441F6C" w:rsidP="007A380A">
            <w:pPr>
              <w:suppressAutoHyphens w:val="0"/>
              <w:spacing w:before="60" w:after="60"/>
              <w:rPr>
                <w:rFonts w:ascii="Arial" w:hAnsi="Arial" w:cs="Arial"/>
                <w:b/>
                <w:bCs/>
                <w:sz w:val="20"/>
                <w:szCs w:val="20"/>
              </w:rPr>
            </w:pPr>
            <w:r w:rsidRPr="00441F6C">
              <w:rPr>
                <w:rFonts w:ascii="Arial" w:hAnsi="Arial" w:cs="Arial"/>
                <w:sz w:val="20"/>
                <w:szCs w:val="20"/>
              </w:rPr>
              <w:t>Collaboration facilities achieving Activities 1.1 and 1.2</w:t>
            </w:r>
          </w:p>
        </w:tc>
        <w:tc>
          <w:tcPr>
            <w:tcW w:w="1559" w:type="dxa"/>
          </w:tcPr>
          <w:p w:rsidR="00441F6C" w:rsidRPr="00441F6C" w:rsidRDefault="00441F6C" w:rsidP="007A380A">
            <w:pPr>
              <w:suppressAutoHyphens w:val="0"/>
              <w:spacing w:before="60" w:after="60"/>
              <w:rPr>
                <w:rFonts w:ascii="Arial" w:hAnsi="Arial" w:cs="Arial"/>
                <w:b/>
                <w:bCs/>
                <w:sz w:val="20"/>
                <w:szCs w:val="20"/>
              </w:rPr>
            </w:pPr>
            <w:r w:rsidRPr="00441F6C">
              <w:rPr>
                <w:rFonts w:ascii="Arial" w:hAnsi="Arial" w:cs="Arial"/>
                <w:sz w:val="20"/>
                <w:szCs w:val="20"/>
              </w:rPr>
              <w:t>Ongoing</w:t>
            </w:r>
          </w:p>
        </w:tc>
        <w:tc>
          <w:tcPr>
            <w:tcW w:w="1984" w:type="dxa"/>
          </w:tcPr>
          <w:p w:rsidR="00441F6C" w:rsidRPr="00441F6C" w:rsidRDefault="00441F6C" w:rsidP="007A380A">
            <w:pPr>
              <w:suppressAutoHyphens w:val="0"/>
              <w:spacing w:before="60" w:after="60"/>
              <w:rPr>
                <w:rFonts w:ascii="Arial" w:hAnsi="Arial" w:cs="Arial"/>
                <w:b/>
                <w:bCs/>
                <w:sz w:val="20"/>
                <w:szCs w:val="20"/>
              </w:rPr>
            </w:pPr>
            <w:r w:rsidRPr="00441F6C">
              <w:rPr>
                <w:rFonts w:ascii="Arial" w:hAnsi="Arial" w:cs="Arial"/>
                <w:sz w:val="20"/>
                <w:szCs w:val="20"/>
              </w:rPr>
              <w:t>CMS Party Range States</w:t>
            </w:r>
          </w:p>
        </w:tc>
        <w:tc>
          <w:tcPr>
            <w:tcW w:w="3969" w:type="dxa"/>
          </w:tcPr>
          <w:p w:rsidR="00441F6C" w:rsidRPr="00441F6C" w:rsidRDefault="00441F6C" w:rsidP="00547ABF">
            <w:pPr>
              <w:suppressAutoHyphens w:val="0"/>
              <w:spacing w:before="60" w:after="60"/>
              <w:jc w:val="both"/>
              <w:rPr>
                <w:rFonts w:ascii="Arial" w:hAnsi="Arial" w:cs="Arial"/>
                <w:sz w:val="20"/>
                <w:szCs w:val="20"/>
              </w:rPr>
            </w:pPr>
            <w:r w:rsidRPr="00441F6C">
              <w:rPr>
                <w:rFonts w:ascii="Arial" w:hAnsi="Arial" w:cs="Arial"/>
                <w:sz w:val="20"/>
                <w:szCs w:val="20"/>
              </w:rPr>
              <w:t>Collaborative actions may require new funds on a case by case basis, though many actions will be based on existing activities</w:t>
            </w:r>
          </w:p>
        </w:tc>
      </w:tr>
      <w:tr w:rsidR="00441F6C" w:rsidRPr="00441F6C" w:rsidTr="00547ABF">
        <w:tc>
          <w:tcPr>
            <w:tcW w:w="15031" w:type="dxa"/>
            <w:gridSpan w:val="6"/>
            <w:shd w:val="clear" w:color="auto" w:fill="D9D9D9"/>
          </w:tcPr>
          <w:p w:rsidR="00441F6C" w:rsidRPr="00441F6C" w:rsidRDefault="00441F6C" w:rsidP="00547ABF">
            <w:pPr>
              <w:numPr>
                <w:ilvl w:val="0"/>
                <w:numId w:val="10"/>
              </w:numPr>
              <w:suppressAutoHyphens w:val="0"/>
              <w:spacing w:before="60" w:after="60"/>
              <w:contextualSpacing/>
              <w:jc w:val="both"/>
              <w:rPr>
                <w:rFonts w:ascii="Arial" w:hAnsi="Arial" w:cs="Arial"/>
                <w:b/>
                <w:bCs/>
                <w:sz w:val="20"/>
                <w:szCs w:val="20"/>
              </w:rPr>
            </w:pPr>
            <w:r w:rsidRPr="00441F6C">
              <w:rPr>
                <w:rFonts w:ascii="Arial" w:hAnsi="Arial" w:cs="Arial"/>
                <w:b/>
                <w:bCs/>
                <w:sz w:val="20"/>
                <w:szCs w:val="20"/>
              </w:rPr>
              <w:t>Fisheries bycatch on the high seas</w:t>
            </w:r>
          </w:p>
        </w:tc>
      </w:tr>
      <w:tr w:rsidR="00441F6C" w:rsidRPr="00441F6C" w:rsidTr="00547ABF">
        <w:trPr>
          <w:gridAfter w:val="1"/>
          <w:wAfter w:w="11" w:type="dxa"/>
        </w:trPr>
        <w:tc>
          <w:tcPr>
            <w:tcW w:w="4531" w:type="dxa"/>
          </w:tcPr>
          <w:p w:rsidR="00441F6C" w:rsidRPr="00441F6C" w:rsidRDefault="00441F6C" w:rsidP="00547ABF">
            <w:pPr>
              <w:numPr>
                <w:ilvl w:val="1"/>
                <w:numId w:val="10"/>
              </w:numPr>
              <w:suppressAutoHyphens w:val="0"/>
              <w:autoSpaceDE w:val="0"/>
              <w:adjustRightInd w:val="0"/>
              <w:spacing w:before="60" w:after="60"/>
              <w:jc w:val="both"/>
              <w:rPr>
                <w:rFonts w:ascii="Arial" w:hAnsi="Arial" w:cs="Arial"/>
                <w:b/>
                <w:bCs/>
                <w:color w:val="000000"/>
                <w:sz w:val="20"/>
                <w:szCs w:val="20"/>
              </w:rPr>
            </w:pPr>
            <w:r w:rsidRPr="00441F6C">
              <w:rPr>
                <w:rFonts w:ascii="Arial" w:hAnsi="Arial" w:cs="Arial"/>
                <w:color w:val="000000"/>
                <w:sz w:val="20"/>
                <w:szCs w:val="20"/>
              </w:rPr>
              <w:t>Support regular review, and improvement where necessary, of seabird bycatch conservation and management measures to ensure use of effective bycatch mitigation measures is required, in the Convention for the Conservation of Antarctic Marine Living Resources (CCAMLR) and in relevant Regional Fisheries Management Organisations (RFMOs): Western and Central Pacific Fisheries Commission (WCPFC), Inter-American Tropical Tuna Commission (IATTC), Commission for the Conservation of Southern Bluefin (CCSBT) and the South Pacific Regional Fisheries management Organisation (SPRFMO)</w:t>
            </w:r>
          </w:p>
        </w:tc>
        <w:tc>
          <w:tcPr>
            <w:tcW w:w="2977" w:type="dxa"/>
          </w:tcPr>
          <w:p w:rsidR="00441F6C" w:rsidRPr="00441F6C" w:rsidRDefault="00441F6C" w:rsidP="007A380A">
            <w:p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Fisheries bycatch risk minimised in relevant RFMOs through use of effective bycatch mitigation measures</w:t>
            </w:r>
          </w:p>
          <w:p w:rsidR="00441F6C" w:rsidRPr="00441F6C" w:rsidRDefault="00441F6C" w:rsidP="007A380A">
            <w:pPr>
              <w:suppressAutoHyphens w:val="0"/>
              <w:autoSpaceDE w:val="0"/>
              <w:adjustRightInd w:val="0"/>
              <w:spacing w:before="60" w:after="60"/>
              <w:rPr>
                <w:rFonts w:ascii="Arial" w:hAnsi="Arial" w:cs="Arial"/>
                <w:b/>
                <w:bCs/>
                <w:color w:val="000000"/>
                <w:sz w:val="20"/>
                <w:szCs w:val="20"/>
              </w:rPr>
            </w:pPr>
          </w:p>
        </w:tc>
        <w:tc>
          <w:tcPr>
            <w:tcW w:w="1559" w:type="dxa"/>
          </w:tcPr>
          <w:p w:rsidR="00441F6C" w:rsidRPr="00441F6C" w:rsidRDefault="00441F6C" w:rsidP="007A380A">
            <w:p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2020-2022 for initial review; further regular reviews - ongoing</w:t>
            </w:r>
          </w:p>
          <w:p w:rsidR="00441F6C" w:rsidRPr="00441F6C" w:rsidRDefault="00441F6C" w:rsidP="007A380A">
            <w:pPr>
              <w:suppressAutoHyphens w:val="0"/>
              <w:spacing w:before="60" w:after="60"/>
              <w:rPr>
                <w:rFonts w:ascii="Arial" w:hAnsi="Arial" w:cs="Arial"/>
                <w:b/>
                <w:bCs/>
                <w:sz w:val="20"/>
                <w:szCs w:val="20"/>
              </w:rPr>
            </w:pPr>
          </w:p>
        </w:tc>
        <w:tc>
          <w:tcPr>
            <w:tcW w:w="1984" w:type="dxa"/>
          </w:tcPr>
          <w:p w:rsidR="00441F6C" w:rsidRPr="00441F6C" w:rsidRDefault="00441F6C" w:rsidP="007A380A">
            <w:p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CMS Parties that are Members of, or engage with, key RFMOs</w:t>
            </w:r>
          </w:p>
          <w:p w:rsidR="00441F6C" w:rsidRPr="00441F6C" w:rsidRDefault="00441F6C" w:rsidP="007A380A">
            <w:pPr>
              <w:suppressAutoHyphens w:val="0"/>
              <w:spacing w:before="60" w:after="60"/>
              <w:rPr>
                <w:rFonts w:ascii="Arial" w:hAnsi="Arial" w:cs="Arial"/>
                <w:b/>
                <w:bCs/>
                <w:sz w:val="20"/>
                <w:szCs w:val="20"/>
              </w:rPr>
            </w:pPr>
          </w:p>
        </w:tc>
        <w:tc>
          <w:tcPr>
            <w:tcW w:w="3969" w:type="dxa"/>
          </w:tcPr>
          <w:p w:rsidR="00441F6C" w:rsidRPr="00441F6C" w:rsidRDefault="00441F6C" w:rsidP="00547ABF">
            <w:pPr>
              <w:suppressAutoHyphens w:val="0"/>
              <w:spacing w:before="60" w:after="60"/>
              <w:jc w:val="both"/>
              <w:rPr>
                <w:rFonts w:ascii="Arial" w:hAnsi="Arial" w:cs="Arial"/>
                <w:sz w:val="20"/>
                <w:szCs w:val="20"/>
              </w:rPr>
            </w:pPr>
            <w:r w:rsidRPr="00441F6C">
              <w:rPr>
                <w:rFonts w:ascii="Arial" w:hAnsi="Arial" w:cs="Arial"/>
                <w:sz w:val="20"/>
                <w:szCs w:val="20"/>
              </w:rPr>
              <w:t>This can be met either through reprioritisation of existing capacity from Parties engaging with RFMOs, or by additional capacity which will require funds for time and travel to meetings</w:t>
            </w:r>
          </w:p>
        </w:tc>
      </w:tr>
      <w:tr w:rsidR="00441F6C" w:rsidRPr="00441F6C" w:rsidTr="00547ABF">
        <w:trPr>
          <w:gridAfter w:val="1"/>
          <w:wAfter w:w="11" w:type="dxa"/>
        </w:trPr>
        <w:tc>
          <w:tcPr>
            <w:tcW w:w="4531" w:type="dxa"/>
          </w:tcPr>
          <w:p w:rsidR="00441F6C" w:rsidRPr="00441F6C" w:rsidRDefault="00441F6C" w:rsidP="007A380A">
            <w:pPr>
              <w:numPr>
                <w:ilvl w:val="1"/>
                <w:numId w:val="11"/>
              </w:num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lastRenderedPageBreak/>
              <w:t>Support development and distribution of outreach materials to fishers regarding seabird bycatch, including seabird identification guides</w:t>
            </w:r>
          </w:p>
          <w:p w:rsidR="00441F6C" w:rsidRPr="00441F6C" w:rsidRDefault="00441F6C" w:rsidP="007A380A">
            <w:pPr>
              <w:suppressAutoHyphens w:val="0"/>
              <w:spacing w:before="60" w:after="60"/>
              <w:rPr>
                <w:rFonts w:ascii="Arial" w:hAnsi="Arial" w:cs="Arial"/>
                <w:b/>
                <w:bCs/>
                <w:sz w:val="20"/>
                <w:szCs w:val="20"/>
              </w:rPr>
            </w:pPr>
          </w:p>
        </w:tc>
        <w:tc>
          <w:tcPr>
            <w:tcW w:w="2977" w:type="dxa"/>
          </w:tcPr>
          <w:p w:rsidR="00441F6C" w:rsidRPr="00441F6C" w:rsidRDefault="00441F6C" w:rsidP="007A380A">
            <w:pPr>
              <w:suppressAutoHyphens w:val="0"/>
              <w:autoSpaceDE w:val="0"/>
              <w:adjustRightInd w:val="0"/>
              <w:spacing w:before="60" w:after="60"/>
              <w:rPr>
                <w:rFonts w:ascii="Arial" w:hAnsi="Arial" w:cs="Arial"/>
                <w:b/>
                <w:bCs/>
                <w:color w:val="000000"/>
                <w:sz w:val="20"/>
                <w:szCs w:val="20"/>
              </w:rPr>
            </w:pPr>
            <w:r w:rsidRPr="00441F6C">
              <w:rPr>
                <w:rFonts w:ascii="Arial" w:hAnsi="Arial" w:cs="Arial"/>
                <w:color w:val="000000"/>
                <w:sz w:val="20"/>
                <w:szCs w:val="20"/>
              </w:rPr>
              <w:t>Fisheries bycatch risk minimised in relevant RFMOs through increased awareness, improved use of mitigation by fishers, and more accurate reporting to species level</w:t>
            </w:r>
          </w:p>
        </w:tc>
        <w:tc>
          <w:tcPr>
            <w:tcW w:w="1559" w:type="dxa"/>
          </w:tcPr>
          <w:p w:rsidR="00441F6C" w:rsidRPr="00441F6C" w:rsidRDefault="00441F6C" w:rsidP="007A380A">
            <w:pPr>
              <w:suppressAutoHyphens w:val="0"/>
              <w:spacing w:before="60" w:after="60"/>
              <w:rPr>
                <w:rFonts w:ascii="Arial" w:hAnsi="Arial" w:cs="Arial"/>
                <w:sz w:val="20"/>
                <w:szCs w:val="20"/>
              </w:rPr>
            </w:pPr>
            <w:r w:rsidRPr="00441F6C">
              <w:rPr>
                <w:rFonts w:ascii="Arial" w:hAnsi="Arial" w:cs="Arial"/>
                <w:sz w:val="20"/>
                <w:szCs w:val="20"/>
              </w:rPr>
              <w:t>Ongoing</w:t>
            </w:r>
          </w:p>
        </w:tc>
        <w:tc>
          <w:tcPr>
            <w:tcW w:w="1984" w:type="dxa"/>
          </w:tcPr>
          <w:p w:rsidR="00441F6C" w:rsidRPr="00441F6C" w:rsidRDefault="00441F6C" w:rsidP="007A380A">
            <w:p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CMS Parties that are Members of, or engage with, key RFMOs</w:t>
            </w:r>
          </w:p>
          <w:p w:rsidR="00441F6C" w:rsidRPr="00441F6C" w:rsidRDefault="00441F6C" w:rsidP="007A380A">
            <w:pPr>
              <w:suppressAutoHyphens w:val="0"/>
              <w:spacing w:before="60" w:after="60"/>
              <w:rPr>
                <w:rFonts w:ascii="Arial" w:hAnsi="Arial" w:cs="Arial"/>
                <w:b/>
                <w:bCs/>
                <w:sz w:val="20"/>
                <w:szCs w:val="20"/>
              </w:rPr>
            </w:pPr>
          </w:p>
        </w:tc>
        <w:tc>
          <w:tcPr>
            <w:tcW w:w="3969" w:type="dxa"/>
          </w:tcPr>
          <w:p w:rsidR="00441F6C" w:rsidRPr="00441F6C" w:rsidRDefault="00441F6C" w:rsidP="007A380A">
            <w:pPr>
              <w:suppressAutoHyphens w:val="0"/>
              <w:spacing w:before="60" w:after="60"/>
              <w:rPr>
                <w:rFonts w:ascii="Arial" w:hAnsi="Arial" w:cs="Arial"/>
                <w:sz w:val="20"/>
                <w:szCs w:val="20"/>
              </w:rPr>
            </w:pPr>
            <w:r w:rsidRPr="00441F6C">
              <w:rPr>
                <w:rFonts w:ascii="Arial" w:hAnsi="Arial" w:cs="Arial"/>
                <w:sz w:val="20"/>
                <w:szCs w:val="20"/>
              </w:rPr>
              <w:t>Development of any new materials will require funds on a case by case basis</w:t>
            </w:r>
          </w:p>
        </w:tc>
      </w:tr>
      <w:tr w:rsidR="00441F6C" w:rsidRPr="00441F6C" w:rsidTr="00547ABF">
        <w:trPr>
          <w:gridAfter w:val="1"/>
          <w:wAfter w:w="11" w:type="dxa"/>
        </w:trPr>
        <w:tc>
          <w:tcPr>
            <w:tcW w:w="4531" w:type="dxa"/>
          </w:tcPr>
          <w:p w:rsidR="00441F6C" w:rsidRPr="00441F6C" w:rsidRDefault="00441F6C" w:rsidP="007A380A">
            <w:pPr>
              <w:numPr>
                <w:ilvl w:val="1"/>
                <w:numId w:val="11"/>
              </w:num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Support compliance monitoring of seabird bycatch conservation and management measures in relevant RFMOs</w:t>
            </w:r>
          </w:p>
          <w:p w:rsidR="00441F6C" w:rsidRPr="00441F6C" w:rsidRDefault="00441F6C" w:rsidP="007A380A">
            <w:pPr>
              <w:suppressAutoHyphens w:val="0"/>
              <w:spacing w:before="60" w:after="60"/>
              <w:rPr>
                <w:rFonts w:ascii="Arial" w:hAnsi="Arial" w:cs="Arial"/>
                <w:b/>
                <w:bCs/>
                <w:sz w:val="20"/>
                <w:szCs w:val="20"/>
              </w:rPr>
            </w:pPr>
          </w:p>
        </w:tc>
        <w:tc>
          <w:tcPr>
            <w:tcW w:w="2977" w:type="dxa"/>
          </w:tcPr>
          <w:p w:rsidR="00441F6C" w:rsidRPr="00441F6C" w:rsidRDefault="00441F6C" w:rsidP="007A380A">
            <w:pPr>
              <w:suppressAutoHyphens w:val="0"/>
              <w:autoSpaceDE w:val="0"/>
              <w:adjustRightInd w:val="0"/>
              <w:spacing w:before="60" w:after="60"/>
              <w:rPr>
                <w:rFonts w:ascii="Arial" w:hAnsi="Arial" w:cs="Arial"/>
                <w:b/>
                <w:bCs/>
                <w:color w:val="000000"/>
                <w:sz w:val="20"/>
                <w:szCs w:val="20"/>
              </w:rPr>
            </w:pPr>
            <w:r w:rsidRPr="00441F6C">
              <w:rPr>
                <w:rFonts w:ascii="Arial" w:hAnsi="Arial" w:cs="Arial"/>
                <w:color w:val="000000"/>
                <w:sz w:val="20"/>
                <w:szCs w:val="20"/>
              </w:rPr>
              <w:t>The compliance monitoring and reporting against each RFMO seabird bycatch conservation and management measure is demonstrated in RFMO reports</w:t>
            </w:r>
            <w:r w:rsidRPr="00441F6C" w:rsidDel="00A3145F">
              <w:rPr>
                <w:rFonts w:ascii="Arial" w:hAnsi="Arial" w:cs="Arial"/>
                <w:color w:val="000000"/>
                <w:sz w:val="20"/>
                <w:szCs w:val="20"/>
              </w:rPr>
              <w:t xml:space="preserve"> </w:t>
            </w:r>
          </w:p>
        </w:tc>
        <w:tc>
          <w:tcPr>
            <w:tcW w:w="1559" w:type="dxa"/>
          </w:tcPr>
          <w:p w:rsidR="00441F6C" w:rsidRPr="00441F6C" w:rsidRDefault="00441F6C" w:rsidP="007A380A">
            <w:p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 xml:space="preserve"> 2020-2022 (and maintained ongoing)</w:t>
            </w:r>
          </w:p>
          <w:p w:rsidR="00441F6C" w:rsidRPr="00441F6C" w:rsidRDefault="00441F6C" w:rsidP="007A380A">
            <w:pPr>
              <w:suppressAutoHyphens w:val="0"/>
              <w:spacing w:before="60" w:after="60"/>
              <w:rPr>
                <w:rFonts w:ascii="Arial" w:hAnsi="Arial" w:cs="Arial"/>
                <w:b/>
                <w:bCs/>
                <w:sz w:val="20"/>
                <w:szCs w:val="20"/>
              </w:rPr>
            </w:pPr>
          </w:p>
        </w:tc>
        <w:tc>
          <w:tcPr>
            <w:tcW w:w="1984" w:type="dxa"/>
          </w:tcPr>
          <w:p w:rsidR="00441F6C" w:rsidRPr="00441F6C" w:rsidRDefault="00441F6C" w:rsidP="007A380A">
            <w:p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CMS Parties that are Members of, or engage with, key RFMOs</w:t>
            </w:r>
          </w:p>
          <w:p w:rsidR="00441F6C" w:rsidRPr="00441F6C" w:rsidRDefault="00441F6C" w:rsidP="007A380A">
            <w:pPr>
              <w:suppressAutoHyphens w:val="0"/>
              <w:spacing w:before="60" w:after="60"/>
              <w:rPr>
                <w:rFonts w:ascii="Arial" w:hAnsi="Arial" w:cs="Arial"/>
                <w:b/>
                <w:bCs/>
                <w:sz w:val="20"/>
                <w:szCs w:val="20"/>
              </w:rPr>
            </w:pPr>
          </w:p>
        </w:tc>
        <w:tc>
          <w:tcPr>
            <w:tcW w:w="3969" w:type="dxa"/>
          </w:tcPr>
          <w:p w:rsidR="00441F6C" w:rsidRPr="00441F6C" w:rsidRDefault="00441F6C" w:rsidP="007A380A">
            <w:pPr>
              <w:suppressAutoHyphens w:val="0"/>
              <w:spacing w:before="60" w:after="60"/>
              <w:rPr>
                <w:rFonts w:ascii="Arial" w:hAnsi="Arial" w:cs="Arial"/>
                <w:sz w:val="20"/>
                <w:szCs w:val="20"/>
              </w:rPr>
            </w:pPr>
            <w:r w:rsidRPr="00441F6C">
              <w:rPr>
                <w:rFonts w:ascii="Arial" w:hAnsi="Arial" w:cs="Arial"/>
                <w:sz w:val="20"/>
                <w:szCs w:val="20"/>
              </w:rPr>
              <w:t>This can be met either through reprioritisation of existing capacity from Parties engaging with RFMOs, or by additional capacity which will require funds for time and travel to meetings</w:t>
            </w:r>
          </w:p>
        </w:tc>
      </w:tr>
      <w:tr w:rsidR="00441F6C" w:rsidRPr="00441F6C" w:rsidTr="00547ABF">
        <w:trPr>
          <w:gridAfter w:val="1"/>
          <w:wAfter w:w="11" w:type="dxa"/>
        </w:trPr>
        <w:tc>
          <w:tcPr>
            <w:tcW w:w="4531" w:type="dxa"/>
          </w:tcPr>
          <w:p w:rsidR="00441F6C" w:rsidRPr="00441F6C" w:rsidRDefault="00441F6C" w:rsidP="007A380A">
            <w:pPr>
              <w:numPr>
                <w:ilvl w:val="1"/>
                <w:numId w:val="11"/>
              </w:num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Support robust bycatch related data collection and sharing in relevant RFMOs</w:t>
            </w:r>
          </w:p>
          <w:p w:rsidR="00441F6C" w:rsidRPr="00441F6C" w:rsidRDefault="00441F6C" w:rsidP="007A380A">
            <w:pPr>
              <w:suppressAutoHyphens w:val="0"/>
              <w:spacing w:before="60" w:after="60"/>
              <w:rPr>
                <w:rFonts w:ascii="Arial" w:hAnsi="Arial" w:cs="Arial"/>
                <w:b/>
                <w:bCs/>
                <w:sz w:val="20"/>
                <w:szCs w:val="20"/>
              </w:rPr>
            </w:pPr>
          </w:p>
        </w:tc>
        <w:tc>
          <w:tcPr>
            <w:tcW w:w="2977" w:type="dxa"/>
          </w:tcPr>
          <w:p w:rsidR="00441F6C" w:rsidRPr="00441F6C" w:rsidRDefault="00441F6C" w:rsidP="007A380A">
            <w:p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Fisheries bycatch risk is documented and measurable through data reporting</w:t>
            </w:r>
          </w:p>
          <w:p w:rsidR="00441F6C" w:rsidRPr="00441F6C" w:rsidRDefault="00441F6C" w:rsidP="007A380A">
            <w:pPr>
              <w:suppressAutoHyphens w:val="0"/>
              <w:autoSpaceDE w:val="0"/>
              <w:adjustRightInd w:val="0"/>
              <w:spacing w:before="60" w:after="60"/>
              <w:rPr>
                <w:rFonts w:ascii="Arial" w:hAnsi="Arial" w:cs="Arial"/>
                <w:b/>
                <w:bCs/>
                <w:color w:val="000000"/>
                <w:sz w:val="20"/>
                <w:szCs w:val="20"/>
              </w:rPr>
            </w:pPr>
          </w:p>
        </w:tc>
        <w:tc>
          <w:tcPr>
            <w:tcW w:w="1559" w:type="dxa"/>
          </w:tcPr>
          <w:p w:rsidR="00441F6C" w:rsidRPr="00441F6C" w:rsidRDefault="00441F6C" w:rsidP="007A380A">
            <w:pPr>
              <w:suppressAutoHyphens w:val="0"/>
              <w:spacing w:before="60" w:after="60"/>
              <w:rPr>
                <w:rFonts w:ascii="Arial" w:hAnsi="Arial" w:cs="Arial"/>
                <w:sz w:val="20"/>
                <w:szCs w:val="20"/>
              </w:rPr>
            </w:pPr>
            <w:r w:rsidRPr="00441F6C">
              <w:rPr>
                <w:rFonts w:ascii="Arial" w:hAnsi="Arial" w:cs="Arial"/>
                <w:sz w:val="20"/>
                <w:szCs w:val="20"/>
              </w:rPr>
              <w:t>Ongoing</w:t>
            </w:r>
          </w:p>
        </w:tc>
        <w:tc>
          <w:tcPr>
            <w:tcW w:w="1984" w:type="dxa"/>
          </w:tcPr>
          <w:p w:rsidR="00441F6C" w:rsidRPr="00441F6C" w:rsidRDefault="00441F6C" w:rsidP="007A380A">
            <w:p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CMS Parties that are Members of, or engage with, key RFMOs</w:t>
            </w:r>
          </w:p>
          <w:p w:rsidR="00441F6C" w:rsidRPr="00441F6C" w:rsidRDefault="00441F6C" w:rsidP="007A380A">
            <w:pPr>
              <w:suppressAutoHyphens w:val="0"/>
              <w:spacing w:before="60" w:after="60"/>
              <w:rPr>
                <w:rFonts w:ascii="Arial" w:hAnsi="Arial" w:cs="Arial"/>
                <w:b/>
                <w:bCs/>
                <w:sz w:val="20"/>
                <w:szCs w:val="20"/>
              </w:rPr>
            </w:pPr>
          </w:p>
        </w:tc>
        <w:tc>
          <w:tcPr>
            <w:tcW w:w="3969" w:type="dxa"/>
          </w:tcPr>
          <w:p w:rsidR="00441F6C" w:rsidRPr="00441F6C" w:rsidRDefault="00441F6C" w:rsidP="007A380A">
            <w:pPr>
              <w:suppressAutoHyphens w:val="0"/>
              <w:spacing w:before="60" w:after="60"/>
              <w:rPr>
                <w:rFonts w:ascii="Arial" w:hAnsi="Arial" w:cs="Arial"/>
                <w:b/>
                <w:bCs/>
                <w:sz w:val="20"/>
                <w:szCs w:val="20"/>
              </w:rPr>
            </w:pPr>
            <w:r w:rsidRPr="00441F6C">
              <w:rPr>
                <w:rFonts w:ascii="Arial" w:hAnsi="Arial" w:cs="Arial"/>
                <w:sz w:val="20"/>
                <w:szCs w:val="20"/>
              </w:rPr>
              <w:t xml:space="preserve">This can be met either through reprioritisation of existing capacity from Parties engaging with RFMOs, or by additional capacity which will require funds for time and travel to meetings. If increased levels of observation are </w:t>
            </w:r>
            <w:proofErr w:type="gramStart"/>
            <w:r w:rsidRPr="00441F6C">
              <w:rPr>
                <w:rFonts w:ascii="Arial" w:hAnsi="Arial" w:cs="Arial"/>
                <w:sz w:val="20"/>
                <w:szCs w:val="20"/>
              </w:rPr>
              <w:t>required</w:t>
            </w:r>
            <w:proofErr w:type="gramEnd"/>
            <w:r w:rsidRPr="00441F6C">
              <w:rPr>
                <w:rFonts w:ascii="Arial" w:hAnsi="Arial" w:cs="Arial"/>
                <w:sz w:val="20"/>
                <w:szCs w:val="20"/>
              </w:rPr>
              <w:t xml:space="preserve"> this will require funds from relevant RFMO Members</w:t>
            </w:r>
          </w:p>
        </w:tc>
      </w:tr>
      <w:tr w:rsidR="00441F6C" w:rsidRPr="00441F6C" w:rsidTr="002930DA">
        <w:trPr>
          <w:gridAfter w:val="1"/>
          <w:wAfter w:w="11" w:type="dxa"/>
        </w:trPr>
        <w:tc>
          <w:tcPr>
            <w:tcW w:w="4531" w:type="dxa"/>
            <w:tcBorders>
              <w:bottom w:val="single" w:sz="4" w:space="0" w:color="auto"/>
            </w:tcBorders>
          </w:tcPr>
          <w:p w:rsidR="00441F6C" w:rsidRPr="00441F6C" w:rsidRDefault="00441F6C" w:rsidP="007A380A">
            <w:pPr>
              <w:numPr>
                <w:ilvl w:val="1"/>
                <w:numId w:val="11"/>
              </w:num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Support robust bycatch data reporting and periodic bycatch assessments in relevant RFMOs</w:t>
            </w:r>
          </w:p>
          <w:p w:rsidR="00441F6C" w:rsidRPr="00441F6C" w:rsidRDefault="00441F6C" w:rsidP="007A380A">
            <w:pPr>
              <w:suppressAutoHyphens w:val="0"/>
              <w:spacing w:before="60" w:after="60"/>
              <w:rPr>
                <w:rFonts w:ascii="Arial" w:hAnsi="Arial" w:cs="Arial"/>
                <w:b/>
                <w:bCs/>
                <w:sz w:val="20"/>
                <w:szCs w:val="20"/>
              </w:rPr>
            </w:pPr>
          </w:p>
        </w:tc>
        <w:tc>
          <w:tcPr>
            <w:tcW w:w="2977" w:type="dxa"/>
            <w:tcBorders>
              <w:bottom w:val="single" w:sz="4" w:space="0" w:color="auto"/>
            </w:tcBorders>
          </w:tcPr>
          <w:p w:rsidR="00441F6C" w:rsidRPr="00441F6C" w:rsidRDefault="00441F6C" w:rsidP="007A380A">
            <w:p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Estimation of fisheries seabird bycatch risk at RFMO scale</w:t>
            </w:r>
          </w:p>
          <w:p w:rsidR="00441F6C" w:rsidRPr="00441F6C" w:rsidRDefault="00441F6C" w:rsidP="007A380A">
            <w:pPr>
              <w:suppressAutoHyphens w:val="0"/>
              <w:autoSpaceDE w:val="0"/>
              <w:adjustRightInd w:val="0"/>
              <w:spacing w:before="60" w:after="60"/>
              <w:rPr>
                <w:rFonts w:ascii="Arial" w:hAnsi="Arial" w:cs="Arial"/>
                <w:color w:val="000000"/>
                <w:sz w:val="20"/>
                <w:szCs w:val="20"/>
              </w:rPr>
            </w:pPr>
          </w:p>
          <w:p w:rsidR="00441F6C" w:rsidRPr="00441F6C" w:rsidRDefault="00441F6C" w:rsidP="007A380A">
            <w:pPr>
              <w:suppressAutoHyphens w:val="0"/>
              <w:spacing w:before="60" w:after="60"/>
              <w:rPr>
                <w:rFonts w:ascii="Arial" w:hAnsi="Arial" w:cs="Arial"/>
                <w:b/>
                <w:bCs/>
                <w:sz w:val="20"/>
                <w:szCs w:val="20"/>
              </w:rPr>
            </w:pPr>
          </w:p>
        </w:tc>
        <w:tc>
          <w:tcPr>
            <w:tcW w:w="1559" w:type="dxa"/>
            <w:tcBorders>
              <w:bottom w:val="single" w:sz="4" w:space="0" w:color="auto"/>
            </w:tcBorders>
          </w:tcPr>
          <w:p w:rsidR="00441F6C" w:rsidRPr="00441F6C" w:rsidRDefault="00441F6C" w:rsidP="007A380A">
            <w:pPr>
              <w:suppressAutoHyphens w:val="0"/>
              <w:spacing w:before="60" w:after="60"/>
              <w:rPr>
                <w:rFonts w:ascii="Arial" w:hAnsi="Arial" w:cs="Arial"/>
                <w:sz w:val="20"/>
                <w:szCs w:val="20"/>
              </w:rPr>
            </w:pPr>
            <w:r w:rsidRPr="00441F6C">
              <w:rPr>
                <w:rFonts w:ascii="Arial" w:hAnsi="Arial" w:cs="Arial"/>
                <w:sz w:val="20"/>
                <w:szCs w:val="20"/>
              </w:rPr>
              <w:t>Ongoing</w:t>
            </w:r>
          </w:p>
        </w:tc>
        <w:tc>
          <w:tcPr>
            <w:tcW w:w="1984" w:type="dxa"/>
            <w:tcBorders>
              <w:bottom w:val="single" w:sz="4" w:space="0" w:color="auto"/>
            </w:tcBorders>
          </w:tcPr>
          <w:p w:rsidR="00441F6C" w:rsidRPr="00441F6C" w:rsidRDefault="00441F6C" w:rsidP="007A380A">
            <w:p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CMS Parties that are Members of, or engage with, key RFMOs</w:t>
            </w:r>
          </w:p>
          <w:p w:rsidR="00441F6C" w:rsidRPr="00441F6C" w:rsidRDefault="00441F6C" w:rsidP="007A380A">
            <w:pPr>
              <w:suppressAutoHyphens w:val="0"/>
              <w:spacing w:before="60" w:after="60"/>
              <w:rPr>
                <w:rFonts w:ascii="Arial" w:hAnsi="Arial" w:cs="Arial"/>
                <w:b/>
                <w:bCs/>
                <w:sz w:val="20"/>
                <w:szCs w:val="20"/>
              </w:rPr>
            </w:pPr>
          </w:p>
        </w:tc>
        <w:tc>
          <w:tcPr>
            <w:tcW w:w="3969" w:type="dxa"/>
            <w:tcBorders>
              <w:bottom w:val="single" w:sz="4" w:space="0" w:color="auto"/>
            </w:tcBorders>
          </w:tcPr>
          <w:p w:rsidR="00441F6C" w:rsidRPr="00441F6C" w:rsidRDefault="00441F6C" w:rsidP="007A380A">
            <w:pPr>
              <w:suppressAutoHyphens w:val="0"/>
              <w:spacing w:before="60" w:after="60"/>
              <w:rPr>
                <w:rFonts w:ascii="Arial" w:hAnsi="Arial" w:cs="Arial"/>
                <w:sz w:val="20"/>
                <w:szCs w:val="20"/>
              </w:rPr>
            </w:pPr>
            <w:r w:rsidRPr="00441F6C">
              <w:rPr>
                <w:rFonts w:ascii="Arial" w:hAnsi="Arial" w:cs="Arial"/>
                <w:sz w:val="20"/>
                <w:szCs w:val="20"/>
              </w:rPr>
              <w:t>Assessments may be funded through RFMO or other budgets, or may require funds from supporting Parties on a case by case basis</w:t>
            </w:r>
          </w:p>
        </w:tc>
      </w:tr>
      <w:tr w:rsidR="00441F6C" w:rsidRPr="00441F6C" w:rsidTr="002930DA">
        <w:trPr>
          <w:gridAfter w:val="1"/>
          <w:wAfter w:w="11" w:type="dxa"/>
        </w:trPr>
        <w:tc>
          <w:tcPr>
            <w:tcW w:w="4531" w:type="dxa"/>
            <w:tcBorders>
              <w:bottom w:val="single" w:sz="4" w:space="0" w:color="auto"/>
            </w:tcBorders>
          </w:tcPr>
          <w:p w:rsidR="00441F6C" w:rsidRPr="00441F6C" w:rsidRDefault="00441F6C" w:rsidP="007A380A">
            <w:pPr>
              <w:numPr>
                <w:ilvl w:val="1"/>
                <w:numId w:val="11"/>
              </w:numPr>
              <w:suppressAutoHyphens w:val="0"/>
              <w:autoSpaceDE w:val="0"/>
              <w:adjustRightInd w:val="0"/>
              <w:spacing w:before="60" w:after="60"/>
              <w:rPr>
                <w:rFonts w:ascii="Arial" w:hAnsi="Arial" w:cs="Arial"/>
                <w:b/>
                <w:bCs/>
                <w:color w:val="000000"/>
                <w:sz w:val="20"/>
                <w:szCs w:val="20"/>
              </w:rPr>
            </w:pPr>
            <w:r w:rsidRPr="00441F6C">
              <w:rPr>
                <w:rFonts w:ascii="Arial" w:hAnsi="Arial" w:cs="Arial"/>
                <w:color w:val="000000"/>
                <w:sz w:val="20"/>
                <w:szCs w:val="20"/>
              </w:rPr>
              <w:t xml:space="preserve">Support data gathering in high seas fisheries where other types of seabird interactions, including possible utilization of seabirds as wild meat, remains poorly known. </w:t>
            </w:r>
          </w:p>
        </w:tc>
        <w:tc>
          <w:tcPr>
            <w:tcW w:w="2977" w:type="dxa"/>
            <w:tcBorders>
              <w:bottom w:val="single" w:sz="4" w:space="0" w:color="auto"/>
            </w:tcBorders>
          </w:tcPr>
          <w:p w:rsidR="00441F6C" w:rsidRPr="00441F6C" w:rsidRDefault="00441F6C" w:rsidP="007A380A">
            <w:p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Risks posed by all relevant fishing methods are understood</w:t>
            </w:r>
          </w:p>
          <w:p w:rsidR="00441F6C" w:rsidRPr="00441F6C" w:rsidRDefault="00441F6C" w:rsidP="007A380A">
            <w:pPr>
              <w:suppressAutoHyphens w:val="0"/>
              <w:spacing w:before="60" w:after="60"/>
              <w:rPr>
                <w:rFonts w:ascii="Arial" w:hAnsi="Arial" w:cs="Arial"/>
                <w:b/>
                <w:bCs/>
                <w:sz w:val="20"/>
                <w:szCs w:val="20"/>
              </w:rPr>
            </w:pPr>
          </w:p>
        </w:tc>
        <w:tc>
          <w:tcPr>
            <w:tcW w:w="1559" w:type="dxa"/>
            <w:tcBorders>
              <w:bottom w:val="single" w:sz="4" w:space="0" w:color="auto"/>
            </w:tcBorders>
          </w:tcPr>
          <w:p w:rsidR="00441F6C" w:rsidRPr="00441F6C" w:rsidRDefault="00441F6C" w:rsidP="007A380A">
            <w:pPr>
              <w:suppressAutoHyphens w:val="0"/>
              <w:spacing w:before="60" w:after="60"/>
              <w:rPr>
                <w:rFonts w:ascii="Arial" w:hAnsi="Arial" w:cs="Arial"/>
                <w:sz w:val="20"/>
                <w:szCs w:val="20"/>
              </w:rPr>
            </w:pPr>
            <w:r w:rsidRPr="00441F6C">
              <w:rPr>
                <w:rFonts w:ascii="Arial" w:hAnsi="Arial" w:cs="Arial"/>
                <w:sz w:val="20"/>
                <w:szCs w:val="20"/>
              </w:rPr>
              <w:t>2020-2025</w:t>
            </w:r>
          </w:p>
        </w:tc>
        <w:tc>
          <w:tcPr>
            <w:tcW w:w="1984" w:type="dxa"/>
            <w:tcBorders>
              <w:bottom w:val="single" w:sz="4" w:space="0" w:color="auto"/>
            </w:tcBorders>
          </w:tcPr>
          <w:p w:rsidR="00441F6C" w:rsidRPr="00441F6C" w:rsidRDefault="00441F6C" w:rsidP="007A380A">
            <w:p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CMS Parties that are Members of, or engage with, key RFMOs</w:t>
            </w:r>
          </w:p>
          <w:p w:rsidR="00441F6C" w:rsidRPr="00441F6C" w:rsidRDefault="00441F6C" w:rsidP="007A380A">
            <w:pPr>
              <w:suppressAutoHyphens w:val="0"/>
              <w:spacing w:before="60" w:after="60"/>
              <w:rPr>
                <w:rFonts w:ascii="Arial" w:hAnsi="Arial" w:cs="Arial"/>
                <w:b/>
                <w:bCs/>
                <w:sz w:val="20"/>
                <w:szCs w:val="20"/>
              </w:rPr>
            </w:pPr>
          </w:p>
        </w:tc>
        <w:tc>
          <w:tcPr>
            <w:tcW w:w="3969" w:type="dxa"/>
            <w:tcBorders>
              <w:bottom w:val="single" w:sz="4" w:space="0" w:color="auto"/>
            </w:tcBorders>
          </w:tcPr>
          <w:p w:rsidR="00441F6C" w:rsidRPr="00441F6C" w:rsidRDefault="00441F6C" w:rsidP="007A380A">
            <w:pPr>
              <w:suppressAutoHyphens w:val="0"/>
              <w:spacing w:before="60" w:after="60"/>
              <w:rPr>
                <w:rFonts w:ascii="Arial" w:hAnsi="Arial" w:cs="Arial"/>
                <w:sz w:val="20"/>
                <w:szCs w:val="20"/>
              </w:rPr>
            </w:pPr>
            <w:r w:rsidRPr="00441F6C">
              <w:rPr>
                <w:rFonts w:ascii="Arial" w:hAnsi="Arial" w:cs="Arial"/>
                <w:sz w:val="20"/>
                <w:szCs w:val="20"/>
              </w:rPr>
              <w:t>This can be met either through reprioritisation of existing capacity from Parties engaging with RFMOs, or by additional capacity which will require funds for time and travel to meetings. If increased levels of observation are required this will require funds from relevant RFMO Members, such as those operating squid jig fleets</w:t>
            </w:r>
          </w:p>
        </w:tc>
      </w:tr>
      <w:tr w:rsidR="002930DA" w:rsidRPr="00441F6C" w:rsidTr="002930DA">
        <w:trPr>
          <w:gridAfter w:val="1"/>
          <w:wAfter w:w="11" w:type="dxa"/>
        </w:trPr>
        <w:tc>
          <w:tcPr>
            <w:tcW w:w="4531" w:type="dxa"/>
            <w:tcBorders>
              <w:top w:val="single" w:sz="4" w:space="0" w:color="auto"/>
              <w:left w:val="nil"/>
              <w:bottom w:val="nil"/>
              <w:right w:val="nil"/>
            </w:tcBorders>
          </w:tcPr>
          <w:p w:rsidR="002930DA" w:rsidRPr="00441F6C" w:rsidRDefault="002930DA" w:rsidP="002930DA">
            <w:pPr>
              <w:suppressAutoHyphens w:val="0"/>
              <w:autoSpaceDE w:val="0"/>
              <w:adjustRightInd w:val="0"/>
              <w:spacing w:before="60" w:after="60"/>
              <w:ind w:left="360"/>
              <w:rPr>
                <w:rFonts w:cs="Arial"/>
                <w:color w:val="000000"/>
                <w:sz w:val="20"/>
                <w:szCs w:val="20"/>
              </w:rPr>
            </w:pPr>
          </w:p>
        </w:tc>
        <w:tc>
          <w:tcPr>
            <w:tcW w:w="2977" w:type="dxa"/>
            <w:tcBorders>
              <w:top w:val="single" w:sz="4" w:space="0" w:color="auto"/>
              <w:left w:val="nil"/>
              <w:bottom w:val="nil"/>
              <w:right w:val="nil"/>
            </w:tcBorders>
          </w:tcPr>
          <w:p w:rsidR="002930DA" w:rsidRPr="00441F6C" w:rsidRDefault="002930DA" w:rsidP="007A380A">
            <w:pPr>
              <w:suppressAutoHyphens w:val="0"/>
              <w:autoSpaceDE w:val="0"/>
              <w:adjustRightInd w:val="0"/>
              <w:spacing w:before="60" w:after="60"/>
              <w:rPr>
                <w:rFonts w:cs="Arial"/>
                <w:color w:val="000000"/>
                <w:sz w:val="20"/>
                <w:szCs w:val="20"/>
              </w:rPr>
            </w:pPr>
          </w:p>
        </w:tc>
        <w:tc>
          <w:tcPr>
            <w:tcW w:w="1559" w:type="dxa"/>
            <w:tcBorders>
              <w:top w:val="single" w:sz="4" w:space="0" w:color="auto"/>
              <w:left w:val="nil"/>
              <w:bottom w:val="nil"/>
              <w:right w:val="nil"/>
            </w:tcBorders>
          </w:tcPr>
          <w:p w:rsidR="002930DA" w:rsidRPr="00441F6C" w:rsidRDefault="002930DA" w:rsidP="007A380A">
            <w:pPr>
              <w:suppressAutoHyphens w:val="0"/>
              <w:spacing w:before="60" w:after="60"/>
              <w:rPr>
                <w:rFonts w:cs="Arial"/>
                <w:sz w:val="20"/>
                <w:szCs w:val="20"/>
              </w:rPr>
            </w:pPr>
          </w:p>
        </w:tc>
        <w:tc>
          <w:tcPr>
            <w:tcW w:w="1984" w:type="dxa"/>
            <w:tcBorders>
              <w:top w:val="single" w:sz="4" w:space="0" w:color="auto"/>
              <w:left w:val="nil"/>
              <w:bottom w:val="nil"/>
              <w:right w:val="nil"/>
            </w:tcBorders>
          </w:tcPr>
          <w:p w:rsidR="002930DA" w:rsidRPr="00441F6C" w:rsidRDefault="002930DA" w:rsidP="007A380A">
            <w:pPr>
              <w:suppressAutoHyphens w:val="0"/>
              <w:autoSpaceDE w:val="0"/>
              <w:adjustRightInd w:val="0"/>
              <w:spacing w:before="60" w:after="60"/>
              <w:rPr>
                <w:rFonts w:cs="Arial"/>
                <w:color w:val="000000"/>
                <w:sz w:val="20"/>
                <w:szCs w:val="20"/>
              </w:rPr>
            </w:pPr>
          </w:p>
        </w:tc>
        <w:tc>
          <w:tcPr>
            <w:tcW w:w="3969" w:type="dxa"/>
            <w:tcBorders>
              <w:top w:val="single" w:sz="4" w:space="0" w:color="auto"/>
              <w:left w:val="nil"/>
              <w:bottom w:val="nil"/>
              <w:right w:val="nil"/>
            </w:tcBorders>
          </w:tcPr>
          <w:p w:rsidR="002930DA" w:rsidRPr="00441F6C" w:rsidRDefault="002930DA" w:rsidP="007A380A">
            <w:pPr>
              <w:suppressAutoHyphens w:val="0"/>
              <w:spacing w:before="60" w:after="60"/>
              <w:rPr>
                <w:rFonts w:cs="Arial"/>
                <w:sz w:val="20"/>
                <w:szCs w:val="20"/>
              </w:rPr>
            </w:pPr>
          </w:p>
        </w:tc>
      </w:tr>
      <w:tr w:rsidR="00441F6C" w:rsidRPr="00441F6C" w:rsidTr="002930DA">
        <w:trPr>
          <w:gridAfter w:val="1"/>
          <w:wAfter w:w="11" w:type="dxa"/>
        </w:trPr>
        <w:tc>
          <w:tcPr>
            <w:tcW w:w="4531" w:type="dxa"/>
            <w:tcBorders>
              <w:top w:val="nil"/>
            </w:tcBorders>
          </w:tcPr>
          <w:p w:rsidR="00441F6C" w:rsidRPr="002930DA" w:rsidRDefault="00441F6C" w:rsidP="007A380A">
            <w:pPr>
              <w:numPr>
                <w:ilvl w:val="1"/>
                <w:numId w:val="11"/>
              </w:num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lastRenderedPageBreak/>
              <w:t>Develop collaborations on seabird bycatch mitigation measures with non-CMS Parties fishing in the range of Antipodean albatross</w:t>
            </w:r>
          </w:p>
        </w:tc>
        <w:tc>
          <w:tcPr>
            <w:tcW w:w="2977" w:type="dxa"/>
            <w:tcBorders>
              <w:top w:val="nil"/>
            </w:tcBorders>
          </w:tcPr>
          <w:p w:rsidR="00441F6C" w:rsidRPr="002930DA" w:rsidRDefault="00441F6C" w:rsidP="007A380A">
            <w:p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Fisheries bycatch risk minimised through use of effective bycatch mitigation measures</w:t>
            </w:r>
          </w:p>
        </w:tc>
        <w:tc>
          <w:tcPr>
            <w:tcW w:w="1559" w:type="dxa"/>
            <w:tcBorders>
              <w:top w:val="nil"/>
            </w:tcBorders>
          </w:tcPr>
          <w:p w:rsidR="00441F6C" w:rsidRPr="00441F6C" w:rsidRDefault="00441F6C" w:rsidP="007A380A">
            <w:pPr>
              <w:suppressAutoHyphens w:val="0"/>
              <w:spacing w:before="60" w:after="60"/>
              <w:rPr>
                <w:rFonts w:ascii="Arial" w:hAnsi="Arial" w:cs="Arial"/>
                <w:sz w:val="20"/>
                <w:szCs w:val="20"/>
              </w:rPr>
            </w:pPr>
            <w:r w:rsidRPr="00441F6C">
              <w:rPr>
                <w:rFonts w:ascii="Arial" w:hAnsi="Arial" w:cs="Arial"/>
                <w:sz w:val="20"/>
                <w:szCs w:val="20"/>
              </w:rPr>
              <w:t>Ongoing</w:t>
            </w:r>
          </w:p>
        </w:tc>
        <w:tc>
          <w:tcPr>
            <w:tcW w:w="1984" w:type="dxa"/>
            <w:tcBorders>
              <w:top w:val="nil"/>
            </w:tcBorders>
          </w:tcPr>
          <w:p w:rsidR="00441F6C" w:rsidRPr="00441F6C" w:rsidRDefault="00441F6C" w:rsidP="007A380A">
            <w:p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CMS Party Range States</w:t>
            </w:r>
          </w:p>
          <w:p w:rsidR="00441F6C" w:rsidRPr="00441F6C" w:rsidRDefault="00441F6C" w:rsidP="007A380A">
            <w:pPr>
              <w:suppressAutoHyphens w:val="0"/>
              <w:spacing w:before="60" w:after="60"/>
              <w:rPr>
                <w:rFonts w:ascii="Arial" w:hAnsi="Arial" w:cs="Arial"/>
                <w:b/>
                <w:bCs/>
                <w:sz w:val="20"/>
                <w:szCs w:val="20"/>
              </w:rPr>
            </w:pPr>
          </w:p>
        </w:tc>
        <w:tc>
          <w:tcPr>
            <w:tcW w:w="3969" w:type="dxa"/>
            <w:tcBorders>
              <w:top w:val="nil"/>
            </w:tcBorders>
          </w:tcPr>
          <w:p w:rsidR="00441F6C" w:rsidRPr="00441F6C" w:rsidRDefault="00441F6C" w:rsidP="007A380A">
            <w:pPr>
              <w:suppressAutoHyphens w:val="0"/>
              <w:spacing w:before="60" w:after="60"/>
              <w:rPr>
                <w:rFonts w:ascii="Arial" w:hAnsi="Arial" w:cs="Arial"/>
                <w:sz w:val="20"/>
                <w:szCs w:val="20"/>
              </w:rPr>
            </w:pPr>
            <w:r w:rsidRPr="00441F6C">
              <w:rPr>
                <w:rFonts w:ascii="Arial" w:hAnsi="Arial" w:cs="Arial"/>
                <w:sz w:val="20"/>
                <w:szCs w:val="20"/>
              </w:rPr>
              <w:t>Collaborative actions may require new funds on a case by case basis, though many actions will be based on existing activities</w:t>
            </w:r>
          </w:p>
        </w:tc>
      </w:tr>
      <w:tr w:rsidR="00441F6C" w:rsidRPr="00441F6C" w:rsidTr="00547ABF">
        <w:tc>
          <w:tcPr>
            <w:tcW w:w="15031" w:type="dxa"/>
            <w:gridSpan w:val="6"/>
            <w:shd w:val="clear" w:color="auto" w:fill="D9D9D9"/>
          </w:tcPr>
          <w:p w:rsidR="00441F6C" w:rsidRPr="00441F6C" w:rsidRDefault="00441F6C" w:rsidP="007A380A">
            <w:pPr>
              <w:numPr>
                <w:ilvl w:val="0"/>
                <w:numId w:val="10"/>
              </w:numPr>
              <w:suppressAutoHyphens w:val="0"/>
              <w:spacing w:before="60" w:after="60"/>
              <w:contextualSpacing/>
              <w:rPr>
                <w:rFonts w:ascii="Arial" w:hAnsi="Arial" w:cs="Arial"/>
                <w:b/>
                <w:bCs/>
                <w:sz w:val="20"/>
                <w:szCs w:val="20"/>
              </w:rPr>
            </w:pPr>
            <w:r w:rsidRPr="00441F6C">
              <w:rPr>
                <w:rFonts w:ascii="Arial" w:hAnsi="Arial" w:cs="Arial"/>
                <w:b/>
                <w:bCs/>
                <w:sz w:val="20"/>
                <w:szCs w:val="20"/>
              </w:rPr>
              <w:t>Research</w:t>
            </w:r>
          </w:p>
        </w:tc>
      </w:tr>
      <w:tr w:rsidR="00441F6C" w:rsidRPr="00441F6C" w:rsidTr="00547ABF">
        <w:trPr>
          <w:gridAfter w:val="1"/>
          <w:wAfter w:w="11" w:type="dxa"/>
        </w:trPr>
        <w:tc>
          <w:tcPr>
            <w:tcW w:w="4531" w:type="dxa"/>
          </w:tcPr>
          <w:p w:rsidR="00441F6C" w:rsidRPr="00441F6C" w:rsidRDefault="00441F6C" w:rsidP="007A380A">
            <w:pPr>
              <w:numPr>
                <w:ilvl w:val="1"/>
                <w:numId w:val="10"/>
              </w:numPr>
              <w:suppressAutoHyphens w:val="0"/>
              <w:autoSpaceDE w:val="0"/>
              <w:adjustRightInd w:val="0"/>
              <w:spacing w:before="60" w:after="60"/>
              <w:rPr>
                <w:rFonts w:ascii="Arial" w:hAnsi="Arial" w:cs="Arial"/>
                <w:b/>
                <w:bCs/>
                <w:color w:val="000000"/>
                <w:sz w:val="20"/>
                <w:szCs w:val="20"/>
              </w:rPr>
            </w:pPr>
            <w:r w:rsidRPr="00441F6C">
              <w:rPr>
                <w:rFonts w:ascii="Arial" w:hAnsi="Arial" w:cs="Arial"/>
                <w:color w:val="000000"/>
                <w:sz w:val="20"/>
                <w:szCs w:val="20"/>
              </w:rPr>
              <w:t>Continue a multi-year population project to provide a platform for key research questions (e.g. foraging range, diet) and monitor progress over time</w:t>
            </w:r>
          </w:p>
        </w:tc>
        <w:tc>
          <w:tcPr>
            <w:tcW w:w="2977" w:type="dxa"/>
          </w:tcPr>
          <w:p w:rsidR="00441F6C" w:rsidRPr="00441F6C" w:rsidRDefault="00441F6C" w:rsidP="007A380A">
            <w:pPr>
              <w:suppressAutoHyphens w:val="0"/>
              <w:autoSpaceDE w:val="0"/>
              <w:adjustRightInd w:val="0"/>
              <w:spacing w:before="60" w:after="60"/>
              <w:rPr>
                <w:rFonts w:ascii="Arial" w:hAnsi="Arial" w:cs="Arial"/>
                <w:b/>
                <w:bCs/>
                <w:color w:val="000000"/>
                <w:sz w:val="20"/>
                <w:szCs w:val="20"/>
              </w:rPr>
            </w:pPr>
            <w:r w:rsidRPr="00441F6C">
              <w:rPr>
                <w:rFonts w:ascii="Arial" w:hAnsi="Arial" w:cs="Arial"/>
                <w:color w:val="000000"/>
                <w:sz w:val="20"/>
                <w:szCs w:val="20"/>
              </w:rPr>
              <w:t>Ongoing assessment of the current status of the population and a better understanding of biological drivers of change</w:t>
            </w:r>
          </w:p>
        </w:tc>
        <w:tc>
          <w:tcPr>
            <w:tcW w:w="1559" w:type="dxa"/>
          </w:tcPr>
          <w:p w:rsidR="00441F6C" w:rsidRPr="00441F6C" w:rsidRDefault="00441F6C" w:rsidP="007A380A">
            <w:pPr>
              <w:suppressAutoHyphens w:val="0"/>
              <w:autoSpaceDE w:val="0"/>
              <w:adjustRightInd w:val="0"/>
              <w:spacing w:before="60" w:after="60"/>
              <w:rPr>
                <w:rFonts w:ascii="Arial" w:hAnsi="Arial" w:cs="Arial"/>
                <w:b/>
                <w:bCs/>
                <w:color w:val="000000"/>
                <w:sz w:val="20"/>
                <w:szCs w:val="20"/>
              </w:rPr>
            </w:pPr>
            <w:r w:rsidRPr="00441F6C">
              <w:rPr>
                <w:rFonts w:ascii="Arial" w:hAnsi="Arial" w:cs="Arial"/>
                <w:color w:val="000000"/>
                <w:sz w:val="20"/>
                <w:szCs w:val="20"/>
              </w:rPr>
              <w:t>Population monitoring: annual for 2019-2024, then reassess</w:t>
            </w:r>
          </w:p>
        </w:tc>
        <w:tc>
          <w:tcPr>
            <w:tcW w:w="1984" w:type="dxa"/>
          </w:tcPr>
          <w:p w:rsidR="00441F6C" w:rsidRPr="002930DA" w:rsidRDefault="00441F6C" w:rsidP="002930DA">
            <w:p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New Zealand with collaboration from other interested CMS Parties</w:t>
            </w:r>
          </w:p>
        </w:tc>
        <w:tc>
          <w:tcPr>
            <w:tcW w:w="3969" w:type="dxa"/>
          </w:tcPr>
          <w:p w:rsidR="00441F6C" w:rsidRPr="00441F6C" w:rsidRDefault="00441F6C" w:rsidP="007A380A">
            <w:pPr>
              <w:suppressAutoHyphens w:val="0"/>
              <w:spacing w:before="60" w:after="60"/>
              <w:rPr>
                <w:rFonts w:ascii="Arial" w:hAnsi="Arial" w:cs="Arial"/>
                <w:sz w:val="20"/>
                <w:szCs w:val="20"/>
              </w:rPr>
            </w:pPr>
            <w:r w:rsidRPr="00441F6C">
              <w:rPr>
                <w:rFonts w:ascii="Arial" w:hAnsi="Arial" w:cs="Arial"/>
                <w:sz w:val="20"/>
                <w:szCs w:val="20"/>
              </w:rPr>
              <w:t>Funds for annual research visits over a five-year period have been committed by the New Zealand Government</w:t>
            </w:r>
          </w:p>
        </w:tc>
      </w:tr>
      <w:tr w:rsidR="00441F6C" w:rsidRPr="00441F6C" w:rsidTr="00547ABF">
        <w:trPr>
          <w:gridAfter w:val="1"/>
          <w:wAfter w:w="11" w:type="dxa"/>
        </w:trPr>
        <w:tc>
          <w:tcPr>
            <w:tcW w:w="4531" w:type="dxa"/>
          </w:tcPr>
          <w:p w:rsidR="00441F6C" w:rsidRPr="00441F6C" w:rsidRDefault="00441F6C" w:rsidP="007A380A">
            <w:pPr>
              <w:numPr>
                <w:ilvl w:val="1"/>
                <w:numId w:val="12"/>
              </w:num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Continue the deployment of tracking devices to better describe areas of fisheries overlap</w:t>
            </w:r>
          </w:p>
          <w:p w:rsidR="00441F6C" w:rsidRPr="00441F6C" w:rsidRDefault="00441F6C" w:rsidP="007A380A">
            <w:pPr>
              <w:suppressAutoHyphens w:val="0"/>
              <w:spacing w:before="60" w:after="60"/>
              <w:rPr>
                <w:rFonts w:ascii="Arial" w:hAnsi="Arial" w:cs="Arial"/>
                <w:b/>
                <w:bCs/>
                <w:sz w:val="20"/>
                <w:szCs w:val="20"/>
              </w:rPr>
            </w:pPr>
          </w:p>
        </w:tc>
        <w:tc>
          <w:tcPr>
            <w:tcW w:w="2977" w:type="dxa"/>
          </w:tcPr>
          <w:p w:rsidR="00441F6C" w:rsidRPr="002930DA" w:rsidRDefault="00441F6C" w:rsidP="007A380A">
            <w:p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Detailed knowledge of foraging range, suitable to inform detailed overlap analysis with fishing effort and spatially explicit fisheries risk assessment</w:t>
            </w:r>
          </w:p>
        </w:tc>
        <w:tc>
          <w:tcPr>
            <w:tcW w:w="1559" w:type="dxa"/>
          </w:tcPr>
          <w:p w:rsidR="00441F6C" w:rsidRPr="00441F6C" w:rsidRDefault="00441F6C" w:rsidP="007A380A">
            <w:pPr>
              <w:suppressAutoHyphens w:val="0"/>
              <w:spacing w:before="60" w:after="60"/>
              <w:rPr>
                <w:rFonts w:ascii="Arial" w:hAnsi="Arial" w:cs="Arial"/>
                <w:sz w:val="20"/>
                <w:szCs w:val="20"/>
              </w:rPr>
            </w:pPr>
            <w:r w:rsidRPr="00441F6C">
              <w:rPr>
                <w:rFonts w:ascii="Arial" w:hAnsi="Arial" w:cs="Arial"/>
                <w:sz w:val="20"/>
                <w:szCs w:val="20"/>
              </w:rPr>
              <w:t>2019-21</w:t>
            </w:r>
          </w:p>
        </w:tc>
        <w:tc>
          <w:tcPr>
            <w:tcW w:w="1984" w:type="dxa"/>
          </w:tcPr>
          <w:p w:rsidR="00441F6C" w:rsidRPr="00441F6C" w:rsidRDefault="00441F6C" w:rsidP="007A380A">
            <w:p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New Zealand with collaboration from other interested CMS Parties</w:t>
            </w:r>
          </w:p>
          <w:p w:rsidR="00441F6C" w:rsidRPr="00441F6C" w:rsidRDefault="00441F6C" w:rsidP="007A380A">
            <w:pPr>
              <w:suppressAutoHyphens w:val="0"/>
              <w:spacing w:before="60" w:after="60"/>
              <w:rPr>
                <w:rFonts w:ascii="Arial" w:hAnsi="Arial" w:cs="Arial"/>
                <w:b/>
                <w:bCs/>
                <w:sz w:val="20"/>
                <w:szCs w:val="20"/>
              </w:rPr>
            </w:pPr>
          </w:p>
        </w:tc>
        <w:tc>
          <w:tcPr>
            <w:tcW w:w="3969" w:type="dxa"/>
          </w:tcPr>
          <w:p w:rsidR="00441F6C" w:rsidRPr="00441F6C" w:rsidRDefault="00441F6C" w:rsidP="007A380A">
            <w:pPr>
              <w:suppressAutoHyphens w:val="0"/>
              <w:spacing w:before="60" w:after="60"/>
              <w:rPr>
                <w:rFonts w:ascii="Arial" w:hAnsi="Arial" w:cs="Arial"/>
                <w:sz w:val="20"/>
                <w:szCs w:val="20"/>
              </w:rPr>
            </w:pPr>
            <w:r w:rsidRPr="00441F6C">
              <w:rPr>
                <w:rFonts w:ascii="Arial" w:hAnsi="Arial" w:cs="Arial"/>
                <w:sz w:val="20"/>
                <w:szCs w:val="20"/>
              </w:rPr>
              <w:t>Funds for a two-year tracking programme have been committed by the New Zealand Government. Extension of the tracking programme to 2021 will require additional funds</w:t>
            </w:r>
          </w:p>
        </w:tc>
      </w:tr>
      <w:tr w:rsidR="00441F6C" w:rsidRPr="00441F6C" w:rsidTr="00547ABF">
        <w:trPr>
          <w:gridAfter w:val="1"/>
          <w:wAfter w:w="11" w:type="dxa"/>
        </w:trPr>
        <w:tc>
          <w:tcPr>
            <w:tcW w:w="4531" w:type="dxa"/>
          </w:tcPr>
          <w:p w:rsidR="00441F6C" w:rsidRPr="00441F6C" w:rsidRDefault="00441F6C" w:rsidP="007A380A">
            <w:pPr>
              <w:numPr>
                <w:ilvl w:val="1"/>
                <w:numId w:val="12"/>
              </w:numPr>
              <w:suppressAutoHyphens w:val="0"/>
              <w:autoSpaceDE w:val="0"/>
              <w:adjustRightInd w:val="0"/>
              <w:spacing w:before="60" w:after="60"/>
              <w:rPr>
                <w:rFonts w:ascii="Arial" w:hAnsi="Arial" w:cs="Arial"/>
                <w:b/>
                <w:bCs/>
                <w:color w:val="000000"/>
                <w:sz w:val="20"/>
                <w:szCs w:val="20"/>
              </w:rPr>
            </w:pPr>
            <w:r w:rsidRPr="00441F6C">
              <w:rPr>
                <w:rFonts w:ascii="Arial" w:hAnsi="Arial" w:cs="Arial"/>
                <w:color w:val="000000"/>
                <w:sz w:val="20"/>
                <w:szCs w:val="20"/>
              </w:rPr>
              <w:t>Continue diet-related sample collection, and undertake analysis, to describe diet and any changes in diet over time</w:t>
            </w:r>
          </w:p>
        </w:tc>
        <w:tc>
          <w:tcPr>
            <w:tcW w:w="2977" w:type="dxa"/>
          </w:tcPr>
          <w:p w:rsidR="00441F6C" w:rsidRPr="00441F6C" w:rsidRDefault="00441F6C" w:rsidP="007A380A">
            <w:pPr>
              <w:suppressAutoHyphens w:val="0"/>
              <w:autoSpaceDE w:val="0"/>
              <w:adjustRightInd w:val="0"/>
              <w:spacing w:before="60" w:after="60"/>
              <w:rPr>
                <w:rFonts w:ascii="Arial" w:hAnsi="Arial" w:cs="Arial"/>
                <w:b/>
                <w:bCs/>
                <w:color w:val="000000"/>
                <w:sz w:val="20"/>
                <w:szCs w:val="20"/>
              </w:rPr>
            </w:pPr>
            <w:r w:rsidRPr="00441F6C">
              <w:rPr>
                <w:rFonts w:ascii="Arial" w:hAnsi="Arial" w:cs="Arial"/>
                <w:color w:val="000000"/>
                <w:sz w:val="20"/>
                <w:szCs w:val="20"/>
              </w:rPr>
              <w:t>Better understanding of any changes in diet and how this affects population parameters</w:t>
            </w:r>
          </w:p>
        </w:tc>
        <w:tc>
          <w:tcPr>
            <w:tcW w:w="1559" w:type="dxa"/>
          </w:tcPr>
          <w:p w:rsidR="00441F6C" w:rsidRPr="00441F6C" w:rsidRDefault="00441F6C" w:rsidP="007A380A">
            <w:pPr>
              <w:suppressAutoHyphens w:val="0"/>
              <w:spacing w:before="60" w:after="60"/>
              <w:rPr>
                <w:rFonts w:ascii="Arial" w:hAnsi="Arial" w:cs="Arial"/>
                <w:b/>
                <w:bCs/>
                <w:sz w:val="20"/>
                <w:szCs w:val="20"/>
              </w:rPr>
            </w:pPr>
            <w:r w:rsidRPr="00441F6C">
              <w:rPr>
                <w:rFonts w:ascii="Arial" w:hAnsi="Arial" w:cs="Arial"/>
                <w:sz w:val="20"/>
                <w:szCs w:val="20"/>
              </w:rPr>
              <w:t>2019-2024</w:t>
            </w:r>
          </w:p>
        </w:tc>
        <w:tc>
          <w:tcPr>
            <w:tcW w:w="1984" w:type="dxa"/>
          </w:tcPr>
          <w:p w:rsidR="00441F6C" w:rsidRPr="00441F6C" w:rsidRDefault="00441F6C" w:rsidP="007A380A">
            <w:pPr>
              <w:suppressAutoHyphens w:val="0"/>
              <w:autoSpaceDE w:val="0"/>
              <w:adjustRightInd w:val="0"/>
              <w:spacing w:before="60" w:after="60"/>
              <w:rPr>
                <w:rFonts w:ascii="Arial" w:hAnsi="Arial" w:cs="Arial"/>
                <w:b/>
                <w:bCs/>
                <w:color w:val="000000"/>
                <w:sz w:val="20"/>
                <w:szCs w:val="20"/>
              </w:rPr>
            </w:pPr>
            <w:r w:rsidRPr="00441F6C">
              <w:rPr>
                <w:rFonts w:ascii="Arial" w:hAnsi="Arial" w:cs="Arial"/>
                <w:color w:val="000000"/>
                <w:sz w:val="20"/>
                <w:szCs w:val="20"/>
              </w:rPr>
              <w:t>New Zealand with collaboration from other interested CMS Parties</w:t>
            </w:r>
          </w:p>
        </w:tc>
        <w:tc>
          <w:tcPr>
            <w:tcW w:w="3969" w:type="dxa"/>
          </w:tcPr>
          <w:p w:rsidR="00441F6C" w:rsidRPr="00441F6C" w:rsidRDefault="00441F6C" w:rsidP="007A380A">
            <w:pPr>
              <w:suppressAutoHyphens w:val="0"/>
              <w:spacing w:before="60" w:after="60"/>
              <w:rPr>
                <w:rFonts w:ascii="Arial" w:hAnsi="Arial" w:cs="Arial"/>
                <w:sz w:val="20"/>
                <w:szCs w:val="20"/>
              </w:rPr>
            </w:pPr>
            <w:r w:rsidRPr="00441F6C">
              <w:rPr>
                <w:rFonts w:ascii="Arial" w:hAnsi="Arial" w:cs="Arial"/>
                <w:sz w:val="20"/>
                <w:szCs w:val="20"/>
              </w:rPr>
              <w:t>Sample collection is funded through the programme outlined in 3.1. Additional funds or collaboration will be required for further analysis</w:t>
            </w:r>
          </w:p>
        </w:tc>
      </w:tr>
      <w:tr w:rsidR="00441F6C" w:rsidRPr="00441F6C" w:rsidTr="00547ABF">
        <w:trPr>
          <w:gridAfter w:val="1"/>
          <w:wAfter w:w="11" w:type="dxa"/>
        </w:trPr>
        <w:tc>
          <w:tcPr>
            <w:tcW w:w="4531" w:type="dxa"/>
          </w:tcPr>
          <w:p w:rsidR="00441F6C" w:rsidRPr="00441F6C" w:rsidRDefault="00441F6C" w:rsidP="007A380A">
            <w:pPr>
              <w:numPr>
                <w:ilvl w:val="1"/>
                <w:numId w:val="12"/>
              </w:num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Assess levels of plastic ingestion</w:t>
            </w:r>
          </w:p>
          <w:p w:rsidR="00441F6C" w:rsidRPr="00441F6C" w:rsidRDefault="00441F6C" w:rsidP="007A380A">
            <w:pPr>
              <w:suppressAutoHyphens w:val="0"/>
              <w:spacing w:before="60" w:after="60"/>
              <w:rPr>
                <w:rFonts w:ascii="Arial" w:hAnsi="Arial" w:cs="Arial"/>
                <w:b/>
                <w:bCs/>
                <w:sz w:val="20"/>
                <w:szCs w:val="20"/>
              </w:rPr>
            </w:pPr>
          </w:p>
        </w:tc>
        <w:tc>
          <w:tcPr>
            <w:tcW w:w="2977" w:type="dxa"/>
          </w:tcPr>
          <w:p w:rsidR="00441F6C" w:rsidRPr="00441F6C" w:rsidRDefault="00441F6C" w:rsidP="007A380A">
            <w:p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Better understanding of the potential risk posed by plastic pollution</w:t>
            </w:r>
          </w:p>
          <w:p w:rsidR="00441F6C" w:rsidRPr="00441F6C" w:rsidRDefault="00441F6C" w:rsidP="007A380A">
            <w:pPr>
              <w:suppressAutoHyphens w:val="0"/>
              <w:spacing w:before="60" w:after="60"/>
              <w:rPr>
                <w:rFonts w:ascii="Arial" w:hAnsi="Arial" w:cs="Arial"/>
                <w:b/>
                <w:bCs/>
                <w:sz w:val="20"/>
                <w:szCs w:val="20"/>
              </w:rPr>
            </w:pPr>
          </w:p>
        </w:tc>
        <w:tc>
          <w:tcPr>
            <w:tcW w:w="1559" w:type="dxa"/>
          </w:tcPr>
          <w:p w:rsidR="00441F6C" w:rsidRPr="00441F6C" w:rsidRDefault="00441F6C" w:rsidP="007A380A">
            <w:pPr>
              <w:suppressAutoHyphens w:val="0"/>
              <w:spacing w:before="60" w:after="60"/>
              <w:rPr>
                <w:rFonts w:ascii="Arial" w:hAnsi="Arial" w:cs="Arial"/>
                <w:b/>
                <w:bCs/>
                <w:sz w:val="20"/>
                <w:szCs w:val="20"/>
              </w:rPr>
            </w:pPr>
            <w:r w:rsidRPr="00441F6C">
              <w:rPr>
                <w:rFonts w:ascii="Arial" w:hAnsi="Arial" w:cs="Arial"/>
                <w:sz w:val="20"/>
                <w:szCs w:val="20"/>
              </w:rPr>
              <w:t>2021-2024</w:t>
            </w:r>
          </w:p>
        </w:tc>
        <w:tc>
          <w:tcPr>
            <w:tcW w:w="1984" w:type="dxa"/>
          </w:tcPr>
          <w:p w:rsidR="00441F6C" w:rsidRPr="002930DA" w:rsidRDefault="00441F6C" w:rsidP="002930DA">
            <w:p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New Zealand with collaboration from other interested CMS Parties</w:t>
            </w:r>
          </w:p>
        </w:tc>
        <w:tc>
          <w:tcPr>
            <w:tcW w:w="3969" w:type="dxa"/>
          </w:tcPr>
          <w:p w:rsidR="00441F6C" w:rsidRPr="00441F6C" w:rsidRDefault="00441F6C" w:rsidP="007A380A">
            <w:pPr>
              <w:suppressAutoHyphens w:val="0"/>
              <w:spacing w:before="60" w:after="60"/>
              <w:rPr>
                <w:rFonts w:ascii="Arial" w:hAnsi="Arial" w:cs="Arial"/>
                <w:sz w:val="20"/>
                <w:szCs w:val="20"/>
              </w:rPr>
            </w:pPr>
            <w:r w:rsidRPr="00441F6C">
              <w:rPr>
                <w:rFonts w:ascii="Arial" w:hAnsi="Arial" w:cs="Arial"/>
                <w:sz w:val="20"/>
                <w:szCs w:val="20"/>
              </w:rPr>
              <w:t>Sample collection is funded through the programme outlined in 3.1. Additional funds for collaboration will be required for further analysis</w:t>
            </w:r>
          </w:p>
        </w:tc>
      </w:tr>
      <w:tr w:rsidR="00441F6C" w:rsidRPr="00441F6C" w:rsidTr="002930DA">
        <w:trPr>
          <w:gridAfter w:val="1"/>
          <w:wAfter w:w="11" w:type="dxa"/>
        </w:trPr>
        <w:tc>
          <w:tcPr>
            <w:tcW w:w="4531" w:type="dxa"/>
            <w:tcBorders>
              <w:bottom w:val="single" w:sz="4" w:space="0" w:color="auto"/>
            </w:tcBorders>
          </w:tcPr>
          <w:p w:rsidR="00441F6C" w:rsidRPr="00441F6C" w:rsidRDefault="00441F6C" w:rsidP="007A380A">
            <w:pPr>
              <w:numPr>
                <w:ilvl w:val="1"/>
                <w:numId w:val="12"/>
              </w:num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Investigate the nature, extent and drivers of land slips at Antipodes Island</w:t>
            </w:r>
          </w:p>
          <w:p w:rsidR="00441F6C" w:rsidRPr="00441F6C" w:rsidRDefault="00441F6C" w:rsidP="007A380A">
            <w:pPr>
              <w:suppressAutoHyphens w:val="0"/>
              <w:spacing w:before="60" w:after="60"/>
              <w:rPr>
                <w:rFonts w:ascii="Arial" w:hAnsi="Arial" w:cs="Arial"/>
                <w:b/>
                <w:bCs/>
                <w:sz w:val="20"/>
                <w:szCs w:val="20"/>
              </w:rPr>
            </w:pPr>
          </w:p>
        </w:tc>
        <w:tc>
          <w:tcPr>
            <w:tcW w:w="2977" w:type="dxa"/>
            <w:tcBorders>
              <w:bottom w:val="single" w:sz="4" w:space="0" w:color="auto"/>
            </w:tcBorders>
          </w:tcPr>
          <w:p w:rsidR="00441F6C" w:rsidRPr="00441F6C" w:rsidRDefault="00441F6C" w:rsidP="007A380A">
            <w:p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Better understanding of potential risks posed by land slips</w:t>
            </w:r>
          </w:p>
          <w:p w:rsidR="00441F6C" w:rsidRPr="00441F6C" w:rsidRDefault="00441F6C" w:rsidP="007A380A">
            <w:pPr>
              <w:suppressAutoHyphens w:val="0"/>
              <w:spacing w:before="60" w:after="60"/>
              <w:rPr>
                <w:rFonts w:ascii="Arial" w:hAnsi="Arial" w:cs="Arial"/>
                <w:b/>
                <w:bCs/>
                <w:sz w:val="20"/>
                <w:szCs w:val="20"/>
              </w:rPr>
            </w:pPr>
          </w:p>
        </w:tc>
        <w:tc>
          <w:tcPr>
            <w:tcW w:w="1559" w:type="dxa"/>
            <w:tcBorders>
              <w:bottom w:val="single" w:sz="4" w:space="0" w:color="auto"/>
            </w:tcBorders>
          </w:tcPr>
          <w:p w:rsidR="00441F6C" w:rsidRPr="00441F6C" w:rsidRDefault="00441F6C" w:rsidP="007A380A">
            <w:pPr>
              <w:suppressAutoHyphens w:val="0"/>
              <w:spacing w:before="60" w:after="60"/>
              <w:rPr>
                <w:rFonts w:ascii="Arial" w:hAnsi="Arial" w:cs="Arial"/>
                <w:b/>
                <w:bCs/>
                <w:sz w:val="20"/>
                <w:szCs w:val="20"/>
              </w:rPr>
            </w:pPr>
            <w:r w:rsidRPr="00441F6C">
              <w:rPr>
                <w:rFonts w:ascii="Arial" w:hAnsi="Arial" w:cs="Arial"/>
                <w:sz w:val="20"/>
                <w:szCs w:val="20"/>
              </w:rPr>
              <w:t>2021-2024</w:t>
            </w:r>
          </w:p>
        </w:tc>
        <w:tc>
          <w:tcPr>
            <w:tcW w:w="1984" w:type="dxa"/>
            <w:tcBorders>
              <w:bottom w:val="single" w:sz="4" w:space="0" w:color="auto"/>
            </w:tcBorders>
          </w:tcPr>
          <w:p w:rsidR="00441F6C" w:rsidRPr="002930DA" w:rsidRDefault="00441F6C" w:rsidP="002930DA">
            <w:p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New Zealand with collaboration from other interested CMS Parties.</w:t>
            </w:r>
          </w:p>
        </w:tc>
        <w:tc>
          <w:tcPr>
            <w:tcW w:w="3969" w:type="dxa"/>
            <w:tcBorders>
              <w:bottom w:val="single" w:sz="4" w:space="0" w:color="auto"/>
            </w:tcBorders>
          </w:tcPr>
          <w:p w:rsidR="00441F6C" w:rsidRPr="00441F6C" w:rsidRDefault="00441F6C" w:rsidP="007A380A">
            <w:pPr>
              <w:suppressAutoHyphens w:val="0"/>
              <w:spacing w:before="60" w:after="60"/>
              <w:rPr>
                <w:rFonts w:ascii="Arial" w:hAnsi="Arial" w:cs="Arial"/>
                <w:sz w:val="20"/>
                <w:szCs w:val="20"/>
              </w:rPr>
            </w:pPr>
            <w:r w:rsidRPr="00441F6C">
              <w:rPr>
                <w:rFonts w:ascii="Arial" w:hAnsi="Arial" w:cs="Arial"/>
                <w:sz w:val="20"/>
                <w:szCs w:val="20"/>
              </w:rPr>
              <w:t>Data collection is funded through the programme outlined in 3.1. Additional funds or collaboration will be required for further analysis</w:t>
            </w:r>
          </w:p>
        </w:tc>
      </w:tr>
      <w:tr w:rsidR="00441F6C" w:rsidRPr="00441F6C" w:rsidTr="002930DA">
        <w:trPr>
          <w:gridAfter w:val="1"/>
          <w:wAfter w:w="11" w:type="dxa"/>
        </w:trPr>
        <w:tc>
          <w:tcPr>
            <w:tcW w:w="4531" w:type="dxa"/>
            <w:tcBorders>
              <w:bottom w:val="single" w:sz="4" w:space="0" w:color="auto"/>
            </w:tcBorders>
          </w:tcPr>
          <w:p w:rsidR="00547ABF" w:rsidRPr="00547ABF" w:rsidRDefault="00441F6C" w:rsidP="00547ABF">
            <w:pPr>
              <w:numPr>
                <w:ilvl w:val="1"/>
                <w:numId w:val="12"/>
              </w:numPr>
              <w:suppressAutoHyphens w:val="0"/>
              <w:autoSpaceDE w:val="0"/>
              <w:adjustRightInd w:val="0"/>
              <w:spacing w:before="60" w:after="60"/>
              <w:rPr>
                <w:rFonts w:ascii="Arial" w:hAnsi="Arial" w:cs="Arial"/>
                <w:b/>
                <w:bCs/>
                <w:color w:val="000000"/>
                <w:sz w:val="20"/>
                <w:szCs w:val="20"/>
              </w:rPr>
            </w:pPr>
            <w:r w:rsidRPr="00441F6C">
              <w:rPr>
                <w:rFonts w:ascii="Arial" w:hAnsi="Arial" w:cs="Arial"/>
                <w:color w:val="000000"/>
                <w:sz w:val="20"/>
                <w:szCs w:val="20"/>
              </w:rPr>
              <w:t xml:space="preserve">Develop opportunities into </w:t>
            </w:r>
            <w:proofErr w:type="spellStart"/>
            <w:r w:rsidRPr="00441F6C">
              <w:rPr>
                <w:rFonts w:ascii="Arial" w:hAnsi="Arial" w:cs="Arial"/>
                <w:color w:val="000000"/>
                <w:sz w:val="20"/>
                <w:szCs w:val="20"/>
              </w:rPr>
              <w:t>mātauranga</w:t>
            </w:r>
            <w:proofErr w:type="spellEnd"/>
            <w:r w:rsidRPr="00441F6C">
              <w:rPr>
                <w:rFonts w:ascii="Arial" w:hAnsi="Arial" w:cs="Arial"/>
                <w:color w:val="000000"/>
                <w:sz w:val="20"/>
                <w:szCs w:val="20"/>
              </w:rPr>
              <w:t xml:space="preserve"> Māori (New Zealand’s indigenous knowledge) to inform the management of the species and help facilitate opportunities for </w:t>
            </w:r>
            <w:proofErr w:type="spellStart"/>
            <w:r w:rsidRPr="00441F6C">
              <w:rPr>
                <w:rFonts w:ascii="Arial" w:hAnsi="Arial" w:cs="Arial"/>
                <w:color w:val="000000"/>
                <w:sz w:val="20"/>
                <w:szCs w:val="20"/>
              </w:rPr>
              <w:t>Ngāi</w:t>
            </w:r>
            <w:proofErr w:type="spellEnd"/>
            <w:r w:rsidRPr="00441F6C">
              <w:rPr>
                <w:rFonts w:ascii="Arial" w:hAnsi="Arial" w:cs="Arial"/>
                <w:color w:val="000000"/>
                <w:sz w:val="20"/>
                <w:szCs w:val="20"/>
              </w:rPr>
              <w:t xml:space="preserve"> </w:t>
            </w:r>
            <w:proofErr w:type="spellStart"/>
            <w:r w:rsidRPr="00441F6C">
              <w:rPr>
                <w:rFonts w:ascii="Arial" w:hAnsi="Arial" w:cs="Arial"/>
                <w:color w:val="000000"/>
                <w:sz w:val="20"/>
                <w:szCs w:val="20"/>
              </w:rPr>
              <w:t>Tahu</w:t>
            </w:r>
            <w:proofErr w:type="spellEnd"/>
            <w:r w:rsidRPr="00441F6C">
              <w:rPr>
                <w:rFonts w:ascii="Arial" w:hAnsi="Arial" w:cs="Arial"/>
                <w:color w:val="000000"/>
                <w:sz w:val="20"/>
                <w:szCs w:val="20"/>
              </w:rPr>
              <w:t xml:space="preserve"> (the principal indigenous tribe of the southern region of New Zealand) to develop a stronger connection between </w:t>
            </w:r>
            <w:proofErr w:type="spellStart"/>
            <w:r w:rsidRPr="00441F6C">
              <w:rPr>
                <w:rFonts w:ascii="Arial" w:hAnsi="Arial" w:cs="Arial"/>
                <w:color w:val="000000"/>
                <w:sz w:val="20"/>
                <w:szCs w:val="20"/>
              </w:rPr>
              <w:t>Ngāi</w:t>
            </w:r>
            <w:proofErr w:type="spellEnd"/>
            <w:r w:rsidRPr="00441F6C">
              <w:rPr>
                <w:rFonts w:ascii="Arial" w:hAnsi="Arial" w:cs="Arial"/>
                <w:color w:val="000000"/>
                <w:sz w:val="20"/>
                <w:szCs w:val="20"/>
              </w:rPr>
              <w:t xml:space="preserve"> </w:t>
            </w:r>
            <w:proofErr w:type="spellStart"/>
            <w:r w:rsidRPr="00441F6C">
              <w:rPr>
                <w:rFonts w:ascii="Arial" w:hAnsi="Arial" w:cs="Arial"/>
                <w:color w:val="000000"/>
                <w:sz w:val="20"/>
                <w:szCs w:val="20"/>
              </w:rPr>
              <w:t>Tahu</w:t>
            </w:r>
            <w:proofErr w:type="spellEnd"/>
            <w:r w:rsidRPr="00441F6C">
              <w:rPr>
                <w:rFonts w:ascii="Arial" w:hAnsi="Arial" w:cs="Arial"/>
                <w:color w:val="000000"/>
                <w:sz w:val="20"/>
                <w:szCs w:val="20"/>
              </w:rPr>
              <w:t xml:space="preserve"> and </w:t>
            </w:r>
            <w:r w:rsidRPr="00441F6C">
              <w:rPr>
                <w:rFonts w:ascii="Arial" w:hAnsi="Arial" w:cs="Arial"/>
                <w:i/>
                <w:iCs/>
                <w:color w:val="000000"/>
                <w:sz w:val="20"/>
                <w:szCs w:val="20"/>
              </w:rPr>
              <w:t xml:space="preserve">D. </w:t>
            </w:r>
            <w:proofErr w:type="spellStart"/>
            <w:r w:rsidRPr="00441F6C">
              <w:rPr>
                <w:rFonts w:ascii="Arial" w:hAnsi="Arial" w:cs="Arial"/>
                <w:i/>
                <w:iCs/>
                <w:color w:val="000000"/>
                <w:sz w:val="20"/>
                <w:szCs w:val="20"/>
              </w:rPr>
              <w:t>antipodensis</w:t>
            </w:r>
            <w:proofErr w:type="spellEnd"/>
          </w:p>
        </w:tc>
        <w:tc>
          <w:tcPr>
            <w:tcW w:w="2977" w:type="dxa"/>
            <w:tcBorders>
              <w:bottom w:val="single" w:sz="4" w:space="0" w:color="auto"/>
            </w:tcBorders>
          </w:tcPr>
          <w:p w:rsidR="00441F6C" w:rsidRPr="00441F6C" w:rsidRDefault="00441F6C" w:rsidP="007A380A">
            <w:pPr>
              <w:suppressAutoHyphens w:val="0"/>
              <w:autoSpaceDE w:val="0"/>
              <w:adjustRightInd w:val="0"/>
              <w:spacing w:before="60" w:after="60"/>
              <w:rPr>
                <w:rFonts w:ascii="Arial" w:hAnsi="Arial" w:cs="Arial"/>
                <w:color w:val="000000"/>
                <w:sz w:val="20"/>
                <w:szCs w:val="20"/>
              </w:rPr>
            </w:pPr>
            <w:proofErr w:type="spellStart"/>
            <w:r w:rsidRPr="00441F6C">
              <w:rPr>
                <w:rFonts w:ascii="Arial" w:hAnsi="Arial" w:cs="Arial"/>
                <w:color w:val="000000"/>
                <w:sz w:val="20"/>
                <w:szCs w:val="20"/>
              </w:rPr>
              <w:t>Mātauranga</w:t>
            </w:r>
            <w:proofErr w:type="spellEnd"/>
            <w:r w:rsidRPr="00441F6C">
              <w:rPr>
                <w:rFonts w:ascii="Arial" w:hAnsi="Arial" w:cs="Arial"/>
                <w:color w:val="000000"/>
                <w:sz w:val="20"/>
                <w:szCs w:val="20"/>
              </w:rPr>
              <w:t xml:space="preserve"> Māori available to inform future management and conservation actions</w:t>
            </w:r>
          </w:p>
          <w:p w:rsidR="00441F6C" w:rsidRPr="00441F6C" w:rsidRDefault="00441F6C" w:rsidP="007A380A">
            <w:pPr>
              <w:suppressAutoHyphens w:val="0"/>
              <w:spacing w:before="60" w:after="60"/>
              <w:rPr>
                <w:rFonts w:ascii="Arial" w:hAnsi="Arial" w:cs="Arial"/>
                <w:b/>
                <w:bCs/>
                <w:sz w:val="20"/>
                <w:szCs w:val="20"/>
              </w:rPr>
            </w:pPr>
          </w:p>
        </w:tc>
        <w:tc>
          <w:tcPr>
            <w:tcW w:w="1559" w:type="dxa"/>
            <w:tcBorders>
              <w:bottom w:val="single" w:sz="4" w:space="0" w:color="auto"/>
            </w:tcBorders>
          </w:tcPr>
          <w:p w:rsidR="00441F6C" w:rsidRPr="00441F6C" w:rsidRDefault="00441F6C" w:rsidP="007A380A">
            <w:pPr>
              <w:suppressAutoHyphens w:val="0"/>
              <w:spacing w:before="60" w:after="60"/>
              <w:rPr>
                <w:rFonts w:ascii="Arial" w:hAnsi="Arial" w:cs="Arial"/>
                <w:sz w:val="20"/>
                <w:szCs w:val="20"/>
              </w:rPr>
            </w:pPr>
            <w:r w:rsidRPr="00441F6C">
              <w:rPr>
                <w:rFonts w:ascii="Arial" w:hAnsi="Arial" w:cs="Arial"/>
                <w:sz w:val="20"/>
                <w:szCs w:val="20"/>
              </w:rPr>
              <w:t>Ongoing</w:t>
            </w:r>
          </w:p>
        </w:tc>
        <w:tc>
          <w:tcPr>
            <w:tcW w:w="1984" w:type="dxa"/>
            <w:tcBorders>
              <w:bottom w:val="single" w:sz="4" w:space="0" w:color="auto"/>
            </w:tcBorders>
          </w:tcPr>
          <w:p w:rsidR="00441F6C" w:rsidRPr="00441F6C" w:rsidRDefault="00441F6C" w:rsidP="007A380A">
            <w:p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 xml:space="preserve">New Zealand </w:t>
            </w:r>
          </w:p>
          <w:p w:rsidR="00441F6C" w:rsidRPr="00441F6C" w:rsidRDefault="00441F6C" w:rsidP="007A380A">
            <w:pPr>
              <w:suppressAutoHyphens w:val="0"/>
              <w:spacing w:before="60" w:after="60"/>
              <w:rPr>
                <w:rFonts w:ascii="Arial" w:hAnsi="Arial" w:cs="Arial"/>
                <w:b/>
                <w:bCs/>
                <w:sz w:val="20"/>
                <w:szCs w:val="20"/>
              </w:rPr>
            </w:pPr>
          </w:p>
        </w:tc>
        <w:tc>
          <w:tcPr>
            <w:tcW w:w="3969" w:type="dxa"/>
            <w:tcBorders>
              <w:bottom w:val="single" w:sz="4" w:space="0" w:color="auto"/>
            </w:tcBorders>
          </w:tcPr>
          <w:p w:rsidR="00441F6C" w:rsidRPr="00441F6C" w:rsidRDefault="00441F6C" w:rsidP="007A380A">
            <w:pPr>
              <w:suppressAutoHyphens w:val="0"/>
              <w:spacing w:before="60" w:after="60"/>
              <w:rPr>
                <w:rFonts w:ascii="Arial" w:hAnsi="Arial" w:cs="Arial"/>
                <w:sz w:val="20"/>
                <w:szCs w:val="20"/>
              </w:rPr>
            </w:pPr>
            <w:r w:rsidRPr="00441F6C">
              <w:rPr>
                <w:rFonts w:ascii="Arial" w:hAnsi="Arial" w:cs="Arial"/>
                <w:sz w:val="20"/>
                <w:szCs w:val="20"/>
              </w:rPr>
              <w:t>Additional funds will be required on a case by case basis</w:t>
            </w:r>
          </w:p>
        </w:tc>
      </w:tr>
      <w:tr w:rsidR="00441F6C" w:rsidRPr="00441F6C" w:rsidTr="00547ABF">
        <w:tc>
          <w:tcPr>
            <w:tcW w:w="15031" w:type="dxa"/>
            <w:gridSpan w:val="6"/>
            <w:shd w:val="clear" w:color="auto" w:fill="D9D9D9"/>
          </w:tcPr>
          <w:p w:rsidR="00441F6C" w:rsidRPr="00441F6C" w:rsidRDefault="00441F6C" w:rsidP="007A380A">
            <w:pPr>
              <w:numPr>
                <w:ilvl w:val="0"/>
                <w:numId w:val="10"/>
              </w:numPr>
              <w:suppressAutoHyphens w:val="0"/>
              <w:spacing w:before="60" w:after="60"/>
              <w:contextualSpacing/>
              <w:rPr>
                <w:rFonts w:ascii="Arial" w:hAnsi="Arial" w:cs="Arial"/>
                <w:b/>
                <w:bCs/>
                <w:sz w:val="20"/>
                <w:szCs w:val="20"/>
              </w:rPr>
            </w:pPr>
            <w:r w:rsidRPr="00441F6C">
              <w:rPr>
                <w:rFonts w:ascii="Arial" w:hAnsi="Arial" w:cs="Arial"/>
                <w:b/>
                <w:bCs/>
                <w:sz w:val="20"/>
                <w:szCs w:val="20"/>
              </w:rPr>
              <w:lastRenderedPageBreak/>
              <w:t>Breeding site management</w:t>
            </w:r>
          </w:p>
        </w:tc>
      </w:tr>
      <w:tr w:rsidR="00441F6C" w:rsidRPr="00441F6C" w:rsidTr="00547ABF">
        <w:trPr>
          <w:gridAfter w:val="1"/>
          <w:wAfter w:w="11" w:type="dxa"/>
        </w:trPr>
        <w:tc>
          <w:tcPr>
            <w:tcW w:w="4531" w:type="dxa"/>
          </w:tcPr>
          <w:p w:rsidR="00441F6C" w:rsidRPr="00441F6C" w:rsidRDefault="00441F6C" w:rsidP="007A380A">
            <w:pPr>
              <w:numPr>
                <w:ilvl w:val="1"/>
                <w:numId w:val="10"/>
              </w:num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Eradication of mammalian pests at Auckland Island</w:t>
            </w:r>
          </w:p>
        </w:tc>
        <w:tc>
          <w:tcPr>
            <w:tcW w:w="2977" w:type="dxa"/>
          </w:tcPr>
          <w:p w:rsidR="00441F6C" w:rsidRPr="00441F6C" w:rsidRDefault="00441F6C" w:rsidP="007A380A">
            <w:pPr>
              <w:suppressAutoHyphens w:val="0"/>
              <w:spacing w:before="60" w:after="60"/>
              <w:rPr>
                <w:rFonts w:ascii="Arial" w:hAnsi="Arial" w:cs="Arial"/>
                <w:b/>
                <w:bCs/>
                <w:sz w:val="20"/>
                <w:szCs w:val="20"/>
              </w:rPr>
            </w:pPr>
            <w:r w:rsidRPr="00441F6C">
              <w:rPr>
                <w:rFonts w:ascii="Arial" w:hAnsi="Arial" w:cs="Arial"/>
                <w:sz w:val="20"/>
                <w:szCs w:val="20"/>
              </w:rPr>
              <w:t>Safe and protected breeding sites with no human-induced threats</w:t>
            </w:r>
          </w:p>
        </w:tc>
        <w:tc>
          <w:tcPr>
            <w:tcW w:w="1559" w:type="dxa"/>
          </w:tcPr>
          <w:p w:rsidR="00441F6C" w:rsidRPr="00441F6C" w:rsidRDefault="00441F6C" w:rsidP="007A380A">
            <w:pPr>
              <w:suppressAutoHyphens w:val="0"/>
              <w:spacing w:before="60" w:after="60"/>
              <w:rPr>
                <w:rFonts w:ascii="Arial" w:hAnsi="Arial" w:cs="Arial"/>
                <w:b/>
                <w:bCs/>
                <w:sz w:val="20"/>
                <w:szCs w:val="20"/>
              </w:rPr>
            </w:pPr>
            <w:r w:rsidRPr="00441F6C">
              <w:rPr>
                <w:rFonts w:ascii="Arial" w:hAnsi="Arial" w:cs="Arial"/>
                <w:sz w:val="20"/>
                <w:szCs w:val="20"/>
              </w:rPr>
              <w:t>Programme under development, with 10-year indicative timeline</w:t>
            </w:r>
          </w:p>
        </w:tc>
        <w:tc>
          <w:tcPr>
            <w:tcW w:w="1984" w:type="dxa"/>
          </w:tcPr>
          <w:p w:rsidR="00441F6C" w:rsidRPr="00441F6C" w:rsidRDefault="00441F6C" w:rsidP="007A380A">
            <w:pPr>
              <w:suppressAutoHyphens w:val="0"/>
              <w:spacing w:before="60" w:after="60"/>
              <w:rPr>
                <w:rFonts w:ascii="Arial" w:hAnsi="Arial" w:cs="Arial"/>
                <w:b/>
                <w:bCs/>
                <w:sz w:val="20"/>
                <w:szCs w:val="20"/>
              </w:rPr>
            </w:pPr>
            <w:r w:rsidRPr="00441F6C">
              <w:rPr>
                <w:rFonts w:ascii="Arial" w:hAnsi="Arial" w:cs="Arial"/>
                <w:sz w:val="20"/>
                <w:szCs w:val="20"/>
              </w:rPr>
              <w:t>New Zealand</w:t>
            </w:r>
          </w:p>
        </w:tc>
        <w:tc>
          <w:tcPr>
            <w:tcW w:w="3969" w:type="dxa"/>
          </w:tcPr>
          <w:p w:rsidR="00441F6C" w:rsidRPr="00441F6C" w:rsidRDefault="00441F6C" w:rsidP="007A380A">
            <w:pPr>
              <w:suppressAutoHyphens w:val="0"/>
              <w:spacing w:before="60" w:after="60"/>
              <w:rPr>
                <w:rFonts w:ascii="Arial" w:hAnsi="Arial" w:cs="Arial"/>
                <w:sz w:val="20"/>
                <w:szCs w:val="20"/>
              </w:rPr>
            </w:pPr>
            <w:r w:rsidRPr="00441F6C">
              <w:rPr>
                <w:rFonts w:ascii="Arial" w:hAnsi="Arial" w:cs="Arial"/>
                <w:sz w:val="20"/>
                <w:szCs w:val="20"/>
              </w:rPr>
              <w:t>The New Zealand Government has committed NZD2 million, but additional funds will be required for completion of the programme</w:t>
            </w:r>
          </w:p>
        </w:tc>
      </w:tr>
      <w:tr w:rsidR="00441F6C" w:rsidRPr="00441F6C" w:rsidTr="00547ABF">
        <w:trPr>
          <w:gridAfter w:val="1"/>
          <w:wAfter w:w="11" w:type="dxa"/>
        </w:trPr>
        <w:tc>
          <w:tcPr>
            <w:tcW w:w="4531" w:type="dxa"/>
          </w:tcPr>
          <w:p w:rsidR="00441F6C" w:rsidRPr="00441F6C" w:rsidRDefault="00441F6C" w:rsidP="007A380A">
            <w:pPr>
              <w:numPr>
                <w:ilvl w:val="1"/>
                <w:numId w:val="13"/>
              </w:numPr>
              <w:suppressAutoHyphens w:val="0"/>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Continued protection and biosecurity control to main breeding site islands</w:t>
            </w:r>
          </w:p>
          <w:p w:rsidR="00441F6C" w:rsidRPr="00441F6C" w:rsidRDefault="00441F6C" w:rsidP="007A380A">
            <w:pPr>
              <w:suppressAutoHyphens w:val="0"/>
              <w:spacing w:before="60" w:after="60"/>
              <w:rPr>
                <w:rFonts w:ascii="Arial" w:hAnsi="Arial" w:cs="Arial"/>
                <w:b/>
                <w:bCs/>
                <w:sz w:val="20"/>
                <w:szCs w:val="20"/>
              </w:rPr>
            </w:pPr>
          </w:p>
        </w:tc>
        <w:tc>
          <w:tcPr>
            <w:tcW w:w="2977" w:type="dxa"/>
          </w:tcPr>
          <w:p w:rsidR="00441F6C" w:rsidRPr="00441F6C" w:rsidRDefault="00441F6C" w:rsidP="007A380A">
            <w:pPr>
              <w:suppressAutoHyphens w:val="0"/>
              <w:spacing w:before="60" w:after="60"/>
              <w:rPr>
                <w:rFonts w:ascii="Arial" w:hAnsi="Arial" w:cs="Arial"/>
                <w:b/>
                <w:bCs/>
                <w:sz w:val="20"/>
                <w:szCs w:val="20"/>
              </w:rPr>
            </w:pPr>
            <w:r w:rsidRPr="00441F6C">
              <w:rPr>
                <w:rFonts w:ascii="Arial" w:hAnsi="Arial" w:cs="Arial"/>
                <w:sz w:val="20"/>
                <w:szCs w:val="20"/>
              </w:rPr>
              <w:t>Safe and protected breeding sites with no human-induced threats</w:t>
            </w:r>
          </w:p>
        </w:tc>
        <w:tc>
          <w:tcPr>
            <w:tcW w:w="1559" w:type="dxa"/>
          </w:tcPr>
          <w:p w:rsidR="00441F6C" w:rsidRPr="00441F6C" w:rsidRDefault="00441F6C" w:rsidP="007A380A">
            <w:pPr>
              <w:suppressAutoHyphens w:val="0"/>
              <w:spacing w:before="60" w:after="60"/>
              <w:rPr>
                <w:rFonts w:ascii="Arial" w:hAnsi="Arial" w:cs="Arial"/>
                <w:sz w:val="20"/>
                <w:szCs w:val="20"/>
              </w:rPr>
            </w:pPr>
            <w:r w:rsidRPr="00441F6C">
              <w:rPr>
                <w:rFonts w:ascii="Arial" w:hAnsi="Arial" w:cs="Arial"/>
                <w:sz w:val="20"/>
                <w:szCs w:val="20"/>
              </w:rPr>
              <w:t>Ongoing</w:t>
            </w:r>
          </w:p>
        </w:tc>
        <w:tc>
          <w:tcPr>
            <w:tcW w:w="1984" w:type="dxa"/>
          </w:tcPr>
          <w:p w:rsidR="00441F6C" w:rsidRPr="00441F6C" w:rsidRDefault="00441F6C" w:rsidP="007A380A">
            <w:pPr>
              <w:suppressAutoHyphens w:val="0"/>
              <w:spacing w:before="60" w:after="60"/>
              <w:rPr>
                <w:rFonts w:ascii="Arial" w:hAnsi="Arial" w:cs="Arial"/>
                <w:b/>
                <w:bCs/>
                <w:sz w:val="20"/>
                <w:szCs w:val="20"/>
              </w:rPr>
            </w:pPr>
            <w:r w:rsidRPr="00441F6C">
              <w:rPr>
                <w:rFonts w:ascii="Arial" w:hAnsi="Arial" w:cs="Arial"/>
                <w:sz w:val="20"/>
                <w:szCs w:val="20"/>
              </w:rPr>
              <w:t>New Zealand</w:t>
            </w:r>
          </w:p>
        </w:tc>
        <w:tc>
          <w:tcPr>
            <w:tcW w:w="3969" w:type="dxa"/>
          </w:tcPr>
          <w:p w:rsidR="00441F6C" w:rsidRPr="00441F6C" w:rsidRDefault="00441F6C" w:rsidP="007A380A">
            <w:pPr>
              <w:suppressAutoHyphens w:val="0"/>
              <w:spacing w:before="60" w:after="60"/>
              <w:rPr>
                <w:rFonts w:ascii="Arial" w:hAnsi="Arial" w:cs="Arial"/>
                <w:sz w:val="20"/>
                <w:szCs w:val="20"/>
              </w:rPr>
            </w:pPr>
            <w:r w:rsidRPr="00441F6C">
              <w:rPr>
                <w:rFonts w:ascii="Arial" w:hAnsi="Arial" w:cs="Arial"/>
                <w:sz w:val="20"/>
                <w:szCs w:val="20"/>
              </w:rPr>
              <w:t>Funds are committed by the New Zealand Government for ongoing site management</w:t>
            </w:r>
          </w:p>
        </w:tc>
      </w:tr>
    </w:tbl>
    <w:p w:rsidR="0046133B" w:rsidRDefault="0046133B" w:rsidP="00441F6C">
      <w:pPr>
        <w:spacing w:after="0"/>
        <w:ind w:left="540"/>
        <w:jc w:val="both"/>
      </w:pPr>
      <w:bookmarkStart w:id="1" w:name="_GoBack"/>
      <w:bookmarkEnd w:id="1"/>
    </w:p>
    <w:sectPr w:rsidR="0046133B" w:rsidSect="002930DA">
      <w:headerReference w:type="even" r:id="rId17"/>
      <w:headerReference w:type="default" r:id="rId18"/>
      <w:footerReference w:type="even" r:id="rId19"/>
      <w:headerReference w:type="first" r:id="rId20"/>
      <w:endnotePr>
        <w:numFmt w:val="decimal"/>
      </w:endnotePr>
      <w:pgSz w:w="16837" w:h="11905" w:orient="landscape"/>
      <w:pgMar w:top="993" w:right="1008" w:bottom="1411" w:left="1152"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38C" w:rsidRDefault="00974134">
      <w:pPr>
        <w:spacing w:after="0"/>
      </w:pPr>
      <w:r>
        <w:separator/>
      </w:r>
    </w:p>
  </w:endnote>
  <w:endnote w:type="continuationSeparator" w:id="0">
    <w:p w:rsidR="002D538C" w:rsidRDefault="009741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2930DA">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Footer"/>
      <w:ind w:right="-367"/>
      <w:jc w:val="center"/>
    </w:pP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63854333"/>
      <w:docPartObj>
        <w:docPartGallery w:val="Page Numbers (Bottom of Page)"/>
        <w:docPartUnique/>
      </w:docPartObj>
    </w:sdtPr>
    <w:sdtEndPr>
      <w:rPr>
        <w:noProof/>
      </w:rPr>
    </w:sdtEndPr>
    <w:sdtContent>
      <w:p w:rsidR="002930DA" w:rsidRPr="002930DA" w:rsidRDefault="002930DA" w:rsidP="002930DA">
        <w:pPr>
          <w:pStyle w:val="Footer"/>
          <w:jc w:val="center"/>
          <w:rPr>
            <w:sz w:val="18"/>
            <w:szCs w:val="18"/>
          </w:rPr>
        </w:pPr>
        <w:r w:rsidRPr="002930DA">
          <w:rPr>
            <w:sz w:val="18"/>
            <w:szCs w:val="18"/>
          </w:rPr>
          <w:fldChar w:fldCharType="begin"/>
        </w:r>
        <w:r w:rsidRPr="002930DA">
          <w:rPr>
            <w:sz w:val="18"/>
            <w:szCs w:val="18"/>
          </w:rPr>
          <w:instrText xml:space="preserve"> PAGE   \* MERGEFORMAT </w:instrText>
        </w:r>
        <w:r w:rsidRPr="002930DA">
          <w:rPr>
            <w:sz w:val="18"/>
            <w:szCs w:val="18"/>
          </w:rPr>
          <w:fldChar w:fldCharType="separate"/>
        </w:r>
        <w:r w:rsidRPr="002930DA">
          <w:rPr>
            <w:noProof/>
            <w:sz w:val="18"/>
            <w:szCs w:val="18"/>
          </w:rPr>
          <w:t>2</w:t>
        </w:r>
        <w:r w:rsidRPr="002930D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38C" w:rsidRDefault="00974134">
      <w:pPr>
        <w:spacing w:after="0"/>
      </w:pPr>
      <w:r>
        <w:rPr>
          <w:color w:val="000000"/>
        </w:rPr>
        <w:separator/>
      </w:r>
    </w:p>
  </w:footnote>
  <w:footnote w:type="continuationSeparator" w:id="0">
    <w:p w:rsidR="002D538C" w:rsidRDefault="009741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Heading1"/>
      <w:keepNext w:val="0"/>
      <w:pBdr>
        <w:bottom w:val="single" w:sz="4" w:space="1" w:color="000000"/>
      </w:pBdr>
      <w:ind w:left="261" w:right="-277" w:hanging="261"/>
      <w:jc w:val="right"/>
    </w:pPr>
    <w:r>
      <w:rPr>
        <w:rFonts w:cs="Arial"/>
        <w:i/>
        <w:sz w:val="18"/>
        <w:szCs w:val="18"/>
        <w:lang w:val="fr-FR"/>
      </w:rPr>
      <w:t>UNEP/CMS/COP12/</w:t>
    </w:r>
    <w:proofErr w:type="spellStart"/>
    <w:r>
      <w:rPr>
        <w:rFonts w:cs="Arial"/>
        <w:i/>
        <w:sz w:val="18"/>
        <w:szCs w:val="18"/>
        <w:lang w:val="fr-FR"/>
      </w:rPr>
      <w:t>Doc.x</w:t>
    </w:r>
    <w:proofErr w:type="spellEnd"/>
    <w:r>
      <w:rPr>
        <w:rFonts w:cs="Arial"/>
        <w:i/>
        <w:sz w:val="18"/>
        <w:szCs w:val="18"/>
        <w:lang w:val="fr-FR"/>
      </w:rPr>
      <w:t>/x</w:t>
    </w:r>
  </w:p>
  <w:p w:rsidR="00BA5E8C" w:rsidRDefault="002930DA">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Header"/>
      <w:ind w:right="-547"/>
      <w:jc w:val="right"/>
    </w:pPr>
    <w:r>
      <w:rPr>
        <w:noProof/>
      </w:rPr>
      <w:drawing>
        <wp:anchor distT="0" distB="0" distL="114300" distR="114300" simplePos="0" relativeHeight="251661312" behindDoc="0" locked="0" layoutInCell="1" allowOverlap="1">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Pr>
        <w:noProof/>
        <w:sz w:val="2"/>
        <w:szCs w:val="2"/>
      </w:rPr>
      <w:drawing>
        <wp:anchor distT="0" distB="0" distL="114300" distR="114300" simplePos="0" relativeHeight="251659264" behindDoc="0" locked="0" layoutInCell="1" allowOverlap="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Pr>
        <w:noProof/>
        <w:sz w:val="2"/>
        <w:szCs w:val="2"/>
      </w:rPr>
      <w:drawing>
        <wp:anchor distT="0" distB="0" distL="114300" distR="114300" simplePos="0" relativeHeight="251660288" behindDoc="0" locked="0" layoutInCell="1" allowOverlap="1">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0DA" w:rsidRDefault="002930DA" w:rsidP="002930DA">
    <w:pPr>
      <w:pStyle w:val="Header"/>
      <w:pBdr>
        <w:bottom w:val="single" w:sz="4" w:space="1" w:color="000000"/>
      </w:pBdr>
    </w:pPr>
    <w:r>
      <w:rPr>
        <w:rFonts w:cs="Arial"/>
        <w:i/>
        <w:sz w:val="18"/>
        <w:szCs w:val="18"/>
        <w:lang w:val="de-DE"/>
      </w:rPr>
      <w:t>UNEP/CMS/COP13/Doc.</w:t>
    </w:r>
    <w:r w:rsidRPr="00EA4491">
      <w:rPr>
        <w:rFonts w:cs="Arial"/>
        <w:i/>
        <w:sz w:val="18"/>
        <w:szCs w:val="18"/>
        <w:lang w:val="en-GB"/>
      </w:rPr>
      <w:t>28.2.1</w:t>
    </w:r>
    <w:r>
      <w:rPr>
        <w:rFonts w:cs="Arial"/>
        <w:i/>
        <w:sz w:val="18"/>
        <w:szCs w:val="18"/>
        <w:lang w:val="en-GB"/>
      </w:rPr>
      <w:t>2</w:t>
    </w:r>
  </w:p>
  <w:p w:rsidR="002930DA" w:rsidRDefault="002930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Header"/>
      <w:pBdr>
        <w:bottom w:val="single" w:sz="4" w:space="1" w:color="000000"/>
      </w:pBdr>
      <w:jc w:val="right"/>
    </w:pPr>
    <w:r>
      <w:rPr>
        <w:rFonts w:cs="Arial"/>
        <w:i/>
        <w:sz w:val="18"/>
        <w:szCs w:val="18"/>
        <w:lang w:val="de-DE"/>
      </w:rPr>
      <w:t>UNEP/CMS/COP13/Doc.</w:t>
    </w:r>
    <w:r w:rsidR="00E27668" w:rsidRPr="00EA4491">
      <w:rPr>
        <w:rFonts w:cs="Arial"/>
        <w:i/>
        <w:sz w:val="18"/>
        <w:szCs w:val="18"/>
        <w:lang w:val="en-GB"/>
      </w:rPr>
      <w:t>28.2.1</w:t>
    </w:r>
    <w:r w:rsidR="00E27668">
      <w:rPr>
        <w:rFonts w:cs="Arial"/>
        <w:i/>
        <w:sz w:val="18"/>
        <w:szCs w:val="18"/>
        <w:lang w:val="en-GB"/>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Header"/>
      <w:pBdr>
        <w:bottom w:val="single" w:sz="4" w:space="1" w:color="000000"/>
      </w:pBdr>
    </w:pPr>
    <w:r>
      <w:rPr>
        <w:rFonts w:cs="Arial"/>
        <w:i/>
        <w:sz w:val="18"/>
        <w:szCs w:val="18"/>
        <w:lang w:val="de-DE"/>
      </w:rPr>
      <w:t>UNEP/CMS/COP13/Doc.</w:t>
    </w:r>
    <w:r w:rsidR="00EA4491" w:rsidRPr="00EA4491">
      <w:rPr>
        <w:rFonts w:cs="Arial"/>
        <w:i/>
        <w:sz w:val="18"/>
        <w:szCs w:val="18"/>
        <w:lang w:val="en-GB"/>
      </w:rPr>
      <w:t>28.2.1</w:t>
    </w:r>
    <w:r w:rsidR="00FA23D0">
      <w:rPr>
        <w:rFonts w:cs="Arial"/>
        <w:i/>
        <w:sz w:val="18"/>
        <w:szCs w:val="18"/>
        <w:lang w:val="en-GB"/>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0DA" w:rsidRDefault="002930DA" w:rsidP="002930DA">
    <w:pPr>
      <w:pStyle w:val="Header"/>
      <w:pBdr>
        <w:bottom w:val="single" w:sz="4" w:space="1" w:color="000000"/>
      </w:pBdr>
      <w:ind w:left="-284"/>
    </w:pPr>
    <w:r>
      <w:rPr>
        <w:rFonts w:cs="Arial"/>
        <w:i/>
        <w:sz w:val="18"/>
        <w:szCs w:val="18"/>
        <w:lang w:val="de-DE"/>
      </w:rPr>
      <w:t>UNEP/CMS/COP13/Doc.</w:t>
    </w:r>
    <w:r w:rsidRPr="00EA4491">
      <w:rPr>
        <w:rFonts w:cs="Arial"/>
        <w:i/>
        <w:sz w:val="18"/>
        <w:szCs w:val="18"/>
        <w:lang w:val="en-GB"/>
      </w:rPr>
      <w:t>28.2.1</w:t>
    </w:r>
    <w:r>
      <w:rPr>
        <w:rFonts w:cs="Arial"/>
        <w:i/>
        <w:sz w:val="18"/>
        <w:szCs w:val="18"/>
        <w:lang w:val="en-GB"/>
      </w:rPr>
      <w:t xml:space="preserve">2/Annex </w:t>
    </w:r>
  </w:p>
  <w:p w:rsidR="002930DA" w:rsidRDefault="002930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ABF" w:rsidRDefault="00547ABF" w:rsidP="002930DA">
    <w:pPr>
      <w:pStyle w:val="Header"/>
      <w:pBdr>
        <w:bottom w:val="single" w:sz="4" w:space="1" w:color="000000"/>
      </w:pBdr>
      <w:ind w:left="-284"/>
      <w:jc w:val="right"/>
    </w:pPr>
    <w:r>
      <w:rPr>
        <w:rFonts w:cs="Arial"/>
        <w:i/>
        <w:sz w:val="18"/>
        <w:szCs w:val="18"/>
        <w:lang w:val="de-DE"/>
      </w:rPr>
      <w:t>UNEP/CMS/COP13/Doc.</w:t>
    </w:r>
    <w:r w:rsidRPr="00EA4491">
      <w:rPr>
        <w:rFonts w:cs="Arial"/>
        <w:i/>
        <w:sz w:val="18"/>
        <w:szCs w:val="18"/>
        <w:lang w:val="en-GB"/>
      </w:rPr>
      <w:t>28.2.1</w:t>
    </w:r>
    <w:r>
      <w:rPr>
        <w:rFonts w:cs="Arial"/>
        <w:i/>
        <w:sz w:val="18"/>
        <w:szCs w:val="18"/>
        <w:lang w:val="en-GB"/>
      </w:rPr>
      <w:t xml:space="preserve">2/Annex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ABF" w:rsidRDefault="00547ABF" w:rsidP="00547ABF">
    <w:pPr>
      <w:pStyle w:val="Header"/>
      <w:pBdr>
        <w:bottom w:val="single" w:sz="4" w:space="1" w:color="000000"/>
      </w:pBdr>
      <w:ind w:left="-284"/>
    </w:pPr>
    <w:r>
      <w:rPr>
        <w:rFonts w:cs="Arial"/>
        <w:i/>
        <w:sz w:val="18"/>
        <w:szCs w:val="18"/>
        <w:lang w:val="de-DE"/>
      </w:rPr>
      <w:t>UNEP/CMS/COP13/Doc.</w:t>
    </w:r>
    <w:r w:rsidRPr="00EA4491">
      <w:rPr>
        <w:rFonts w:cs="Arial"/>
        <w:i/>
        <w:sz w:val="18"/>
        <w:szCs w:val="18"/>
        <w:lang w:val="en-GB"/>
      </w:rPr>
      <w:t>28.2.1</w:t>
    </w:r>
    <w:r>
      <w:rPr>
        <w:rFonts w:cs="Arial"/>
        <w:i/>
        <w:sz w:val="18"/>
        <w:szCs w:val="18"/>
        <w:lang w:val="en-GB"/>
      </w:rPr>
      <w:t xml:space="preserve">2/Annex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5AB"/>
    <w:multiLevelType w:val="hybridMultilevel"/>
    <w:tmpl w:val="DC6E05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00471C"/>
    <w:multiLevelType w:val="hybridMultilevel"/>
    <w:tmpl w:val="658C11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DC00494"/>
    <w:multiLevelType w:val="multilevel"/>
    <w:tmpl w:val="3B9C5C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AD0F8E"/>
    <w:multiLevelType w:val="hybridMultilevel"/>
    <w:tmpl w:val="E0C6A9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4742FF8"/>
    <w:multiLevelType w:val="hybridMultilevel"/>
    <w:tmpl w:val="DB3E8B3A"/>
    <w:lvl w:ilvl="0" w:tplc="9F0AEB6A">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FB5E28"/>
    <w:multiLevelType w:val="multilevel"/>
    <w:tmpl w:val="C0C0265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DF40F4"/>
    <w:multiLevelType w:val="multilevel"/>
    <w:tmpl w:val="5B8C70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21608A"/>
    <w:multiLevelType w:val="multilevel"/>
    <w:tmpl w:val="9D206A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9" w15:restartNumberingAfterBreak="0">
    <w:nsid w:val="51696538"/>
    <w:multiLevelType w:val="multilevel"/>
    <w:tmpl w:val="A73C3C02"/>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421494"/>
    <w:multiLevelType w:val="multilevel"/>
    <w:tmpl w:val="678AA0F8"/>
    <w:lvl w:ilvl="0">
      <w:start w:val="1"/>
      <w:numFmt w:val="decimal"/>
      <w:lvlText w:val="%1."/>
      <w:lvlJc w:val="left"/>
      <w:pPr>
        <w:ind w:left="900" w:hanging="360"/>
      </w:pPr>
      <w:rPr>
        <w:rFonts w:hint="default"/>
        <w:color w:val="auto"/>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 w15:restartNumberingAfterBreak="0">
    <w:nsid w:val="6BE15F6B"/>
    <w:multiLevelType w:val="hybridMultilevel"/>
    <w:tmpl w:val="AEEA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6254C0"/>
    <w:multiLevelType w:val="hybridMultilevel"/>
    <w:tmpl w:val="1BE43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12"/>
  </w:num>
  <w:num w:numId="6">
    <w:abstractNumId w:val="4"/>
  </w:num>
  <w:num w:numId="7">
    <w:abstractNumId w:val="11"/>
  </w:num>
  <w:num w:numId="8">
    <w:abstractNumId w:val="9"/>
  </w:num>
  <w:num w:numId="9">
    <w:abstractNumId w:val="10"/>
  </w:num>
  <w:num w:numId="10">
    <w:abstractNumId w:val="8"/>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3B"/>
    <w:rsid w:val="00164033"/>
    <w:rsid w:val="00180D51"/>
    <w:rsid w:val="00236DFE"/>
    <w:rsid w:val="002930DA"/>
    <w:rsid w:val="002D538C"/>
    <w:rsid w:val="00441F6C"/>
    <w:rsid w:val="0046133B"/>
    <w:rsid w:val="0049458F"/>
    <w:rsid w:val="00547ABF"/>
    <w:rsid w:val="0057660F"/>
    <w:rsid w:val="005A43FA"/>
    <w:rsid w:val="00614F89"/>
    <w:rsid w:val="00636EC1"/>
    <w:rsid w:val="006C2647"/>
    <w:rsid w:val="007A380A"/>
    <w:rsid w:val="007D16AC"/>
    <w:rsid w:val="008033AF"/>
    <w:rsid w:val="00836AF0"/>
    <w:rsid w:val="008E47C7"/>
    <w:rsid w:val="00921A2D"/>
    <w:rsid w:val="0095077E"/>
    <w:rsid w:val="00974134"/>
    <w:rsid w:val="00A3312A"/>
    <w:rsid w:val="00AD3AE5"/>
    <w:rsid w:val="00B07930"/>
    <w:rsid w:val="00B91D50"/>
    <w:rsid w:val="00BF761D"/>
    <w:rsid w:val="00CD68A0"/>
    <w:rsid w:val="00E27668"/>
    <w:rsid w:val="00EA4491"/>
    <w:rsid w:val="00FA1A3F"/>
    <w:rsid w:val="00FA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D03D"/>
  <w15:docId w15:val="{88DF90D6-9277-4678-9438-C853384B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1"/>
    <w:qFormat/>
    <w:pPr>
      <w:ind w:left="720"/>
    </w:pPr>
  </w:style>
  <w:style w:type="paragraph" w:styleId="BalloonText">
    <w:name w:val="Balloon Text"/>
    <w:basedOn w:val="Normal"/>
    <w:link w:val="BalloonTextChar"/>
    <w:uiPriority w:val="99"/>
    <w:semiHidden/>
    <w:unhideWhenUsed/>
    <w:rsid w:val="009507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7E"/>
    <w:rPr>
      <w:rFonts w:ascii="Segoe UI" w:hAnsi="Segoe UI" w:cs="Segoe UI"/>
      <w:sz w:val="18"/>
      <w:szCs w:val="18"/>
    </w:rPr>
  </w:style>
  <w:style w:type="paragraph" w:styleId="CommentText">
    <w:name w:val="annotation text"/>
    <w:basedOn w:val="Normal"/>
    <w:link w:val="CommentTextChar"/>
    <w:uiPriority w:val="99"/>
    <w:semiHidden/>
    <w:unhideWhenUsed/>
    <w:rsid w:val="00EA4491"/>
    <w:rPr>
      <w:sz w:val="20"/>
      <w:szCs w:val="20"/>
    </w:rPr>
  </w:style>
  <w:style w:type="character" w:customStyle="1" w:styleId="CommentTextChar">
    <w:name w:val="Comment Text Char"/>
    <w:basedOn w:val="DefaultParagraphFont"/>
    <w:link w:val="CommentText"/>
    <w:uiPriority w:val="99"/>
    <w:semiHidden/>
    <w:rsid w:val="00EA4491"/>
    <w:rPr>
      <w:sz w:val="20"/>
      <w:szCs w:val="20"/>
    </w:rPr>
  </w:style>
  <w:style w:type="paragraph" w:styleId="CommentSubject">
    <w:name w:val="annotation subject"/>
    <w:basedOn w:val="CommentText"/>
    <w:next w:val="CommentText"/>
    <w:link w:val="CommentSubjectChar"/>
    <w:uiPriority w:val="99"/>
    <w:semiHidden/>
    <w:unhideWhenUsed/>
    <w:rsid w:val="00EA4491"/>
    <w:rPr>
      <w:b/>
      <w:bCs/>
    </w:rPr>
  </w:style>
  <w:style w:type="character" w:customStyle="1" w:styleId="CommentSubjectChar">
    <w:name w:val="Comment Subject Char"/>
    <w:basedOn w:val="CommentTextChar"/>
    <w:link w:val="CommentSubject"/>
    <w:uiPriority w:val="99"/>
    <w:semiHidden/>
    <w:rsid w:val="00EA4491"/>
    <w:rPr>
      <w:b/>
      <w:bCs/>
      <w:sz w:val="20"/>
      <w:szCs w:val="20"/>
    </w:rPr>
  </w:style>
  <w:style w:type="paragraph" w:customStyle="1" w:styleId="Default">
    <w:name w:val="Default"/>
    <w:rsid w:val="0049458F"/>
    <w:pPr>
      <w:autoSpaceDE w:val="0"/>
      <w:adjustRightInd w:val="0"/>
      <w:spacing w:after="0"/>
      <w:textAlignment w:val="auto"/>
    </w:pPr>
    <w:rPr>
      <w:rFonts w:cs="Arial"/>
      <w:color w:val="000000"/>
      <w:sz w:val="24"/>
      <w:szCs w:val="24"/>
    </w:rPr>
  </w:style>
  <w:style w:type="paragraph" w:customStyle="1" w:styleId="EndNoteBibliography">
    <w:name w:val="EndNote Bibliography"/>
    <w:basedOn w:val="Normal"/>
    <w:link w:val="EndNoteBibliographyChar"/>
    <w:rsid w:val="0049458F"/>
    <w:pPr>
      <w:suppressAutoHyphens w:val="0"/>
      <w:autoSpaceDN/>
      <w:spacing w:after="0"/>
      <w:jc w:val="both"/>
      <w:textAlignment w:val="auto"/>
    </w:pPr>
    <w:rPr>
      <w:rFonts w:ascii="Times New Roman" w:eastAsia="Times New Roman" w:hAnsi="Times New Roman"/>
      <w:noProof/>
      <w:sz w:val="24"/>
      <w:szCs w:val="24"/>
    </w:rPr>
  </w:style>
  <w:style w:type="character" w:customStyle="1" w:styleId="EndNoteBibliographyChar">
    <w:name w:val="EndNote Bibliography Char"/>
    <w:basedOn w:val="DefaultParagraphFont"/>
    <w:link w:val="EndNoteBibliography"/>
    <w:rsid w:val="0049458F"/>
    <w:rPr>
      <w:rFonts w:ascii="Times New Roman" w:eastAsia="Times New Roman" w:hAnsi="Times New Roman"/>
      <w:noProof/>
      <w:sz w:val="24"/>
      <w:szCs w:val="24"/>
    </w:rPr>
  </w:style>
  <w:style w:type="table" w:customStyle="1" w:styleId="TableGrid1">
    <w:name w:val="Table Grid1"/>
    <w:basedOn w:val="TableNormal"/>
    <w:next w:val="TableGrid"/>
    <w:uiPriority w:val="59"/>
    <w:rsid w:val="00441F6C"/>
    <w:pPr>
      <w:autoSpaceDN/>
      <w:spacing w:after="0"/>
      <w:textAlignment w:val="auto"/>
    </w:pPr>
    <w:rPr>
      <w:rFonts w:ascii="Calibri" w:hAnsi="Calibri"/>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41F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UNEP/CMS Secretariat</cp:lastModifiedBy>
  <cp:revision>2</cp:revision>
  <cp:lastPrinted>2019-07-04T12:36:00Z</cp:lastPrinted>
  <dcterms:created xsi:type="dcterms:W3CDTF">2019-10-15T10:02:00Z</dcterms:created>
  <dcterms:modified xsi:type="dcterms:W3CDTF">2019-10-15T10:02:00Z</dcterms:modified>
</cp:coreProperties>
</file>