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ED03AD"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ED03AD"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ED03AD">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ED03AD"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ED03AD"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ED03AD">
              <w:rPr>
                <w:rFonts w:eastAsia="Times New Roman" w:cs="Arial"/>
                <w:b/>
                <w:bCs/>
                <w:sz w:val="32"/>
                <w:szCs w:val="24"/>
                <w:lang w:val="es-ES" w:eastAsia="es-ES"/>
              </w:rPr>
              <w:t>CONVENCIÓN SOBRE</w:t>
            </w:r>
          </w:p>
          <w:p w:rsidR="00002A97" w:rsidRPr="00ED03AD"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ED03AD">
              <w:rPr>
                <w:rFonts w:eastAsia="Times New Roman" w:cs="Arial"/>
                <w:b/>
                <w:bCs/>
                <w:sz w:val="32"/>
                <w:szCs w:val="24"/>
                <w:lang w:val="es-ES" w:eastAsia="es-ES"/>
              </w:rPr>
              <w:t>LAS ESPECIES</w:t>
            </w:r>
          </w:p>
          <w:p w:rsidR="00002A97" w:rsidRPr="00ED03AD"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ED03AD">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ED03A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ED03AD">
              <w:rPr>
                <w:rFonts w:eastAsia="Times New Roman" w:cs="Arial"/>
                <w:szCs w:val="24"/>
                <w:lang w:val="fr-FR" w:eastAsia="es-ES"/>
              </w:rPr>
              <w:t>UNEP/CMS/COP13/Doc.</w:t>
            </w:r>
            <w:r w:rsidR="00ED03AD">
              <w:rPr>
                <w:rFonts w:eastAsia="Times New Roman" w:cs="Arial"/>
                <w:szCs w:val="24"/>
                <w:lang w:val="fr-FR" w:eastAsia="es-ES"/>
              </w:rPr>
              <w:t>28.1.7 a</w:t>
            </w:r>
          </w:p>
          <w:p w:rsidR="00002A97" w:rsidRPr="00ED03AD" w:rsidRDefault="00ED03AD"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10 de </w:t>
            </w:r>
            <w:proofErr w:type="spellStart"/>
            <w:r>
              <w:rPr>
                <w:rFonts w:eastAsia="Times New Roman" w:cs="Arial"/>
                <w:szCs w:val="24"/>
                <w:lang w:val="fr-FR" w:eastAsia="es-ES"/>
              </w:rPr>
              <w:t>octubre</w:t>
            </w:r>
            <w:proofErr w:type="spellEnd"/>
            <w:r w:rsidR="00EF1D13" w:rsidRPr="00ED03AD">
              <w:rPr>
                <w:rFonts w:eastAsia="Times New Roman" w:cs="Arial"/>
                <w:szCs w:val="24"/>
                <w:lang w:val="fr-FR" w:eastAsia="es-ES"/>
              </w:rPr>
              <w:t xml:space="preserve"> </w:t>
            </w:r>
            <w:r w:rsidR="00002A97" w:rsidRPr="00ED03AD">
              <w:rPr>
                <w:rFonts w:eastAsia="Times New Roman" w:cs="Arial"/>
                <w:szCs w:val="24"/>
                <w:lang w:val="fr-FR" w:eastAsia="es-ES"/>
              </w:rPr>
              <w:t>2019</w:t>
            </w:r>
          </w:p>
          <w:p w:rsidR="00002A97" w:rsidRPr="00ED03AD"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ED03AD">
              <w:rPr>
                <w:rFonts w:eastAsia="Times New Roman" w:cs="Arial"/>
                <w:szCs w:val="24"/>
                <w:lang w:val="es-ES_tradnl" w:eastAsia="es-ES"/>
              </w:rPr>
              <w:t>Español</w:t>
            </w:r>
          </w:p>
          <w:p w:rsidR="00002A97" w:rsidRPr="00ED03AD"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ED03AD">
              <w:rPr>
                <w:rFonts w:eastAsia="Times New Roman" w:cs="Arial"/>
                <w:szCs w:val="24"/>
                <w:lang w:val="es-ES" w:eastAsia="es-ES"/>
              </w:rPr>
              <w:t xml:space="preserve">Original: </w:t>
            </w:r>
            <w:proofErr w:type="gramStart"/>
            <w:r w:rsidRPr="00ED03AD">
              <w:rPr>
                <w:rFonts w:eastAsia="Times New Roman" w:cs="Arial"/>
                <w:szCs w:val="24"/>
                <w:lang w:val="es-ES" w:eastAsia="es-ES"/>
              </w:rPr>
              <w:t>Inglés</w:t>
            </w:r>
            <w:proofErr w:type="gramEnd"/>
          </w:p>
          <w:p w:rsidR="00002A97" w:rsidRPr="00ED03AD"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ED03AD"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ED03AD"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ED03AD">
        <w:rPr>
          <w:rFonts w:eastAsia="Times New Roman" w:cs="Arial"/>
          <w:szCs w:val="24"/>
          <w:lang w:val="es-ES" w:eastAsia="es-ES"/>
        </w:rPr>
        <w:t>13ª REUNIÓN DE LA CONFERENCIA DE LAS PARTES</w:t>
      </w:r>
    </w:p>
    <w:p w:rsidR="00002A97" w:rsidRPr="00ED03AD"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ED03AD">
        <w:rPr>
          <w:rFonts w:eastAsia="Times New Roman" w:cs="Arial"/>
          <w:bCs/>
          <w:szCs w:val="24"/>
          <w:lang w:val="es-ES" w:eastAsia="es-ES"/>
        </w:rPr>
        <w:t>Gand</w:t>
      </w:r>
      <w:r w:rsidR="00BF7838" w:rsidRPr="00ED03AD">
        <w:rPr>
          <w:rFonts w:eastAsia="Times New Roman" w:cs="Arial"/>
          <w:bCs/>
          <w:szCs w:val="24"/>
          <w:lang w:val="es-ES" w:eastAsia="es-ES"/>
        </w:rPr>
        <w:t>h</w:t>
      </w:r>
      <w:r w:rsidRPr="00ED03AD">
        <w:rPr>
          <w:rFonts w:eastAsia="Times New Roman" w:cs="Arial"/>
          <w:bCs/>
          <w:szCs w:val="24"/>
          <w:lang w:val="es-ES" w:eastAsia="es-ES"/>
        </w:rPr>
        <w:t>inagar. India, 17 – 22 de febrero 2020</w:t>
      </w:r>
    </w:p>
    <w:p w:rsidR="00002A97" w:rsidRPr="00ED03AD"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ED03AD">
        <w:rPr>
          <w:rFonts w:eastAsia="Times New Roman" w:cs="Arial"/>
          <w:szCs w:val="24"/>
          <w:lang w:val="es-ES" w:eastAsia="es-ES"/>
        </w:rPr>
        <w:t xml:space="preserve">Punto </w:t>
      </w:r>
      <w:r w:rsidR="00ED03AD">
        <w:rPr>
          <w:rFonts w:eastAsia="Times New Roman" w:cs="Arial"/>
          <w:szCs w:val="24"/>
          <w:lang w:val="es-ES" w:eastAsia="es-ES"/>
        </w:rPr>
        <w:t>28.1</w:t>
      </w:r>
      <w:r w:rsidRPr="00ED03AD">
        <w:rPr>
          <w:rFonts w:eastAsia="Times New Roman" w:cs="Arial"/>
          <w:szCs w:val="24"/>
          <w:lang w:val="es-ES" w:eastAsia="es-ES"/>
        </w:rPr>
        <w:t xml:space="preserve"> del orden del día</w:t>
      </w:r>
    </w:p>
    <w:p w:rsidR="00002A97" w:rsidRPr="00ED03AD"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ED03AD"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ED03AD" w:rsidRPr="00ED03AD" w:rsidRDefault="00ED03AD" w:rsidP="00ED03A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D03AD">
        <w:rPr>
          <w:rFonts w:eastAsia="Times New Roman" w:cs="Arial"/>
          <w:b/>
          <w:bCs/>
          <w:lang w:val="es-ES"/>
        </w:rPr>
        <w:t xml:space="preserve">INFORME SOBRE LA EJECUCIÓN DE LA </w:t>
      </w:r>
    </w:p>
    <w:p w:rsidR="00ED03AD" w:rsidRPr="00ED03AD" w:rsidRDefault="00ED03AD" w:rsidP="00ED03A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D03AD">
        <w:rPr>
          <w:rFonts w:eastAsia="Times New Roman" w:cs="Arial"/>
          <w:b/>
          <w:bCs/>
          <w:lang w:val="es-ES"/>
        </w:rPr>
        <w:t xml:space="preserve">ACCIÓN CONCERTADA </w:t>
      </w:r>
    </w:p>
    <w:p w:rsidR="00ED03AD" w:rsidRPr="00ED03AD" w:rsidRDefault="00ED03AD" w:rsidP="00ED03AD">
      <w:pPr>
        <w:widowControl w:val="0"/>
        <w:pBdr>
          <w:top w:val="single" w:sz="6" w:space="0" w:color="FFFFFF"/>
          <w:left w:val="single" w:sz="6" w:space="0" w:color="FFFFFF"/>
          <w:bottom w:val="single" w:sz="6" w:space="0" w:color="FFFFFF"/>
          <w:right w:val="single" w:sz="6" w:space="0" w:color="FFFFFF"/>
        </w:pBdr>
        <w:autoSpaceDE w:val="0"/>
        <w:spacing w:after="120" w:line="240" w:lineRule="auto"/>
        <w:ind w:left="-91" w:right="-369"/>
        <w:jc w:val="center"/>
        <w:outlineLvl w:val="1"/>
        <w:rPr>
          <w:rFonts w:cs="Arial"/>
          <w:b/>
          <w:bCs/>
          <w:lang w:val="es-ES"/>
        </w:rPr>
      </w:pPr>
      <w:r w:rsidRPr="00ED03AD">
        <w:rPr>
          <w:rFonts w:eastAsia="Times New Roman" w:cs="Arial"/>
          <w:b/>
          <w:bCs/>
          <w:lang w:val="es-ES"/>
        </w:rPr>
        <w:t>PARA EL TIBURÓN BALLENA (</w:t>
      </w:r>
      <w:proofErr w:type="spellStart"/>
      <w:r w:rsidRPr="00ED03AD">
        <w:rPr>
          <w:rFonts w:cs="Arial"/>
          <w:b/>
          <w:bCs/>
          <w:i/>
          <w:iCs/>
          <w:lang w:val="es-ES"/>
        </w:rPr>
        <w:t>Rhincodon</w:t>
      </w:r>
      <w:proofErr w:type="spellEnd"/>
      <w:r w:rsidRPr="00ED03AD">
        <w:rPr>
          <w:rFonts w:cs="Arial"/>
          <w:b/>
          <w:bCs/>
          <w:i/>
          <w:iCs/>
          <w:lang w:val="es-ES"/>
        </w:rPr>
        <w:t xml:space="preserve"> </w:t>
      </w:r>
      <w:proofErr w:type="spellStart"/>
      <w:r w:rsidRPr="00ED03AD">
        <w:rPr>
          <w:rFonts w:cs="Arial"/>
          <w:b/>
          <w:bCs/>
          <w:i/>
          <w:iCs/>
          <w:lang w:val="es-ES"/>
        </w:rPr>
        <w:t>typus</w:t>
      </w:r>
      <w:proofErr w:type="spellEnd"/>
      <w:r w:rsidRPr="00ED03AD">
        <w:rPr>
          <w:rFonts w:cs="Arial"/>
          <w:b/>
          <w:bCs/>
          <w:lang w:val="es-ES"/>
        </w:rPr>
        <w:t>)</w:t>
      </w:r>
    </w:p>
    <w:p w:rsidR="00002A97" w:rsidRPr="00ED03AD" w:rsidRDefault="00ED03AD" w:rsidP="00ED03AD">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ED03AD">
        <w:rPr>
          <w:rFonts w:eastAsia="Times New Roman" w:cs="Arial"/>
          <w:i/>
          <w:szCs w:val="24"/>
          <w:lang w:val="es-ES" w:eastAsia="es-ES"/>
        </w:rPr>
        <w:t xml:space="preserve"> </w:t>
      </w:r>
      <w:r w:rsidR="00E77A9F" w:rsidRPr="00ED03AD">
        <w:rPr>
          <w:rFonts w:eastAsia="Times New Roman" w:cs="Arial"/>
          <w:i/>
          <w:szCs w:val="24"/>
          <w:lang w:val="es-ES" w:eastAsia="es-ES"/>
        </w:rPr>
        <w:t>(Preparado por la Secretaría)</w:t>
      </w:r>
      <w:r w:rsidR="00002A97" w:rsidRPr="00ED03AD">
        <w:rPr>
          <w:rFonts w:eastAsia="Times New Roman" w:cs="Arial"/>
          <w:i/>
          <w:szCs w:val="24"/>
          <w:lang w:val="es-ES" w:eastAsia="es-ES"/>
        </w:rPr>
        <w:t xml:space="preserve"> </w:t>
      </w:r>
    </w:p>
    <w:p w:rsidR="00002A97" w:rsidRPr="00ED03AD"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ED03AD"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p>
    <w:p w:rsidR="00002A97" w:rsidRPr="00ED03AD" w:rsidRDefault="00ED03AD" w:rsidP="00002A97">
      <w:pPr>
        <w:widowControl w:val="0"/>
        <w:suppressAutoHyphens/>
        <w:autoSpaceDE w:val="0"/>
        <w:autoSpaceDN w:val="0"/>
        <w:spacing w:after="0" w:line="240" w:lineRule="auto"/>
        <w:textAlignment w:val="baseline"/>
        <w:rPr>
          <w:rFonts w:eastAsia="Times New Roman" w:cs="Arial"/>
          <w:lang w:val="es-ES" w:eastAsia="es-ES"/>
        </w:rPr>
      </w:pPr>
      <w:r w:rsidRPr="00ED03AD">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68580</wp:posOffset>
                </wp:positionV>
                <wp:extent cx="4591050" cy="11334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1133475"/>
                        </a:xfrm>
                        <a:prstGeom prst="rect">
                          <a:avLst/>
                        </a:prstGeom>
                        <a:solidFill>
                          <a:srgbClr val="FFFFFF"/>
                        </a:solidFill>
                        <a:ln w="3172">
                          <a:solidFill>
                            <a:srgbClr val="000000"/>
                          </a:solidFill>
                          <a:prstDash val="solid"/>
                        </a:ln>
                      </wps:spPr>
                      <wps:txbx>
                        <w:txbxContent>
                          <w:p w:rsidR="00002A97" w:rsidRDefault="00002A97" w:rsidP="00ED03AD">
                            <w:pPr>
                              <w:spacing w:after="0" w:line="240" w:lineRule="auto"/>
                              <w:rPr>
                                <w:rFonts w:cs="Arial"/>
                                <w:lang w:val="es-ES"/>
                              </w:rPr>
                            </w:pPr>
                            <w:r>
                              <w:rPr>
                                <w:rFonts w:cs="Arial"/>
                                <w:lang w:val="es-ES"/>
                              </w:rPr>
                              <w:t>Resumen:</w:t>
                            </w:r>
                          </w:p>
                          <w:p w:rsidR="00002A97" w:rsidRDefault="00002A97" w:rsidP="00ED03AD">
                            <w:pPr>
                              <w:spacing w:after="0" w:line="240" w:lineRule="auto"/>
                              <w:rPr>
                                <w:rFonts w:cs="Arial"/>
                                <w:lang w:val="es-ES"/>
                              </w:rPr>
                            </w:pPr>
                          </w:p>
                          <w:p w:rsidR="00ED03AD" w:rsidRPr="00ED03AD" w:rsidRDefault="00ED03AD" w:rsidP="00ED03AD">
                            <w:pPr>
                              <w:widowControl w:val="0"/>
                              <w:autoSpaceDE w:val="0"/>
                              <w:spacing w:after="0" w:line="240" w:lineRule="auto"/>
                              <w:jc w:val="both"/>
                              <w:rPr>
                                <w:rFonts w:eastAsia="Times New Roman" w:cs="Arial"/>
                                <w:lang w:val="es-ES"/>
                              </w:rPr>
                            </w:pPr>
                            <w:r w:rsidRPr="00ED03AD">
                              <w:rPr>
                                <w:rFonts w:eastAsia="Times New Roman" w:cs="Arial"/>
                                <w:lang w:val="es-ES"/>
                              </w:rPr>
                              <w:t xml:space="preserve">Sea </w:t>
                            </w:r>
                            <w:proofErr w:type="spellStart"/>
                            <w:r w:rsidRPr="00ED03AD">
                              <w:rPr>
                                <w:rFonts w:eastAsia="Times New Roman" w:cs="Arial"/>
                                <w:lang w:val="es-ES"/>
                              </w:rPr>
                              <w:t>Shepherd</w:t>
                            </w:r>
                            <w:proofErr w:type="spellEnd"/>
                            <w:r w:rsidRPr="00ED03AD">
                              <w:rPr>
                                <w:rFonts w:eastAsia="Times New Roman" w:cs="Arial"/>
                                <w:lang w:val="es-ES"/>
                              </w:rPr>
                              <w:t xml:space="preserve"> Legal ha publicado el informe adjunto sobre la ejecución de la acción concertada para el tiburón ballena </w:t>
                            </w:r>
                            <w:r w:rsidRPr="00ED03AD">
                              <w:rPr>
                                <w:rFonts w:eastAsia="Times New Roman" w:cs="Arial"/>
                                <w:bCs/>
                                <w:i/>
                                <w:lang w:val="es-ES"/>
                              </w:rPr>
                              <w:t>(</w:t>
                            </w:r>
                            <w:proofErr w:type="spellStart"/>
                            <w:r w:rsidRPr="00ED03AD">
                              <w:rPr>
                                <w:rFonts w:eastAsia="Times New Roman" w:cs="Arial"/>
                                <w:bCs/>
                                <w:i/>
                                <w:lang w:val="es-ES"/>
                              </w:rPr>
                              <w:t>Rhincodon</w:t>
                            </w:r>
                            <w:proofErr w:type="spellEnd"/>
                            <w:r w:rsidRPr="00ED03AD">
                              <w:rPr>
                                <w:rFonts w:eastAsia="Times New Roman" w:cs="Arial"/>
                                <w:bCs/>
                                <w:i/>
                                <w:lang w:val="es-ES"/>
                              </w:rPr>
                              <w:t xml:space="preserve"> </w:t>
                            </w:r>
                            <w:proofErr w:type="spellStart"/>
                            <w:r w:rsidRPr="00ED03AD">
                              <w:rPr>
                                <w:rFonts w:eastAsia="Times New Roman" w:cs="Arial"/>
                                <w:bCs/>
                                <w:i/>
                                <w:lang w:val="es-ES"/>
                              </w:rPr>
                              <w:t>typus</w:t>
                            </w:r>
                            <w:proofErr w:type="spellEnd"/>
                            <w:r w:rsidRPr="00ED03AD">
                              <w:rPr>
                                <w:rFonts w:eastAsia="Times New Roman" w:cs="Arial"/>
                                <w:bCs/>
                                <w:iCs/>
                                <w:lang w:val="es-ES"/>
                              </w:rPr>
                              <w:t>),</w:t>
                            </w:r>
                            <w:r w:rsidRPr="00ED03AD">
                              <w:rPr>
                                <w:rFonts w:eastAsia="Times New Roman" w:cs="Arial"/>
                                <w:i/>
                                <w:lang w:val="es-ES"/>
                              </w:rPr>
                              <w:t xml:space="preserve"> </w:t>
                            </w:r>
                            <w:r w:rsidRPr="00ED03AD">
                              <w:rPr>
                                <w:rFonts w:eastAsia="Times New Roman" w:cs="Arial"/>
                                <w:lang w:val="es-ES"/>
                              </w:rPr>
                              <w:t>UNEP/CMS/acción concertada 12.7.</w:t>
                            </w:r>
                          </w:p>
                          <w:p w:rsidR="009A510F" w:rsidRPr="006F22B0" w:rsidRDefault="009A510F" w:rsidP="00ED03AD">
                            <w:pPr>
                              <w:spacing w:after="0" w:line="240" w:lineRule="auto"/>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5.4pt;width:36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" strokeweight=".08811mm">
                <v:textbox>
                  <w:txbxContent>
                    <w:p w:rsidR="00002A97" w:rsidRDefault="00002A97" w:rsidP="00ED03AD">
                      <w:pPr>
                        <w:spacing w:after="0" w:line="240" w:lineRule="auto"/>
                        <w:rPr>
                          <w:rFonts w:cs="Arial"/>
                          <w:lang w:val="es-ES"/>
                        </w:rPr>
                      </w:pPr>
                      <w:r>
                        <w:rPr>
                          <w:rFonts w:cs="Arial"/>
                          <w:lang w:val="es-ES"/>
                        </w:rPr>
                        <w:t>Resumen:</w:t>
                      </w:r>
                    </w:p>
                    <w:p w:rsidR="00002A97" w:rsidRDefault="00002A97" w:rsidP="00ED03AD">
                      <w:pPr>
                        <w:spacing w:after="0" w:line="240" w:lineRule="auto"/>
                        <w:rPr>
                          <w:rFonts w:cs="Arial"/>
                          <w:lang w:val="es-ES"/>
                        </w:rPr>
                      </w:pPr>
                    </w:p>
                    <w:p w:rsidR="00ED03AD" w:rsidRPr="00ED03AD" w:rsidRDefault="00ED03AD" w:rsidP="00ED03AD">
                      <w:pPr>
                        <w:widowControl w:val="0"/>
                        <w:autoSpaceDE w:val="0"/>
                        <w:spacing w:after="0" w:line="240" w:lineRule="auto"/>
                        <w:jc w:val="both"/>
                        <w:rPr>
                          <w:rFonts w:eastAsia="Times New Roman" w:cs="Arial"/>
                          <w:lang w:val="es-ES"/>
                        </w:rPr>
                      </w:pPr>
                      <w:r w:rsidRPr="00ED03AD">
                        <w:rPr>
                          <w:rFonts w:eastAsia="Times New Roman" w:cs="Arial"/>
                          <w:lang w:val="es-ES"/>
                        </w:rPr>
                        <w:t xml:space="preserve">Sea </w:t>
                      </w:r>
                      <w:proofErr w:type="spellStart"/>
                      <w:r w:rsidRPr="00ED03AD">
                        <w:rPr>
                          <w:rFonts w:eastAsia="Times New Roman" w:cs="Arial"/>
                          <w:lang w:val="es-ES"/>
                        </w:rPr>
                        <w:t>Shepherd</w:t>
                      </w:r>
                      <w:proofErr w:type="spellEnd"/>
                      <w:r w:rsidRPr="00ED03AD">
                        <w:rPr>
                          <w:rFonts w:eastAsia="Times New Roman" w:cs="Arial"/>
                          <w:lang w:val="es-ES"/>
                        </w:rPr>
                        <w:t xml:space="preserve"> Legal ha publicado el informe adjunto sobre la ejecución de la acción concertada para el tiburón ballena </w:t>
                      </w:r>
                      <w:r w:rsidRPr="00ED03AD">
                        <w:rPr>
                          <w:rFonts w:eastAsia="Times New Roman" w:cs="Arial"/>
                          <w:bCs/>
                          <w:i/>
                          <w:lang w:val="es-ES"/>
                        </w:rPr>
                        <w:t>(</w:t>
                      </w:r>
                      <w:proofErr w:type="spellStart"/>
                      <w:r w:rsidRPr="00ED03AD">
                        <w:rPr>
                          <w:rFonts w:eastAsia="Times New Roman" w:cs="Arial"/>
                          <w:bCs/>
                          <w:i/>
                          <w:lang w:val="es-ES"/>
                        </w:rPr>
                        <w:t>Rhincodon</w:t>
                      </w:r>
                      <w:proofErr w:type="spellEnd"/>
                      <w:r w:rsidRPr="00ED03AD">
                        <w:rPr>
                          <w:rFonts w:eastAsia="Times New Roman" w:cs="Arial"/>
                          <w:bCs/>
                          <w:i/>
                          <w:lang w:val="es-ES"/>
                        </w:rPr>
                        <w:t xml:space="preserve"> </w:t>
                      </w:r>
                      <w:proofErr w:type="spellStart"/>
                      <w:r w:rsidRPr="00ED03AD">
                        <w:rPr>
                          <w:rFonts w:eastAsia="Times New Roman" w:cs="Arial"/>
                          <w:bCs/>
                          <w:i/>
                          <w:lang w:val="es-ES"/>
                        </w:rPr>
                        <w:t>typus</w:t>
                      </w:r>
                      <w:proofErr w:type="spellEnd"/>
                      <w:r w:rsidRPr="00ED03AD">
                        <w:rPr>
                          <w:rFonts w:eastAsia="Times New Roman" w:cs="Arial"/>
                          <w:bCs/>
                          <w:iCs/>
                          <w:lang w:val="es-ES"/>
                        </w:rPr>
                        <w:t>),</w:t>
                      </w:r>
                      <w:r w:rsidRPr="00ED03AD">
                        <w:rPr>
                          <w:rFonts w:eastAsia="Times New Roman" w:cs="Arial"/>
                          <w:i/>
                          <w:lang w:val="es-ES"/>
                        </w:rPr>
                        <w:t xml:space="preserve"> </w:t>
                      </w:r>
                      <w:r w:rsidRPr="00ED03AD">
                        <w:rPr>
                          <w:rFonts w:eastAsia="Times New Roman" w:cs="Arial"/>
                          <w:lang w:val="es-ES"/>
                        </w:rPr>
                        <w:t>UNEP/CMS/acción concertada 12.7.</w:t>
                      </w:r>
                    </w:p>
                    <w:p w:rsidR="009A510F" w:rsidRPr="006F22B0" w:rsidRDefault="009A510F" w:rsidP="00ED03AD">
                      <w:pPr>
                        <w:spacing w:after="0" w:line="240" w:lineRule="auto"/>
                        <w:rPr>
                          <w:lang w:val="es-ES"/>
                        </w:rPr>
                      </w:pPr>
                    </w:p>
                  </w:txbxContent>
                </v:textbox>
              </v:shape>
            </w:pict>
          </mc:Fallback>
        </mc:AlternateContent>
      </w: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D03AD" w:rsidRDefault="00201915" w:rsidP="00002A97">
      <w:pPr>
        <w:widowControl w:val="0"/>
        <w:suppressAutoHyphens/>
        <w:autoSpaceDE w:val="0"/>
        <w:autoSpaceDN w:val="0"/>
        <w:spacing w:after="0" w:line="240" w:lineRule="auto"/>
        <w:textAlignment w:val="baseline"/>
        <w:rPr>
          <w:rFonts w:eastAsia="Times New Roman" w:cs="Arial"/>
          <w:lang w:val="es-ES" w:eastAsia="es-ES"/>
        </w:rPr>
      </w:pPr>
      <w:r w:rsidRPr="003B4ECB">
        <w:rPr>
          <w:rFonts w:eastAsia="Times New Roman" w:cs="Arial"/>
          <w:sz w:val="18"/>
          <w:szCs w:val="18"/>
          <w:lang w:val="es-ES"/>
        </w:rPr>
        <w:t>*Las denominaciones geográficas empleadas en este documento no implican juicio alguno por parte de la Secretaría de la CMS (o del Programa de las Naciones Unidas para el Medio Ambiente) sobre la condición jurídica de ningún país, territorio o área, ni sobre la delimitación de sus fronteras o límites. La responsabilidad de los contenidos del documento es exclusiva de su autor</w:t>
      </w:r>
    </w:p>
    <w:p w:rsidR="00ED03AD" w:rsidRDefault="00ED03AD" w:rsidP="00ED03A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bookmarkStart w:id="0" w:name="_GoBack"/>
      <w:bookmarkEnd w:id="0"/>
    </w:p>
    <w:p w:rsidR="00ED03AD" w:rsidRPr="00ED03AD" w:rsidRDefault="00ED03AD" w:rsidP="00ED03A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D03AD">
        <w:rPr>
          <w:rFonts w:eastAsia="Times New Roman" w:cs="Arial"/>
          <w:b/>
          <w:bCs/>
          <w:lang w:val="es-ES"/>
        </w:rPr>
        <w:t xml:space="preserve">INFORME SOBRE LA EJECUCIÓN DE LA </w:t>
      </w:r>
    </w:p>
    <w:p w:rsidR="00ED03AD" w:rsidRPr="00ED03AD" w:rsidRDefault="00ED03AD" w:rsidP="00ED03A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D03AD">
        <w:rPr>
          <w:rFonts w:eastAsia="Times New Roman" w:cs="Arial"/>
          <w:b/>
          <w:bCs/>
          <w:lang w:val="es-ES"/>
        </w:rPr>
        <w:t xml:space="preserve">ACCIÓN CONCERTADA </w:t>
      </w:r>
    </w:p>
    <w:p w:rsidR="00ED03AD" w:rsidRDefault="00ED03AD" w:rsidP="00ED03A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lang w:val="es-ES"/>
        </w:rPr>
      </w:pPr>
      <w:r w:rsidRPr="00ED03AD">
        <w:rPr>
          <w:rFonts w:eastAsia="Times New Roman" w:cs="Arial"/>
          <w:b/>
          <w:bCs/>
          <w:lang w:val="es-ES"/>
        </w:rPr>
        <w:t>PARA EL TIBURÓN BALLENA (</w:t>
      </w:r>
      <w:proofErr w:type="spellStart"/>
      <w:r w:rsidRPr="00ED03AD">
        <w:rPr>
          <w:rFonts w:cs="Arial"/>
          <w:b/>
          <w:bCs/>
          <w:i/>
          <w:iCs/>
          <w:lang w:val="es-ES"/>
        </w:rPr>
        <w:t>Rhincodon</w:t>
      </w:r>
      <w:proofErr w:type="spellEnd"/>
      <w:r w:rsidRPr="00ED03AD">
        <w:rPr>
          <w:rFonts w:cs="Arial"/>
          <w:b/>
          <w:bCs/>
          <w:i/>
          <w:iCs/>
          <w:lang w:val="es-ES"/>
        </w:rPr>
        <w:t xml:space="preserve"> </w:t>
      </w:r>
      <w:proofErr w:type="spellStart"/>
      <w:r w:rsidRPr="00ED03AD">
        <w:rPr>
          <w:rFonts w:cs="Arial"/>
          <w:b/>
          <w:bCs/>
          <w:i/>
          <w:iCs/>
          <w:lang w:val="es-ES"/>
        </w:rPr>
        <w:t>typus</w:t>
      </w:r>
      <w:proofErr w:type="spellEnd"/>
      <w:r w:rsidRPr="00ED03AD">
        <w:rPr>
          <w:rFonts w:cs="Arial"/>
          <w:b/>
          <w:bCs/>
          <w:lang w:val="es-ES"/>
        </w:rPr>
        <w:t>)</w:t>
      </w:r>
    </w:p>
    <w:p w:rsidR="00ED03AD" w:rsidRPr="00ED03AD" w:rsidRDefault="00ED03AD" w:rsidP="00ED03A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lang w:val="es-ES"/>
        </w:rPr>
      </w:pPr>
    </w:p>
    <w:p w:rsidR="00ED03AD" w:rsidRPr="00ED03AD" w:rsidRDefault="00ED03AD" w:rsidP="00ED03AD">
      <w:pPr>
        <w:spacing w:after="120"/>
        <w:jc w:val="center"/>
        <w:rPr>
          <w:rFonts w:cs="Arial"/>
          <w:lang w:val="es-ES"/>
        </w:rPr>
      </w:pPr>
      <w:r w:rsidRPr="00ED03AD">
        <w:rPr>
          <w:rFonts w:cs="Arial"/>
          <w:lang w:val="es-ES"/>
        </w:rPr>
        <w:t>UNEP/CMS/ ACCIÓN CONCERTADA 12.7</w:t>
      </w:r>
    </w:p>
    <w:p w:rsidR="00002A9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ED03AD" w:rsidRPr="00ED03AD" w:rsidRDefault="00ED03AD"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ED03AD"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lang w:val="es-ES"/>
        </w:rPr>
      </w:pPr>
      <w:r w:rsidRPr="00ED03AD">
        <w:rPr>
          <w:rFonts w:eastAsia="Times New Roman" w:cs="Arial"/>
          <w:szCs w:val="24"/>
          <w:u w:val="single"/>
          <w:lang w:val="es-ES" w:eastAsia="es-ES"/>
        </w:rPr>
        <w:t>Antecedentes</w:t>
      </w:r>
    </w:p>
    <w:p w:rsidR="00ED03AD" w:rsidRPr="00ED03AD" w:rsidRDefault="00ED03AD" w:rsidP="00ED03AD">
      <w:pPr>
        <w:spacing w:after="0"/>
        <w:rPr>
          <w:rFonts w:cs="Arial"/>
        </w:rPr>
      </w:pPr>
    </w:p>
    <w:p w:rsidR="00ED03AD" w:rsidRPr="00ED03AD" w:rsidRDefault="00ED03AD" w:rsidP="00ED03AD">
      <w:pPr>
        <w:pStyle w:val="ListParagraph"/>
        <w:numPr>
          <w:ilvl w:val="0"/>
          <w:numId w:val="12"/>
        </w:numPr>
        <w:spacing w:after="120" w:line="240" w:lineRule="auto"/>
        <w:ind w:left="540" w:hanging="540"/>
        <w:contextualSpacing w:val="0"/>
        <w:rPr>
          <w:rFonts w:cs="Arial"/>
        </w:rPr>
      </w:pPr>
      <w:r w:rsidRPr="00ED03AD">
        <w:rPr>
          <w:rFonts w:cs="Arial"/>
        </w:rPr>
        <w:t xml:space="preserve">ACCIÓN CONCERTADA </w:t>
      </w:r>
    </w:p>
    <w:p w:rsidR="00ED03AD" w:rsidRPr="00ED03AD" w:rsidRDefault="00ED03AD" w:rsidP="00ED03AD">
      <w:pPr>
        <w:spacing w:after="120"/>
        <w:ind w:left="540"/>
        <w:rPr>
          <w:rFonts w:cs="Arial"/>
          <w:lang w:val="es-ES"/>
        </w:rPr>
      </w:pPr>
      <w:r w:rsidRPr="00ED03AD">
        <w:rPr>
          <w:rFonts w:cs="Arial"/>
          <w:lang w:val="es-ES"/>
        </w:rPr>
        <w:t>Título:   ACCIÓN CONCERTADA PARA EL TIBURÓN BALLENA (</w:t>
      </w:r>
      <w:proofErr w:type="spellStart"/>
      <w:r w:rsidRPr="00ED03AD">
        <w:rPr>
          <w:rFonts w:cs="Arial"/>
          <w:i/>
          <w:iCs/>
          <w:lang w:val="es-ES"/>
        </w:rPr>
        <w:t>Rhincodon</w:t>
      </w:r>
      <w:proofErr w:type="spellEnd"/>
      <w:r w:rsidRPr="00ED03AD">
        <w:rPr>
          <w:rFonts w:cs="Arial"/>
          <w:i/>
          <w:iCs/>
          <w:lang w:val="es-ES"/>
        </w:rPr>
        <w:t xml:space="preserve"> </w:t>
      </w:r>
      <w:proofErr w:type="spellStart"/>
      <w:r w:rsidRPr="00ED03AD">
        <w:rPr>
          <w:rFonts w:cs="Arial"/>
          <w:i/>
          <w:iCs/>
          <w:lang w:val="es-ES"/>
        </w:rPr>
        <w:t>typus</w:t>
      </w:r>
      <w:proofErr w:type="spellEnd"/>
      <w:r w:rsidRPr="00ED03AD">
        <w:rPr>
          <w:rFonts w:cs="Arial"/>
          <w:lang w:val="es-ES"/>
        </w:rPr>
        <w:t>)</w:t>
      </w:r>
    </w:p>
    <w:p w:rsidR="00ED03AD" w:rsidRPr="00ED03AD" w:rsidRDefault="00ED03AD" w:rsidP="00ED03AD">
      <w:pPr>
        <w:spacing w:after="120"/>
        <w:ind w:left="540"/>
        <w:rPr>
          <w:rFonts w:cs="Arial"/>
          <w:iCs/>
          <w:lang w:val="es-ES"/>
        </w:rPr>
      </w:pPr>
      <w:r w:rsidRPr="00ED03AD">
        <w:rPr>
          <w:rFonts w:cs="Arial"/>
          <w:lang w:val="es-ES"/>
        </w:rPr>
        <w:t>Número de documento:</w:t>
      </w:r>
      <w:r w:rsidRPr="00ED03AD">
        <w:rPr>
          <w:rFonts w:cs="Arial"/>
          <w:i/>
          <w:lang w:val="es-ES"/>
        </w:rPr>
        <w:t xml:space="preserve"> </w:t>
      </w:r>
      <w:r w:rsidRPr="00ED03AD">
        <w:rPr>
          <w:rFonts w:cs="Arial"/>
          <w:iCs/>
          <w:lang w:val="es-ES"/>
        </w:rPr>
        <w:t>UNEP/CMS/Acción concertada 12.7</w:t>
      </w:r>
    </w:p>
    <w:p w:rsidR="00ED03AD" w:rsidRPr="00ED03AD" w:rsidRDefault="00ED03AD" w:rsidP="00ED03AD">
      <w:pPr>
        <w:tabs>
          <w:tab w:val="left" w:pos="5040"/>
          <w:tab w:val="left" w:pos="5760"/>
          <w:tab w:val="left" w:pos="6008"/>
          <w:tab w:val="left" w:pos="6480"/>
          <w:tab w:val="left" w:pos="7200"/>
          <w:tab w:val="left" w:pos="7920"/>
          <w:tab w:val="left" w:pos="8640"/>
        </w:tabs>
        <w:spacing w:after="0"/>
        <w:ind w:left="540"/>
        <w:jc w:val="both"/>
        <w:rPr>
          <w:rFonts w:cs="Arial"/>
          <w:lang w:val="es-ES"/>
        </w:rPr>
      </w:pPr>
      <w:r w:rsidRPr="00ED03AD">
        <w:rPr>
          <w:rFonts w:cs="Arial"/>
          <w:lang w:val="es-ES"/>
        </w:rPr>
        <w:t>Adoptada por la Conferencia de las Partes en su 12</w:t>
      </w:r>
      <w:r w:rsidRPr="00ED03AD">
        <w:rPr>
          <w:rFonts w:cs="Arial"/>
          <w:vertAlign w:val="superscript"/>
          <w:lang w:val="es-ES"/>
        </w:rPr>
        <w:t>ª</w:t>
      </w:r>
      <w:r w:rsidRPr="00ED03AD">
        <w:rPr>
          <w:rFonts w:cs="Arial"/>
          <w:lang w:val="es-ES"/>
        </w:rPr>
        <w:t>reunión (Manila, octubre de 2017).</w:t>
      </w:r>
    </w:p>
    <w:p w:rsidR="00ED03AD" w:rsidRPr="00ED03AD" w:rsidRDefault="00ED03AD" w:rsidP="00ED03AD">
      <w:pPr>
        <w:spacing w:after="120"/>
        <w:ind w:left="540"/>
        <w:rPr>
          <w:rFonts w:cs="Arial"/>
          <w:iCs/>
          <w:lang w:val="es-ES"/>
        </w:rPr>
      </w:pP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p>
    <w:p w:rsidR="00ED03AD" w:rsidRPr="00ED03AD" w:rsidRDefault="00ED03AD" w:rsidP="00ED03AD">
      <w:pPr>
        <w:pStyle w:val="ListParagraph"/>
        <w:numPr>
          <w:ilvl w:val="0"/>
          <w:numId w:val="12"/>
        </w:numPr>
        <w:spacing w:after="120" w:line="240" w:lineRule="auto"/>
        <w:ind w:left="540" w:hanging="540"/>
        <w:contextualSpacing w:val="0"/>
        <w:rPr>
          <w:rFonts w:cs="Arial"/>
        </w:rPr>
      </w:pPr>
      <w:r w:rsidRPr="00ED03AD">
        <w:rPr>
          <w:rFonts w:cs="Arial"/>
        </w:rPr>
        <w:t>ORGANIZACIÓN INFORMANTE</w:t>
      </w: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i/>
          <w:lang w:val="es-ES"/>
        </w:rPr>
      </w:pPr>
      <w:r w:rsidRPr="00ED03AD">
        <w:rPr>
          <w:rFonts w:cs="Arial"/>
          <w:lang w:val="es-ES"/>
        </w:rPr>
        <w:t xml:space="preserve">Sea </w:t>
      </w:r>
      <w:proofErr w:type="spellStart"/>
      <w:r w:rsidRPr="00ED03AD">
        <w:rPr>
          <w:rFonts w:cs="Arial"/>
          <w:lang w:val="es-ES"/>
        </w:rPr>
        <w:t>Shepherd</w:t>
      </w:r>
      <w:proofErr w:type="spellEnd"/>
      <w:r w:rsidRPr="00ED03AD">
        <w:rPr>
          <w:rFonts w:cs="Arial"/>
          <w:lang w:val="es-ES"/>
        </w:rPr>
        <w:t xml:space="preserve"> Legal (SSL) es un bufete de abogados medioambiental de interés público y sin ánimo de lucro comprometido con salvar a las especies silvestres marinas por medio del cumplimiento, el refuerzo y el desarrollo de leyes, tratados, políticas y prácticas protectoras en todo el mundo.</w:t>
      </w:r>
      <w:r w:rsidRPr="00ED03AD">
        <w:rPr>
          <w:rFonts w:cs="Arial"/>
          <w:i/>
          <w:lang w:val="es-ES"/>
        </w:rPr>
        <w:t xml:space="preserve">  </w:t>
      </w:r>
      <w:r w:rsidRPr="00ED03AD">
        <w:rPr>
          <w:rFonts w:cs="Arial"/>
          <w:lang w:val="es-ES"/>
        </w:rPr>
        <w:t>El equipo del SSL lo forman múltiples abogados con la ayuda de socios, incluidos asesores científicos, investigadores, programas de medio ambiente de facultades de Derecho y funcionarios gubernamentales.  Trabajamos conjuntamente para proteger de manera efectiva a las especies silvestres marinas y sus hábitats en todo el mundo.</w:t>
      </w: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r w:rsidRPr="00ED03AD">
        <w:rPr>
          <w:rFonts w:cs="Arial"/>
          <w:lang w:val="es-ES"/>
        </w:rPr>
        <w:t>SSL trabaja en multitud de proyectos para el fomento de su misión.  Las áreas de enfoque clave que resultan de especial importancia para esta propuesta incluyen reforzar la protección por medio de normativas de especies marinas y sus hábitats, combatir la pesca ilegal, no denunciada y no reglamentada, y reducir la captura incidental.</w:t>
      </w: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p>
    <w:p w:rsidR="00ED03AD" w:rsidRPr="00ED03AD" w:rsidRDefault="00ED03AD" w:rsidP="00ED03AD">
      <w:pPr>
        <w:pStyle w:val="ListParagraph"/>
        <w:numPr>
          <w:ilvl w:val="0"/>
          <w:numId w:val="12"/>
        </w:numPr>
        <w:spacing w:after="120" w:line="240" w:lineRule="auto"/>
        <w:ind w:left="540" w:hanging="540"/>
        <w:contextualSpacing w:val="0"/>
        <w:rPr>
          <w:rFonts w:cs="Arial"/>
        </w:rPr>
      </w:pPr>
      <w:r w:rsidRPr="00ED03AD">
        <w:rPr>
          <w:rFonts w:cs="Arial"/>
        </w:rPr>
        <w:t>ESPECIES OBJETIVO</w:t>
      </w:r>
    </w:p>
    <w:p w:rsidR="00ED03AD" w:rsidRPr="00ED03AD" w:rsidRDefault="00ED03AD" w:rsidP="00ED03AD">
      <w:pPr>
        <w:spacing w:after="120"/>
        <w:ind w:left="540"/>
        <w:rPr>
          <w:rFonts w:cs="Arial"/>
        </w:rPr>
      </w:pPr>
      <w:proofErr w:type="spellStart"/>
      <w:r w:rsidRPr="00ED03AD">
        <w:rPr>
          <w:rFonts w:cs="Arial"/>
        </w:rPr>
        <w:t>Clase</w:t>
      </w:r>
      <w:proofErr w:type="spellEnd"/>
      <w:r w:rsidRPr="00ED03AD">
        <w:rPr>
          <w:rFonts w:cs="Arial"/>
        </w:rPr>
        <w:t xml:space="preserve">:  </w:t>
      </w:r>
      <w:proofErr w:type="spellStart"/>
      <w:r w:rsidRPr="00ED03AD">
        <w:rPr>
          <w:rFonts w:cs="Arial"/>
        </w:rPr>
        <w:t>Condrictios</w:t>
      </w:r>
      <w:proofErr w:type="spellEnd"/>
    </w:p>
    <w:p w:rsidR="00ED03AD" w:rsidRPr="00ED03AD" w:rsidRDefault="00ED03AD" w:rsidP="00ED03AD">
      <w:pPr>
        <w:spacing w:after="120"/>
        <w:ind w:left="540"/>
        <w:rPr>
          <w:rFonts w:cs="Arial"/>
        </w:rPr>
      </w:pPr>
      <w:r w:rsidRPr="00ED03AD">
        <w:rPr>
          <w:rFonts w:cs="Arial"/>
        </w:rPr>
        <w:t xml:space="preserve">Familia:  </w:t>
      </w:r>
      <w:proofErr w:type="spellStart"/>
      <w:r w:rsidRPr="00ED03AD">
        <w:rPr>
          <w:rFonts w:cs="Arial"/>
        </w:rPr>
        <w:t>Elasmobranquios</w:t>
      </w:r>
      <w:proofErr w:type="spellEnd"/>
    </w:p>
    <w:p w:rsidR="00ED03AD" w:rsidRPr="00ED03AD" w:rsidRDefault="00ED03AD" w:rsidP="00ED03AD">
      <w:pPr>
        <w:spacing w:after="120"/>
        <w:ind w:left="540"/>
        <w:rPr>
          <w:rFonts w:cs="Arial"/>
        </w:rPr>
      </w:pPr>
      <w:r w:rsidRPr="00ED03AD">
        <w:rPr>
          <w:rFonts w:cs="Arial"/>
        </w:rPr>
        <w:t xml:space="preserve">Orden:  </w:t>
      </w:r>
      <w:proofErr w:type="spellStart"/>
      <w:r w:rsidRPr="00ED03AD">
        <w:rPr>
          <w:rFonts w:cs="Arial"/>
        </w:rPr>
        <w:t>Orectolobiformes</w:t>
      </w:r>
      <w:proofErr w:type="spellEnd"/>
    </w:p>
    <w:p w:rsidR="00ED03AD" w:rsidRPr="00ED03AD" w:rsidRDefault="00ED03AD" w:rsidP="00ED03AD">
      <w:pPr>
        <w:spacing w:after="0"/>
        <w:ind w:left="540"/>
        <w:rPr>
          <w:rFonts w:cs="Arial"/>
        </w:rPr>
      </w:pPr>
      <w:proofErr w:type="spellStart"/>
      <w:r w:rsidRPr="00ED03AD">
        <w:rPr>
          <w:rFonts w:cs="Arial"/>
        </w:rPr>
        <w:t>Especies</w:t>
      </w:r>
      <w:proofErr w:type="spellEnd"/>
      <w:r w:rsidRPr="00ED03AD">
        <w:rPr>
          <w:rFonts w:cs="Arial"/>
        </w:rPr>
        <w:t xml:space="preserve">:  </w:t>
      </w:r>
      <w:r w:rsidRPr="00ED03AD">
        <w:rPr>
          <w:rFonts w:cs="Arial"/>
          <w:i/>
          <w:iCs/>
        </w:rPr>
        <w:t xml:space="preserve">Rhincodon </w:t>
      </w:r>
      <w:proofErr w:type="spellStart"/>
      <w:r w:rsidRPr="00ED03AD">
        <w:rPr>
          <w:rFonts w:cs="Arial"/>
          <w:i/>
          <w:iCs/>
        </w:rPr>
        <w:t>typus</w:t>
      </w:r>
      <w:proofErr w:type="spellEnd"/>
    </w:p>
    <w:p w:rsidR="00ED03AD" w:rsidRPr="00ED03AD" w:rsidRDefault="00ED03AD" w:rsidP="00ED03AD">
      <w:pPr>
        <w:spacing w:after="0"/>
        <w:ind w:left="709"/>
        <w:rPr>
          <w:rFonts w:cs="Arial"/>
        </w:rPr>
      </w:pPr>
    </w:p>
    <w:p w:rsidR="00ED03AD" w:rsidRPr="00ED03AD" w:rsidRDefault="00ED03AD" w:rsidP="00ED03AD">
      <w:pPr>
        <w:tabs>
          <w:tab w:val="left" w:pos="5040"/>
          <w:tab w:val="left" w:pos="5760"/>
          <w:tab w:val="left" w:pos="6008"/>
          <w:tab w:val="left" w:pos="6480"/>
          <w:tab w:val="left" w:pos="7200"/>
          <w:tab w:val="left" w:pos="7920"/>
          <w:tab w:val="left" w:pos="8640"/>
        </w:tabs>
        <w:spacing w:after="0"/>
        <w:rPr>
          <w:rFonts w:cs="Arial"/>
          <w:lang w:val="en-GB"/>
        </w:rPr>
      </w:pPr>
    </w:p>
    <w:p w:rsidR="00ED03AD" w:rsidRPr="00ED03AD" w:rsidRDefault="00ED03AD" w:rsidP="00ED03AD">
      <w:pPr>
        <w:pStyle w:val="ListParagraph"/>
        <w:numPr>
          <w:ilvl w:val="0"/>
          <w:numId w:val="12"/>
        </w:numPr>
        <w:spacing w:after="120" w:line="240" w:lineRule="auto"/>
        <w:ind w:left="540" w:hanging="540"/>
        <w:contextualSpacing w:val="0"/>
        <w:rPr>
          <w:rFonts w:cs="Arial"/>
        </w:rPr>
      </w:pPr>
      <w:r w:rsidRPr="00ED03AD">
        <w:rPr>
          <w:rFonts w:cs="Arial"/>
        </w:rPr>
        <w:t xml:space="preserve"> PROGRESO DE LAS ACTIVIDADES </w:t>
      </w: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r w:rsidRPr="00ED03AD">
        <w:rPr>
          <w:rFonts w:cs="Arial"/>
          <w:lang w:val="es-ES"/>
        </w:rPr>
        <w:t xml:space="preserve">Dado que el área de distribución </w:t>
      </w:r>
      <w:proofErr w:type="spellStart"/>
      <w:r w:rsidRPr="00ED03AD">
        <w:rPr>
          <w:rFonts w:cs="Arial"/>
          <w:lang w:val="es-ES"/>
        </w:rPr>
        <w:t>circumtropical</w:t>
      </w:r>
      <w:proofErr w:type="spellEnd"/>
      <w:r w:rsidRPr="00ED03AD">
        <w:rPr>
          <w:rFonts w:cs="Arial"/>
          <w:lang w:val="es-ES"/>
        </w:rPr>
        <w:t xml:space="preserve"> del tiburón ballena es muy amplia (120 Estados del área de distribución), SSL ha centrado sus esfuerzos, según lo planificado, en los siete Estados del área de distribución que el Gobierno de Filipinas («proponente») ha identificado como «zonas críticas para el tiburón ballena», entre otras, Gabón, Madagascar, Mozambique, Pakistán, Perú, Portugal (Azores) y la República Unida de Tanzania (los siete «Estados del área de distribución críticos»).  Con un alcance geográfico tan limitado, el SSL se ha comprometido a ayudar al proponente en la ejecución de partes de las siguientes actividades: Actividad 3. Aumento de los observadores a bordo; Actividad 4. Implicación de los Estados del área de distribución que no son parte de la CMS; y Actividad 5. Legislación, política y gestión.  Este informe comenta el progreso de SSL hasta la fecha en cada una de estas actividades.  </w:t>
      </w: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r w:rsidRPr="00ED03AD">
        <w:rPr>
          <w:rFonts w:cs="Arial"/>
          <w:u w:val="single"/>
          <w:lang w:val="es-ES"/>
        </w:rPr>
        <w:lastRenderedPageBreak/>
        <w:t>Actividad 3: Aumento de los observadores a bordo</w:t>
      </w:r>
      <w:r w:rsidRPr="00ED03AD">
        <w:rPr>
          <w:rFonts w:cs="Arial"/>
          <w:lang w:val="es-ES"/>
        </w:rPr>
        <w:t>.  SSL se ha comprometido concretamente a apoyar al proponente en la ejecución de la Actividad 3.1 sobre coordinación con las OROP para promover el intercambio de información y racionalizar los esfuerzos de conservación. Resultados/consecuencias: las OROP han instaurado medidas de conservación del tiburón ballena. Aunque todavía se desconoce si el proponente ha iniciado conversaciones con las OROP, SSL ha estudiado las OROP relevantes para los siete Estados del área de distribución críticos.  Cada una de las OROP relevantes incluye políticas u ofrece directrices que dictan, a varios niveles, el uso de aparejos, métodos de captura y liberación, y notificación de capturas de manera directa o indirecta pertinentes para la conservación de los tiburones ballena.</w:t>
      </w:r>
      <w:r w:rsidRPr="00ED03AD">
        <w:rPr>
          <w:rFonts w:cs="Arial"/>
          <w:vertAlign w:val="superscript"/>
        </w:rPr>
        <w:footnoteReference w:id="1"/>
      </w:r>
      <w:r w:rsidRPr="00ED03AD">
        <w:rPr>
          <w:rFonts w:cs="Arial"/>
          <w:lang w:val="es-ES"/>
        </w:rPr>
        <w:t xml:space="preserve"> SSL continúa supervisando las políticas y publicaciones de estas OROP y está dispuesta a ayudar al proponente en la ejecución de la 3.1.  Obsérvese también que los «informes nacionales» de SSL para cada uno de los siete Estados del área de distribución críticos define el alcance de la aplicabilidad de la OROP y en qué medida cada Estado del área de distribución ha adoptado medidas que complementan a las políticas de las OROP pertinentes.  Además, SSL ha llevado a cabo talleres en dos de los siete Estados del área de distribución críticos (Perú en abril de 2018 y Gabón en marzo de 2019) durante los cuales SSL destacó la acción concertada 12.7: la necesidad de más protección para los tiburones ballena y las deficiencias de las medidas de las OROP. Actualmente, SSL participa en numerosas iniciativas legislativas y de cumplimiento en ambos países para mejorar la protección a los tiburones.  Concretamente, y de conformidad con las recomendaciones de SSL, durante el taller de marzo de 2019, Gabón pasó a ampliar su programa de observadores a bordo en embarcaciones de pesca industrial que operan en aguas de Gabón.  </w:t>
      </w: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r w:rsidRPr="00ED03AD">
        <w:rPr>
          <w:rFonts w:cs="Arial"/>
          <w:lang w:val="es-ES"/>
        </w:rPr>
        <w:t xml:space="preserve"> </w:t>
      </w: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r w:rsidRPr="00ED03AD">
        <w:rPr>
          <w:rFonts w:cs="Arial"/>
          <w:u w:val="single"/>
          <w:lang w:val="es-ES"/>
        </w:rPr>
        <w:t>Actividad 4: Implicación de los Estados del área de distribución que no son parte de la CMS</w:t>
      </w:r>
      <w:r w:rsidRPr="00ED03AD">
        <w:rPr>
          <w:rFonts w:cs="Arial"/>
          <w:lang w:val="es-ES"/>
        </w:rPr>
        <w:t>.  SSL se ha comprometido a ayudar al proponente con ambos elementos de esta actividad, entre otras, el punto 4.1 sobre la implicación de las Partes que no son parte de la CMS en las conversaciones para proteger a los tiburones ballena y promover su integración y el punto 4.2 sobre la organización de un taller regional para fomentar la cooperación y aumentar la concienciación.  SSL señala que los siete Estados del área de distribución críticos son Partes de la CMS. SSL todavía no ha tenido la oportunidad de implicar a las Partes que no son parte de la CMS, pero prevé que dicha oportunidad será posible gracias al taller regional planificado por el proponente.</w:t>
      </w: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p>
    <w:p w:rsidR="00ED03AD" w:rsidRPr="00ED03AD" w:rsidRDefault="00ED03AD" w:rsidP="00ED03AD">
      <w:pPr>
        <w:tabs>
          <w:tab w:val="left" w:pos="5040"/>
          <w:tab w:val="left" w:pos="5760"/>
          <w:tab w:val="left" w:pos="6008"/>
          <w:tab w:val="left" w:pos="6480"/>
          <w:tab w:val="left" w:pos="7200"/>
          <w:tab w:val="left" w:pos="7920"/>
          <w:tab w:val="left" w:pos="8640"/>
        </w:tabs>
        <w:jc w:val="both"/>
        <w:rPr>
          <w:rFonts w:cs="Arial"/>
          <w:lang w:val="es-ES" w:bidi="en-US"/>
        </w:rPr>
      </w:pPr>
      <w:r w:rsidRPr="00ED03AD">
        <w:rPr>
          <w:rFonts w:cs="Arial"/>
          <w:u w:val="single"/>
          <w:lang w:val="es-ES"/>
        </w:rPr>
        <w:t>Actividad 5: Legislación, política y gestión</w:t>
      </w:r>
      <w:r w:rsidRPr="00ED03AD">
        <w:rPr>
          <w:rFonts w:cs="Arial"/>
          <w:lang w:val="es-ES"/>
        </w:rPr>
        <w:t>.  SSL se ha comprometido a ayudar al proponente en la ejecución de los ocho elementos de la Actividad 5. Hasta la fecha, SSL ha completado el punto 5.1 sobre identificación de inconsistencias en el nivel de protección garantizado por diferentes Estados del área de distribución para los siete Estados del área de distribución críticos (véase, por ejemplo, Mozambique, informe nacional citado a continuación y dispuesto como UNEP/CMS/COP13/Inf.</w:t>
      </w:r>
      <w:r w:rsidR="00201915">
        <w:rPr>
          <w:rFonts w:cs="Arial"/>
          <w:lang w:val="es-ES"/>
        </w:rPr>
        <w:t>14</w:t>
      </w:r>
      <w:r w:rsidRPr="00ED03AD">
        <w:rPr>
          <w:rFonts w:cs="Arial"/>
          <w:lang w:val="es-ES"/>
        </w:rPr>
        <w:t xml:space="preserve">).  Para cada Estado del área de distribución, SSL estudió concretamente las siguientes políticas, según su aplicabilidad y disponibilidad, incluida la normativa de aplicación de la CMS; la legislación sobre pesca (regulación de la explotación de especies marinas, instrumentos de pesca y reglamento sobre captura incidental, reglamento sobre embarcaciones extranjeras); la legislación sobre hábitats (áreas protegidas, plan de conservación o plan de acción regional); las normativas turísticas; el Convenio MARPOL y la prevención de la contaminación (vertido de instrumentos de pesca y otros contaminantes procedentes de barcos, provisiones contaminantes adicionales); y la normativa de </w:t>
      </w:r>
      <w:r w:rsidRPr="00ED03AD">
        <w:rPr>
          <w:rFonts w:cs="Arial"/>
          <w:lang w:val="es-ES"/>
        </w:rPr>
        <w:lastRenderedPageBreak/>
        <w:t>aplicación de la CITES (designación de autoridades científicas y de gestión, cobertura de los tiburones ballena bajo la legislación nacional, cobertura de «especímenes» según la definición de la CITES, autoridad para emitir certificados IFS adecuados y permisos de exportación).  Según dicho estudio, SSL elaboró el borrador de un documento general que incluía un estudio legislativo y recomendaciones para la ejecución de la acción concertada de la CMS para el tiburón ballena (</w:t>
      </w:r>
      <w:proofErr w:type="spellStart"/>
      <w:r w:rsidRPr="00ED03AD">
        <w:rPr>
          <w:rFonts w:cs="Arial"/>
          <w:i/>
          <w:lang w:val="es-ES" w:bidi="en-US"/>
        </w:rPr>
        <w:t>Rhincodon</w:t>
      </w:r>
      <w:proofErr w:type="spellEnd"/>
      <w:r w:rsidRPr="00ED03AD">
        <w:rPr>
          <w:rFonts w:cs="Arial"/>
          <w:i/>
          <w:lang w:val="es-ES" w:bidi="en-US"/>
        </w:rPr>
        <w:t xml:space="preserve"> </w:t>
      </w:r>
      <w:proofErr w:type="spellStart"/>
      <w:r w:rsidRPr="00ED03AD">
        <w:rPr>
          <w:rFonts w:cs="Arial"/>
          <w:i/>
          <w:lang w:val="es-ES" w:bidi="en-US"/>
        </w:rPr>
        <w:t>typus</w:t>
      </w:r>
      <w:proofErr w:type="spellEnd"/>
      <w:r w:rsidRPr="00ED03AD">
        <w:rPr>
          <w:rFonts w:cs="Arial"/>
          <w:lang w:val="es-ES" w:bidi="en-US"/>
        </w:rPr>
        <w:t>), el cual ofrece recomendaciones aplicables, en distintos grados, a los 120 Estados del área de distribución del tiburón ballena, dispuesto como UNEP/CMS/COP13/</w:t>
      </w:r>
      <w:proofErr w:type="gramStart"/>
      <w:r w:rsidRPr="00ED03AD">
        <w:rPr>
          <w:rFonts w:cs="Arial"/>
          <w:lang w:val="es-ES" w:bidi="en-US"/>
        </w:rPr>
        <w:t>Inf.</w:t>
      </w:r>
      <w:r w:rsidR="00201915">
        <w:rPr>
          <w:rFonts w:cs="Arial"/>
          <w:lang w:val="es-ES" w:bidi="en-US"/>
        </w:rPr>
        <w:t>15</w:t>
      </w:r>
      <w:r w:rsidRPr="00ED03AD">
        <w:rPr>
          <w:rFonts w:cs="Arial"/>
          <w:lang w:val="es-ES" w:bidi="en-US"/>
        </w:rPr>
        <w:t>:.</w:t>
      </w:r>
      <w:proofErr w:type="gramEnd"/>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bidi="en-US"/>
        </w:rPr>
      </w:pP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r w:rsidRPr="00ED03AD">
        <w:rPr>
          <w:rFonts w:cs="Arial"/>
          <w:lang w:val="es-ES" w:bidi="en-US"/>
        </w:rPr>
        <w:t xml:space="preserve">Además, en Perú y Gabón concretamente, SSL está trabajando actualmente para aplicar los puntos 5.2, 5.4, 5.5 y 5.7.   Es necesario más tiempo para desarrollar dichas actividades en los otros Estados del área de distribución críticos.  SSL prevé obtener importantes progresos en la ejecución de todos los elementos de la Actividad 5 durante el próximo taller regional del proponente y durante las reuniones que conducen, y rodean, a la COP 13 de la CMS. </w:t>
      </w:r>
    </w:p>
    <w:p w:rsidR="00ED03AD" w:rsidRDefault="00ED03AD">
      <w:pPr>
        <w:rPr>
          <w:rFonts w:eastAsia="Times New Roman" w:cs="Arial"/>
          <w:lang w:val="es-ES" w:eastAsia="es-ES"/>
        </w:rPr>
      </w:pPr>
    </w:p>
    <w:p w:rsidR="00ED03AD" w:rsidRPr="00ED03AD" w:rsidRDefault="00ED03AD" w:rsidP="00ED03AD">
      <w:pPr>
        <w:pStyle w:val="ListParagraph"/>
        <w:numPr>
          <w:ilvl w:val="0"/>
          <w:numId w:val="12"/>
        </w:numPr>
        <w:spacing w:after="120" w:line="240" w:lineRule="auto"/>
        <w:ind w:left="540" w:hanging="540"/>
        <w:contextualSpacing w:val="0"/>
        <w:rPr>
          <w:rFonts w:cs="Arial"/>
          <w:lang w:val="es-ES"/>
        </w:rPr>
      </w:pPr>
      <w:r w:rsidRPr="00ED03AD">
        <w:rPr>
          <w:rFonts w:cs="Arial"/>
          <w:lang w:val="es-ES"/>
        </w:rPr>
        <w:t xml:space="preserve">CAMBIOS A LA ACCIÓN CONCERTADA ORIGINAL </w:t>
      </w:r>
    </w:p>
    <w:p w:rsidR="00ED03AD" w:rsidRPr="00ED03AD" w:rsidRDefault="00ED03AD" w:rsidP="00ED03AD">
      <w:pPr>
        <w:spacing w:after="0"/>
        <w:rPr>
          <w:rFonts w:cs="Arial"/>
          <w:lang w:val="es-ES"/>
        </w:rPr>
      </w:pPr>
      <w:r w:rsidRPr="00ED03AD">
        <w:rPr>
          <w:rFonts w:cs="Arial"/>
          <w:lang w:val="es-ES"/>
        </w:rPr>
        <w:t>Hasta el momento, SSL no tiene conocimiento de ningún cambio significativo a la acción concertada original para el tiburón ballena.</w:t>
      </w:r>
    </w:p>
    <w:p w:rsidR="00ED03AD" w:rsidRPr="00ED03AD" w:rsidRDefault="00ED03AD" w:rsidP="00ED03AD">
      <w:pPr>
        <w:spacing w:after="0"/>
        <w:rPr>
          <w:rFonts w:cs="Arial"/>
          <w:lang w:val="es-ES"/>
        </w:rPr>
      </w:pPr>
    </w:p>
    <w:p w:rsidR="00ED03AD" w:rsidRPr="00ED03AD" w:rsidRDefault="00ED03AD" w:rsidP="00ED03AD">
      <w:pPr>
        <w:pStyle w:val="ListParagraph"/>
        <w:numPr>
          <w:ilvl w:val="0"/>
          <w:numId w:val="12"/>
        </w:numPr>
        <w:spacing w:after="120" w:line="240" w:lineRule="auto"/>
        <w:ind w:left="540" w:hanging="540"/>
        <w:contextualSpacing w:val="0"/>
        <w:rPr>
          <w:rFonts w:cs="Arial"/>
        </w:rPr>
      </w:pPr>
      <w:r w:rsidRPr="00ED03AD">
        <w:rPr>
          <w:rFonts w:cs="Arial"/>
        </w:rPr>
        <w:t>REFERENCIAS</w:t>
      </w:r>
    </w:p>
    <w:p w:rsidR="00ED03AD" w:rsidRPr="00ED03AD" w:rsidRDefault="00ED03AD" w:rsidP="00ED03AD">
      <w:pPr>
        <w:pStyle w:val="ListParagraph"/>
        <w:numPr>
          <w:ilvl w:val="0"/>
          <w:numId w:val="13"/>
        </w:numPr>
        <w:tabs>
          <w:tab w:val="left" w:pos="5040"/>
          <w:tab w:val="left" w:pos="5760"/>
          <w:tab w:val="left" w:pos="6008"/>
          <w:tab w:val="left" w:pos="6480"/>
          <w:tab w:val="left" w:pos="7200"/>
          <w:tab w:val="left" w:pos="7920"/>
          <w:tab w:val="left" w:pos="8640"/>
        </w:tabs>
        <w:suppressAutoHyphens/>
        <w:autoSpaceDN w:val="0"/>
        <w:spacing w:after="0" w:line="240" w:lineRule="auto"/>
        <w:contextualSpacing w:val="0"/>
        <w:jc w:val="both"/>
        <w:textAlignment w:val="baseline"/>
        <w:rPr>
          <w:rFonts w:cs="Arial"/>
          <w:lang w:val="es-ES"/>
        </w:rPr>
      </w:pPr>
      <w:r w:rsidRPr="00ED03AD">
        <w:rPr>
          <w:rFonts w:cs="Arial"/>
          <w:lang w:val="es-ES"/>
        </w:rPr>
        <w:t>UNEP/CMS/COP13/Inf.</w:t>
      </w:r>
      <w:r w:rsidR="00201915">
        <w:rPr>
          <w:rFonts w:cs="Arial"/>
          <w:lang w:val="es-ES"/>
        </w:rPr>
        <w:t>14</w:t>
      </w:r>
      <w:r w:rsidRPr="00ED03AD">
        <w:rPr>
          <w:rFonts w:cs="Arial"/>
          <w:lang w:val="es-ES"/>
        </w:rPr>
        <w:t>:</w:t>
      </w:r>
      <w:r w:rsidRPr="00ED03AD">
        <w:rPr>
          <w:rFonts w:cs="Arial"/>
          <w:lang w:val="es-ES"/>
        </w:rPr>
        <w:br/>
        <w:t>Informe de muestra. Informe nacional de Mozambique: Ejecución de la acción concertada de la Convención sobre la Conservación de las Especies Migratorias de Animales Silvestres (CMS) para el tiburón ballena (</w:t>
      </w:r>
      <w:proofErr w:type="spellStart"/>
      <w:r w:rsidRPr="00ED03AD">
        <w:rPr>
          <w:rFonts w:cs="Arial"/>
          <w:i/>
          <w:iCs/>
          <w:lang w:val="es-ES"/>
        </w:rPr>
        <w:t>Rhincodon</w:t>
      </w:r>
      <w:proofErr w:type="spellEnd"/>
      <w:r w:rsidRPr="00ED03AD">
        <w:rPr>
          <w:rFonts w:cs="Arial"/>
          <w:i/>
          <w:iCs/>
          <w:lang w:val="es-ES"/>
        </w:rPr>
        <w:t xml:space="preserve"> </w:t>
      </w:r>
      <w:proofErr w:type="spellStart"/>
      <w:r w:rsidRPr="00ED03AD">
        <w:rPr>
          <w:rFonts w:cs="Arial"/>
          <w:i/>
          <w:iCs/>
          <w:lang w:val="es-ES"/>
        </w:rPr>
        <w:t>typus</w:t>
      </w:r>
      <w:proofErr w:type="spellEnd"/>
      <w:r w:rsidRPr="00ED03AD">
        <w:rPr>
          <w:rFonts w:cs="Arial"/>
          <w:lang w:val="es-ES"/>
        </w:rPr>
        <w:t xml:space="preserve">) elaborada por Sea </w:t>
      </w:r>
      <w:proofErr w:type="spellStart"/>
      <w:r w:rsidRPr="00ED03AD">
        <w:rPr>
          <w:rFonts w:cs="Arial"/>
          <w:lang w:val="es-ES"/>
        </w:rPr>
        <w:t>Shepherd</w:t>
      </w:r>
      <w:proofErr w:type="spellEnd"/>
      <w:r w:rsidRPr="00ED03AD">
        <w:rPr>
          <w:rFonts w:cs="Arial"/>
          <w:lang w:val="es-ES"/>
        </w:rPr>
        <w:t xml:space="preserve"> Legal.</w:t>
      </w:r>
    </w:p>
    <w:p w:rsidR="00ED03AD" w:rsidRPr="00ED03AD" w:rsidRDefault="00ED03AD" w:rsidP="00ED03AD">
      <w:pPr>
        <w:tabs>
          <w:tab w:val="left" w:pos="5040"/>
          <w:tab w:val="left" w:pos="5760"/>
          <w:tab w:val="left" w:pos="6008"/>
          <w:tab w:val="left" w:pos="6480"/>
          <w:tab w:val="left" w:pos="7200"/>
          <w:tab w:val="left" w:pos="7920"/>
          <w:tab w:val="left" w:pos="8640"/>
        </w:tabs>
        <w:spacing w:after="0"/>
        <w:jc w:val="both"/>
        <w:rPr>
          <w:rFonts w:cs="Arial"/>
          <w:lang w:val="es-ES"/>
        </w:rPr>
      </w:pPr>
    </w:p>
    <w:p w:rsidR="00ED03AD" w:rsidRPr="00ED03AD" w:rsidRDefault="00ED03AD" w:rsidP="00ED03AD">
      <w:pPr>
        <w:pStyle w:val="ListParagraph"/>
        <w:numPr>
          <w:ilvl w:val="0"/>
          <w:numId w:val="13"/>
        </w:numPr>
        <w:tabs>
          <w:tab w:val="left" w:pos="5040"/>
          <w:tab w:val="left" w:pos="5760"/>
          <w:tab w:val="left" w:pos="6008"/>
          <w:tab w:val="left" w:pos="6480"/>
          <w:tab w:val="left" w:pos="7200"/>
          <w:tab w:val="left" w:pos="7920"/>
          <w:tab w:val="left" w:pos="8640"/>
        </w:tabs>
        <w:suppressAutoHyphens/>
        <w:autoSpaceDN w:val="0"/>
        <w:spacing w:after="0" w:line="240" w:lineRule="auto"/>
        <w:contextualSpacing w:val="0"/>
        <w:jc w:val="both"/>
        <w:textAlignment w:val="baseline"/>
        <w:rPr>
          <w:rFonts w:cs="Arial"/>
          <w:lang w:val="es-ES"/>
        </w:rPr>
      </w:pPr>
      <w:r w:rsidRPr="00ED03AD">
        <w:rPr>
          <w:rFonts w:cs="Arial"/>
          <w:lang w:val="es-ES"/>
        </w:rPr>
        <w:t>UNEP/CMS/COP13/Inf.</w:t>
      </w:r>
      <w:r w:rsidR="00201915">
        <w:rPr>
          <w:rFonts w:cs="Arial"/>
          <w:lang w:val="es-ES"/>
        </w:rPr>
        <w:t>15</w:t>
      </w:r>
      <w:r w:rsidRPr="00ED03AD">
        <w:rPr>
          <w:rFonts w:cs="Arial"/>
          <w:lang w:val="es-ES"/>
        </w:rPr>
        <w:t>:</w:t>
      </w:r>
      <w:r w:rsidRPr="00ED03AD">
        <w:rPr>
          <w:rFonts w:cs="Arial"/>
          <w:lang w:val="es-ES"/>
        </w:rPr>
        <w:br/>
        <w:t>Estudio legislativo y recomendaciones para la ejecución de la acción concertada de la CMS para el tiburón ballena (</w:t>
      </w:r>
      <w:proofErr w:type="spellStart"/>
      <w:r w:rsidRPr="00ED03AD">
        <w:rPr>
          <w:rFonts w:cs="Arial"/>
          <w:i/>
          <w:lang w:val="es-ES" w:bidi="en-US"/>
        </w:rPr>
        <w:t>Rhincodon</w:t>
      </w:r>
      <w:proofErr w:type="spellEnd"/>
      <w:r w:rsidRPr="00ED03AD">
        <w:rPr>
          <w:rFonts w:cs="Arial"/>
          <w:i/>
          <w:lang w:val="es-ES" w:bidi="en-US"/>
        </w:rPr>
        <w:t xml:space="preserve"> </w:t>
      </w:r>
      <w:proofErr w:type="spellStart"/>
      <w:r w:rsidRPr="00ED03AD">
        <w:rPr>
          <w:rFonts w:cs="Arial"/>
          <w:i/>
          <w:lang w:val="es-ES" w:bidi="en-US"/>
        </w:rPr>
        <w:t>typus</w:t>
      </w:r>
      <w:proofErr w:type="spellEnd"/>
      <w:r w:rsidRPr="00ED03AD">
        <w:rPr>
          <w:rFonts w:cs="Arial"/>
          <w:lang w:val="es-ES" w:bidi="en-US"/>
        </w:rPr>
        <w:t>).</w:t>
      </w:r>
    </w:p>
    <w:p w:rsidR="00ED03AD" w:rsidRPr="00ED03AD" w:rsidRDefault="00ED03AD" w:rsidP="00ED03AD">
      <w:pPr>
        <w:spacing w:after="0"/>
        <w:rPr>
          <w:rFonts w:cs="Arial"/>
          <w:lang w:val="es-ES"/>
        </w:rPr>
      </w:pPr>
    </w:p>
    <w:p w:rsidR="00ED03AD" w:rsidRPr="00ED03AD" w:rsidRDefault="00ED03AD" w:rsidP="00ED03AD">
      <w:pPr>
        <w:pStyle w:val="ListParagraph"/>
        <w:numPr>
          <w:ilvl w:val="0"/>
          <w:numId w:val="12"/>
        </w:numPr>
        <w:spacing w:after="120" w:line="240" w:lineRule="auto"/>
        <w:ind w:left="706" w:hanging="706"/>
        <w:contextualSpacing w:val="0"/>
        <w:rPr>
          <w:rFonts w:cs="Arial"/>
          <w:lang w:val="en-GB"/>
        </w:rPr>
      </w:pPr>
      <w:r w:rsidRPr="00ED03AD">
        <w:rPr>
          <w:rFonts w:cs="Arial"/>
          <w:lang w:val="es-ES"/>
        </w:rPr>
        <w:t>ACCIÓN</w:t>
      </w:r>
    </w:p>
    <w:p w:rsidR="00ED03AD" w:rsidRPr="00ED03AD" w:rsidRDefault="00ED03AD" w:rsidP="00ED03AD">
      <w:pPr>
        <w:tabs>
          <w:tab w:val="left" w:pos="0"/>
          <w:tab w:val="left" w:pos="8640"/>
        </w:tabs>
        <w:spacing w:after="0"/>
        <w:jc w:val="both"/>
        <w:rPr>
          <w:rFonts w:cs="Arial"/>
          <w:i/>
          <w:lang w:val="es-ES"/>
        </w:rPr>
      </w:pPr>
      <w:r w:rsidRPr="00ED03AD">
        <w:rPr>
          <w:rFonts w:cs="Arial"/>
          <w:lang w:val="es-ES"/>
        </w:rPr>
        <w:t>SSL recomienda a las Partes que renueven la acción concertada para el tiburón ballena.  Una serie de importantes actividades todavía están pendientes de llevarse a cabo, entre otras, por ejemplo, un taller regional. Por consiguiente, la acción concertada se debería prolongar durante el siguiente trienio para ajustar este trabajo continuo significativo.</w:t>
      </w:r>
    </w:p>
    <w:sectPr w:rsidR="00ED03AD" w:rsidRPr="00ED03AD"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620563"/>
      <w:docPartObj>
        <w:docPartGallery w:val="Page Numbers (Bottom of Page)"/>
        <w:docPartUnique/>
      </w:docPartObj>
    </w:sdtPr>
    <w:sdtEndPr>
      <w:rPr>
        <w:noProof/>
        <w:sz w:val="18"/>
        <w:szCs w:val="18"/>
      </w:rPr>
    </w:sdtEndPr>
    <w:sdtContent>
      <w:p w:rsidR="00ED03AD" w:rsidRPr="00ED03AD" w:rsidRDefault="00ED03AD">
        <w:pPr>
          <w:pStyle w:val="Footer"/>
          <w:jc w:val="center"/>
          <w:rPr>
            <w:sz w:val="18"/>
            <w:szCs w:val="18"/>
          </w:rPr>
        </w:pPr>
        <w:r w:rsidRPr="00ED03AD">
          <w:rPr>
            <w:sz w:val="18"/>
            <w:szCs w:val="18"/>
          </w:rPr>
          <w:fldChar w:fldCharType="begin"/>
        </w:r>
        <w:r w:rsidRPr="00ED03AD">
          <w:rPr>
            <w:sz w:val="18"/>
            <w:szCs w:val="18"/>
          </w:rPr>
          <w:instrText xml:space="preserve"> PAGE   \* MERGEFORMAT </w:instrText>
        </w:r>
        <w:r w:rsidRPr="00ED03AD">
          <w:rPr>
            <w:sz w:val="18"/>
            <w:szCs w:val="18"/>
          </w:rPr>
          <w:fldChar w:fldCharType="separate"/>
        </w:r>
        <w:r w:rsidRPr="00ED03AD">
          <w:rPr>
            <w:noProof/>
            <w:sz w:val="18"/>
            <w:szCs w:val="18"/>
          </w:rPr>
          <w:t>2</w:t>
        </w:r>
        <w:r w:rsidRPr="00ED03AD">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011918"/>
      <w:docPartObj>
        <w:docPartGallery w:val="Page Numbers (Bottom of Page)"/>
        <w:docPartUnique/>
      </w:docPartObj>
    </w:sdtPr>
    <w:sdtEndPr>
      <w:rPr>
        <w:noProof/>
        <w:sz w:val="18"/>
        <w:szCs w:val="18"/>
      </w:rPr>
    </w:sdtEndPr>
    <w:sdtContent>
      <w:p w:rsidR="00ED03AD" w:rsidRPr="00ED03AD" w:rsidRDefault="00ED03AD">
        <w:pPr>
          <w:pStyle w:val="Footer"/>
          <w:jc w:val="center"/>
          <w:rPr>
            <w:sz w:val="18"/>
            <w:szCs w:val="18"/>
          </w:rPr>
        </w:pPr>
        <w:r w:rsidRPr="00ED03AD">
          <w:rPr>
            <w:sz w:val="18"/>
            <w:szCs w:val="18"/>
          </w:rPr>
          <w:fldChar w:fldCharType="begin"/>
        </w:r>
        <w:r w:rsidRPr="00ED03AD">
          <w:rPr>
            <w:sz w:val="18"/>
            <w:szCs w:val="18"/>
          </w:rPr>
          <w:instrText xml:space="preserve"> PAGE   \* MERGEFORMAT </w:instrText>
        </w:r>
        <w:r w:rsidRPr="00ED03AD">
          <w:rPr>
            <w:sz w:val="18"/>
            <w:szCs w:val="18"/>
          </w:rPr>
          <w:fldChar w:fldCharType="separate"/>
        </w:r>
        <w:r w:rsidRPr="00ED03AD">
          <w:rPr>
            <w:noProof/>
            <w:sz w:val="18"/>
            <w:szCs w:val="18"/>
          </w:rPr>
          <w:t>2</w:t>
        </w:r>
        <w:r w:rsidRPr="00ED03A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201915">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ED03AD" w:rsidRPr="00ED03AD" w:rsidRDefault="00ED03AD" w:rsidP="00201915">
      <w:pPr>
        <w:pStyle w:val="FootnoteText"/>
        <w:ind w:left="142" w:hanging="142"/>
        <w:jc w:val="both"/>
        <w:rPr>
          <w:i/>
          <w:iCs/>
          <w:sz w:val="18"/>
          <w:szCs w:val="18"/>
        </w:rPr>
      </w:pPr>
      <w:r w:rsidRPr="00ED03AD">
        <w:rPr>
          <w:rStyle w:val="FootnoteReference"/>
          <w:sz w:val="18"/>
          <w:szCs w:val="18"/>
        </w:rPr>
        <w:footnoteRef/>
      </w:r>
      <w:r w:rsidRPr="00ED03AD">
        <w:rPr>
          <w:sz w:val="18"/>
          <w:szCs w:val="18"/>
        </w:rPr>
        <w:t xml:space="preserve"> </w:t>
      </w:r>
      <w:proofErr w:type="spellStart"/>
      <w:r w:rsidRPr="00ED03AD">
        <w:rPr>
          <w:i/>
          <w:iCs/>
          <w:sz w:val="18"/>
          <w:szCs w:val="18"/>
        </w:rPr>
        <w:t>Véase</w:t>
      </w:r>
      <w:proofErr w:type="spellEnd"/>
      <w:r w:rsidRPr="00ED03AD">
        <w:rPr>
          <w:i/>
          <w:iCs/>
          <w:sz w:val="18"/>
          <w:szCs w:val="18"/>
        </w:rPr>
        <w:t xml:space="preserve"> p. </w:t>
      </w:r>
      <w:proofErr w:type="spellStart"/>
      <w:r w:rsidRPr="00ED03AD">
        <w:rPr>
          <w:i/>
          <w:iCs/>
          <w:sz w:val="18"/>
          <w:szCs w:val="18"/>
        </w:rPr>
        <w:t>ej</w:t>
      </w:r>
      <w:proofErr w:type="spellEnd"/>
      <w:r w:rsidRPr="00ED03AD">
        <w:rPr>
          <w:i/>
          <w:iCs/>
          <w:sz w:val="18"/>
          <w:szCs w:val="18"/>
        </w:rPr>
        <w:t xml:space="preserve">., </w:t>
      </w:r>
      <w:proofErr w:type="spellStart"/>
      <w:r w:rsidRPr="00ED03AD">
        <w:rPr>
          <w:sz w:val="18"/>
          <w:szCs w:val="18"/>
        </w:rPr>
        <w:t>Comisión</w:t>
      </w:r>
      <w:proofErr w:type="spellEnd"/>
      <w:r w:rsidRPr="00ED03AD">
        <w:rPr>
          <w:sz w:val="18"/>
          <w:szCs w:val="18"/>
        </w:rPr>
        <w:t xml:space="preserve"> </w:t>
      </w:r>
      <w:proofErr w:type="spellStart"/>
      <w:r w:rsidRPr="00ED03AD">
        <w:rPr>
          <w:sz w:val="18"/>
          <w:szCs w:val="18"/>
        </w:rPr>
        <w:t>Internacional</w:t>
      </w:r>
      <w:proofErr w:type="spellEnd"/>
      <w:r w:rsidRPr="00ED03AD">
        <w:rPr>
          <w:sz w:val="18"/>
          <w:szCs w:val="18"/>
        </w:rPr>
        <w:t xml:space="preserve"> para la </w:t>
      </w:r>
      <w:proofErr w:type="spellStart"/>
      <w:r w:rsidRPr="00ED03AD">
        <w:rPr>
          <w:sz w:val="18"/>
          <w:szCs w:val="18"/>
        </w:rPr>
        <w:t>Conservación</w:t>
      </w:r>
      <w:proofErr w:type="spellEnd"/>
      <w:r w:rsidRPr="00ED03AD">
        <w:rPr>
          <w:sz w:val="18"/>
          <w:szCs w:val="18"/>
        </w:rPr>
        <w:t xml:space="preserve"> del </w:t>
      </w:r>
      <w:proofErr w:type="spellStart"/>
      <w:r w:rsidRPr="00ED03AD">
        <w:rPr>
          <w:sz w:val="18"/>
          <w:szCs w:val="18"/>
        </w:rPr>
        <w:t>Atún</w:t>
      </w:r>
      <w:proofErr w:type="spellEnd"/>
      <w:r w:rsidRPr="00ED03AD">
        <w:rPr>
          <w:sz w:val="18"/>
          <w:szCs w:val="18"/>
        </w:rPr>
        <w:t xml:space="preserve"> Atlántico</w:t>
      </w:r>
      <w:r w:rsidRPr="00ED03AD">
        <w:rPr>
          <w:i/>
          <w:iCs/>
          <w:sz w:val="18"/>
          <w:szCs w:val="18"/>
        </w:rPr>
        <w:t xml:space="preserve"> </w:t>
      </w:r>
      <w:r w:rsidRPr="00ED03AD">
        <w:rPr>
          <w:sz w:val="18"/>
          <w:szCs w:val="18"/>
        </w:rPr>
        <w:t xml:space="preserve">(CICAA), </w:t>
      </w:r>
      <w:proofErr w:type="spellStart"/>
      <w:r w:rsidRPr="00ED03AD">
        <w:rPr>
          <w:sz w:val="18"/>
          <w:szCs w:val="18"/>
        </w:rPr>
        <w:t>Compendio</w:t>
      </w:r>
      <w:proofErr w:type="spellEnd"/>
      <w:r w:rsidRPr="00ED03AD">
        <w:rPr>
          <w:sz w:val="18"/>
          <w:szCs w:val="18"/>
        </w:rPr>
        <w:t xml:space="preserve"> de </w:t>
      </w:r>
      <w:proofErr w:type="spellStart"/>
      <w:r w:rsidRPr="00ED03AD">
        <w:rPr>
          <w:sz w:val="18"/>
          <w:szCs w:val="18"/>
        </w:rPr>
        <w:t>Recomendaciones</w:t>
      </w:r>
      <w:proofErr w:type="spellEnd"/>
      <w:r w:rsidRPr="00ED03AD">
        <w:rPr>
          <w:sz w:val="18"/>
          <w:szCs w:val="18"/>
        </w:rPr>
        <w:t xml:space="preserve"> y </w:t>
      </w:r>
      <w:proofErr w:type="spellStart"/>
      <w:r w:rsidRPr="00ED03AD">
        <w:rPr>
          <w:sz w:val="18"/>
          <w:szCs w:val="18"/>
        </w:rPr>
        <w:t>Resoluciones</w:t>
      </w:r>
      <w:proofErr w:type="spellEnd"/>
      <w:r w:rsidRPr="00ED03AD">
        <w:rPr>
          <w:sz w:val="18"/>
          <w:szCs w:val="18"/>
        </w:rPr>
        <w:t xml:space="preserve"> </w:t>
      </w:r>
      <w:proofErr w:type="spellStart"/>
      <w:r w:rsidRPr="00ED03AD">
        <w:rPr>
          <w:sz w:val="18"/>
          <w:szCs w:val="18"/>
        </w:rPr>
        <w:t>en</w:t>
      </w:r>
      <w:proofErr w:type="spellEnd"/>
      <w:r w:rsidRPr="00ED03AD">
        <w:rPr>
          <w:sz w:val="18"/>
          <w:szCs w:val="18"/>
        </w:rPr>
        <w:t xml:space="preserve"> </w:t>
      </w:r>
      <w:proofErr w:type="spellStart"/>
      <w:r w:rsidRPr="00ED03AD">
        <w:rPr>
          <w:sz w:val="18"/>
          <w:szCs w:val="18"/>
        </w:rPr>
        <w:t>materia</w:t>
      </w:r>
      <w:proofErr w:type="spellEnd"/>
      <w:r w:rsidRPr="00ED03AD">
        <w:rPr>
          <w:sz w:val="18"/>
          <w:szCs w:val="18"/>
        </w:rPr>
        <w:t xml:space="preserve"> de </w:t>
      </w:r>
      <w:proofErr w:type="spellStart"/>
      <w:r w:rsidRPr="00ED03AD">
        <w:rPr>
          <w:sz w:val="18"/>
          <w:szCs w:val="18"/>
        </w:rPr>
        <w:t>ordenación</w:t>
      </w:r>
      <w:proofErr w:type="spellEnd"/>
      <w:r w:rsidRPr="00ED03AD">
        <w:rPr>
          <w:sz w:val="18"/>
          <w:szCs w:val="18"/>
        </w:rPr>
        <w:t xml:space="preserve"> </w:t>
      </w:r>
      <w:proofErr w:type="spellStart"/>
      <w:r w:rsidRPr="00ED03AD">
        <w:rPr>
          <w:sz w:val="18"/>
          <w:szCs w:val="18"/>
        </w:rPr>
        <w:t>adoptadas</w:t>
      </w:r>
      <w:proofErr w:type="spellEnd"/>
      <w:r w:rsidRPr="00ED03AD">
        <w:rPr>
          <w:sz w:val="18"/>
          <w:szCs w:val="18"/>
        </w:rPr>
        <w:t xml:space="preserve"> por la CICAA para la </w:t>
      </w:r>
      <w:proofErr w:type="spellStart"/>
      <w:r w:rsidRPr="00ED03AD">
        <w:rPr>
          <w:sz w:val="18"/>
          <w:szCs w:val="18"/>
        </w:rPr>
        <w:t>conservación</w:t>
      </w:r>
      <w:proofErr w:type="spellEnd"/>
      <w:r w:rsidRPr="00ED03AD">
        <w:rPr>
          <w:sz w:val="18"/>
          <w:szCs w:val="18"/>
        </w:rPr>
        <w:t xml:space="preserve"> de los </w:t>
      </w:r>
      <w:proofErr w:type="spellStart"/>
      <w:r w:rsidRPr="00ED03AD">
        <w:rPr>
          <w:sz w:val="18"/>
          <w:szCs w:val="18"/>
        </w:rPr>
        <w:t>túnidos</w:t>
      </w:r>
      <w:proofErr w:type="spellEnd"/>
      <w:r w:rsidRPr="00ED03AD">
        <w:rPr>
          <w:sz w:val="18"/>
          <w:szCs w:val="18"/>
        </w:rPr>
        <w:t xml:space="preserve"> </w:t>
      </w:r>
      <w:proofErr w:type="spellStart"/>
      <w:r w:rsidRPr="00ED03AD">
        <w:rPr>
          <w:sz w:val="18"/>
          <w:szCs w:val="18"/>
        </w:rPr>
        <w:t>atlánticos</w:t>
      </w:r>
      <w:proofErr w:type="spellEnd"/>
      <w:r w:rsidRPr="00ED03AD">
        <w:rPr>
          <w:sz w:val="18"/>
          <w:szCs w:val="18"/>
        </w:rPr>
        <w:t xml:space="preserve"> y </w:t>
      </w:r>
      <w:proofErr w:type="spellStart"/>
      <w:r w:rsidRPr="00ED03AD">
        <w:rPr>
          <w:sz w:val="18"/>
          <w:szCs w:val="18"/>
        </w:rPr>
        <w:t>especies</w:t>
      </w:r>
      <w:proofErr w:type="spellEnd"/>
      <w:r w:rsidRPr="00ED03AD">
        <w:rPr>
          <w:sz w:val="18"/>
          <w:szCs w:val="18"/>
        </w:rPr>
        <w:t xml:space="preserve"> </w:t>
      </w:r>
      <w:proofErr w:type="spellStart"/>
      <w:r w:rsidRPr="00ED03AD">
        <w:rPr>
          <w:sz w:val="18"/>
          <w:szCs w:val="18"/>
        </w:rPr>
        <w:t>afines</w:t>
      </w:r>
      <w:proofErr w:type="spellEnd"/>
      <w:r w:rsidRPr="00ED03AD">
        <w:rPr>
          <w:sz w:val="18"/>
          <w:szCs w:val="18"/>
        </w:rPr>
        <w:t xml:space="preserve">, (2019), </w:t>
      </w:r>
      <w:r w:rsidRPr="00ED03AD">
        <w:rPr>
          <w:i/>
          <w:iCs/>
          <w:sz w:val="18"/>
          <w:szCs w:val="18"/>
        </w:rPr>
        <w:t xml:space="preserve">disponible </w:t>
      </w:r>
      <w:proofErr w:type="spellStart"/>
      <w:r w:rsidRPr="00ED03AD">
        <w:rPr>
          <w:i/>
          <w:iCs/>
          <w:sz w:val="18"/>
          <w:szCs w:val="18"/>
        </w:rPr>
        <w:t>en</w:t>
      </w:r>
      <w:proofErr w:type="spellEnd"/>
      <w:r w:rsidRPr="00ED03AD">
        <w:rPr>
          <w:sz w:val="18"/>
          <w:szCs w:val="18"/>
        </w:rPr>
        <w:t xml:space="preserve"> </w:t>
      </w:r>
      <w:hyperlink r:id="rId1" w:history="1">
        <w:r w:rsidRPr="00ED03AD">
          <w:rPr>
            <w:rStyle w:val="Hyperlink"/>
            <w:sz w:val="18"/>
            <w:szCs w:val="18"/>
          </w:rPr>
          <w:t>https://www.iccat.int/Documents/Recs/COMPENDIUM</w:t>
        </w:r>
        <w:r w:rsidRPr="00ED03AD">
          <w:rPr>
            <w:rStyle w:val="Hyperlink"/>
            <w:sz w:val="18"/>
            <w:szCs w:val="18"/>
          </w:rPr>
          <w:br/>
          <w:t>_ACTIVE_ENG.pdf</w:t>
        </w:r>
      </w:hyperlink>
      <w:r w:rsidRPr="00ED03AD">
        <w:rPr>
          <w:b/>
          <w:bCs/>
          <w:sz w:val="18"/>
          <w:szCs w:val="18"/>
        </w:rPr>
        <w:t xml:space="preserve">; </w:t>
      </w:r>
      <w:r w:rsidRPr="00ED03AD">
        <w:rPr>
          <w:sz w:val="18"/>
          <w:szCs w:val="18"/>
        </w:rPr>
        <w:t xml:space="preserve">CICAA, Good practices to reduce the mortality of sharks and rays caught incidentally by tropical tuna purse seiners (2012), </w:t>
      </w:r>
      <w:r w:rsidRPr="00ED03AD">
        <w:rPr>
          <w:i/>
          <w:iCs/>
          <w:sz w:val="18"/>
          <w:szCs w:val="18"/>
        </w:rPr>
        <w:t xml:space="preserve">disponible </w:t>
      </w:r>
      <w:proofErr w:type="spellStart"/>
      <w:r w:rsidRPr="00ED03AD">
        <w:rPr>
          <w:i/>
          <w:iCs/>
          <w:sz w:val="18"/>
          <w:szCs w:val="18"/>
        </w:rPr>
        <w:t>en</w:t>
      </w:r>
      <w:proofErr w:type="spellEnd"/>
      <w:r w:rsidRPr="00ED03AD">
        <w:rPr>
          <w:sz w:val="18"/>
          <w:szCs w:val="18"/>
        </w:rPr>
        <w:t xml:space="preserve"> </w:t>
      </w:r>
      <w:hyperlink r:id="rId2" w:history="1">
        <w:r w:rsidRPr="00ED03AD">
          <w:rPr>
            <w:rStyle w:val="Hyperlink"/>
            <w:sz w:val="18"/>
            <w:szCs w:val="18"/>
          </w:rPr>
          <w:t>https://www.iccat.int/Documents/SCRS/Manual/CH4/Annex 3 to Chapter 4.pdf</w:t>
        </w:r>
      </w:hyperlink>
      <w:r w:rsidRPr="00ED03AD">
        <w:rPr>
          <w:sz w:val="18"/>
          <w:szCs w:val="18"/>
        </w:rPr>
        <w:t xml:space="preserve">; </w:t>
      </w:r>
      <w:proofErr w:type="spellStart"/>
      <w:r w:rsidRPr="00ED03AD">
        <w:rPr>
          <w:sz w:val="18"/>
          <w:szCs w:val="18"/>
        </w:rPr>
        <w:t>Comisión</w:t>
      </w:r>
      <w:proofErr w:type="spellEnd"/>
      <w:r w:rsidRPr="00ED03AD">
        <w:rPr>
          <w:sz w:val="18"/>
          <w:szCs w:val="18"/>
        </w:rPr>
        <w:t xml:space="preserve"> del </w:t>
      </w:r>
      <w:proofErr w:type="spellStart"/>
      <w:r w:rsidRPr="00ED03AD">
        <w:rPr>
          <w:sz w:val="18"/>
          <w:szCs w:val="18"/>
        </w:rPr>
        <w:t>Atún</w:t>
      </w:r>
      <w:proofErr w:type="spellEnd"/>
      <w:r w:rsidRPr="00ED03AD">
        <w:rPr>
          <w:sz w:val="18"/>
          <w:szCs w:val="18"/>
        </w:rPr>
        <w:t xml:space="preserve"> para el </w:t>
      </w:r>
      <w:proofErr w:type="spellStart"/>
      <w:r w:rsidRPr="00ED03AD">
        <w:rPr>
          <w:sz w:val="18"/>
          <w:szCs w:val="18"/>
        </w:rPr>
        <w:t>Océano</w:t>
      </w:r>
      <w:proofErr w:type="spellEnd"/>
      <w:r w:rsidRPr="00ED03AD">
        <w:rPr>
          <w:sz w:val="18"/>
          <w:szCs w:val="18"/>
        </w:rPr>
        <w:t xml:space="preserve"> </w:t>
      </w:r>
      <w:proofErr w:type="spellStart"/>
      <w:r w:rsidRPr="00ED03AD">
        <w:rPr>
          <w:sz w:val="18"/>
          <w:szCs w:val="18"/>
        </w:rPr>
        <w:t>Índico</w:t>
      </w:r>
      <w:proofErr w:type="spellEnd"/>
      <w:r w:rsidRPr="00ED03AD">
        <w:rPr>
          <w:sz w:val="18"/>
          <w:szCs w:val="18"/>
        </w:rPr>
        <w:t>, Conservation of Whale Sharks (</w:t>
      </w:r>
      <w:r w:rsidRPr="00ED03AD">
        <w:rPr>
          <w:i/>
          <w:sz w:val="18"/>
          <w:szCs w:val="18"/>
        </w:rPr>
        <w:t xml:space="preserve">Rhincodon </w:t>
      </w:r>
      <w:proofErr w:type="spellStart"/>
      <w:r w:rsidRPr="00ED03AD">
        <w:rPr>
          <w:i/>
          <w:sz w:val="18"/>
          <w:szCs w:val="18"/>
        </w:rPr>
        <w:t>typus</w:t>
      </w:r>
      <w:proofErr w:type="spellEnd"/>
      <w:r w:rsidRPr="00ED03AD">
        <w:rPr>
          <w:sz w:val="18"/>
          <w:szCs w:val="18"/>
        </w:rPr>
        <w:t xml:space="preserve">), </w:t>
      </w:r>
      <w:proofErr w:type="spellStart"/>
      <w:r w:rsidRPr="00ED03AD">
        <w:rPr>
          <w:sz w:val="18"/>
          <w:szCs w:val="18"/>
        </w:rPr>
        <w:t>Resolución</w:t>
      </w:r>
      <w:proofErr w:type="spellEnd"/>
      <w:r w:rsidRPr="00ED03AD">
        <w:rPr>
          <w:sz w:val="18"/>
          <w:szCs w:val="18"/>
        </w:rPr>
        <w:t xml:space="preserve"> 13/05, ¶ 3 (2013), </w:t>
      </w:r>
      <w:r w:rsidRPr="00ED03AD">
        <w:rPr>
          <w:i/>
          <w:sz w:val="18"/>
          <w:szCs w:val="18"/>
        </w:rPr>
        <w:t xml:space="preserve">disponible </w:t>
      </w:r>
      <w:proofErr w:type="spellStart"/>
      <w:r w:rsidRPr="00ED03AD">
        <w:rPr>
          <w:i/>
          <w:sz w:val="18"/>
          <w:szCs w:val="18"/>
        </w:rPr>
        <w:t>en</w:t>
      </w:r>
      <w:proofErr w:type="spellEnd"/>
      <w:r w:rsidRPr="00ED03AD">
        <w:rPr>
          <w:i/>
          <w:sz w:val="18"/>
          <w:szCs w:val="18"/>
        </w:rPr>
        <w:t xml:space="preserve"> </w:t>
      </w:r>
      <w:hyperlink r:id="rId3" w:history="1">
        <w:r w:rsidRPr="00ED03AD">
          <w:rPr>
            <w:rStyle w:val="Hyperlink"/>
            <w:sz w:val="18"/>
            <w:szCs w:val="18"/>
          </w:rPr>
          <w:t>https://www.ccsbt.org/sites/ccsbt.org/files/userfiles/file/other_rfmo_</w:t>
        </w:r>
        <w:r w:rsidRPr="00ED03AD">
          <w:rPr>
            <w:rStyle w:val="Hyperlink"/>
            <w:sz w:val="18"/>
            <w:szCs w:val="18"/>
          </w:rPr>
          <w:br/>
          <w:t>measures/iotc/Resolution%2013_05.pdf</w:t>
        </w:r>
      </w:hyperlink>
      <w:r w:rsidRPr="00ED03AD">
        <w:rPr>
          <w:sz w:val="18"/>
          <w:szCs w:val="18"/>
        </w:rPr>
        <w:t xml:space="preserve">; y </w:t>
      </w:r>
      <w:proofErr w:type="spellStart"/>
      <w:r w:rsidRPr="00ED03AD">
        <w:rPr>
          <w:sz w:val="18"/>
          <w:szCs w:val="18"/>
        </w:rPr>
        <w:t>Comisión</w:t>
      </w:r>
      <w:proofErr w:type="spellEnd"/>
      <w:r w:rsidRPr="00ED03AD">
        <w:rPr>
          <w:sz w:val="18"/>
          <w:szCs w:val="18"/>
        </w:rPr>
        <w:t xml:space="preserve"> </w:t>
      </w:r>
      <w:proofErr w:type="spellStart"/>
      <w:r w:rsidRPr="00ED03AD">
        <w:rPr>
          <w:sz w:val="18"/>
          <w:szCs w:val="18"/>
        </w:rPr>
        <w:t>Interamericana</w:t>
      </w:r>
      <w:proofErr w:type="spellEnd"/>
      <w:r w:rsidRPr="00ED03AD">
        <w:rPr>
          <w:sz w:val="18"/>
          <w:szCs w:val="18"/>
        </w:rPr>
        <w:t xml:space="preserve"> del </w:t>
      </w:r>
      <w:proofErr w:type="spellStart"/>
      <w:r w:rsidRPr="00ED03AD">
        <w:rPr>
          <w:sz w:val="18"/>
          <w:szCs w:val="18"/>
        </w:rPr>
        <w:t>Atún</w:t>
      </w:r>
      <w:proofErr w:type="spellEnd"/>
      <w:r w:rsidRPr="00ED03AD">
        <w:rPr>
          <w:sz w:val="18"/>
          <w:szCs w:val="18"/>
        </w:rPr>
        <w:t xml:space="preserve"> Tropical, </w:t>
      </w:r>
      <w:proofErr w:type="spellStart"/>
      <w:r w:rsidRPr="00ED03AD">
        <w:rPr>
          <w:sz w:val="18"/>
          <w:szCs w:val="18"/>
        </w:rPr>
        <w:t>Resolución</w:t>
      </w:r>
      <w:proofErr w:type="spellEnd"/>
      <w:r w:rsidRPr="00ED03AD">
        <w:rPr>
          <w:sz w:val="18"/>
          <w:szCs w:val="18"/>
        </w:rPr>
        <w:t xml:space="preserve"> C-16-01, Amendment of Resolution C-15-03 on the Collection and Analyses of Data on Fish-Aggregating Devices (prohibiting the vessels of Contracting Party Countries from setting purse nets around whale sharks), </w:t>
      </w:r>
      <w:r w:rsidRPr="00ED03AD">
        <w:rPr>
          <w:i/>
          <w:sz w:val="18"/>
          <w:szCs w:val="18"/>
        </w:rPr>
        <w:t xml:space="preserve">disponible </w:t>
      </w:r>
      <w:proofErr w:type="spellStart"/>
      <w:r w:rsidRPr="00ED03AD">
        <w:rPr>
          <w:i/>
          <w:sz w:val="18"/>
          <w:szCs w:val="18"/>
        </w:rPr>
        <w:t>en</w:t>
      </w:r>
      <w:proofErr w:type="spellEnd"/>
      <w:r w:rsidRPr="00ED03AD">
        <w:rPr>
          <w:sz w:val="18"/>
          <w:szCs w:val="18"/>
        </w:rPr>
        <w:t xml:space="preserve"> </w:t>
      </w:r>
      <w:hyperlink r:id="rId4" w:history="1">
        <w:r w:rsidRPr="00ED03AD">
          <w:rPr>
            <w:rStyle w:val="Hyperlink"/>
            <w:sz w:val="18"/>
            <w:szCs w:val="18"/>
          </w:rPr>
          <w:t>https://www.iattc.org/PDFFiles/Resolutions/IATTC/_English/C-16-01-FADs-Amendment-C-15-03.pdf</w:t>
        </w:r>
      </w:hyperlink>
      <w:r w:rsidRPr="00ED03A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ED03AD">
      <w:rPr>
        <w:rFonts w:eastAsia="Times New Roman" w:cs="Arial"/>
        <w:i/>
        <w:sz w:val="18"/>
        <w:szCs w:val="18"/>
        <w:lang w:val="fr-FR" w:eastAsia="es-ES"/>
      </w:rPr>
      <w:t>28.1.</w:t>
    </w:r>
    <w:proofErr w:type="gramStart"/>
    <w:r w:rsidR="00ED03AD">
      <w:rPr>
        <w:rFonts w:eastAsia="Times New Roman" w:cs="Arial"/>
        <w:i/>
        <w:sz w:val="18"/>
        <w:szCs w:val="18"/>
        <w:lang w:val="fr-FR" w:eastAsia="es-ES"/>
      </w:rPr>
      <w:t>7.a</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AD" w:rsidRPr="00002A97" w:rsidRDefault="00ED03AD" w:rsidP="00ED03AD">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28.1.</w:t>
    </w:r>
    <w:proofErr w:type="gramStart"/>
    <w:r>
      <w:rPr>
        <w:rFonts w:eastAsia="Times New Roman" w:cs="Arial"/>
        <w:i/>
        <w:sz w:val="18"/>
        <w:szCs w:val="18"/>
        <w:lang w:val="fr-FR" w:eastAsia="es-ES"/>
      </w:rPr>
      <w:t>7.a</w:t>
    </w:r>
    <w:proofErr w:type="gramEnd"/>
  </w:p>
  <w:p w:rsidR="00ED03AD" w:rsidRDefault="00ED0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6A26752"/>
    <w:multiLevelType w:val="hybridMultilevel"/>
    <w:tmpl w:val="D7B4D6A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9"/>
  </w:num>
  <w:num w:numId="8">
    <w:abstractNumId w:val="5"/>
  </w:num>
  <w:num w:numId="9">
    <w:abstractNumId w:val="4"/>
  </w:num>
  <w:num w:numId="10">
    <w:abstractNumId w:val="12"/>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201915"/>
    <w:rsid w:val="0024152C"/>
    <w:rsid w:val="002F7EC2"/>
    <w:rsid w:val="004C7808"/>
    <w:rsid w:val="005330F7"/>
    <w:rsid w:val="00563598"/>
    <w:rsid w:val="006F22B0"/>
    <w:rsid w:val="00790422"/>
    <w:rsid w:val="00810C64"/>
    <w:rsid w:val="00943D15"/>
    <w:rsid w:val="009A0422"/>
    <w:rsid w:val="009A510F"/>
    <w:rsid w:val="00AC09AE"/>
    <w:rsid w:val="00B104EC"/>
    <w:rsid w:val="00B40E07"/>
    <w:rsid w:val="00BC5707"/>
    <w:rsid w:val="00BF7838"/>
    <w:rsid w:val="00D70275"/>
    <w:rsid w:val="00E607BD"/>
    <w:rsid w:val="00E77A9F"/>
    <w:rsid w:val="00E81B4A"/>
    <w:rsid w:val="00ED03AD"/>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7E62"/>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ED03AD"/>
    <w:pPr>
      <w:suppressAutoHyphens/>
      <w:autoSpaceDN w:val="0"/>
      <w:spacing w:after="0" w:line="240" w:lineRule="auto"/>
      <w:textAlignment w:val="baseline"/>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ED03AD"/>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csbt.org/sites/ccsbt.org/files/userfiles/file/other_rfmo_measures/iotc/Resolution%2013_05.pdf" TargetMode="External"/><Relationship Id="rId2" Type="http://schemas.openxmlformats.org/officeDocument/2006/relationships/hyperlink" Target="https://www.iccat.int/Documents/SCRS/Manual/CH4/Annex%203%20to%20Chapter%204.pdf" TargetMode="External"/><Relationship Id="rId1" Type="http://schemas.openxmlformats.org/officeDocument/2006/relationships/hyperlink" Target="https://www.iccat.int/Documents/Recs/COMPENDIUM_ACTIVE_ENG.pdf" TargetMode="External"/><Relationship Id="rId4" Type="http://schemas.openxmlformats.org/officeDocument/2006/relationships/hyperlink" Target="https://www.iattc.org/PDFFiles/Resolutions/IATTC/_English/C-16-01-FADs-Amendment-C-15-03.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2019-10-22T09:57:00Z</dcterms:created>
  <dcterms:modified xsi:type="dcterms:W3CDTF">2019-10-22T09:57:00Z</dcterms:modified>
</cp:coreProperties>
</file>