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EC2A58"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A02506"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sidRPr="00EC2A58">
              <w:rPr>
                <w:rFonts w:eastAsia="Arial" w:cs="Arial"/>
                <w:lang w:val="fr-FR"/>
              </w:rPr>
              <w:t>UNEP/CMS/COP13/Doc.</w:t>
            </w:r>
            <w:r w:rsidR="00FE06D4">
              <w:rPr>
                <w:rFonts w:eastAsia="Arial" w:cs="Arial"/>
                <w:lang w:val="fr-FR"/>
              </w:rPr>
              <w:t>14.2</w:t>
            </w:r>
          </w:p>
          <w:p w:rsidR="00EC2A58" w:rsidRPr="00A02506" w:rsidRDefault="00FE06D4"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13 décembre</w:t>
            </w:r>
            <w:r w:rsidR="00EC2A58" w:rsidRPr="00A02506">
              <w:rPr>
                <w:rFonts w:eastAsia="Arial" w:cs="Arial"/>
                <w:lang w:val="fr-FR"/>
              </w:rPr>
              <w:t xml:space="preserve"> 2019</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Français</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FE06D4">
        <w:rPr>
          <w:rFonts w:eastAsia="Arial" w:cs="Arial"/>
          <w:iCs/>
          <w:lang w:val="fr-FR"/>
        </w:rPr>
        <w:t>14</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FE06D4" w:rsidRDefault="00FE06D4" w:rsidP="00FE06D4">
      <w:pPr>
        <w:pStyle w:val="Heading2"/>
        <w:keepNext w:val="0"/>
        <w:ind w:left="-90" w:right="-367"/>
        <w:jc w:val="center"/>
        <w:rPr>
          <w:rFonts w:cs="Arial"/>
          <w:sz w:val="22"/>
        </w:rPr>
      </w:pPr>
      <w:r>
        <w:rPr>
          <w:rFonts w:cs="Arial"/>
          <w:sz w:val="22"/>
        </w:rPr>
        <w:t xml:space="preserve">OPTIONS POUR UN SUIVI DU PLAN STRATÉGIQUE </w:t>
      </w:r>
    </w:p>
    <w:p w:rsidR="00FE06D4" w:rsidRDefault="00FE06D4" w:rsidP="00FE06D4">
      <w:pPr>
        <w:pStyle w:val="Heading2"/>
        <w:keepNext w:val="0"/>
        <w:spacing w:after="120"/>
        <w:ind w:left="-91" w:right="-369"/>
        <w:jc w:val="center"/>
        <w:rPr>
          <w:rFonts w:cs="Arial"/>
          <w:sz w:val="22"/>
        </w:rPr>
      </w:pPr>
      <w:r>
        <w:rPr>
          <w:rFonts w:cs="Arial"/>
          <w:sz w:val="22"/>
        </w:rPr>
        <w:t>POUR LES ESPÈCES MIGRATRICES 2015-2023</w:t>
      </w:r>
    </w:p>
    <w:p w:rsidR="00EC2A58" w:rsidRPr="00EC2A58" w:rsidRDefault="00EC2A58" w:rsidP="00FE06D4">
      <w:pPr>
        <w:widowControl w:val="0"/>
        <w:suppressAutoHyphens/>
        <w:autoSpaceDE w:val="0"/>
        <w:autoSpaceDN w:val="0"/>
        <w:spacing w:after="0" w:line="240" w:lineRule="auto"/>
        <w:jc w:val="center"/>
        <w:textAlignment w:val="baseline"/>
        <w:rPr>
          <w:rFonts w:eastAsia="Times New Roman" w:cs="Times New Roman"/>
          <w:lang w:val="fr-FR"/>
        </w:rPr>
      </w:pPr>
      <w:r w:rsidRPr="00EC2A58">
        <w:rPr>
          <w:rFonts w:eastAsia="Arial" w:cs="Arial"/>
          <w:i/>
          <w:iCs/>
          <w:lang w:val="fr-FR"/>
        </w:rPr>
        <w:t xml:space="preserve">(Préparé par le Secrétariat) </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780412</wp:posOffset>
                </wp:positionH>
                <wp:positionV relativeFrom="paragraph">
                  <wp:posOffset>145417</wp:posOffset>
                </wp:positionV>
                <wp:extent cx="4304666" cy="1952628"/>
                <wp:effectExtent l="0" t="0" r="19684" b="28572"/>
                <wp:wrapNone/>
                <wp:docPr id="5" name="Text Box 4"/>
                <wp:cNvGraphicFramePr/>
                <a:graphic xmlns:a="http://schemas.openxmlformats.org/drawingml/2006/main">
                  <a:graphicData uri="http://schemas.microsoft.com/office/word/2010/wordprocessingShape">
                    <wps:wsp>
                      <wps:cNvSpPr txBox="1"/>
                      <wps:spPr>
                        <a:xfrm>
                          <a:off x="0" y="0"/>
                          <a:ext cx="4304666" cy="1952628"/>
                        </a:xfrm>
                        <a:prstGeom prst="rect">
                          <a:avLst/>
                        </a:prstGeom>
                        <a:solidFill>
                          <a:srgbClr val="FFFFFF"/>
                        </a:solidFill>
                        <a:ln w="3172">
                          <a:solidFill>
                            <a:srgbClr val="000000"/>
                          </a:solidFill>
                          <a:prstDash val="solid"/>
                        </a:ln>
                      </wps:spPr>
                      <wps:txbx>
                        <w:txbxContent>
                          <w:p w:rsidR="00EC2A58" w:rsidRDefault="00EC2A58" w:rsidP="0026594E">
                            <w:pPr>
                              <w:spacing w:after="0" w:line="240" w:lineRule="auto"/>
                            </w:pPr>
                            <w:r>
                              <w:rPr>
                                <w:rFonts w:eastAsia="Arial" w:cs="Arial"/>
                                <w:lang w:val="fr-FR"/>
                              </w:rPr>
                              <w:t>Résumé:</w:t>
                            </w:r>
                          </w:p>
                          <w:p w:rsidR="00EC2A58" w:rsidRDefault="00EC2A58" w:rsidP="0026594E">
                            <w:pPr>
                              <w:spacing w:after="0" w:line="240" w:lineRule="auto"/>
                              <w:rPr>
                                <w:rFonts w:cs="Arial"/>
                                <w:lang w:val="fr-FR"/>
                              </w:rPr>
                            </w:pPr>
                          </w:p>
                          <w:p w:rsidR="00FE06D4" w:rsidRPr="00FE06D4" w:rsidRDefault="00FE06D4" w:rsidP="00FE06D4">
                            <w:pPr>
                              <w:spacing w:after="0" w:line="240" w:lineRule="auto"/>
                              <w:jc w:val="both"/>
                              <w:rPr>
                                <w:rFonts w:cs="Arial"/>
                                <w:lang w:val="fr-FR"/>
                              </w:rPr>
                            </w:pPr>
                            <w:r w:rsidRPr="00FE06D4">
                              <w:rPr>
                                <w:rFonts w:cs="Arial"/>
                                <w:color w:val="000000" w:themeColor="text1"/>
                                <w:lang w:val="fr-FR"/>
                              </w:rPr>
                              <w:t>La Résolution 11.2 a adopté le Plan stratégique pour les espèces migratrices pour la période 2015-2023.</w:t>
                            </w:r>
                          </w:p>
                          <w:p w:rsidR="00FE06D4" w:rsidRPr="00FE06D4" w:rsidRDefault="00FE06D4" w:rsidP="00FE06D4">
                            <w:pPr>
                              <w:spacing w:after="0" w:line="240" w:lineRule="auto"/>
                              <w:jc w:val="both"/>
                              <w:rPr>
                                <w:rFonts w:cs="Arial"/>
                                <w:lang w:val="fr-FR"/>
                              </w:rPr>
                            </w:pPr>
                          </w:p>
                          <w:p w:rsidR="00FE06D4" w:rsidRPr="00FE06D4" w:rsidRDefault="00FE06D4" w:rsidP="00FE06D4">
                            <w:pPr>
                              <w:spacing w:after="0" w:line="240" w:lineRule="auto"/>
                              <w:jc w:val="both"/>
                              <w:rPr>
                                <w:rFonts w:cs="Arial"/>
                                <w:lang w:val="fr-FR"/>
                              </w:rPr>
                            </w:pPr>
                            <w:r w:rsidRPr="00FE06D4">
                              <w:rPr>
                                <w:rFonts w:cs="Arial"/>
                                <w:lang w:val="fr-FR"/>
                              </w:rPr>
                              <w:t>Ce document fournit des informations générales et fait des suggestions pour le suivi du Plan stratégique pour les espèces migratrices après 2023</w:t>
                            </w:r>
                            <w:r>
                              <w:rPr>
                                <w:rFonts w:cs="Arial"/>
                                <w:lang w:val="fr-FR"/>
                              </w:rPr>
                              <w:t>.</w:t>
                            </w:r>
                          </w:p>
                          <w:p w:rsidR="00FE06D4" w:rsidRDefault="00FE06D4" w:rsidP="0026594E">
                            <w:pPr>
                              <w:spacing w:after="0" w:line="240" w:lineRule="auto"/>
                              <w:rPr>
                                <w:rFonts w:cs="Arial"/>
                                <w:lang w:val="fr-FR"/>
                              </w:rPr>
                            </w:pPr>
                          </w:p>
                        </w:txbxContent>
                      </wps:txbx>
                      <wps:bodyPr vert="horz" wrap="square" lIns="91440" tIns="45720" rIns="91440" bIns="45720" anchor="t" anchorCtr="0" compatLnSpc="0">
                        <a:noAutofit/>
                      </wps:bodyPr>
                    </wps:wsp>
                  </a:graphicData>
                </a:graphic>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1.45pt;margin-top:11.45pt;width:338.95pt;height:15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" strokeweight=".08811mm">
                <v:textbox>
                  <w:txbxContent>
                    <w:p w:rsidR="00EC2A58" w:rsidRDefault="00EC2A58" w:rsidP="0026594E">
                      <w:pPr>
                        <w:spacing w:after="0" w:line="240" w:lineRule="auto"/>
                      </w:pPr>
                      <w:r>
                        <w:rPr>
                          <w:rFonts w:eastAsia="Arial" w:cs="Arial"/>
                          <w:lang w:val="fr-FR"/>
                        </w:rPr>
                        <w:t>Résumé:</w:t>
                      </w:r>
                    </w:p>
                    <w:p w:rsidR="00EC2A58" w:rsidRDefault="00EC2A58" w:rsidP="0026594E">
                      <w:pPr>
                        <w:spacing w:after="0" w:line="240" w:lineRule="auto"/>
                        <w:rPr>
                          <w:rFonts w:cs="Arial"/>
                          <w:lang w:val="fr-FR"/>
                        </w:rPr>
                      </w:pPr>
                    </w:p>
                    <w:p w:rsidR="00FE06D4" w:rsidRPr="00FE06D4" w:rsidRDefault="00FE06D4" w:rsidP="00FE06D4">
                      <w:pPr>
                        <w:spacing w:after="0" w:line="240" w:lineRule="auto"/>
                        <w:jc w:val="both"/>
                        <w:rPr>
                          <w:rFonts w:cs="Arial"/>
                          <w:lang w:val="fr-FR"/>
                        </w:rPr>
                      </w:pPr>
                      <w:r w:rsidRPr="00FE06D4">
                        <w:rPr>
                          <w:rFonts w:cs="Arial"/>
                          <w:color w:val="000000" w:themeColor="text1"/>
                          <w:lang w:val="fr-FR"/>
                        </w:rPr>
                        <w:t>La Résolution 11.2 a adopté le Plan stratégique pour les espèces migratrices pour la période 2015-2023.</w:t>
                      </w:r>
                    </w:p>
                    <w:p w:rsidR="00FE06D4" w:rsidRPr="00FE06D4" w:rsidRDefault="00FE06D4" w:rsidP="00FE06D4">
                      <w:pPr>
                        <w:spacing w:after="0" w:line="240" w:lineRule="auto"/>
                        <w:jc w:val="both"/>
                        <w:rPr>
                          <w:rFonts w:cs="Arial"/>
                          <w:lang w:val="fr-FR"/>
                        </w:rPr>
                      </w:pPr>
                    </w:p>
                    <w:p w:rsidR="00FE06D4" w:rsidRPr="00FE06D4" w:rsidRDefault="00FE06D4" w:rsidP="00FE06D4">
                      <w:pPr>
                        <w:spacing w:after="0" w:line="240" w:lineRule="auto"/>
                        <w:jc w:val="both"/>
                        <w:rPr>
                          <w:rFonts w:cs="Arial"/>
                          <w:lang w:val="fr-FR"/>
                        </w:rPr>
                      </w:pPr>
                      <w:r w:rsidRPr="00FE06D4">
                        <w:rPr>
                          <w:rFonts w:cs="Arial"/>
                          <w:lang w:val="fr-FR"/>
                        </w:rPr>
                        <w:t>Ce document fournit des informations générales et fait des suggestions pour le suivi du Plan stratégique pour les espèces migratrices après 2023</w:t>
                      </w:r>
                      <w:r>
                        <w:rPr>
                          <w:rFonts w:cs="Arial"/>
                          <w:lang w:val="fr-FR"/>
                        </w:rPr>
                        <w:t>.</w:t>
                      </w:r>
                    </w:p>
                    <w:p w:rsidR="00FE06D4" w:rsidRDefault="00FE06D4" w:rsidP="0026594E">
                      <w:pPr>
                        <w:spacing w:after="0" w:line="240" w:lineRule="auto"/>
                        <w:rPr>
                          <w:rFonts w:cs="Arial"/>
                          <w:lang w:val="fr-FR"/>
                        </w:rPr>
                      </w:pP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4D2819" w:rsidRDefault="004D2819" w:rsidP="00D71837">
      <w:pPr>
        <w:spacing w:after="0" w:line="240" w:lineRule="auto"/>
        <w:rPr>
          <w:lang w:val="fr-FR"/>
        </w:rPr>
      </w:pPr>
    </w:p>
    <w:p w:rsidR="00D71837" w:rsidRDefault="00D71837" w:rsidP="00D71837">
      <w:pPr>
        <w:spacing w:after="0" w:line="240" w:lineRule="auto"/>
        <w:rPr>
          <w:lang w:val="fr-FR"/>
        </w:rPr>
      </w:pPr>
    </w:p>
    <w:p w:rsidR="00D71837" w:rsidRPr="00EC2A58" w:rsidRDefault="00D71837" w:rsidP="00D71837">
      <w:pPr>
        <w:spacing w:after="0" w:line="240" w:lineRule="auto"/>
        <w:rPr>
          <w:lang w:val="fr-FR"/>
        </w:rPr>
      </w:pPr>
    </w:p>
    <w:p w:rsidR="00FE06D4" w:rsidRDefault="00FE06D4" w:rsidP="00FE06D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caps/>
        </w:rPr>
      </w:pPr>
    </w:p>
    <w:p w:rsidR="00FE06D4" w:rsidRDefault="00FE06D4" w:rsidP="00FE06D4">
      <w:pPr>
        <w:pStyle w:val="Heading2"/>
        <w:keepNext w:val="0"/>
        <w:ind w:left="-90" w:right="-367"/>
        <w:jc w:val="center"/>
        <w:rPr>
          <w:rFonts w:cs="Arial"/>
          <w:sz w:val="22"/>
        </w:rPr>
      </w:pPr>
      <w:r>
        <w:rPr>
          <w:rFonts w:cs="Arial"/>
          <w:sz w:val="22"/>
        </w:rPr>
        <w:t xml:space="preserve">OPTIONS POUR UN SUIVI DU PLAN STRATÉGIQUE </w:t>
      </w:r>
    </w:p>
    <w:p w:rsidR="00FE06D4" w:rsidRDefault="00FE06D4" w:rsidP="00FE06D4">
      <w:pPr>
        <w:pStyle w:val="Heading2"/>
        <w:keepNext w:val="0"/>
        <w:spacing w:after="120"/>
        <w:ind w:left="-91" w:right="-369"/>
        <w:jc w:val="center"/>
        <w:rPr>
          <w:rFonts w:cs="Arial"/>
          <w:sz w:val="22"/>
        </w:rPr>
      </w:pPr>
      <w:r>
        <w:rPr>
          <w:rFonts w:cs="Arial"/>
          <w:sz w:val="22"/>
        </w:rPr>
        <w:t>POUR LES ESPÈCES MIGRATRICES 2015-2023</w:t>
      </w:r>
    </w:p>
    <w:p w:rsidR="00FE06D4" w:rsidRDefault="00FE06D4" w:rsidP="00FE06D4">
      <w:pPr>
        <w:suppressAutoHyphens/>
        <w:autoSpaceDN w:val="0"/>
        <w:spacing w:after="0" w:line="240" w:lineRule="auto"/>
        <w:textAlignment w:val="baseline"/>
        <w:rPr>
          <w:rFonts w:eastAsia="Calibri" w:cs="Arial"/>
        </w:rPr>
      </w:pPr>
    </w:p>
    <w:p w:rsidR="00FE06D4" w:rsidRDefault="00FE06D4" w:rsidP="00FE06D4">
      <w:pPr>
        <w:suppressAutoHyphens/>
        <w:autoSpaceDN w:val="0"/>
        <w:spacing w:after="0" w:line="240" w:lineRule="auto"/>
        <w:textAlignment w:val="baseline"/>
        <w:rPr>
          <w:rFonts w:eastAsia="Calibri" w:cs="Arial"/>
        </w:rPr>
      </w:pPr>
    </w:p>
    <w:p w:rsidR="00FE06D4" w:rsidRDefault="00FE06D4" w:rsidP="00FE06D4">
      <w:pPr>
        <w:suppressAutoHyphens/>
        <w:autoSpaceDN w:val="0"/>
        <w:spacing w:after="0" w:line="240" w:lineRule="auto"/>
        <w:textAlignment w:val="baseline"/>
        <w:rPr>
          <w:rFonts w:eastAsia="Calibri" w:cs="Arial"/>
          <w:u w:val="single"/>
        </w:rPr>
      </w:pPr>
      <w:proofErr w:type="spellStart"/>
      <w:r>
        <w:rPr>
          <w:rFonts w:eastAsia="Calibri" w:cs="Arial"/>
          <w:u w:val="single"/>
        </w:rPr>
        <w:t>Contexte</w:t>
      </w:r>
      <w:proofErr w:type="spellEnd"/>
    </w:p>
    <w:p w:rsidR="00FE06D4" w:rsidRDefault="00FE06D4" w:rsidP="00FE06D4">
      <w:pPr>
        <w:spacing w:after="0" w:line="240" w:lineRule="auto"/>
      </w:pPr>
    </w:p>
    <w:p w:rsidR="00FE06D4" w:rsidRDefault="00FE06D4" w:rsidP="00FE06D4">
      <w:pPr>
        <w:pStyle w:val="Firstnumbering"/>
        <w:numPr>
          <w:ilvl w:val="0"/>
          <w:numId w:val="8"/>
        </w:numPr>
        <w:ind w:left="567" w:hanging="567"/>
        <w:contextualSpacing w:val="0"/>
      </w:pPr>
      <w:r>
        <w:t>Lors de sa 11</w:t>
      </w:r>
      <w:r>
        <w:rPr>
          <w:vertAlign w:val="superscript"/>
        </w:rPr>
        <w:t>e</w:t>
      </w:r>
      <w:r>
        <w:t xml:space="preserve"> réunion (COP11, Quito, 2014), la Conférence des Parties a adopté le Plan stratégique pour les espèces migratrices (PSEM) 2015-2023 (Annexe 1 à la </w:t>
      </w:r>
      <w:hyperlink r:id="rId8" w:history="1">
        <w:r w:rsidRPr="00FE06D4">
          <w:rPr>
            <w:rStyle w:val="Hyperlink"/>
            <w:rFonts w:ascii="Arial" w:hAnsi="Arial" w:cs="Arial"/>
          </w:rPr>
          <w:t>Résolution 11.2</w:t>
        </w:r>
      </w:hyperlink>
      <w:r>
        <w:rPr>
          <w:rStyle w:val="Hyperlink"/>
          <w:rFonts w:cs="Arial"/>
        </w:rPr>
        <w:t>)</w:t>
      </w:r>
      <w:r>
        <w:t>.</w:t>
      </w:r>
    </w:p>
    <w:p w:rsidR="00FE06D4" w:rsidRPr="00FE06D4" w:rsidRDefault="00FE06D4" w:rsidP="00FE06D4">
      <w:pPr>
        <w:spacing w:after="0" w:line="240" w:lineRule="auto"/>
        <w:ind w:left="360"/>
        <w:contextualSpacing/>
        <w:jc w:val="both"/>
        <w:rPr>
          <w:rFonts w:cs="Arial"/>
          <w:color w:val="000000" w:themeColor="text1"/>
          <w:lang w:val="fr-FR"/>
        </w:rPr>
      </w:pPr>
      <w:r w:rsidRPr="00FE06D4">
        <w:rPr>
          <w:rFonts w:cs="Arial"/>
          <w:color w:val="000000" w:themeColor="text1"/>
          <w:lang w:val="fr-FR"/>
        </w:rPr>
        <w:t xml:space="preserve"> </w:t>
      </w:r>
    </w:p>
    <w:p w:rsidR="00FE06D4" w:rsidRDefault="00FE06D4" w:rsidP="00FE06D4">
      <w:pPr>
        <w:pStyle w:val="Firstnumbering"/>
        <w:numPr>
          <w:ilvl w:val="0"/>
          <w:numId w:val="8"/>
        </w:numPr>
        <w:ind w:left="567" w:hanging="567"/>
        <w:contextualSpacing w:val="0"/>
      </w:pPr>
      <w:r>
        <w:t>L’élaboration d’un plan stratégique pour la période 2015-2023 a été décidée à la 10</w:t>
      </w:r>
      <w:r>
        <w:rPr>
          <w:vertAlign w:val="superscript"/>
        </w:rPr>
        <w:t>e</w:t>
      </w:r>
      <w:r>
        <w:t xml:space="preserve"> réunion de la Conférence des Parties (COP10, Bergen, 2011) par l’adoption de la </w:t>
      </w:r>
      <w:hyperlink r:id="rId9" w:history="1">
        <w:r w:rsidRPr="00FE06D4">
          <w:rPr>
            <w:rStyle w:val="Hyperlink"/>
            <w:rFonts w:ascii="Arial" w:hAnsi="Arial" w:cs="Arial"/>
          </w:rPr>
          <w:t>Résolution 10.5</w:t>
        </w:r>
      </w:hyperlink>
      <w:r>
        <w:t xml:space="preserve">, qui a également établi un groupe de travail dédié, composé de représentants des Parties sélectionnés au sein des régions de la CMS, pour élaborer le projet de Plan stratégique à soumettre à la COP11 pour examen et adoption. </w:t>
      </w:r>
    </w:p>
    <w:p w:rsidR="00FE06D4" w:rsidRPr="00FE06D4" w:rsidRDefault="00FE06D4" w:rsidP="00FE06D4">
      <w:pPr>
        <w:pStyle w:val="ListParagraph"/>
        <w:spacing w:after="0" w:line="240" w:lineRule="auto"/>
        <w:rPr>
          <w:rFonts w:cs="Arial"/>
          <w:color w:val="000000" w:themeColor="text1"/>
          <w:lang w:val="fr-FR"/>
        </w:rPr>
      </w:pPr>
    </w:p>
    <w:p w:rsidR="00FE06D4" w:rsidRDefault="00FE06D4" w:rsidP="00FE06D4">
      <w:pPr>
        <w:pStyle w:val="Firstnumbering"/>
        <w:numPr>
          <w:ilvl w:val="0"/>
          <w:numId w:val="8"/>
        </w:numPr>
        <w:ind w:left="567" w:hanging="567"/>
        <w:contextualSpacing w:val="0"/>
      </w:pPr>
      <w:r>
        <w:t>En vue de porter les questions relatives aux espèces migratrices à un niveau politique plus élevé afin de soutenir la mise en œuvre des objectifs de la CMS et de ses accords subsidiaires, le Groupe de travail a décidé d’élaborer le PSEM sur la base et dans le respect du Plan stratégique pour la diversité biologique pour la période 2011-2020, y compris ses objectifs de biodiversité d’Aichi, tels qu’adoptés à la 10</w:t>
      </w:r>
      <w:r>
        <w:rPr>
          <w:vertAlign w:val="superscript"/>
        </w:rPr>
        <w:t>e</w:t>
      </w:r>
      <w:r>
        <w:t xml:space="preserve"> réunion de la Conférence des Parties à la Convention sur la diversité biologique (CDB) dans la </w:t>
      </w:r>
      <w:hyperlink r:id="rId10" w:history="1">
        <w:r w:rsidRPr="00FE06D4">
          <w:rPr>
            <w:rStyle w:val="Hyperlink"/>
            <w:rFonts w:ascii="Arial" w:hAnsi="Arial" w:cs="Arial"/>
            <w:color w:val="0066CC"/>
            <w:shd w:val="clear" w:color="auto" w:fill="FFFFFF"/>
          </w:rPr>
          <w:t>Décision X/2</w:t>
        </w:r>
      </w:hyperlink>
      <w:r>
        <w:rPr>
          <w:color w:val="333333"/>
          <w:shd w:val="clear" w:color="auto" w:fill="FFFFFF"/>
        </w:rPr>
        <w:t xml:space="preserve">. </w:t>
      </w:r>
      <w:r>
        <w:t xml:space="preserve"> </w:t>
      </w:r>
    </w:p>
    <w:p w:rsidR="00FE06D4" w:rsidRPr="00FE06D4" w:rsidRDefault="00FE06D4" w:rsidP="00FE06D4">
      <w:pPr>
        <w:pStyle w:val="ListParagraph"/>
        <w:spacing w:after="0" w:line="240" w:lineRule="auto"/>
        <w:rPr>
          <w:rFonts w:cs="Arial"/>
          <w:color w:val="000000" w:themeColor="text1"/>
          <w:lang w:val="fr-FR"/>
        </w:rPr>
      </w:pPr>
    </w:p>
    <w:p w:rsidR="00FE06D4" w:rsidRDefault="00FE06D4" w:rsidP="00FE06D4">
      <w:pPr>
        <w:pStyle w:val="Firstnumbering"/>
        <w:numPr>
          <w:ilvl w:val="0"/>
          <w:numId w:val="8"/>
        </w:numPr>
        <w:ind w:left="567" w:hanging="567"/>
        <w:contextualSpacing w:val="0"/>
      </w:pPr>
      <w:r>
        <w:t xml:space="preserve">L’élaboration du PSEM 2015-2023 a également pris en compte les documents stratégiques d’autres conventions mondiales relatives à la biodiversité, d’autres documents pertinents que le groupe de travail a jugés appropriés, ainsi que les enseignements tirés de l’expérience dans la mise en œuvre du précédent Plan stratégique 2006-2014, comme rapporté dans le document </w:t>
      </w:r>
      <w:hyperlink r:id="rId11" w:history="1">
        <w:r w:rsidRPr="00FE06D4">
          <w:rPr>
            <w:rStyle w:val="Hyperlink"/>
            <w:rFonts w:ascii="Arial" w:hAnsi="Arial" w:cs="Arial"/>
          </w:rPr>
          <w:t>UNEP/CMS/COP11/Doc.15.2</w:t>
        </w:r>
      </w:hyperlink>
      <w:r>
        <w:t>.</w:t>
      </w:r>
    </w:p>
    <w:p w:rsidR="00FE06D4" w:rsidRPr="00FE06D4" w:rsidRDefault="00FE06D4" w:rsidP="00FE06D4">
      <w:pPr>
        <w:pStyle w:val="ListParagraph"/>
        <w:spacing w:after="0" w:line="240" w:lineRule="auto"/>
        <w:rPr>
          <w:rFonts w:cs="Arial"/>
          <w:color w:val="000000" w:themeColor="text1"/>
          <w:lang w:val="fr-FR"/>
        </w:rPr>
      </w:pPr>
    </w:p>
    <w:p w:rsidR="00FE06D4" w:rsidRDefault="00FE06D4" w:rsidP="00FE06D4">
      <w:pPr>
        <w:pStyle w:val="Firstnumbering"/>
        <w:numPr>
          <w:ilvl w:val="0"/>
          <w:numId w:val="8"/>
        </w:numPr>
        <w:ind w:left="567" w:hanging="567"/>
        <w:contextualSpacing w:val="0"/>
      </w:pPr>
      <w:r>
        <w:t>En adoptant le PSEM, les Parties à la CMS ont reconnu dans la Résolution 11.2 la nécessité d’autres activités ou instruments habilitants concernant la mise en œuvre et le suivi, éléments essentiels d’un Plan stratégique réussi et efficace, et ont pris des dispositions pour des travaux supplémentaires entre les sessions afin de renforcer l’ensemble des matériels pour soutenir la mise en œuvre du PSEM, notamment :</w:t>
      </w:r>
    </w:p>
    <w:p w:rsidR="00FE06D4" w:rsidRDefault="00FE06D4" w:rsidP="00FE06D4">
      <w:pPr>
        <w:pStyle w:val="Firstnumbering"/>
        <w:numPr>
          <w:ilvl w:val="0"/>
          <w:numId w:val="0"/>
        </w:numPr>
      </w:pPr>
    </w:p>
    <w:p w:rsidR="00FE06D4" w:rsidRPr="00FE06D4" w:rsidRDefault="00FE06D4" w:rsidP="00FE06D4">
      <w:pPr>
        <w:pStyle w:val="ListParagraph"/>
        <w:spacing w:after="0" w:line="240" w:lineRule="auto"/>
        <w:ind w:left="993" w:hanging="426"/>
        <w:jc w:val="both"/>
        <w:rPr>
          <w:rFonts w:eastAsia="MS Mincho" w:cs="Arial"/>
          <w:lang w:val="fr-FR"/>
        </w:rPr>
      </w:pPr>
      <w:r w:rsidRPr="00FE06D4">
        <w:rPr>
          <w:rFonts w:eastAsia="MS Mincho" w:cs="Arial"/>
          <w:lang w:val="fr-FR"/>
        </w:rPr>
        <w:t>a)</w:t>
      </w:r>
      <w:r w:rsidRPr="00FE06D4">
        <w:rPr>
          <w:rFonts w:eastAsia="MS Mincho" w:cs="Arial"/>
          <w:lang w:val="fr-FR"/>
        </w:rPr>
        <w:tab/>
        <w:t xml:space="preserve">des indicateurs pour le PSEM, s’inspirant autant que possible des travaux existants, comme celui du Partenariat mondial sur les indicateurs de biodiversité ; et </w:t>
      </w:r>
    </w:p>
    <w:p w:rsidR="00FE06D4" w:rsidRPr="00FE06D4" w:rsidRDefault="00FE06D4" w:rsidP="00FE06D4">
      <w:pPr>
        <w:pStyle w:val="ListParagraph"/>
        <w:spacing w:after="0" w:line="240" w:lineRule="auto"/>
        <w:ind w:left="993" w:hanging="426"/>
        <w:jc w:val="both"/>
        <w:rPr>
          <w:rFonts w:eastAsia="MS Mincho" w:cs="Arial"/>
          <w:lang w:val="fr-FR"/>
        </w:rPr>
      </w:pPr>
      <w:r w:rsidRPr="00FE06D4">
        <w:rPr>
          <w:rFonts w:eastAsia="MS Mincho" w:cs="Arial"/>
          <w:lang w:val="fr-FR"/>
        </w:rPr>
        <w:t>b)</w:t>
      </w:r>
      <w:r w:rsidRPr="00FE06D4">
        <w:rPr>
          <w:rFonts w:eastAsia="MS Mincho" w:cs="Arial"/>
          <w:lang w:val="fr-FR"/>
        </w:rPr>
        <w:tab/>
        <w:t>un Volume d’accompagnement sur la mise en œuvre du plan stratégique, basé sur les outils disponibles, pour fournir des orientations sur la mise en œuvre du plan.</w:t>
      </w:r>
    </w:p>
    <w:p w:rsidR="00FE06D4" w:rsidRPr="00FE06D4" w:rsidRDefault="00FE06D4" w:rsidP="00FE06D4">
      <w:pPr>
        <w:pStyle w:val="ListParagraph"/>
        <w:spacing w:after="0" w:line="240" w:lineRule="auto"/>
        <w:ind w:hanging="360"/>
        <w:jc w:val="both"/>
        <w:rPr>
          <w:rFonts w:eastAsia="MS Mincho" w:cs="Arial"/>
          <w:lang w:val="fr-FR"/>
        </w:rPr>
      </w:pPr>
    </w:p>
    <w:p w:rsidR="00FE06D4" w:rsidRPr="00FE06D4" w:rsidRDefault="00FE06D4" w:rsidP="00FE06D4">
      <w:pPr>
        <w:pStyle w:val="Firstnumbering"/>
        <w:numPr>
          <w:ilvl w:val="0"/>
          <w:numId w:val="8"/>
        </w:numPr>
        <w:ind w:left="567" w:hanging="567"/>
        <w:contextualSpacing w:val="0"/>
        <w:rPr>
          <w:rStyle w:val="Hyperlink"/>
          <w:rFonts w:ascii="Arial" w:hAnsi="Arial" w:cstheme="minorBidi"/>
        </w:rPr>
      </w:pPr>
      <w:r>
        <w:t>Dans la même Résolution, les Parties ont décidé d’étendre le mandat du groupe de travail pour inclure les tâches d’élaboration des indicateurs et du Volume d’accompagnement au cours de la période triennale 2015-2017.  Le mandat a été accompli avec l’adoption à la 12</w:t>
      </w:r>
      <w:r>
        <w:rPr>
          <w:vertAlign w:val="superscript"/>
        </w:rPr>
        <w:t>e</w:t>
      </w:r>
      <w:r>
        <w:t xml:space="preserve"> réunion de la Conférence des Parties (COP12, Manille, 2017) d’un ensemble d’indicateurs pour le PSEM et d’un </w:t>
      </w:r>
      <w:r>
        <w:rPr>
          <w:rFonts w:ascii="Times New Roman" w:eastAsia="MS Mincho" w:hAnsi="Times New Roman" w:cs="Arial"/>
        </w:rPr>
        <w:fldChar w:fldCharType="begin"/>
      </w:r>
      <w:r>
        <w:rPr>
          <w:rFonts w:ascii="Times New Roman" w:eastAsia="MS Mincho" w:hAnsi="Times New Roman" w:cs="Arial"/>
        </w:rPr>
        <w:instrText xml:space="preserve"> HYPERLINK "https://www.cms.int/fr/page/guide-daccompagnement-du-spms-version-en-ligne" </w:instrText>
      </w:r>
      <w:r>
        <w:rPr>
          <w:rFonts w:ascii="Times New Roman" w:eastAsia="MS Mincho" w:hAnsi="Times New Roman" w:cs="Arial"/>
        </w:rPr>
      </w:r>
      <w:r>
        <w:rPr>
          <w:rFonts w:ascii="Times New Roman" w:eastAsia="MS Mincho" w:hAnsi="Times New Roman" w:cs="Arial"/>
        </w:rPr>
        <w:fldChar w:fldCharType="separate"/>
      </w:r>
      <w:r w:rsidRPr="00FE06D4">
        <w:rPr>
          <w:rStyle w:val="Hyperlink"/>
          <w:rFonts w:ascii="Arial" w:eastAsia="MS Mincho" w:hAnsi="Arial" w:cs="Arial"/>
        </w:rPr>
        <w:t>Volume d’accompagnement technique sur la mise en œuvre</w:t>
      </w:r>
      <w:r w:rsidRPr="00FE06D4">
        <w:rPr>
          <w:rStyle w:val="Hyperlink"/>
          <w:rFonts w:ascii="Arial" w:hAnsi="Arial" w:cstheme="minorBidi"/>
        </w:rPr>
        <w:t>.</w:t>
      </w:r>
    </w:p>
    <w:p w:rsidR="00FE06D4" w:rsidRPr="00FE06D4" w:rsidRDefault="00FE06D4" w:rsidP="00FE06D4">
      <w:pPr>
        <w:pStyle w:val="ListParagraph"/>
        <w:spacing w:after="0" w:line="240" w:lineRule="auto"/>
        <w:rPr>
          <w:rStyle w:val="Hyperlink"/>
          <w:rFonts w:ascii="Arial" w:hAnsi="Arial" w:cstheme="minorBidi"/>
          <w:lang w:val="fr-FR"/>
        </w:rPr>
      </w:pPr>
    </w:p>
    <w:p w:rsidR="00FE06D4" w:rsidRDefault="00FE06D4" w:rsidP="00FE06D4">
      <w:pPr>
        <w:pStyle w:val="Firstnumbering"/>
        <w:numPr>
          <w:ilvl w:val="0"/>
          <w:numId w:val="8"/>
        </w:numPr>
        <w:ind w:left="567" w:hanging="567"/>
        <w:contextualSpacing w:val="0"/>
      </w:pPr>
      <w:r>
        <w:rPr>
          <w:rFonts w:ascii="Times New Roman" w:eastAsia="MS Mincho" w:hAnsi="Times New Roman" w:cs="Arial"/>
        </w:rPr>
        <w:fldChar w:fldCharType="end"/>
      </w:r>
      <w:r w:rsidR="005C31CF" w:rsidRPr="005C31CF">
        <w:rPr>
          <w:rFonts w:eastAsia="MS Mincho" w:cs="Arial"/>
        </w:rPr>
        <w:t xml:space="preserve">La </w:t>
      </w:r>
      <w:hyperlink r:id="rId12" w:history="1">
        <w:r w:rsidR="005C31CF" w:rsidRPr="005C31CF">
          <w:rPr>
            <w:rStyle w:val="Hyperlink"/>
            <w:rFonts w:ascii="Arial" w:eastAsia="MS Mincho" w:hAnsi="Arial" w:cs="Arial"/>
          </w:rPr>
          <w:t>Résolution 11.2 (</w:t>
        </w:r>
        <w:proofErr w:type="spellStart"/>
        <w:r w:rsidR="005C31CF" w:rsidRPr="005C31CF">
          <w:rPr>
            <w:rStyle w:val="Hyperlink"/>
            <w:rFonts w:ascii="Arial" w:eastAsia="MS Mincho" w:hAnsi="Arial" w:cs="Arial"/>
          </w:rPr>
          <w:t>Rev</w:t>
        </w:r>
        <w:proofErr w:type="spellEnd"/>
        <w:r w:rsidR="005C31CF" w:rsidRPr="005C31CF">
          <w:rPr>
            <w:rStyle w:val="Hyperlink"/>
            <w:rFonts w:ascii="Arial" w:eastAsia="MS Mincho" w:hAnsi="Arial" w:cs="Arial"/>
          </w:rPr>
          <w:t>. COP12)</w:t>
        </w:r>
      </w:hyperlink>
      <w:r>
        <w:t xml:space="preserve"> a réaffirmé que la mise en œuvre du PSEM devrait être examinée par la Conférence des Parties lors de ses 13</w:t>
      </w:r>
      <w:r>
        <w:rPr>
          <w:vertAlign w:val="superscript"/>
        </w:rPr>
        <w:t>e</w:t>
      </w:r>
      <w:r>
        <w:t xml:space="preserve"> et 14</w:t>
      </w:r>
      <w:r>
        <w:rPr>
          <w:vertAlign w:val="superscript"/>
        </w:rPr>
        <w:t>e</w:t>
      </w:r>
      <w:r>
        <w:t xml:space="preserve"> réunions, à la lumière des objectifs, cibles et indicateurs énoncés dans le Plan. En ce qui concerne ce mandat, une évaluation intermédiaire des progrès dans la mise en œuvre du PSEM est fournie dans le document UNEP/CMS/COP13/Doc.14.1.</w:t>
      </w:r>
    </w:p>
    <w:p w:rsidR="005C31CF" w:rsidRDefault="005C31CF" w:rsidP="00FE06D4">
      <w:pPr>
        <w:spacing w:after="0" w:line="240" w:lineRule="auto"/>
        <w:rPr>
          <w:rFonts w:cs="Arial"/>
          <w:color w:val="000000" w:themeColor="text1"/>
          <w:lang w:val="fr-FR"/>
        </w:rPr>
      </w:pPr>
      <w:r>
        <w:rPr>
          <w:rFonts w:cs="Arial"/>
          <w:color w:val="000000" w:themeColor="text1"/>
          <w:lang w:val="fr-FR"/>
        </w:rPr>
        <w:br w:type="page"/>
      </w:r>
    </w:p>
    <w:p w:rsidR="00FE06D4" w:rsidRPr="00FE06D4" w:rsidRDefault="00FE06D4" w:rsidP="00FE06D4">
      <w:pPr>
        <w:spacing w:after="0" w:line="240" w:lineRule="auto"/>
        <w:rPr>
          <w:rFonts w:cs="Arial"/>
          <w:color w:val="000000" w:themeColor="text1"/>
          <w:lang w:val="fr-FR"/>
        </w:rPr>
      </w:pPr>
    </w:p>
    <w:p w:rsidR="00FE06D4" w:rsidRPr="00FE06D4" w:rsidRDefault="00FE06D4" w:rsidP="00FE06D4">
      <w:pPr>
        <w:spacing w:after="0" w:line="240" w:lineRule="auto"/>
        <w:rPr>
          <w:rFonts w:cs="Arial"/>
          <w:u w:val="single"/>
          <w:lang w:val="fr-FR"/>
        </w:rPr>
      </w:pPr>
      <w:r w:rsidRPr="00FE06D4">
        <w:rPr>
          <w:rFonts w:cs="Arial"/>
          <w:u w:val="single"/>
          <w:lang w:val="fr-FR"/>
        </w:rPr>
        <w:t>Suivi du Plan stratégique pour les espèces migratrices 2015-2023</w:t>
      </w:r>
    </w:p>
    <w:p w:rsidR="00FE06D4" w:rsidRPr="00FE06D4" w:rsidRDefault="00FE06D4" w:rsidP="00FE06D4">
      <w:pPr>
        <w:spacing w:after="0" w:line="240" w:lineRule="auto"/>
        <w:contextualSpacing/>
        <w:jc w:val="both"/>
        <w:rPr>
          <w:rFonts w:cs="Arial"/>
          <w:color w:val="000000" w:themeColor="text1"/>
          <w:lang w:val="fr-FR"/>
        </w:rPr>
      </w:pPr>
    </w:p>
    <w:p w:rsidR="00FE06D4" w:rsidRDefault="00FE06D4" w:rsidP="00FE06D4">
      <w:pPr>
        <w:pStyle w:val="Firstnumbering"/>
        <w:numPr>
          <w:ilvl w:val="0"/>
          <w:numId w:val="8"/>
        </w:numPr>
        <w:ind w:left="567" w:hanging="567"/>
        <w:contextualSpacing w:val="0"/>
      </w:pPr>
      <w:r>
        <w:t xml:space="preserve">Le Plan stratégique actuel pour la biodiversité devant expirer d’ici la fin de 2020, un processus a été lancé au sein de la CDB pour l’élaboration d’un plan successeur. </w:t>
      </w:r>
      <w:r>
        <w:rPr>
          <w:shd w:val="clear" w:color="auto" w:fill="FFFFFF"/>
        </w:rPr>
        <w:t xml:space="preserve">Dans sa </w:t>
      </w:r>
      <w:hyperlink r:id="rId13" w:tgtFrame="_blank" w:history="1">
        <w:r w:rsidRPr="005C31CF">
          <w:rPr>
            <w:rStyle w:val="Hyperlink"/>
            <w:rFonts w:ascii="Arial" w:hAnsi="Arial" w:cs="Arial"/>
            <w:shd w:val="clear" w:color="auto" w:fill="FFFFFF"/>
          </w:rPr>
          <w:t>Décision 14/34</w:t>
        </w:r>
      </w:hyperlink>
      <w:r>
        <w:rPr>
          <w:shd w:val="clear" w:color="auto" w:fill="FFFFFF"/>
        </w:rPr>
        <w:t>, la Conférence des Parties à la CDB a adopté un processus complet et participatif pour la préparation du cadre mondial de la biodiversité pour l’après 2020.  La famille CMS participe activement à ce processus, afin de veiller à ce que les préoccupations des espèces migratrices soient correctement prises en compte dans le cadre pour l’après 2020. Un compte rendu des initiatives entreprises au sein de la CMS pour contribuer au développement du cadre pour l’après 2020 est fourni dans le document UNEP/CMS/COP13/Doc.17.  Le cadre pour l’après 2020 devrait être adopté par la Conférence des Parties à la CDB lors de sa 15</w:t>
      </w:r>
      <w:r>
        <w:rPr>
          <w:shd w:val="clear" w:color="auto" w:fill="FFFFFF"/>
          <w:vertAlign w:val="superscript"/>
        </w:rPr>
        <w:t>e</w:t>
      </w:r>
      <w:r>
        <w:rPr>
          <w:shd w:val="clear" w:color="auto" w:fill="FFFFFF"/>
        </w:rPr>
        <w:t xml:space="preserve"> réunion en octobre 2020. </w:t>
      </w:r>
    </w:p>
    <w:p w:rsidR="00FE06D4" w:rsidRPr="00FE06D4" w:rsidRDefault="00FE06D4" w:rsidP="00FE06D4">
      <w:pPr>
        <w:spacing w:after="0" w:line="240" w:lineRule="auto"/>
        <w:ind w:left="360"/>
        <w:contextualSpacing/>
        <w:jc w:val="both"/>
        <w:rPr>
          <w:rFonts w:cs="Arial"/>
          <w:color w:val="000000" w:themeColor="text1"/>
          <w:lang w:val="fr-FR"/>
        </w:rPr>
      </w:pPr>
    </w:p>
    <w:p w:rsidR="00FE06D4" w:rsidRDefault="00FE06D4" w:rsidP="00FE06D4">
      <w:pPr>
        <w:pStyle w:val="Firstnumbering"/>
        <w:numPr>
          <w:ilvl w:val="0"/>
          <w:numId w:val="8"/>
        </w:numPr>
        <w:ind w:left="567" w:hanging="567"/>
        <w:contextualSpacing w:val="0"/>
      </w:pPr>
      <w:r>
        <w:t>Le PSEM actuel couvrant la période allant jusqu’en 2023, tout suivi éventuel pour la période après 2023 devrait être planifié et développé pendant la période intersessions entre la COP13 et la COP14, en vue de soumettre une proposition pour examen et adoption par la COP14.</w:t>
      </w:r>
    </w:p>
    <w:p w:rsidR="00FE06D4" w:rsidRPr="00FE06D4" w:rsidRDefault="00FE06D4" w:rsidP="00FE06D4">
      <w:pPr>
        <w:spacing w:after="0" w:line="240" w:lineRule="auto"/>
        <w:ind w:left="360"/>
        <w:contextualSpacing/>
        <w:jc w:val="both"/>
        <w:rPr>
          <w:rFonts w:cs="Arial"/>
          <w:color w:val="000000" w:themeColor="text1"/>
          <w:lang w:val="fr-FR"/>
        </w:rPr>
      </w:pPr>
    </w:p>
    <w:p w:rsidR="00FE06D4" w:rsidRDefault="00FE06D4" w:rsidP="00FE06D4">
      <w:pPr>
        <w:spacing w:after="0" w:line="240" w:lineRule="auto"/>
        <w:contextualSpacing/>
        <w:jc w:val="both"/>
        <w:rPr>
          <w:rFonts w:cs="Arial"/>
          <w:color w:val="000000" w:themeColor="text1"/>
          <w:u w:val="single"/>
        </w:rPr>
      </w:pPr>
      <w:r>
        <w:rPr>
          <w:rFonts w:cs="Arial"/>
          <w:color w:val="000000" w:themeColor="text1"/>
          <w:u w:val="single"/>
        </w:rPr>
        <w:t xml:space="preserve">Discussion et </w:t>
      </w:r>
      <w:proofErr w:type="spellStart"/>
      <w:r>
        <w:rPr>
          <w:rFonts w:cs="Arial"/>
          <w:color w:val="000000" w:themeColor="text1"/>
          <w:u w:val="single"/>
        </w:rPr>
        <w:t>analyse</w:t>
      </w:r>
      <w:proofErr w:type="spellEnd"/>
    </w:p>
    <w:p w:rsidR="00FE06D4" w:rsidRDefault="00FE06D4" w:rsidP="00FE06D4">
      <w:pPr>
        <w:spacing w:after="0" w:line="240" w:lineRule="auto"/>
        <w:ind w:left="360"/>
        <w:contextualSpacing/>
        <w:jc w:val="both"/>
        <w:rPr>
          <w:rFonts w:cs="Arial"/>
          <w:color w:val="000000" w:themeColor="text1"/>
          <w:u w:val="single"/>
        </w:rPr>
      </w:pPr>
    </w:p>
    <w:p w:rsidR="00FE06D4" w:rsidRDefault="00FE06D4" w:rsidP="00FE06D4">
      <w:pPr>
        <w:pStyle w:val="Firstnumbering"/>
        <w:numPr>
          <w:ilvl w:val="0"/>
          <w:numId w:val="8"/>
        </w:numPr>
        <w:ind w:left="567" w:hanging="567"/>
        <w:contextualSpacing w:val="0"/>
      </w:pPr>
      <w:r>
        <w:t xml:space="preserve">Étant donné le calendrier de développement du cadre pour l’après 2020, il serait utile de préparer une analyse afin d’élaborer un suivi du PSEM pour la période postérieure à 2023. Une telle analyse pourrait identifier les moyens de s’aligner sur le nouveau cadre, le rôle de la CMS dans sa contribution à sa mise en œuvre, les liens avec d’autres processus et gouvernance mondiaux pertinents tels que l’Agenda pour le développement durable 2030, et un examen des approches adoptées par d’autres accords multilatéraux sur l’environnement relatifs à la biodiversité. </w:t>
      </w:r>
    </w:p>
    <w:p w:rsidR="00FE06D4" w:rsidRPr="00FE06D4" w:rsidRDefault="00FE06D4" w:rsidP="00FE06D4">
      <w:pPr>
        <w:pStyle w:val="ListParagraph"/>
        <w:spacing w:after="0" w:line="240" w:lineRule="auto"/>
        <w:rPr>
          <w:rFonts w:cs="Arial"/>
          <w:color w:val="000000" w:themeColor="text1"/>
          <w:lang w:val="fr-FR"/>
        </w:rPr>
      </w:pPr>
    </w:p>
    <w:p w:rsidR="00FE06D4" w:rsidRDefault="00FE06D4" w:rsidP="00FE06D4">
      <w:pPr>
        <w:pStyle w:val="Firstnumbering"/>
        <w:numPr>
          <w:ilvl w:val="0"/>
          <w:numId w:val="8"/>
        </w:numPr>
        <w:ind w:left="567" w:hanging="567"/>
        <w:contextualSpacing w:val="0"/>
      </w:pPr>
      <w:r>
        <w:t>Les projets de Décisions proposés à la COP13 figurent en Annexe au présent document.  Ils mandatent le Secrétariat pour effectuer une analyse du cadre pour l’après 2020 une fois adopté, visant à évaluer sa pertinence pour les mandats de la CMS et à identifier les aspects de celui-ci dans lesquels la famille CMS pourrait jouer un rôle.  Ils mandatent également le Comité permanent pour examiner l’analyse préparée par le Secrétariat et les options possibles pour un suivi du PSEM, et décider des prochaines étapes les mieux adaptées pour fournir la ou les options préférées.</w:t>
      </w:r>
    </w:p>
    <w:p w:rsidR="00FE06D4" w:rsidRPr="00FE06D4" w:rsidRDefault="00FE06D4" w:rsidP="00FE06D4">
      <w:pPr>
        <w:spacing w:after="0" w:line="240" w:lineRule="auto"/>
        <w:contextualSpacing/>
        <w:jc w:val="both"/>
        <w:rPr>
          <w:rFonts w:cs="Arial"/>
          <w:u w:val="single"/>
          <w:lang w:val="fr-FR"/>
        </w:rPr>
      </w:pPr>
    </w:p>
    <w:p w:rsidR="00FE06D4" w:rsidRPr="00FE06D4" w:rsidRDefault="00FE06D4" w:rsidP="00FE06D4">
      <w:pPr>
        <w:spacing w:after="0" w:line="240" w:lineRule="auto"/>
        <w:contextualSpacing/>
        <w:jc w:val="both"/>
        <w:rPr>
          <w:rFonts w:cs="Arial"/>
          <w:u w:val="single"/>
          <w:lang w:val="fr-FR"/>
        </w:rPr>
      </w:pPr>
    </w:p>
    <w:p w:rsidR="00FE06D4" w:rsidRDefault="005C31CF" w:rsidP="00FE06D4">
      <w:pPr>
        <w:spacing w:after="0" w:line="240" w:lineRule="auto"/>
        <w:contextualSpacing/>
        <w:jc w:val="both"/>
        <w:rPr>
          <w:rFonts w:cs="Arial"/>
        </w:rPr>
      </w:pPr>
      <w:r>
        <w:rPr>
          <w:rFonts w:cs="Arial"/>
          <w:u w:val="single"/>
        </w:rPr>
        <w:t xml:space="preserve">Actions </w:t>
      </w:r>
      <w:proofErr w:type="spellStart"/>
      <w:r w:rsidR="00FE06D4">
        <w:rPr>
          <w:rFonts w:cs="Arial"/>
          <w:u w:val="single"/>
        </w:rPr>
        <w:t>recommandées</w:t>
      </w:r>
      <w:proofErr w:type="spellEnd"/>
    </w:p>
    <w:p w:rsidR="00FE06D4" w:rsidRDefault="00FE06D4" w:rsidP="00FE06D4">
      <w:pPr>
        <w:spacing w:after="0" w:line="240" w:lineRule="auto"/>
        <w:rPr>
          <w:rFonts w:cs="Arial"/>
        </w:rPr>
      </w:pPr>
    </w:p>
    <w:p w:rsidR="00FE06D4" w:rsidRDefault="00FE06D4" w:rsidP="00FE06D4">
      <w:pPr>
        <w:pStyle w:val="Firstnumbering"/>
        <w:numPr>
          <w:ilvl w:val="0"/>
          <w:numId w:val="8"/>
        </w:numPr>
        <w:ind w:left="567" w:hanging="567"/>
        <w:contextualSpacing w:val="0"/>
      </w:pPr>
      <w:r>
        <w:t>Il est recommandé à la Conférence des Parties :</w:t>
      </w:r>
    </w:p>
    <w:p w:rsidR="00FE06D4" w:rsidRPr="00FE06D4" w:rsidRDefault="00FE06D4" w:rsidP="00FE06D4">
      <w:pPr>
        <w:spacing w:after="0" w:line="240" w:lineRule="auto"/>
        <w:jc w:val="both"/>
        <w:rPr>
          <w:rFonts w:cs="Arial"/>
          <w:lang w:val="fr-FR"/>
        </w:rPr>
      </w:pPr>
    </w:p>
    <w:p w:rsidR="00FE06D4" w:rsidRDefault="00FE06D4" w:rsidP="00FE06D4">
      <w:pPr>
        <w:pStyle w:val="Secondnumbering"/>
        <w:numPr>
          <w:ilvl w:val="0"/>
          <w:numId w:val="9"/>
        </w:numPr>
        <w:ind w:left="1134" w:hanging="283"/>
        <w:contextualSpacing w:val="0"/>
      </w:pPr>
      <w:r>
        <w:t>de prendre note du présent document ;</w:t>
      </w:r>
      <w:r>
        <w:tab/>
      </w:r>
      <w:r>
        <w:br/>
      </w:r>
    </w:p>
    <w:p w:rsidR="00FE06D4" w:rsidRDefault="00FE06D4" w:rsidP="00FE06D4">
      <w:pPr>
        <w:pStyle w:val="Secondnumbering"/>
        <w:numPr>
          <w:ilvl w:val="0"/>
          <w:numId w:val="9"/>
        </w:numPr>
        <w:ind w:left="1134" w:hanging="283"/>
        <w:contextualSpacing w:val="0"/>
      </w:pPr>
      <w:r>
        <w:rPr>
          <w:color w:val="000000" w:themeColor="text1"/>
        </w:rPr>
        <w:t>d’examiner et adopter le projet de Décisions figurant à l’Annexe du présent document.</w:t>
      </w:r>
    </w:p>
    <w:p w:rsidR="00FE06D4" w:rsidRDefault="00FE06D4" w:rsidP="00EF7FC8">
      <w:pPr>
        <w:pStyle w:val="FourthnumberingA"/>
        <w:numPr>
          <w:ilvl w:val="0"/>
          <w:numId w:val="0"/>
        </w:numPr>
        <w:sectPr w:rsidR="00FE06D4" w:rsidSect="00D71837">
          <w:headerReference w:type="even" r:id="rId14"/>
          <w:headerReference w:type="default" r:id="rId15"/>
          <w:footerReference w:type="even" r:id="rId16"/>
          <w:footerReference w:type="default" r:id="rId17"/>
          <w:headerReference w:type="first" r:id="rId18"/>
          <w:pgSz w:w="11906" w:h="16838" w:code="9"/>
          <w:pgMar w:top="1134" w:right="1134" w:bottom="1134" w:left="1134" w:header="720" w:footer="720" w:gutter="0"/>
          <w:cols w:space="720"/>
          <w:titlePg/>
          <w:docGrid w:linePitch="360"/>
        </w:sectPr>
      </w:pPr>
    </w:p>
    <w:p w:rsidR="00FE06D4" w:rsidRPr="00FE06D4" w:rsidRDefault="00FE06D4" w:rsidP="00FE06D4">
      <w:pPr>
        <w:spacing w:after="0" w:line="240" w:lineRule="auto"/>
        <w:jc w:val="right"/>
        <w:rPr>
          <w:rFonts w:cs="Arial"/>
          <w:b/>
          <w:caps/>
          <w:lang w:val="fr-FR"/>
        </w:rPr>
      </w:pPr>
      <w:r w:rsidRPr="00FE06D4">
        <w:rPr>
          <w:rFonts w:cs="Arial"/>
          <w:b/>
          <w:caps/>
          <w:lang w:val="fr-FR"/>
        </w:rPr>
        <w:lastRenderedPageBreak/>
        <w:t>Annexe</w:t>
      </w:r>
    </w:p>
    <w:p w:rsidR="00FE06D4" w:rsidRPr="00FE06D4" w:rsidRDefault="00FE06D4" w:rsidP="00FE06D4">
      <w:pPr>
        <w:spacing w:after="0" w:line="240" w:lineRule="auto"/>
        <w:rPr>
          <w:rFonts w:cs="Arial"/>
          <w:lang w:val="fr-FR"/>
        </w:rPr>
      </w:pPr>
    </w:p>
    <w:p w:rsidR="005C31CF" w:rsidRDefault="005C31CF" w:rsidP="00FE06D4">
      <w:pPr>
        <w:spacing w:after="0" w:line="240" w:lineRule="auto"/>
        <w:jc w:val="center"/>
        <w:rPr>
          <w:rFonts w:cs="Arial"/>
          <w:lang w:val="fr-FR"/>
        </w:rPr>
      </w:pPr>
    </w:p>
    <w:p w:rsidR="00FE06D4" w:rsidRPr="00FE06D4" w:rsidRDefault="00FE06D4" w:rsidP="00FE06D4">
      <w:pPr>
        <w:spacing w:after="0" w:line="240" w:lineRule="auto"/>
        <w:jc w:val="center"/>
        <w:rPr>
          <w:rFonts w:cs="Arial"/>
          <w:lang w:val="fr-FR"/>
        </w:rPr>
      </w:pPr>
      <w:bookmarkStart w:id="0" w:name="_GoBack"/>
      <w:bookmarkEnd w:id="0"/>
      <w:r w:rsidRPr="00FE06D4">
        <w:rPr>
          <w:rFonts w:cs="Arial"/>
          <w:lang w:val="fr-FR"/>
        </w:rPr>
        <w:t>PROJET DE DÉCISION</w:t>
      </w:r>
    </w:p>
    <w:p w:rsidR="00FE06D4" w:rsidRPr="00FE06D4" w:rsidRDefault="00FE06D4" w:rsidP="00FE06D4">
      <w:pPr>
        <w:spacing w:after="0" w:line="240" w:lineRule="auto"/>
        <w:jc w:val="center"/>
        <w:rPr>
          <w:rFonts w:cs="Arial"/>
          <w:lang w:val="fr-FR"/>
        </w:rPr>
      </w:pPr>
    </w:p>
    <w:p w:rsidR="00FE06D4" w:rsidRPr="00FE06D4" w:rsidRDefault="00FE06D4" w:rsidP="00FE06D4">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lang w:val="fr-FR"/>
        </w:rPr>
      </w:pPr>
      <w:r w:rsidRPr="00FE06D4">
        <w:rPr>
          <w:rFonts w:cs="Arial"/>
          <w:b/>
          <w:caps/>
          <w:lang w:val="fr-FR"/>
        </w:rPr>
        <w:t xml:space="preserve">OPTIONS </w:t>
      </w:r>
      <w:r w:rsidRPr="00FE06D4">
        <w:rPr>
          <w:rFonts w:cs="Arial"/>
          <w:b/>
          <w:lang w:val="fr-FR"/>
        </w:rPr>
        <w:t>POUR UN SUIVI DU PLAN STRATÉGIQUE POUR</w:t>
      </w:r>
      <w:r w:rsidRPr="00FE06D4">
        <w:rPr>
          <w:lang w:val="fr-FR"/>
        </w:rPr>
        <w:t xml:space="preserve"> </w:t>
      </w:r>
    </w:p>
    <w:p w:rsidR="00FE06D4" w:rsidRPr="00FE06D4" w:rsidRDefault="00FE06D4" w:rsidP="00FE06D4">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fr-FR"/>
        </w:rPr>
      </w:pPr>
      <w:r w:rsidRPr="00FE06D4">
        <w:rPr>
          <w:rFonts w:cs="Arial"/>
          <w:b/>
          <w:lang w:val="fr-FR"/>
        </w:rPr>
        <w:t>LES ESPÈCES MIGRATRICES 2015-2023</w:t>
      </w:r>
    </w:p>
    <w:p w:rsidR="00FE06D4" w:rsidRPr="00FE06D4" w:rsidRDefault="00FE06D4" w:rsidP="00FE06D4">
      <w:pPr>
        <w:spacing w:after="0" w:line="240" w:lineRule="auto"/>
        <w:jc w:val="both"/>
        <w:rPr>
          <w:rFonts w:cs="Arial"/>
          <w:lang w:val="fr-FR"/>
        </w:rPr>
      </w:pPr>
    </w:p>
    <w:p w:rsidR="00FE06D4" w:rsidRPr="00FE06D4" w:rsidRDefault="00FE06D4" w:rsidP="00FE06D4">
      <w:pPr>
        <w:spacing w:after="0" w:line="240" w:lineRule="auto"/>
        <w:jc w:val="both"/>
        <w:rPr>
          <w:rFonts w:cs="Arial"/>
          <w:lang w:val="fr-FR"/>
        </w:rPr>
      </w:pPr>
    </w:p>
    <w:p w:rsidR="00FE06D4" w:rsidRPr="00FE06D4" w:rsidRDefault="005C31CF" w:rsidP="00FE06D4">
      <w:pPr>
        <w:spacing w:after="0" w:line="240" w:lineRule="auto"/>
        <w:jc w:val="both"/>
        <w:rPr>
          <w:rFonts w:cs="Arial"/>
          <w:b/>
          <w:i/>
          <w:lang w:val="fr-FR"/>
        </w:rPr>
      </w:pPr>
      <w:r>
        <w:rPr>
          <w:rFonts w:cs="Arial"/>
          <w:b/>
          <w:i/>
          <w:lang w:val="fr-FR"/>
        </w:rPr>
        <w:t>Adressé a</w:t>
      </w:r>
      <w:r w:rsidR="00FE06D4" w:rsidRPr="00FE06D4">
        <w:rPr>
          <w:rFonts w:cs="Arial"/>
          <w:b/>
          <w:i/>
          <w:lang w:val="fr-FR"/>
        </w:rPr>
        <w:t xml:space="preserve">u Secrétariat </w:t>
      </w:r>
    </w:p>
    <w:p w:rsidR="00FE06D4" w:rsidRPr="00FE06D4" w:rsidRDefault="00FE06D4" w:rsidP="00FE06D4">
      <w:pPr>
        <w:spacing w:after="0" w:line="240" w:lineRule="auto"/>
        <w:jc w:val="both"/>
        <w:rPr>
          <w:rFonts w:cs="Arial"/>
          <w:lang w:val="fr-FR"/>
        </w:rPr>
      </w:pPr>
    </w:p>
    <w:p w:rsidR="00FE06D4" w:rsidRPr="00FE06D4" w:rsidRDefault="00FE06D4" w:rsidP="00FE06D4">
      <w:pPr>
        <w:spacing w:after="0" w:line="240" w:lineRule="auto"/>
        <w:ind w:left="720" w:hanging="720"/>
        <w:jc w:val="both"/>
        <w:rPr>
          <w:rFonts w:cs="Arial"/>
          <w:iCs/>
          <w:lang w:val="fr-FR"/>
        </w:rPr>
      </w:pPr>
      <w:r w:rsidRPr="00FE06D4">
        <w:rPr>
          <w:rFonts w:cs="Arial"/>
          <w:lang w:val="fr-FR"/>
        </w:rPr>
        <w:t>13.AA</w:t>
      </w:r>
      <w:r w:rsidRPr="00FE06D4">
        <w:rPr>
          <w:rFonts w:cs="Arial"/>
          <w:lang w:val="fr-FR"/>
        </w:rPr>
        <w:tab/>
      </w:r>
      <w:r w:rsidRPr="00FE06D4">
        <w:rPr>
          <w:rFonts w:cs="Arial"/>
          <w:iCs/>
          <w:lang w:val="fr-FR"/>
        </w:rPr>
        <w:t xml:space="preserve">Le Secrétariat est </w:t>
      </w:r>
      <w:r w:rsidR="005C31CF">
        <w:rPr>
          <w:rFonts w:cs="Arial"/>
          <w:iCs/>
          <w:lang w:val="fr-FR"/>
        </w:rPr>
        <w:t xml:space="preserve">prié </w:t>
      </w:r>
      <w:r w:rsidRPr="00FE06D4">
        <w:rPr>
          <w:rFonts w:cs="Arial"/>
          <w:iCs/>
          <w:lang w:val="fr-FR"/>
        </w:rPr>
        <w:t xml:space="preserve"> : </w:t>
      </w:r>
      <w:r w:rsidRPr="00FE06D4">
        <w:rPr>
          <w:rFonts w:cs="Arial"/>
          <w:lang w:val="fr-FR"/>
        </w:rPr>
        <w:t xml:space="preserve"> </w:t>
      </w:r>
    </w:p>
    <w:p w:rsidR="00FE06D4" w:rsidRPr="00FE06D4" w:rsidRDefault="00FE06D4" w:rsidP="00FE06D4">
      <w:pPr>
        <w:spacing w:after="0" w:line="240" w:lineRule="auto"/>
        <w:ind w:left="720" w:hanging="720"/>
        <w:jc w:val="both"/>
        <w:rPr>
          <w:rFonts w:cs="Arial"/>
          <w:iCs/>
          <w:lang w:val="fr-FR"/>
        </w:rPr>
      </w:pPr>
    </w:p>
    <w:p w:rsidR="00FE06D4" w:rsidRPr="00FE06D4" w:rsidRDefault="005C31CF" w:rsidP="005C31CF">
      <w:pPr>
        <w:widowControl w:val="0"/>
        <w:numPr>
          <w:ilvl w:val="0"/>
          <w:numId w:val="10"/>
        </w:numPr>
        <w:autoSpaceDE w:val="0"/>
        <w:autoSpaceDN w:val="0"/>
        <w:adjustRightInd w:val="0"/>
        <w:spacing w:after="0" w:line="240" w:lineRule="auto"/>
        <w:ind w:left="1134" w:hanging="425"/>
        <w:jc w:val="both"/>
        <w:rPr>
          <w:rFonts w:cs="Arial"/>
          <w:iCs/>
          <w:lang w:val="fr-FR"/>
        </w:rPr>
      </w:pPr>
      <w:r>
        <w:rPr>
          <w:rFonts w:cs="Arial"/>
          <w:color w:val="000000" w:themeColor="text1"/>
          <w:lang w:val="fr-FR"/>
        </w:rPr>
        <w:t>d’</w:t>
      </w:r>
      <w:r w:rsidR="00FE06D4" w:rsidRPr="00FE06D4">
        <w:rPr>
          <w:rFonts w:cs="Arial"/>
          <w:color w:val="000000" w:themeColor="text1"/>
          <w:lang w:val="fr-FR"/>
        </w:rPr>
        <w:t>entreprendre une analyse du cadre mondial pour la biodiversité après 2020 une fois adopté, afin d’évaluer sa pertinence pour les mandats de la CMS et d’identifier les aspects de celui-ci dans lesquels la famille CMS pourrait jouer un rôle</w:t>
      </w:r>
      <w:r w:rsidR="00FE06D4" w:rsidRPr="00FE06D4">
        <w:rPr>
          <w:rFonts w:cs="Arial"/>
          <w:iCs/>
          <w:lang w:val="fr-FR"/>
        </w:rPr>
        <w:t> ;</w:t>
      </w:r>
      <w:r w:rsidR="00FE06D4" w:rsidRPr="00FE06D4">
        <w:rPr>
          <w:lang w:val="fr-FR"/>
        </w:rPr>
        <w:t xml:space="preserve"> </w:t>
      </w:r>
    </w:p>
    <w:p w:rsidR="00FE06D4" w:rsidRPr="00FE06D4" w:rsidRDefault="00FE06D4" w:rsidP="005C31CF">
      <w:pPr>
        <w:spacing w:after="0" w:line="240" w:lineRule="auto"/>
        <w:ind w:left="1134" w:hanging="425"/>
        <w:jc w:val="both"/>
        <w:rPr>
          <w:rFonts w:cs="Arial"/>
          <w:iCs/>
          <w:lang w:val="fr-FR"/>
        </w:rPr>
      </w:pPr>
    </w:p>
    <w:p w:rsidR="00FE06D4" w:rsidRPr="00FE06D4" w:rsidRDefault="005C31CF" w:rsidP="005C31CF">
      <w:pPr>
        <w:widowControl w:val="0"/>
        <w:numPr>
          <w:ilvl w:val="0"/>
          <w:numId w:val="10"/>
        </w:numPr>
        <w:autoSpaceDE w:val="0"/>
        <w:autoSpaceDN w:val="0"/>
        <w:adjustRightInd w:val="0"/>
        <w:spacing w:after="0" w:line="240" w:lineRule="auto"/>
        <w:ind w:left="1134" w:hanging="425"/>
        <w:jc w:val="both"/>
        <w:rPr>
          <w:rFonts w:cs="Arial"/>
          <w:iCs/>
          <w:lang w:val="fr-FR"/>
        </w:rPr>
      </w:pPr>
      <w:r>
        <w:rPr>
          <w:rFonts w:cs="Arial"/>
          <w:color w:val="000000" w:themeColor="text1"/>
          <w:lang w:val="fr-FR"/>
        </w:rPr>
        <w:t xml:space="preserve">de </w:t>
      </w:r>
      <w:r w:rsidR="00FE06D4" w:rsidRPr="00FE06D4">
        <w:rPr>
          <w:rFonts w:cs="Arial"/>
          <w:color w:val="000000" w:themeColor="text1"/>
          <w:lang w:val="fr-FR"/>
        </w:rPr>
        <w:t xml:space="preserve">compiler des informations sur les approches adoptées par d’autres </w:t>
      </w:r>
      <w:r>
        <w:rPr>
          <w:rFonts w:cs="Arial"/>
          <w:color w:val="000000" w:themeColor="text1"/>
          <w:lang w:val="fr-FR"/>
        </w:rPr>
        <w:t>a</w:t>
      </w:r>
      <w:r w:rsidR="00FE06D4" w:rsidRPr="00FE06D4">
        <w:rPr>
          <w:rFonts w:cs="Arial"/>
          <w:color w:val="000000" w:themeColor="text1"/>
          <w:lang w:val="fr-FR"/>
        </w:rPr>
        <w:t>ccords multilatéraux sur l’environnement relatifs à la biodiversité pour examiner les implications du Cadre mondial pour la biodiversité après 2020 pour eux ;</w:t>
      </w:r>
    </w:p>
    <w:p w:rsidR="00FE06D4" w:rsidRPr="00FE06D4" w:rsidRDefault="00FE06D4" w:rsidP="005C31CF">
      <w:pPr>
        <w:pStyle w:val="ListParagraph"/>
        <w:spacing w:after="0" w:line="240" w:lineRule="auto"/>
        <w:ind w:left="1134" w:hanging="425"/>
        <w:rPr>
          <w:rFonts w:cs="Arial"/>
          <w:iCs/>
          <w:lang w:val="fr-FR"/>
        </w:rPr>
      </w:pPr>
    </w:p>
    <w:p w:rsidR="00FE06D4" w:rsidRPr="00FE06D4" w:rsidRDefault="005C31CF" w:rsidP="005C31CF">
      <w:pPr>
        <w:widowControl w:val="0"/>
        <w:numPr>
          <w:ilvl w:val="0"/>
          <w:numId w:val="10"/>
        </w:numPr>
        <w:autoSpaceDE w:val="0"/>
        <w:autoSpaceDN w:val="0"/>
        <w:adjustRightInd w:val="0"/>
        <w:spacing w:after="0" w:line="240" w:lineRule="auto"/>
        <w:ind w:left="1134" w:hanging="425"/>
        <w:jc w:val="both"/>
        <w:rPr>
          <w:rFonts w:cs="Arial"/>
          <w:iCs/>
          <w:lang w:val="fr-FR"/>
        </w:rPr>
      </w:pPr>
      <w:r>
        <w:rPr>
          <w:rFonts w:cs="Arial"/>
          <w:iCs/>
          <w:lang w:val="fr-FR"/>
        </w:rPr>
        <w:t xml:space="preserve">de </w:t>
      </w:r>
      <w:r w:rsidR="00FE06D4" w:rsidRPr="00FE06D4">
        <w:rPr>
          <w:rFonts w:cs="Arial"/>
          <w:iCs/>
          <w:lang w:val="fr-FR"/>
        </w:rPr>
        <w:t>compiler des informations sur les enseignements tirés de l’expérience dans la mise en œuvre, le suivi et l’évaluation des plans stratégiques précédents et, en particulier, le Plan stratégique pour la biodiversité 2011-2020 et le Plan stratégique pour les espèces migratrices 2015-2023 ;</w:t>
      </w:r>
    </w:p>
    <w:p w:rsidR="00FE06D4" w:rsidRPr="00FE06D4" w:rsidRDefault="00FE06D4" w:rsidP="005C31CF">
      <w:pPr>
        <w:pStyle w:val="ListParagraph"/>
        <w:spacing w:after="0" w:line="240" w:lineRule="auto"/>
        <w:ind w:left="1134" w:hanging="425"/>
        <w:rPr>
          <w:rFonts w:cs="Arial"/>
          <w:iCs/>
          <w:lang w:val="fr-FR"/>
        </w:rPr>
      </w:pPr>
    </w:p>
    <w:p w:rsidR="00FE06D4" w:rsidRPr="00FE06D4" w:rsidRDefault="00FE06D4" w:rsidP="005C31CF">
      <w:pPr>
        <w:widowControl w:val="0"/>
        <w:numPr>
          <w:ilvl w:val="0"/>
          <w:numId w:val="10"/>
        </w:numPr>
        <w:autoSpaceDE w:val="0"/>
        <w:autoSpaceDN w:val="0"/>
        <w:adjustRightInd w:val="0"/>
        <w:spacing w:after="0" w:line="240" w:lineRule="auto"/>
        <w:ind w:left="1134" w:hanging="425"/>
        <w:jc w:val="both"/>
        <w:rPr>
          <w:rFonts w:cs="Arial"/>
          <w:iCs/>
          <w:lang w:val="fr-FR"/>
        </w:rPr>
      </w:pPr>
      <w:r w:rsidRPr="00FE06D4">
        <w:rPr>
          <w:rFonts w:cs="Arial"/>
          <w:iCs/>
          <w:lang w:val="fr-FR"/>
        </w:rPr>
        <w:t xml:space="preserve">sur la base des informations et analyses des paragraphes a à c susmentionnés, </w:t>
      </w:r>
      <w:r w:rsidR="005C31CF">
        <w:rPr>
          <w:rFonts w:cs="Arial"/>
          <w:iCs/>
          <w:lang w:val="fr-FR"/>
        </w:rPr>
        <w:t xml:space="preserve">de </w:t>
      </w:r>
      <w:r w:rsidRPr="00FE06D4">
        <w:rPr>
          <w:rFonts w:cs="Arial"/>
          <w:iCs/>
          <w:lang w:val="fr-FR"/>
        </w:rPr>
        <w:t xml:space="preserve">fournir des recommandations au Comité permanent pour examen. </w:t>
      </w:r>
    </w:p>
    <w:p w:rsidR="00FE06D4" w:rsidRPr="00FE06D4" w:rsidRDefault="00FE06D4" w:rsidP="00FE06D4">
      <w:pPr>
        <w:spacing w:after="0" w:line="240" w:lineRule="auto"/>
        <w:jc w:val="both"/>
        <w:rPr>
          <w:rFonts w:cs="Arial"/>
          <w:lang w:val="fr-FR"/>
        </w:rPr>
      </w:pPr>
    </w:p>
    <w:p w:rsidR="00FE06D4" w:rsidRPr="00FE06D4" w:rsidRDefault="005C31CF" w:rsidP="00FE06D4">
      <w:pPr>
        <w:spacing w:after="0" w:line="240" w:lineRule="auto"/>
        <w:jc w:val="both"/>
        <w:rPr>
          <w:rFonts w:cs="Arial"/>
          <w:b/>
          <w:i/>
          <w:lang w:val="fr-FR"/>
        </w:rPr>
      </w:pPr>
      <w:r>
        <w:rPr>
          <w:rFonts w:cs="Arial"/>
          <w:b/>
          <w:i/>
          <w:lang w:val="fr-FR"/>
        </w:rPr>
        <w:t>Adressé a</w:t>
      </w:r>
      <w:r w:rsidR="00FE06D4" w:rsidRPr="00FE06D4">
        <w:rPr>
          <w:rFonts w:cs="Arial"/>
          <w:b/>
          <w:i/>
          <w:lang w:val="fr-FR"/>
        </w:rPr>
        <w:t>u Comité permanent</w:t>
      </w:r>
    </w:p>
    <w:p w:rsidR="00FE06D4" w:rsidRPr="00FE06D4" w:rsidRDefault="00FE06D4" w:rsidP="00FE06D4">
      <w:pPr>
        <w:spacing w:after="0" w:line="240" w:lineRule="auto"/>
        <w:jc w:val="both"/>
        <w:rPr>
          <w:rFonts w:cs="Arial"/>
          <w:lang w:val="fr-FR"/>
        </w:rPr>
      </w:pPr>
    </w:p>
    <w:p w:rsidR="00FE06D4" w:rsidRPr="00FE06D4" w:rsidRDefault="00FE06D4" w:rsidP="00FE06D4">
      <w:pPr>
        <w:spacing w:after="0" w:line="240" w:lineRule="auto"/>
        <w:jc w:val="both"/>
        <w:rPr>
          <w:rFonts w:cs="Arial"/>
          <w:lang w:val="fr-FR"/>
        </w:rPr>
      </w:pPr>
      <w:r w:rsidRPr="00FE06D4">
        <w:rPr>
          <w:rFonts w:cs="Arial"/>
          <w:lang w:val="fr-FR"/>
        </w:rPr>
        <w:t>13.BB</w:t>
      </w:r>
      <w:r w:rsidRPr="00FE06D4">
        <w:rPr>
          <w:rFonts w:cs="Arial"/>
          <w:lang w:val="fr-FR"/>
        </w:rPr>
        <w:tab/>
        <w:t>Le Comité permanent est invité à :</w:t>
      </w:r>
    </w:p>
    <w:p w:rsidR="00FE06D4" w:rsidRPr="00FE06D4" w:rsidRDefault="00FE06D4" w:rsidP="00FE06D4">
      <w:pPr>
        <w:spacing w:after="0" w:line="240" w:lineRule="auto"/>
        <w:jc w:val="both"/>
        <w:rPr>
          <w:rFonts w:cs="Arial"/>
          <w:lang w:val="fr-FR"/>
        </w:rPr>
      </w:pPr>
    </w:p>
    <w:p w:rsidR="00FE06D4" w:rsidRPr="00FE06D4" w:rsidRDefault="00FE06D4" w:rsidP="005C31CF">
      <w:pPr>
        <w:widowControl w:val="0"/>
        <w:numPr>
          <w:ilvl w:val="0"/>
          <w:numId w:val="11"/>
        </w:numPr>
        <w:autoSpaceDE w:val="0"/>
        <w:autoSpaceDN w:val="0"/>
        <w:adjustRightInd w:val="0"/>
        <w:spacing w:after="0" w:line="240" w:lineRule="auto"/>
        <w:ind w:left="1134" w:hanging="425"/>
        <w:jc w:val="both"/>
        <w:rPr>
          <w:rFonts w:cs="Arial"/>
          <w:lang w:val="fr-FR"/>
        </w:rPr>
      </w:pPr>
      <w:r w:rsidRPr="00FE06D4">
        <w:rPr>
          <w:rFonts w:cs="Arial"/>
          <w:lang w:val="fr-FR"/>
        </w:rPr>
        <w:t>examiner l’analyse et les compilations préparées par le Secrétariat conformément aux Décisions 13.AA a-c ;</w:t>
      </w:r>
    </w:p>
    <w:p w:rsidR="00FE06D4" w:rsidRPr="00FE06D4" w:rsidRDefault="00FE06D4" w:rsidP="005C31CF">
      <w:pPr>
        <w:spacing w:after="0" w:line="240" w:lineRule="auto"/>
        <w:ind w:left="1134" w:hanging="425"/>
        <w:jc w:val="both"/>
        <w:rPr>
          <w:rFonts w:cs="Arial"/>
          <w:lang w:val="fr-FR"/>
        </w:rPr>
      </w:pPr>
    </w:p>
    <w:p w:rsidR="00FE06D4" w:rsidRPr="00FE06D4" w:rsidRDefault="00FE06D4" w:rsidP="005C31CF">
      <w:pPr>
        <w:widowControl w:val="0"/>
        <w:numPr>
          <w:ilvl w:val="0"/>
          <w:numId w:val="11"/>
        </w:numPr>
        <w:autoSpaceDE w:val="0"/>
        <w:autoSpaceDN w:val="0"/>
        <w:adjustRightInd w:val="0"/>
        <w:spacing w:after="0" w:line="240" w:lineRule="auto"/>
        <w:ind w:left="1134" w:hanging="425"/>
        <w:jc w:val="both"/>
        <w:rPr>
          <w:rFonts w:cs="Arial"/>
          <w:lang w:val="fr-FR"/>
        </w:rPr>
      </w:pPr>
      <w:r w:rsidRPr="00FE06D4">
        <w:rPr>
          <w:rFonts w:cs="Arial"/>
          <w:lang w:val="fr-FR"/>
        </w:rPr>
        <w:t>examiner les options disponibles pour un suivi du Plan stratégique pour les espèces migratrices 2015-2023 et prendre une décision relative aux prochaines étapes.</w:t>
      </w:r>
    </w:p>
    <w:p w:rsidR="00FE06D4" w:rsidRDefault="00FE06D4" w:rsidP="00FE06D4">
      <w:pPr>
        <w:pStyle w:val="Heading2"/>
        <w:keepNext w:val="0"/>
        <w:ind w:left="-90" w:right="-367"/>
        <w:jc w:val="center"/>
        <w:rPr>
          <w:rFonts w:cs="Arial"/>
          <w:sz w:val="22"/>
        </w:rPr>
      </w:pPr>
    </w:p>
    <w:p w:rsidR="00FE06D4" w:rsidRDefault="00FE06D4" w:rsidP="00FE06D4">
      <w:pPr>
        <w:pStyle w:val="Firstnumbering"/>
        <w:numPr>
          <w:ilvl w:val="0"/>
          <w:numId w:val="0"/>
        </w:numPr>
        <w:ind w:left="567" w:hanging="567"/>
      </w:pPr>
    </w:p>
    <w:p w:rsidR="00FE06D4" w:rsidRDefault="00FE06D4" w:rsidP="00EF7FC8">
      <w:pPr>
        <w:pStyle w:val="FourthnumberingA"/>
        <w:numPr>
          <w:ilvl w:val="0"/>
          <w:numId w:val="0"/>
        </w:numPr>
      </w:pPr>
    </w:p>
    <w:sectPr w:rsidR="00FE06D4" w:rsidSect="00D71837">
      <w:headerReference w:type="first" r:id="rId19"/>
      <w:footerReference w:type="first" r:id="rId20"/>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58" w:rsidRDefault="00EC2A58" w:rsidP="00EC2A58">
      <w:pPr>
        <w:spacing w:after="0" w:line="240" w:lineRule="auto"/>
      </w:pPr>
      <w:r>
        <w:separator/>
      </w:r>
    </w:p>
  </w:endnote>
  <w:endnote w:type="continuationSeparator" w:id="0">
    <w:p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p w:rsidR="00EC2A58" w:rsidRPr="00EC2A58" w:rsidRDefault="00EC2A58">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34375173"/>
      <w:docPartObj>
        <w:docPartGallery w:val="Page Numbers (Bottom of Page)"/>
        <w:docPartUnique/>
      </w:docPartObj>
    </w:sdtPr>
    <w:sdtEndPr>
      <w:rPr>
        <w:noProof/>
      </w:rPr>
    </w:sdtEndPr>
    <w:sdtContent>
      <w:p w:rsidR="005C31CF" w:rsidRPr="005C31CF" w:rsidRDefault="005C31CF" w:rsidP="005C31CF">
        <w:pPr>
          <w:pStyle w:val="Footer"/>
          <w:jc w:val="center"/>
          <w:rPr>
            <w:sz w:val="18"/>
            <w:szCs w:val="18"/>
          </w:rPr>
        </w:pPr>
        <w:r w:rsidRPr="005C31CF">
          <w:rPr>
            <w:sz w:val="18"/>
            <w:szCs w:val="18"/>
          </w:rPr>
          <w:fldChar w:fldCharType="begin"/>
        </w:r>
        <w:r w:rsidRPr="005C31CF">
          <w:rPr>
            <w:sz w:val="18"/>
            <w:szCs w:val="18"/>
          </w:rPr>
          <w:instrText xml:space="preserve"> PAGE   \* MERGEFORMAT </w:instrText>
        </w:r>
        <w:r w:rsidRPr="005C31CF">
          <w:rPr>
            <w:sz w:val="18"/>
            <w:szCs w:val="18"/>
          </w:rPr>
          <w:fldChar w:fldCharType="separate"/>
        </w:r>
        <w:r w:rsidRPr="005C31CF">
          <w:rPr>
            <w:noProof/>
            <w:sz w:val="18"/>
            <w:szCs w:val="18"/>
          </w:rPr>
          <w:t>2</w:t>
        </w:r>
        <w:r w:rsidRPr="005C31CF">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58" w:rsidRDefault="00EC2A58" w:rsidP="00EC2A58">
      <w:pPr>
        <w:spacing w:after="0" w:line="240" w:lineRule="auto"/>
      </w:pPr>
      <w:r>
        <w:separator/>
      </w:r>
    </w:p>
  </w:footnote>
  <w:footnote w:type="continuationSeparator" w:id="0">
    <w:p w:rsidR="00EC2A58" w:rsidRDefault="00EC2A58" w:rsidP="00EC2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FE06D4"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fr-FR"/>
      </w:rPr>
    </w:pPr>
    <w:r w:rsidRPr="00EC2A58">
      <w:rPr>
        <w:rFonts w:eastAsia="Arial" w:cs="Arial"/>
        <w:i/>
        <w:sz w:val="18"/>
        <w:szCs w:val="18"/>
        <w:lang w:val="fr-FR"/>
      </w:rPr>
      <w:t>UNEP/CMS/COP13/Doc.</w:t>
    </w:r>
    <w:r w:rsidR="00FE06D4" w:rsidRPr="00FE06D4">
      <w:rPr>
        <w:rFonts w:eastAsia="Arial" w:cs="Arial"/>
        <w:i/>
        <w:sz w:val="18"/>
        <w:szCs w:val="18"/>
        <w:lang w:val="fr-FR"/>
      </w:rPr>
      <w:t>14.2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5C31CF"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fr-FR"/>
      </w:rPr>
    </w:pPr>
    <w:r w:rsidRPr="00EC2A58">
      <w:rPr>
        <w:rFonts w:eastAsia="Arial" w:cs="Arial"/>
        <w:i/>
        <w:sz w:val="18"/>
        <w:szCs w:val="18"/>
        <w:lang w:val="fr-FR"/>
      </w:rPr>
      <w:t>UNEP/CMS/COP13/Doc.</w:t>
    </w:r>
    <w:r w:rsidR="005C31CF" w:rsidRPr="005C31CF">
      <w:rPr>
        <w:rFonts w:eastAsia="Arial" w:cs="Arial"/>
        <w:i/>
        <w:sz w:val="18"/>
        <w:szCs w:val="18"/>
        <w:lang w:val="fr-FR"/>
      </w:rPr>
      <w:t>14.2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1CF" w:rsidRPr="005C31CF" w:rsidRDefault="005C31CF" w:rsidP="005C31CF">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en-GB"/>
      </w:rPr>
    </w:pPr>
    <w:r w:rsidRPr="005C31CF">
      <w:rPr>
        <w:rFonts w:eastAsia="Arial" w:cs="Arial"/>
        <w:i/>
        <w:sz w:val="18"/>
        <w:szCs w:val="18"/>
        <w:lang w:val="en-GB"/>
      </w:rPr>
      <w:t>UNEP/CMS/COP13/Doc.14.2</w:t>
    </w:r>
    <w:r w:rsidRPr="005C31CF">
      <w:rPr>
        <w:rFonts w:eastAsia="Arial" w:cs="Arial"/>
        <w:i/>
        <w:sz w:val="18"/>
        <w:szCs w:val="18"/>
        <w:lang w:val="en-GB"/>
      </w:rPr>
      <w:t>/An</w:t>
    </w:r>
    <w:r>
      <w:rPr>
        <w:rFonts w:eastAsia="Arial" w:cs="Arial"/>
        <w:i/>
        <w:sz w:val="18"/>
        <w:szCs w:val="18"/>
        <w:lang w:val="en-GB"/>
      </w:rPr>
      <w:t>nexe</w:t>
    </w:r>
  </w:p>
  <w:p w:rsidR="005C31CF" w:rsidRDefault="005C3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0F21"/>
    <w:multiLevelType w:val="hybridMultilevel"/>
    <w:tmpl w:val="53DA57DA"/>
    <w:lvl w:ilvl="0" w:tplc="75607CB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23DF48E4"/>
    <w:multiLevelType w:val="hybridMultilevel"/>
    <w:tmpl w:val="86841666"/>
    <w:lvl w:ilvl="0" w:tplc="93A4A280">
      <w:start w:val="1"/>
      <w:numFmt w:val="lowerLetter"/>
      <w:pStyle w:val="Firstnumbering"/>
      <w:lvlText w:val="%1)."/>
      <w:lvlJc w:val="righ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7"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6FB30392"/>
    <w:multiLevelType w:val="hybridMultilevel"/>
    <w:tmpl w:val="DB1A317A"/>
    <w:lvl w:ilvl="0" w:tplc="90442228">
      <w:start w:val="1"/>
      <w:numFmt w:val="decimal"/>
      <w:pStyle w:val="BalloonTextChar"/>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0"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6"/>
  </w:num>
  <w:num w:numId="5">
    <w:abstractNumId w:val="1"/>
  </w:num>
  <w:num w:numId="6">
    <w:abstractNumId w:val="10"/>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B03CC"/>
    <w:rsid w:val="000F2EB4"/>
    <w:rsid w:val="0012615F"/>
    <w:rsid w:val="0026594E"/>
    <w:rsid w:val="00293B2E"/>
    <w:rsid w:val="004D2819"/>
    <w:rsid w:val="005330F7"/>
    <w:rsid w:val="00563598"/>
    <w:rsid w:val="005C31CF"/>
    <w:rsid w:val="00705C1D"/>
    <w:rsid w:val="00853DCA"/>
    <w:rsid w:val="00870459"/>
    <w:rsid w:val="00882CD0"/>
    <w:rsid w:val="00896FBB"/>
    <w:rsid w:val="008C067D"/>
    <w:rsid w:val="00A02506"/>
    <w:rsid w:val="00AB773C"/>
    <w:rsid w:val="00C771C2"/>
    <w:rsid w:val="00C87CA3"/>
    <w:rsid w:val="00D67AF1"/>
    <w:rsid w:val="00D71837"/>
    <w:rsid w:val="00EC2A58"/>
    <w:rsid w:val="00EF7FC8"/>
    <w:rsid w:val="00FE06D4"/>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C3D4"/>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9"/>
    <w:semiHidden/>
    <w:unhideWhenUsed/>
    <w:qFormat/>
    <w:rsid w:val="00FE06D4"/>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eastAsia="Times New Roman" w:cs="Times New Roman"/>
      <w:b/>
      <w:bCs/>
      <w:sz w:val="36"/>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99"/>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qFormat/>
    <w:rsid w:val="00C87CA3"/>
    <w:pPr>
      <w:numPr>
        <w:numId w:val="2"/>
      </w:numPr>
    </w:pPr>
  </w:style>
  <w:style w:type="character" w:customStyle="1" w:styleId="ListParagraphChar">
    <w:name w:val="List Paragraph Char"/>
    <w:basedOn w:val="DefaultParagraphFont"/>
    <w:link w:val="ListParagraph"/>
    <w:uiPriority w:val="99"/>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character" w:customStyle="1" w:styleId="Heading2Char">
    <w:name w:val="Heading 2 Char"/>
    <w:basedOn w:val="DefaultParagraphFont"/>
    <w:link w:val="Heading2"/>
    <w:uiPriority w:val="99"/>
    <w:semiHidden/>
    <w:rsid w:val="00FE06D4"/>
    <w:rPr>
      <w:rFonts w:eastAsia="Times New Roman" w:cs="Times New Roman"/>
      <w:b/>
      <w:bCs/>
      <w:sz w:val="36"/>
      <w:szCs w:val="24"/>
      <w:lang w:val="fr-FR"/>
    </w:rPr>
  </w:style>
  <w:style w:type="character" w:styleId="Hyperlink">
    <w:name w:val="Hyperlink"/>
    <w:uiPriority w:val="99"/>
    <w:unhideWhenUsed/>
    <w:rsid w:val="00FE06D4"/>
    <w:rPr>
      <w:rFonts w:ascii="Times New Roman" w:hAnsi="Times New Roman" w:cs="Times New Roman" w:hint="default"/>
      <w:color w:val="0000FF"/>
      <w:u w:val="single"/>
    </w:rPr>
  </w:style>
  <w:style w:type="character" w:styleId="UnresolvedMention">
    <w:name w:val="Unresolved Mention"/>
    <w:basedOn w:val="DefaultParagraphFont"/>
    <w:uiPriority w:val="99"/>
    <w:semiHidden/>
    <w:unhideWhenUsed/>
    <w:rsid w:val="00FE0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198735">
      <w:bodyDiv w:val="1"/>
      <w:marLeft w:val="0"/>
      <w:marRight w:val="0"/>
      <w:marTop w:val="0"/>
      <w:marBottom w:val="0"/>
      <w:divBdr>
        <w:top w:val="none" w:sz="0" w:space="0" w:color="auto"/>
        <w:left w:val="none" w:sz="0" w:space="0" w:color="auto"/>
        <w:bottom w:val="none" w:sz="0" w:space="0" w:color="auto"/>
        <w:right w:val="none" w:sz="0" w:space="0" w:color="auto"/>
      </w:divBdr>
    </w:div>
    <w:div w:id="359088283">
      <w:bodyDiv w:val="1"/>
      <w:marLeft w:val="0"/>
      <w:marRight w:val="0"/>
      <w:marTop w:val="0"/>
      <w:marBottom w:val="0"/>
      <w:divBdr>
        <w:top w:val="none" w:sz="0" w:space="0" w:color="auto"/>
        <w:left w:val="none" w:sz="0" w:space="0" w:color="auto"/>
        <w:bottom w:val="none" w:sz="0" w:space="0" w:color="auto"/>
        <w:right w:val="none" w:sz="0" w:space="0" w:color="auto"/>
      </w:divBdr>
    </w:div>
    <w:div w:id="841356853">
      <w:bodyDiv w:val="1"/>
      <w:marLeft w:val="0"/>
      <w:marRight w:val="0"/>
      <w:marTop w:val="0"/>
      <w:marBottom w:val="0"/>
      <w:divBdr>
        <w:top w:val="none" w:sz="0" w:space="0" w:color="auto"/>
        <w:left w:val="none" w:sz="0" w:space="0" w:color="auto"/>
        <w:bottom w:val="none" w:sz="0" w:space="0" w:color="auto"/>
        <w:right w:val="none" w:sz="0" w:space="0" w:color="auto"/>
      </w:divBdr>
    </w:div>
    <w:div w:id="144423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sites/default/files/document/cms_cop12_res.11.2%28rev.cop12%29_f.pdf" TargetMode="External"/><Relationship Id="rId13" Type="http://schemas.openxmlformats.org/officeDocument/2006/relationships/hyperlink" Target="https://www.cbd.int/doc/decisions/cop-14/cop-14-dec-35-fr.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s://www.cms.int/sites/default/files/document/cms_cop12_res.11.2%28rev.cop12%29_f.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int/sites/default/files/document/COP11_Doc_15_2_F.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bd.int/decision/cop/?id=12268"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www.cms.int/sites/default/files/document/10_05_strategic_plan_f_0_0.pdf" TargetMode="Externa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dcterms:created xsi:type="dcterms:W3CDTF">2019-12-18T10:32:00Z</dcterms:created>
  <dcterms:modified xsi:type="dcterms:W3CDTF">2019-12-18T10:32:00Z</dcterms:modified>
</cp:coreProperties>
</file>