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02557" w14:textId="77777777" w:rsidR="00682B31" w:rsidRPr="00382B0B" w:rsidRDefault="00682B31" w:rsidP="00682B31">
      <w:pPr>
        <w:tabs>
          <w:tab w:val="left" w:pos="-1057"/>
          <w:tab w:val="left" w:pos="-720"/>
        </w:tabs>
        <w:ind w:left="-90"/>
        <w:rPr>
          <w:rFonts w:cs="Arial"/>
          <w:spacing w:val="-8"/>
          <w:sz w:val="12"/>
          <w:szCs w:val="12"/>
          <w:lang w:val="es-ES_tradnl"/>
        </w:rPr>
      </w:pPr>
    </w:p>
    <w:p w14:paraId="1FD685B3" w14:textId="77777777" w:rsidR="00F6680B" w:rsidRPr="00382B0B" w:rsidRDefault="00F6680B" w:rsidP="00F6680B">
      <w:pPr>
        <w:tabs>
          <w:tab w:val="left" w:pos="-1057"/>
          <w:tab w:val="left" w:pos="-720"/>
        </w:tabs>
        <w:ind w:left="-90"/>
        <w:rPr>
          <w:rFonts w:cs="Arial"/>
          <w:sz w:val="22"/>
          <w:szCs w:val="22"/>
          <w:lang w:val="es-ES_tradnl"/>
        </w:rPr>
      </w:pPr>
      <w:r w:rsidRPr="00382B0B">
        <w:rPr>
          <w:rFonts w:cs="Arial"/>
          <w:sz w:val="22"/>
          <w:szCs w:val="22"/>
          <w:lang w:val="es-ES_tradnl"/>
        </w:rPr>
        <w:t>12</w:t>
      </w:r>
      <w:r w:rsidRPr="00382B0B">
        <w:rPr>
          <w:rFonts w:cs="Arial"/>
          <w:sz w:val="22"/>
          <w:szCs w:val="22"/>
          <w:vertAlign w:val="superscript"/>
          <w:lang w:val="es-ES_tradnl"/>
        </w:rPr>
        <w:t>a</w:t>
      </w:r>
      <w:r w:rsidRPr="00382B0B">
        <w:rPr>
          <w:rFonts w:cs="Arial"/>
          <w:sz w:val="22"/>
          <w:szCs w:val="22"/>
          <w:lang w:val="es-ES_tradnl"/>
        </w:rPr>
        <w:t xml:space="preserve"> REUNIÓN DE LA CONFERENCIA DE LAS PARTES</w:t>
      </w:r>
    </w:p>
    <w:p w14:paraId="03D3EAC4" w14:textId="77777777" w:rsidR="00F6680B" w:rsidRPr="00382B0B" w:rsidRDefault="00F6680B" w:rsidP="00F6680B">
      <w:pPr>
        <w:pStyle w:val="Heading2"/>
        <w:keepNext w:val="0"/>
        <w:spacing w:line="228" w:lineRule="auto"/>
        <w:ind w:left="-90"/>
        <w:rPr>
          <w:rFonts w:cs="Arial"/>
          <w:b w:val="0"/>
          <w:bCs w:val="0"/>
          <w:sz w:val="22"/>
          <w:szCs w:val="22"/>
          <w:lang w:val="es-ES_tradnl"/>
        </w:rPr>
      </w:pPr>
      <w:r w:rsidRPr="00382B0B">
        <w:rPr>
          <w:rFonts w:cs="Arial"/>
          <w:b w:val="0"/>
          <w:sz w:val="22"/>
          <w:szCs w:val="22"/>
          <w:lang w:val="es-ES_tradnl"/>
        </w:rPr>
        <w:t>Manila, Filipinas, 23 - 28 octubre 2017</w:t>
      </w:r>
    </w:p>
    <w:p w14:paraId="73E20BCC" w14:textId="1CB342D2" w:rsidR="00F6680B" w:rsidRPr="00382B0B" w:rsidRDefault="00F6680B" w:rsidP="00F6680B">
      <w:pPr>
        <w:spacing w:line="228" w:lineRule="auto"/>
        <w:ind w:left="-90"/>
        <w:rPr>
          <w:rFonts w:cs="Arial"/>
          <w:iCs/>
          <w:sz w:val="22"/>
          <w:szCs w:val="22"/>
          <w:lang w:val="es-ES_tradnl"/>
        </w:rPr>
      </w:pPr>
      <w:r w:rsidRPr="00382B0B">
        <w:rPr>
          <w:rFonts w:cs="Arial"/>
          <w:iCs/>
          <w:sz w:val="22"/>
          <w:szCs w:val="22"/>
          <w:lang w:val="es-ES_tradnl"/>
        </w:rPr>
        <w:t xml:space="preserve">Punto </w:t>
      </w:r>
      <w:r w:rsidR="00414C99" w:rsidRPr="00382B0B">
        <w:rPr>
          <w:rFonts w:cs="Arial"/>
          <w:iCs/>
          <w:sz w:val="22"/>
          <w:szCs w:val="22"/>
          <w:lang w:val="es-ES_tradnl"/>
        </w:rPr>
        <w:t>24.3.1.2</w:t>
      </w:r>
      <w:r w:rsidRPr="00382B0B">
        <w:rPr>
          <w:rFonts w:cs="Arial"/>
          <w:iCs/>
          <w:sz w:val="22"/>
          <w:szCs w:val="22"/>
          <w:lang w:val="es-ES_tradnl"/>
        </w:rPr>
        <w:t xml:space="preserve"> del orden del día</w:t>
      </w:r>
    </w:p>
    <w:p w14:paraId="7031F7AF" w14:textId="00CEFD42" w:rsidR="0081600F" w:rsidRPr="00382B0B" w:rsidRDefault="0081600F" w:rsidP="009E72D7">
      <w:pPr>
        <w:spacing w:line="228" w:lineRule="auto"/>
        <w:rPr>
          <w:rFonts w:cs="Arial"/>
          <w:iCs/>
          <w:sz w:val="22"/>
          <w:szCs w:val="22"/>
          <w:lang w:val="es-ES_tradnl"/>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F6680B" w:rsidRPr="00382B0B" w14:paraId="5DD1CC59" w14:textId="77777777" w:rsidTr="00143F1B">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370CFE62" w14:textId="77777777" w:rsidR="00F6680B" w:rsidRPr="00382B0B" w:rsidRDefault="00F6680B" w:rsidP="00143F1B">
            <w:pPr>
              <w:tabs>
                <w:tab w:val="left" w:pos="-1057"/>
                <w:tab w:val="left" w:pos="-720"/>
                <w:tab w:val="left" w:pos="0"/>
                <w:tab w:val="left" w:pos="141"/>
                <w:tab w:val="left" w:pos="720"/>
                <w:tab w:val="left" w:pos="1155"/>
                <w:tab w:val="right" w:pos="9072"/>
                <w:tab w:val="right" w:pos="9432"/>
              </w:tabs>
              <w:rPr>
                <w:rFonts w:cs="Arial"/>
                <w:sz w:val="22"/>
                <w:szCs w:val="22"/>
                <w:lang w:val="es-ES_tradnl"/>
              </w:rPr>
            </w:pPr>
            <w:r w:rsidRPr="00382B0B">
              <w:rPr>
                <w:rFonts w:cs="Arial"/>
                <w:b/>
                <w:sz w:val="28"/>
                <w:szCs w:val="28"/>
                <w:lang w:val="es-ES_tradnl"/>
              </w:rPr>
              <w:tab/>
            </w:r>
            <w:r w:rsidRPr="00382B0B">
              <w:rPr>
                <w:rFonts w:cs="Arial"/>
                <w:b/>
                <w:sz w:val="28"/>
                <w:szCs w:val="28"/>
                <w:lang w:val="es-ES_tradnl"/>
              </w:rPr>
              <w:tab/>
            </w:r>
            <w:r w:rsidRPr="00382B0B">
              <w:rPr>
                <w:rFonts w:cs="Arial"/>
                <w:b/>
                <w:sz w:val="28"/>
                <w:szCs w:val="28"/>
                <w:lang w:val="es-ES_tradnl"/>
              </w:rPr>
              <w:tab/>
            </w:r>
            <w:r w:rsidRPr="00382B0B">
              <w:rPr>
                <w:rFonts w:cs="Arial"/>
                <w:b/>
                <w:sz w:val="28"/>
                <w:szCs w:val="28"/>
                <w:lang w:val="es-ES_tradnl"/>
              </w:rPr>
              <w:tab/>
              <w:t>CMS</w:t>
            </w:r>
          </w:p>
          <w:p w14:paraId="0887D3B7" w14:textId="77777777" w:rsidR="00F6680B" w:rsidRPr="00382B0B" w:rsidRDefault="00F6680B" w:rsidP="00143F1B">
            <w:pPr>
              <w:tabs>
                <w:tab w:val="left" w:pos="-1057"/>
                <w:tab w:val="left" w:pos="-720"/>
                <w:tab w:val="left" w:pos="0"/>
                <w:tab w:val="left" w:pos="141"/>
                <w:tab w:val="left" w:pos="720"/>
                <w:tab w:val="right" w:pos="9072"/>
              </w:tabs>
              <w:rPr>
                <w:rFonts w:cs="Arial"/>
                <w:sz w:val="22"/>
                <w:szCs w:val="22"/>
                <w:lang w:val="es-ES_tradnl"/>
              </w:rPr>
            </w:pPr>
          </w:p>
        </w:tc>
      </w:tr>
      <w:tr w:rsidR="00F6680B" w:rsidRPr="006A0649" w14:paraId="2834D3A5" w14:textId="77777777" w:rsidTr="00143F1B">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4996D5D" w14:textId="77777777" w:rsidR="00F6680B" w:rsidRPr="00382B0B" w:rsidRDefault="00F6680B" w:rsidP="00143F1B">
            <w:pPr>
              <w:rPr>
                <w:rFonts w:cs="Arial"/>
                <w:sz w:val="22"/>
                <w:szCs w:val="22"/>
                <w:lang w:val="es-ES_tradnl"/>
              </w:rPr>
            </w:pPr>
            <w:r w:rsidRPr="00382B0B">
              <w:rPr>
                <w:rFonts w:cs="Arial"/>
                <w:noProof/>
                <w:sz w:val="22"/>
                <w:szCs w:val="22"/>
              </w:rPr>
              <w:drawing>
                <wp:inline distT="0" distB="0" distL="0" distR="0" wp14:anchorId="0DA83AB5" wp14:editId="09E0FC76">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1D056C5E" w14:textId="77777777" w:rsidR="00F6680B" w:rsidRPr="00382B0B" w:rsidRDefault="00F6680B" w:rsidP="00143F1B">
            <w:pPr>
              <w:rPr>
                <w:rFonts w:cs="Arial"/>
                <w:sz w:val="22"/>
                <w:szCs w:val="22"/>
                <w:lang w:val="es-ES_tradnl"/>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41B14FB" w14:textId="77777777" w:rsidR="00F6680B" w:rsidRPr="00382B0B" w:rsidRDefault="00F6680B" w:rsidP="00143F1B">
            <w:pPr>
              <w:pStyle w:val="Heading2"/>
              <w:pBdr>
                <w:top w:val="none" w:sz="0" w:space="0" w:color="auto"/>
                <w:left w:val="none" w:sz="0" w:space="0" w:color="auto"/>
                <w:bottom w:val="none" w:sz="0" w:space="0" w:color="auto"/>
                <w:right w:val="none" w:sz="0" w:space="0" w:color="auto"/>
              </w:pBdr>
              <w:ind w:left="-108"/>
              <w:rPr>
                <w:rFonts w:cs="Arial"/>
                <w:b w:val="0"/>
                <w:bCs w:val="0"/>
                <w:sz w:val="12"/>
                <w:szCs w:val="12"/>
                <w:lang w:val="es-ES_tradnl"/>
              </w:rPr>
            </w:pPr>
          </w:p>
          <w:p w14:paraId="4E00E249" w14:textId="77777777" w:rsidR="00F6680B" w:rsidRPr="00382B0B" w:rsidRDefault="00F6680B" w:rsidP="00143F1B">
            <w:pPr>
              <w:pStyle w:val="Heading2"/>
              <w:pBdr>
                <w:top w:val="none" w:sz="0" w:space="0" w:color="auto"/>
                <w:left w:val="none" w:sz="0" w:space="0" w:color="auto"/>
                <w:bottom w:val="none" w:sz="0" w:space="0" w:color="auto"/>
                <w:right w:val="none" w:sz="0" w:space="0" w:color="auto"/>
              </w:pBdr>
              <w:ind w:left="-108"/>
              <w:rPr>
                <w:rFonts w:cs="Arial"/>
                <w:bCs w:val="0"/>
                <w:sz w:val="28"/>
                <w:szCs w:val="28"/>
                <w:lang w:val="es-ES_tradnl"/>
              </w:rPr>
            </w:pPr>
            <w:r w:rsidRPr="00382B0B">
              <w:rPr>
                <w:rFonts w:cs="Arial"/>
                <w:bCs w:val="0"/>
                <w:sz w:val="28"/>
                <w:szCs w:val="28"/>
                <w:lang w:val="es-ES_tradnl"/>
              </w:rPr>
              <w:t>CONVENCIÓN SOBRE</w:t>
            </w:r>
          </w:p>
          <w:p w14:paraId="12F5E32A" w14:textId="77777777" w:rsidR="00F6680B" w:rsidRPr="00382B0B" w:rsidRDefault="00F6680B" w:rsidP="00143F1B">
            <w:pPr>
              <w:pStyle w:val="Heading2"/>
              <w:pBdr>
                <w:top w:val="none" w:sz="0" w:space="0" w:color="auto"/>
                <w:left w:val="none" w:sz="0" w:space="0" w:color="auto"/>
                <w:bottom w:val="none" w:sz="0" w:space="0" w:color="auto"/>
                <w:right w:val="none" w:sz="0" w:space="0" w:color="auto"/>
              </w:pBdr>
              <w:ind w:left="-108"/>
              <w:rPr>
                <w:rFonts w:cs="Arial"/>
                <w:bCs w:val="0"/>
                <w:sz w:val="28"/>
                <w:szCs w:val="28"/>
                <w:lang w:val="es-ES_tradnl"/>
              </w:rPr>
            </w:pPr>
            <w:r w:rsidRPr="00382B0B">
              <w:rPr>
                <w:rFonts w:cs="Arial"/>
                <w:bCs w:val="0"/>
                <w:sz w:val="28"/>
                <w:szCs w:val="28"/>
                <w:lang w:val="es-ES_tradnl"/>
              </w:rPr>
              <w:t>LAS ESPECIES</w:t>
            </w:r>
          </w:p>
          <w:p w14:paraId="7E187129" w14:textId="77777777" w:rsidR="00F6680B" w:rsidRPr="00382B0B" w:rsidRDefault="00F6680B" w:rsidP="00143F1B">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s-ES_tradnl"/>
              </w:rPr>
            </w:pPr>
            <w:r w:rsidRPr="00382B0B">
              <w:rPr>
                <w:rFonts w:cs="Arial"/>
                <w:bCs w:val="0"/>
                <w:sz w:val="28"/>
                <w:szCs w:val="28"/>
                <w:lang w:val="es-ES_tradnl"/>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ABA26DC" w14:textId="77777777" w:rsidR="00F6680B" w:rsidRPr="00382B0B" w:rsidRDefault="00F6680B" w:rsidP="00F0349C">
            <w:pPr>
              <w:tabs>
                <w:tab w:val="left" w:pos="5040"/>
                <w:tab w:val="left" w:pos="5760"/>
                <w:tab w:val="left" w:pos="6008"/>
                <w:tab w:val="left" w:pos="6480"/>
                <w:tab w:val="left" w:pos="7200"/>
                <w:tab w:val="left" w:pos="7920"/>
                <w:tab w:val="left" w:pos="8640"/>
              </w:tabs>
              <w:ind w:hanging="120"/>
              <w:rPr>
                <w:rFonts w:cs="Arial"/>
                <w:sz w:val="12"/>
                <w:szCs w:val="12"/>
                <w:lang w:val="es-ES_tradnl"/>
              </w:rPr>
            </w:pPr>
          </w:p>
          <w:p w14:paraId="22718E3B" w14:textId="77777777" w:rsidR="00F6680B" w:rsidRPr="00382B0B" w:rsidRDefault="00F6680B" w:rsidP="00F0349C">
            <w:pPr>
              <w:tabs>
                <w:tab w:val="left" w:pos="5040"/>
                <w:tab w:val="left" w:pos="5760"/>
                <w:tab w:val="left" w:pos="6008"/>
                <w:tab w:val="left" w:pos="6480"/>
                <w:tab w:val="left" w:pos="7200"/>
                <w:tab w:val="left" w:pos="7920"/>
                <w:tab w:val="left" w:pos="8640"/>
              </w:tabs>
              <w:ind w:hanging="120"/>
              <w:rPr>
                <w:rFonts w:cs="Arial"/>
                <w:sz w:val="22"/>
                <w:szCs w:val="22"/>
                <w:lang w:val="es-ES_tradnl"/>
              </w:rPr>
            </w:pPr>
            <w:r w:rsidRPr="00382B0B">
              <w:rPr>
                <w:rFonts w:cs="Arial"/>
                <w:sz w:val="22"/>
                <w:szCs w:val="22"/>
                <w:lang w:val="es-ES_tradnl"/>
              </w:rPr>
              <w:t>Distribución: General</w:t>
            </w:r>
          </w:p>
          <w:p w14:paraId="796A2BC5" w14:textId="77777777" w:rsidR="00F6680B" w:rsidRPr="00382B0B" w:rsidRDefault="00F6680B" w:rsidP="00F0349C">
            <w:pPr>
              <w:tabs>
                <w:tab w:val="left" w:pos="5040"/>
                <w:tab w:val="left" w:pos="5760"/>
                <w:tab w:val="left" w:pos="6008"/>
                <w:tab w:val="left" w:pos="6480"/>
                <w:tab w:val="left" w:pos="7200"/>
                <w:tab w:val="left" w:pos="7920"/>
                <w:tab w:val="left" w:pos="8640"/>
              </w:tabs>
              <w:ind w:hanging="120"/>
              <w:rPr>
                <w:rFonts w:cs="Arial"/>
                <w:sz w:val="12"/>
                <w:szCs w:val="12"/>
                <w:lang w:val="es-ES_tradnl"/>
              </w:rPr>
            </w:pPr>
          </w:p>
          <w:p w14:paraId="791E2990" w14:textId="233CB360" w:rsidR="00F6680B" w:rsidRPr="006A0649" w:rsidRDefault="00F6680B" w:rsidP="00F0349C">
            <w:pPr>
              <w:tabs>
                <w:tab w:val="left" w:pos="5040"/>
                <w:tab w:val="left" w:pos="5760"/>
                <w:tab w:val="left" w:pos="6008"/>
                <w:tab w:val="left" w:pos="6480"/>
                <w:tab w:val="left" w:pos="7200"/>
                <w:tab w:val="left" w:pos="7920"/>
                <w:tab w:val="left" w:pos="8640"/>
              </w:tabs>
              <w:ind w:hanging="120"/>
              <w:rPr>
                <w:rFonts w:cs="Arial"/>
                <w:sz w:val="22"/>
                <w:szCs w:val="22"/>
                <w:lang w:val="es-ES"/>
              </w:rPr>
            </w:pPr>
            <w:r w:rsidRPr="006A0649">
              <w:rPr>
                <w:rFonts w:cs="Arial"/>
                <w:sz w:val="22"/>
                <w:szCs w:val="22"/>
                <w:lang w:val="es-ES"/>
              </w:rPr>
              <w:t>UNEP/CMS/COP12/Doc.24.3.1.2</w:t>
            </w:r>
            <w:r w:rsidR="00F0349C" w:rsidRPr="006A0649">
              <w:rPr>
                <w:rFonts w:cs="Arial"/>
                <w:sz w:val="22"/>
                <w:szCs w:val="22"/>
                <w:lang w:val="es-ES"/>
              </w:rPr>
              <w:t>/Rev.1</w:t>
            </w:r>
          </w:p>
          <w:p w14:paraId="152D630A" w14:textId="72881C7E" w:rsidR="00F6680B" w:rsidRPr="00382B0B" w:rsidRDefault="00F0349C" w:rsidP="00F0349C">
            <w:pPr>
              <w:tabs>
                <w:tab w:val="left" w:pos="5040"/>
                <w:tab w:val="left" w:pos="5760"/>
                <w:tab w:val="left" w:pos="6008"/>
                <w:tab w:val="left" w:pos="6480"/>
                <w:tab w:val="left" w:pos="7200"/>
                <w:tab w:val="left" w:pos="7920"/>
                <w:tab w:val="left" w:pos="8640"/>
              </w:tabs>
              <w:ind w:hanging="120"/>
              <w:rPr>
                <w:rFonts w:cs="Arial"/>
                <w:sz w:val="22"/>
                <w:szCs w:val="22"/>
                <w:lang w:val="es-ES_tradnl"/>
              </w:rPr>
            </w:pPr>
            <w:r>
              <w:rPr>
                <w:rFonts w:cs="Arial"/>
                <w:sz w:val="22"/>
                <w:szCs w:val="22"/>
                <w:lang w:val="es-ES_tradnl"/>
              </w:rPr>
              <w:t>1 de agosto</w:t>
            </w:r>
            <w:r w:rsidR="00F6680B" w:rsidRPr="00382B0B">
              <w:rPr>
                <w:rFonts w:cs="Arial"/>
                <w:sz w:val="22"/>
                <w:szCs w:val="22"/>
                <w:lang w:val="es-ES_tradnl"/>
              </w:rPr>
              <w:t xml:space="preserve"> de 2017</w:t>
            </w:r>
          </w:p>
          <w:p w14:paraId="093D3580" w14:textId="77777777" w:rsidR="00F6680B" w:rsidRPr="00382B0B" w:rsidRDefault="00F6680B" w:rsidP="00F0349C">
            <w:pPr>
              <w:tabs>
                <w:tab w:val="left" w:pos="5040"/>
                <w:tab w:val="left" w:pos="5760"/>
                <w:tab w:val="left" w:pos="6008"/>
                <w:tab w:val="left" w:pos="6480"/>
                <w:tab w:val="left" w:pos="7200"/>
                <w:tab w:val="left" w:pos="7920"/>
                <w:tab w:val="left" w:pos="8640"/>
              </w:tabs>
              <w:ind w:hanging="120"/>
              <w:rPr>
                <w:rFonts w:cs="Arial"/>
                <w:sz w:val="12"/>
                <w:szCs w:val="12"/>
                <w:lang w:val="es-ES_tradnl"/>
              </w:rPr>
            </w:pPr>
          </w:p>
          <w:p w14:paraId="0C3A3231" w14:textId="77777777" w:rsidR="00F6680B" w:rsidRPr="00382B0B" w:rsidRDefault="00F6680B" w:rsidP="00F0349C">
            <w:pPr>
              <w:autoSpaceDE/>
              <w:autoSpaceDN/>
              <w:adjustRightInd/>
              <w:ind w:hanging="120"/>
              <w:rPr>
                <w:rFonts w:cs="Arial"/>
                <w:sz w:val="22"/>
                <w:szCs w:val="22"/>
                <w:lang w:val="es-ES_tradnl"/>
              </w:rPr>
            </w:pPr>
            <w:r w:rsidRPr="00382B0B">
              <w:rPr>
                <w:rFonts w:cs="Arial"/>
                <w:sz w:val="22"/>
                <w:szCs w:val="22"/>
                <w:lang w:val="es-ES_tradnl"/>
              </w:rPr>
              <w:t>Español</w:t>
            </w:r>
          </w:p>
          <w:p w14:paraId="2FA4283E" w14:textId="77777777" w:rsidR="00F6680B" w:rsidRPr="00382B0B" w:rsidRDefault="00F6680B" w:rsidP="00F0349C">
            <w:pPr>
              <w:ind w:hanging="120"/>
              <w:rPr>
                <w:rFonts w:cs="Arial"/>
                <w:sz w:val="22"/>
                <w:szCs w:val="22"/>
                <w:lang w:val="es-ES_tradnl"/>
              </w:rPr>
            </w:pPr>
            <w:r w:rsidRPr="00382B0B">
              <w:rPr>
                <w:rFonts w:cs="Arial"/>
                <w:sz w:val="22"/>
                <w:szCs w:val="22"/>
                <w:lang w:val="es-ES_tradnl"/>
              </w:rPr>
              <w:t>Original: Inglés</w:t>
            </w:r>
          </w:p>
          <w:p w14:paraId="47A88CF8" w14:textId="77777777" w:rsidR="00F6680B" w:rsidRPr="00382B0B" w:rsidRDefault="00F6680B" w:rsidP="00143F1B">
            <w:pPr>
              <w:rPr>
                <w:rFonts w:cs="Arial"/>
                <w:sz w:val="12"/>
                <w:szCs w:val="12"/>
                <w:lang w:val="es-ES_tradnl"/>
              </w:rPr>
            </w:pPr>
          </w:p>
        </w:tc>
      </w:tr>
    </w:tbl>
    <w:p w14:paraId="67E8E620" w14:textId="6FDA5893" w:rsidR="00E8776E" w:rsidRPr="00382B0B" w:rsidRDefault="00E8776E" w:rsidP="00E8776E">
      <w:pPr>
        <w:tabs>
          <w:tab w:val="left" w:pos="7020"/>
        </w:tabs>
        <w:rPr>
          <w:rFonts w:cs="Arial"/>
          <w:sz w:val="22"/>
          <w:szCs w:val="22"/>
          <w:lang w:val="es-ES_tradnl"/>
        </w:rPr>
      </w:pPr>
    </w:p>
    <w:p w14:paraId="351CBAF3" w14:textId="77777777" w:rsidR="0052082F" w:rsidRPr="00382B0B" w:rsidRDefault="0052082F" w:rsidP="00354A9C">
      <w:pPr>
        <w:rPr>
          <w:rFonts w:cs="Arial"/>
          <w:sz w:val="22"/>
          <w:szCs w:val="22"/>
          <w:lang w:val="es-ES_tradnl"/>
        </w:rPr>
      </w:pPr>
    </w:p>
    <w:p w14:paraId="4260E104" w14:textId="77777777" w:rsidR="00FB1856" w:rsidRPr="00382B0B" w:rsidRDefault="00FB1856" w:rsidP="00FB1856">
      <w:pPr>
        <w:widowControl/>
        <w:autoSpaceDE/>
        <w:autoSpaceDN/>
        <w:adjustRightInd/>
        <w:jc w:val="center"/>
        <w:rPr>
          <w:rFonts w:eastAsia="MS Mincho" w:cs="Arial"/>
          <w:b/>
          <w:bCs/>
          <w:sz w:val="22"/>
          <w:szCs w:val="22"/>
          <w:lang w:val="es-ES_tradnl"/>
        </w:rPr>
      </w:pPr>
      <w:r w:rsidRPr="00382B0B">
        <w:rPr>
          <w:rFonts w:eastAsia="MS Mincho" w:cs="Arial"/>
          <w:b/>
          <w:bCs/>
          <w:sz w:val="22"/>
          <w:szCs w:val="22"/>
          <w:lang w:val="es-ES_tradnl"/>
        </w:rPr>
        <w:t>CONSERVACIÓN Y GESTIÓN DEL GUEPARDO (</w:t>
      </w:r>
      <w:r w:rsidRPr="00382B0B">
        <w:rPr>
          <w:rFonts w:eastAsia="MS Mincho" w:cs="Arial"/>
          <w:b/>
          <w:bCs/>
          <w:i/>
          <w:sz w:val="22"/>
          <w:szCs w:val="22"/>
          <w:lang w:val="es-ES_tradnl"/>
        </w:rPr>
        <w:t>Acinonyx jubatus</w:t>
      </w:r>
      <w:r w:rsidRPr="00382B0B">
        <w:rPr>
          <w:rFonts w:eastAsia="MS Mincho" w:cs="Arial"/>
          <w:b/>
          <w:bCs/>
          <w:sz w:val="22"/>
          <w:szCs w:val="22"/>
          <w:lang w:val="es-ES_tradnl"/>
        </w:rPr>
        <w:t xml:space="preserve">) </w:t>
      </w:r>
    </w:p>
    <w:p w14:paraId="19A5419A" w14:textId="77777777" w:rsidR="00FB1856" w:rsidRPr="00382B0B" w:rsidRDefault="00FB1856" w:rsidP="00FB1856">
      <w:pPr>
        <w:widowControl/>
        <w:autoSpaceDE/>
        <w:autoSpaceDN/>
        <w:adjustRightInd/>
        <w:jc w:val="center"/>
        <w:rPr>
          <w:rFonts w:eastAsia="MS Mincho" w:cs="Arial"/>
          <w:b/>
          <w:bCs/>
          <w:sz w:val="22"/>
          <w:szCs w:val="22"/>
          <w:lang w:val="es-ES_tradnl"/>
        </w:rPr>
      </w:pPr>
      <w:r w:rsidRPr="00382B0B">
        <w:rPr>
          <w:rFonts w:eastAsia="MS Mincho" w:cs="Arial"/>
          <w:b/>
          <w:bCs/>
          <w:sz w:val="22"/>
          <w:szCs w:val="22"/>
          <w:lang w:val="es-ES_tradnl"/>
        </w:rPr>
        <w:t xml:space="preserve">Y DEL LICAÓN </w:t>
      </w:r>
      <w:r w:rsidRPr="00382B0B">
        <w:rPr>
          <w:rFonts w:eastAsia="MS Mincho" w:cs="Arial"/>
          <w:b/>
          <w:bCs/>
          <w:i/>
          <w:sz w:val="22"/>
          <w:szCs w:val="22"/>
          <w:lang w:val="es-ES_tradnl"/>
        </w:rPr>
        <w:t>(</w:t>
      </w:r>
      <w:r w:rsidRPr="00382B0B">
        <w:rPr>
          <w:rFonts w:eastAsia="MS Mincho" w:cs="Arial"/>
          <w:b/>
          <w:bCs/>
          <w:i/>
          <w:iCs/>
          <w:sz w:val="22"/>
          <w:szCs w:val="22"/>
          <w:lang w:val="es-ES_tradnl"/>
        </w:rPr>
        <w:t>Lycaon pictus</w:t>
      </w:r>
      <w:r w:rsidRPr="00382B0B">
        <w:rPr>
          <w:rFonts w:eastAsia="MS Mincho" w:cs="Arial"/>
          <w:b/>
          <w:bCs/>
          <w:i/>
          <w:sz w:val="22"/>
          <w:szCs w:val="22"/>
          <w:lang w:val="es-ES_tradnl"/>
        </w:rPr>
        <w:t>)</w:t>
      </w:r>
    </w:p>
    <w:p w14:paraId="46DDB476" w14:textId="77777777" w:rsidR="00FB1856" w:rsidRPr="00382B0B" w:rsidRDefault="00FB1856" w:rsidP="00346DAB">
      <w:pPr>
        <w:pStyle w:val="Heading2"/>
        <w:keepNext w:val="0"/>
        <w:ind w:left="-90" w:right="-367"/>
        <w:jc w:val="center"/>
        <w:rPr>
          <w:rFonts w:cs="Arial"/>
          <w:sz w:val="22"/>
          <w:szCs w:val="22"/>
          <w:lang w:val="es-ES_tradnl"/>
        </w:rPr>
      </w:pPr>
    </w:p>
    <w:p w14:paraId="7900A4D0" w14:textId="77777777" w:rsidR="00593736" w:rsidRPr="00382B0B" w:rsidRDefault="00593736" w:rsidP="00593736">
      <w:pPr>
        <w:rPr>
          <w:sz w:val="8"/>
          <w:szCs w:val="8"/>
          <w:lang w:val="es-ES_tradnl"/>
        </w:rPr>
      </w:pPr>
    </w:p>
    <w:p w14:paraId="5C18F762" w14:textId="3B292B11" w:rsidR="00870FB9" w:rsidRPr="00382B0B" w:rsidRDefault="00870FB9" w:rsidP="00870FB9">
      <w:pPr>
        <w:rPr>
          <w:sz w:val="8"/>
          <w:szCs w:val="8"/>
          <w:lang w:val="es-ES_tradnl"/>
        </w:rPr>
      </w:pPr>
    </w:p>
    <w:p w14:paraId="44D75B98" w14:textId="42D8C3BD" w:rsidR="00870FB9" w:rsidRPr="00382B0B" w:rsidRDefault="00FB1856" w:rsidP="00870FB9">
      <w:pPr>
        <w:jc w:val="center"/>
        <w:rPr>
          <w:rFonts w:cs="Arial"/>
          <w:i/>
          <w:sz w:val="22"/>
          <w:szCs w:val="22"/>
          <w:lang w:val="es-ES_tradnl"/>
        </w:rPr>
      </w:pPr>
      <w:r w:rsidRPr="00382B0B">
        <w:rPr>
          <w:rFonts w:cs="Arial"/>
          <w:i/>
          <w:sz w:val="22"/>
          <w:szCs w:val="22"/>
          <w:lang w:val="es-ES_tradnl"/>
        </w:rPr>
        <w:t>(Presentado por</w:t>
      </w:r>
      <w:r w:rsidR="00C201CE" w:rsidRPr="00382B0B">
        <w:rPr>
          <w:rFonts w:cs="Arial"/>
          <w:i/>
          <w:sz w:val="22"/>
          <w:szCs w:val="22"/>
          <w:lang w:val="es-ES_tradnl"/>
        </w:rPr>
        <w:t xml:space="preserve"> </w:t>
      </w:r>
      <w:r w:rsidRPr="00382B0B">
        <w:rPr>
          <w:rFonts w:cs="Arial"/>
          <w:i/>
          <w:sz w:val="22"/>
          <w:szCs w:val="22"/>
          <w:lang w:val="es-ES_tradnl"/>
        </w:rPr>
        <w:t>los Gobiernos de Argelia, Benín, Burkina Faso y Ní</w:t>
      </w:r>
      <w:r w:rsidR="00D66CEE" w:rsidRPr="00382B0B">
        <w:rPr>
          <w:rFonts w:cs="Arial"/>
          <w:i/>
          <w:sz w:val="22"/>
          <w:szCs w:val="22"/>
          <w:lang w:val="es-ES_tradnl"/>
        </w:rPr>
        <w:t>ger</w:t>
      </w:r>
      <w:r w:rsidR="00C201CE" w:rsidRPr="00382B0B">
        <w:rPr>
          <w:rFonts w:cs="Arial"/>
          <w:i/>
          <w:sz w:val="22"/>
          <w:szCs w:val="22"/>
          <w:lang w:val="es-ES_tradnl"/>
        </w:rPr>
        <w:t>)</w:t>
      </w:r>
    </w:p>
    <w:p w14:paraId="14E1ACC4" w14:textId="77777777" w:rsidR="00870FB9" w:rsidRPr="00382B0B" w:rsidRDefault="00870FB9" w:rsidP="00B64904">
      <w:pPr>
        <w:jc w:val="center"/>
        <w:rPr>
          <w:rFonts w:cs="Arial"/>
          <w:i/>
          <w:sz w:val="22"/>
          <w:szCs w:val="22"/>
          <w:lang w:val="es-ES_tradnl"/>
        </w:rPr>
      </w:pPr>
    </w:p>
    <w:p w14:paraId="30AD86D0" w14:textId="77777777" w:rsidR="001764E6" w:rsidRPr="00382B0B" w:rsidRDefault="001764E6" w:rsidP="001764E6">
      <w:pPr>
        <w:jc w:val="both"/>
        <w:rPr>
          <w:rFonts w:cs="Arial"/>
          <w:sz w:val="21"/>
          <w:szCs w:val="21"/>
          <w:lang w:val="es-ES_tradnl"/>
        </w:rPr>
      </w:pPr>
    </w:p>
    <w:p w14:paraId="0C19A877" w14:textId="77777777" w:rsidR="001764E6" w:rsidRPr="00382B0B" w:rsidRDefault="001764E6" w:rsidP="00D605A4">
      <w:pPr>
        <w:tabs>
          <w:tab w:val="left" w:pos="8295"/>
        </w:tabs>
        <w:jc w:val="both"/>
        <w:rPr>
          <w:rFonts w:cs="Arial"/>
          <w:sz w:val="21"/>
          <w:szCs w:val="21"/>
          <w:lang w:val="es-ES_tradnl"/>
        </w:rPr>
      </w:pPr>
    </w:p>
    <w:p w14:paraId="4F609AF9" w14:textId="77777777" w:rsidR="00D605A4" w:rsidRPr="00382B0B" w:rsidRDefault="00745222" w:rsidP="00D605A4">
      <w:pPr>
        <w:rPr>
          <w:rFonts w:cs="Arial"/>
          <w:sz w:val="21"/>
          <w:szCs w:val="21"/>
          <w:lang w:val="es-ES_tradnl"/>
        </w:rPr>
      </w:pPr>
      <w:r w:rsidRPr="00382B0B">
        <w:rPr>
          <w:rFonts w:cs="Arial"/>
          <w:noProof/>
          <w:sz w:val="21"/>
          <w:szCs w:val="21"/>
        </w:rPr>
        <mc:AlternateContent>
          <mc:Choice Requires="wps">
            <w:drawing>
              <wp:anchor distT="0" distB="0" distL="114300" distR="114300" simplePos="0" relativeHeight="251657728" behindDoc="0" locked="0" layoutInCell="1" allowOverlap="1" wp14:anchorId="7A825230" wp14:editId="78D7888A">
                <wp:simplePos x="0" y="0"/>
                <wp:positionH relativeFrom="column">
                  <wp:posOffset>561340</wp:posOffset>
                </wp:positionH>
                <wp:positionV relativeFrom="paragraph">
                  <wp:posOffset>115570</wp:posOffset>
                </wp:positionV>
                <wp:extent cx="4676775" cy="3686175"/>
                <wp:effectExtent l="0" t="0" r="2857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686175"/>
                        </a:xfrm>
                        <a:prstGeom prst="rect">
                          <a:avLst/>
                        </a:prstGeom>
                        <a:solidFill>
                          <a:srgbClr val="FFFFFF"/>
                        </a:solidFill>
                        <a:ln w="3175">
                          <a:solidFill>
                            <a:srgbClr val="000000"/>
                          </a:solidFill>
                          <a:miter lim="800000"/>
                          <a:headEnd/>
                          <a:tailEnd/>
                        </a:ln>
                      </wps:spPr>
                      <wps:txbx>
                        <w:txbxContent>
                          <w:p w14:paraId="22DE6AB6" w14:textId="5909BAFC" w:rsidR="0032098F" w:rsidRPr="00FB1856" w:rsidRDefault="0032098F" w:rsidP="002E1F94">
                            <w:pPr>
                              <w:jc w:val="both"/>
                              <w:rPr>
                                <w:rFonts w:cs="Arial"/>
                                <w:sz w:val="22"/>
                                <w:szCs w:val="22"/>
                                <w:lang w:val="es-ES_tradnl"/>
                              </w:rPr>
                            </w:pPr>
                            <w:r w:rsidRPr="00FB1856">
                              <w:rPr>
                                <w:rFonts w:cs="Arial"/>
                                <w:sz w:val="22"/>
                                <w:szCs w:val="22"/>
                                <w:lang w:val="es-ES_tradnl"/>
                              </w:rPr>
                              <w:t>Resumen:</w:t>
                            </w:r>
                          </w:p>
                          <w:p w14:paraId="49B07BE4" w14:textId="77777777" w:rsidR="0032098F" w:rsidRPr="00FB1856" w:rsidRDefault="0032098F" w:rsidP="002E1F94">
                            <w:pPr>
                              <w:jc w:val="both"/>
                              <w:rPr>
                                <w:rFonts w:cs="Arial"/>
                                <w:i/>
                                <w:sz w:val="22"/>
                                <w:szCs w:val="22"/>
                                <w:highlight w:val="yellow"/>
                                <w:lang w:val="es-ES_tradnl"/>
                              </w:rPr>
                            </w:pPr>
                          </w:p>
                          <w:p w14:paraId="391246D7" w14:textId="5CAA9272" w:rsidR="0032098F" w:rsidRPr="008F58B6" w:rsidRDefault="0032098F" w:rsidP="002E1F94">
                            <w:pPr>
                              <w:jc w:val="both"/>
                              <w:rPr>
                                <w:rFonts w:cs="Arial"/>
                                <w:sz w:val="22"/>
                                <w:szCs w:val="22"/>
                                <w:lang w:val="es-ES_tradnl"/>
                              </w:rPr>
                            </w:pPr>
                            <w:r w:rsidRPr="008F58B6">
                              <w:rPr>
                                <w:rFonts w:cs="Arial"/>
                                <w:sz w:val="22"/>
                                <w:szCs w:val="22"/>
                                <w:lang w:val="es-ES_tradnl"/>
                              </w:rPr>
                              <w:t>Los Gobiernos de Argelia, Benín, Burkina Faso y Níger han presentado la decisión adjunta</w:t>
                            </w:r>
                            <w:r w:rsidRPr="00596A69">
                              <w:rPr>
                                <w:rFonts w:cs="Arial"/>
                                <w:sz w:val="22"/>
                                <w:szCs w:val="22"/>
                                <w:lang w:val="es-ES_tradnl"/>
                              </w:rPr>
                              <w:t>*</w:t>
                            </w:r>
                            <w:r w:rsidRPr="008F58B6">
                              <w:rPr>
                                <w:rFonts w:cs="Arial"/>
                                <w:sz w:val="22"/>
                                <w:szCs w:val="22"/>
                                <w:lang w:val="es-ES_tradnl"/>
                              </w:rPr>
                              <w:t xml:space="preserve"> sobre la conservación y gestión del guepardo (</w:t>
                            </w:r>
                            <w:r w:rsidRPr="008F58B6">
                              <w:rPr>
                                <w:rFonts w:cs="Arial"/>
                                <w:i/>
                                <w:sz w:val="22"/>
                                <w:szCs w:val="22"/>
                                <w:lang w:val="es-ES_tradnl"/>
                              </w:rPr>
                              <w:t>Acinonyx jubatus</w:t>
                            </w:r>
                            <w:r w:rsidRPr="008F58B6">
                              <w:rPr>
                                <w:rFonts w:cs="Arial"/>
                                <w:sz w:val="22"/>
                                <w:szCs w:val="22"/>
                                <w:lang w:val="es-ES_tradnl"/>
                              </w:rPr>
                              <w:t xml:space="preserve">) y el licaón </w:t>
                            </w:r>
                            <w:r w:rsidRPr="008F58B6">
                              <w:rPr>
                                <w:rFonts w:cs="Arial"/>
                                <w:i/>
                                <w:sz w:val="22"/>
                                <w:szCs w:val="22"/>
                                <w:lang w:val="es-ES_tradnl"/>
                              </w:rPr>
                              <w:t>(</w:t>
                            </w:r>
                            <w:r w:rsidRPr="008F58B6">
                              <w:rPr>
                                <w:rFonts w:cs="Arial"/>
                                <w:i/>
                                <w:iCs/>
                                <w:sz w:val="22"/>
                                <w:szCs w:val="22"/>
                                <w:lang w:val="es-ES_tradnl"/>
                              </w:rPr>
                              <w:t>Lycaon pictus)</w:t>
                            </w:r>
                            <w:r w:rsidRPr="008F58B6">
                              <w:rPr>
                                <w:rFonts w:cs="Arial"/>
                                <w:sz w:val="22"/>
                                <w:szCs w:val="22"/>
                                <w:lang w:val="es-ES_tradnl"/>
                              </w:rPr>
                              <w:t>.</w:t>
                            </w:r>
                          </w:p>
                          <w:p w14:paraId="05C74FB9" w14:textId="4A4A2C92" w:rsidR="0032098F" w:rsidRPr="00FB1856" w:rsidRDefault="0032098F" w:rsidP="002E1F94">
                            <w:pPr>
                              <w:jc w:val="both"/>
                              <w:rPr>
                                <w:rFonts w:cs="Arial"/>
                                <w:sz w:val="22"/>
                                <w:szCs w:val="22"/>
                                <w:highlight w:val="yellow"/>
                                <w:lang w:val="es-ES_tradnl"/>
                              </w:rPr>
                            </w:pPr>
                          </w:p>
                          <w:p w14:paraId="16C1126F" w14:textId="1E65F348" w:rsidR="0032098F" w:rsidRPr="00596A69" w:rsidRDefault="0032098F" w:rsidP="002E1F94">
                            <w:pPr>
                              <w:jc w:val="both"/>
                              <w:rPr>
                                <w:rFonts w:cs="Arial"/>
                                <w:sz w:val="22"/>
                                <w:szCs w:val="22"/>
                                <w:lang w:val="es-ES_tradnl"/>
                              </w:rPr>
                            </w:pPr>
                            <w:r w:rsidRPr="00D0350C">
                              <w:rPr>
                                <w:rFonts w:cs="Arial"/>
                                <w:sz w:val="22"/>
                                <w:szCs w:val="22"/>
                                <w:lang w:val="es-ES_tradnl"/>
                              </w:rPr>
                              <w:t xml:space="preserve">Ambas especies </w:t>
                            </w:r>
                            <w:r>
                              <w:rPr>
                                <w:rFonts w:cs="Arial"/>
                                <w:sz w:val="22"/>
                                <w:szCs w:val="22"/>
                                <w:lang w:val="es-ES_tradnl"/>
                              </w:rPr>
                              <w:t>fueron</w:t>
                            </w:r>
                            <w:r w:rsidRPr="00D0350C">
                              <w:rPr>
                                <w:rFonts w:cs="Arial"/>
                                <w:sz w:val="22"/>
                                <w:szCs w:val="22"/>
                                <w:lang w:val="es-ES_tradnl"/>
                              </w:rPr>
                              <w:t xml:space="preserve"> aceptadas por la Conferencia de las Partes en su 11ª Reunión (Quito, 2014) para Acciones Concertadas y figuran </w:t>
                            </w:r>
                            <w:r>
                              <w:rPr>
                                <w:rFonts w:cs="Arial"/>
                                <w:sz w:val="22"/>
                                <w:szCs w:val="22"/>
                                <w:lang w:val="es-ES_tradnl"/>
                              </w:rPr>
                              <w:t xml:space="preserve">por lo tanto </w:t>
                            </w:r>
                            <w:r w:rsidRPr="00D0350C">
                              <w:rPr>
                                <w:rFonts w:cs="Arial"/>
                                <w:sz w:val="22"/>
                                <w:szCs w:val="22"/>
                                <w:lang w:val="es-ES_tradnl"/>
                              </w:rPr>
                              <w:t>en el Anexo 1 del documento UNEP/CMS/COP12/Doc.26.2. Este conjunto de decisiones puede considerarse complementario a la nominación para Acciones Concertadas.</w:t>
                            </w:r>
                          </w:p>
                          <w:p w14:paraId="0A91A778" w14:textId="2FA9F13F" w:rsidR="0032098F" w:rsidRPr="00FB1856" w:rsidRDefault="0032098F" w:rsidP="002E1F94">
                            <w:pPr>
                              <w:jc w:val="both"/>
                              <w:rPr>
                                <w:rFonts w:cs="Arial"/>
                                <w:sz w:val="22"/>
                                <w:szCs w:val="22"/>
                                <w:highlight w:val="yellow"/>
                                <w:lang w:val="es-ES_tradnl"/>
                              </w:rPr>
                            </w:pPr>
                          </w:p>
                          <w:p w14:paraId="7C2FF91D" w14:textId="66D05E8B" w:rsidR="0032098F" w:rsidRPr="00835667" w:rsidRDefault="0032098F" w:rsidP="002E1F94">
                            <w:pPr>
                              <w:jc w:val="both"/>
                              <w:rPr>
                                <w:rFonts w:cs="Arial"/>
                                <w:sz w:val="22"/>
                                <w:szCs w:val="22"/>
                                <w:lang w:val="es-ES_tradnl"/>
                              </w:rPr>
                            </w:pPr>
                            <w:r w:rsidRPr="00835667">
                              <w:rPr>
                                <w:rFonts w:cs="Arial"/>
                                <w:sz w:val="22"/>
                                <w:szCs w:val="22"/>
                                <w:lang w:val="es-ES_tradnl"/>
                              </w:rPr>
                              <w:t>Este documento d</w:t>
                            </w:r>
                            <w:r w:rsidR="00457045">
                              <w:rPr>
                                <w:rFonts w:cs="Arial"/>
                                <w:sz w:val="22"/>
                                <w:szCs w:val="22"/>
                                <w:lang w:val="es-ES_tradnl"/>
                              </w:rPr>
                              <w:t>ebería considerarse junto con el</w:t>
                            </w:r>
                            <w:r w:rsidRPr="00835667">
                              <w:rPr>
                                <w:rFonts w:cs="Arial"/>
                                <w:sz w:val="22"/>
                                <w:szCs w:val="22"/>
                                <w:lang w:val="es-ES_tradnl"/>
                              </w:rPr>
                              <w:t xml:space="preserve"> documento UNEP/CMS/COP12/Doc.24.3.1.1 sobre la Iniciativa pa</w:t>
                            </w:r>
                            <w:r w:rsidR="00217856">
                              <w:rPr>
                                <w:rFonts w:cs="Arial"/>
                                <w:sz w:val="22"/>
                                <w:szCs w:val="22"/>
                                <w:lang w:val="es-ES_tradnl"/>
                              </w:rPr>
                              <w:t>ra los Carnívoros Africanos, la cual</w:t>
                            </w:r>
                            <w:r w:rsidRPr="00835667">
                              <w:rPr>
                                <w:rFonts w:cs="Arial"/>
                                <w:sz w:val="22"/>
                                <w:szCs w:val="22"/>
                                <w:lang w:val="es-ES_tradnl"/>
                              </w:rPr>
                              <w:t xml:space="preserve"> propone identificar medidas de conservación concretas para su implementación bajo la administración de la Iniciativa. Este conjunto de decisiones puede de este modo implementarse como parte de la Iniciativa para los Carnívoros Africanos.</w:t>
                            </w:r>
                          </w:p>
                          <w:p w14:paraId="500A1830" w14:textId="2E4EBC16" w:rsidR="0032098F" w:rsidRPr="00F0349C" w:rsidRDefault="0032098F" w:rsidP="00200570">
                            <w:pPr>
                              <w:rPr>
                                <w:rFonts w:cs="Arial"/>
                                <w:sz w:val="22"/>
                                <w:szCs w:val="22"/>
                                <w:lang w:val="es-ES_tradnl"/>
                              </w:rPr>
                            </w:pPr>
                          </w:p>
                          <w:p w14:paraId="23935458" w14:textId="1210FD9D" w:rsidR="0032098F" w:rsidRPr="00F0349C" w:rsidRDefault="00F0349C" w:rsidP="00F0349C">
                            <w:pPr>
                              <w:jc w:val="both"/>
                              <w:rPr>
                                <w:rFonts w:cs="Arial"/>
                                <w:sz w:val="22"/>
                                <w:szCs w:val="22"/>
                                <w:lang w:val="es-ES_tradnl"/>
                              </w:rPr>
                            </w:pPr>
                            <w:r>
                              <w:rPr>
                                <w:rFonts w:cs="Arial"/>
                                <w:sz w:val="22"/>
                                <w:szCs w:val="22"/>
                                <w:lang w:val="es-ES_tradnl"/>
                              </w:rPr>
                              <w:t xml:space="preserve">Rev.1 corrige referencia a una de las organizaciones asociadas propuestas como también el nombre común del </w:t>
                            </w:r>
                            <w:proofErr w:type="spellStart"/>
                            <w:r>
                              <w:rPr>
                                <w:rFonts w:cs="Arial"/>
                                <w:sz w:val="22"/>
                                <w:szCs w:val="22"/>
                                <w:lang w:val="es-ES_tradnl"/>
                              </w:rPr>
                              <w:t>Licaón</w:t>
                            </w:r>
                            <w:proofErr w:type="spellEnd"/>
                            <w:r>
                              <w:rPr>
                                <w:rFonts w:cs="Arial"/>
                                <w:sz w:val="22"/>
                                <w:szCs w:val="22"/>
                                <w:lang w:val="es-ES_tradnl"/>
                              </w:rPr>
                              <w:t xml:space="preserve"> en la versión en francés de este documento.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25230" id="_x0000_t202" coordsize="21600,21600" o:spt="202" path="m,l,21600r21600,l21600,xe">
                <v:stroke joinstyle="miter"/>
                <v:path gradientshapeok="t" o:connecttype="rect"/>
              </v:shapetype>
              <v:shape id="Text Box 4" o:spid="_x0000_s1026" type="#_x0000_t202" style="position:absolute;margin-left:44.2pt;margin-top:9.1pt;width:368.25pt;height:29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" strokeweight=".25pt">
                <v:textbox>
                  <w:txbxContent>
                    <w:p w14:paraId="22DE6AB6" w14:textId="5909BAFC" w:rsidR="0032098F" w:rsidRPr="00FB1856" w:rsidRDefault="0032098F" w:rsidP="002E1F94">
                      <w:pPr>
                        <w:jc w:val="both"/>
                        <w:rPr>
                          <w:rFonts w:cs="Arial"/>
                          <w:sz w:val="22"/>
                          <w:szCs w:val="22"/>
                          <w:lang w:val="es-ES_tradnl"/>
                        </w:rPr>
                      </w:pPr>
                      <w:r w:rsidRPr="00FB1856">
                        <w:rPr>
                          <w:rFonts w:cs="Arial"/>
                          <w:sz w:val="22"/>
                          <w:szCs w:val="22"/>
                          <w:lang w:val="es-ES_tradnl"/>
                        </w:rPr>
                        <w:t>Resumen:</w:t>
                      </w:r>
                    </w:p>
                    <w:p w14:paraId="49B07BE4" w14:textId="77777777" w:rsidR="0032098F" w:rsidRPr="00FB1856" w:rsidRDefault="0032098F" w:rsidP="002E1F94">
                      <w:pPr>
                        <w:jc w:val="both"/>
                        <w:rPr>
                          <w:rFonts w:cs="Arial"/>
                          <w:i/>
                          <w:sz w:val="22"/>
                          <w:szCs w:val="22"/>
                          <w:highlight w:val="yellow"/>
                          <w:lang w:val="es-ES_tradnl"/>
                        </w:rPr>
                      </w:pPr>
                    </w:p>
                    <w:p w14:paraId="391246D7" w14:textId="5CAA9272" w:rsidR="0032098F" w:rsidRPr="008F58B6" w:rsidRDefault="0032098F" w:rsidP="002E1F94">
                      <w:pPr>
                        <w:jc w:val="both"/>
                        <w:rPr>
                          <w:rFonts w:cs="Arial"/>
                          <w:sz w:val="22"/>
                          <w:szCs w:val="22"/>
                          <w:lang w:val="es-ES_tradnl"/>
                        </w:rPr>
                      </w:pPr>
                      <w:r w:rsidRPr="008F58B6">
                        <w:rPr>
                          <w:rFonts w:cs="Arial"/>
                          <w:sz w:val="22"/>
                          <w:szCs w:val="22"/>
                          <w:lang w:val="es-ES_tradnl"/>
                        </w:rPr>
                        <w:t>Los Gobiernos de Argelia, Benín, Burkina Faso y Níger han presentado la decisión adjunta</w:t>
                      </w:r>
                      <w:r w:rsidRPr="00596A69">
                        <w:rPr>
                          <w:rFonts w:cs="Arial"/>
                          <w:sz w:val="22"/>
                          <w:szCs w:val="22"/>
                          <w:lang w:val="es-ES_tradnl"/>
                        </w:rPr>
                        <w:t>*</w:t>
                      </w:r>
                      <w:r w:rsidRPr="008F58B6">
                        <w:rPr>
                          <w:rFonts w:cs="Arial"/>
                          <w:sz w:val="22"/>
                          <w:szCs w:val="22"/>
                          <w:lang w:val="es-ES_tradnl"/>
                        </w:rPr>
                        <w:t xml:space="preserve"> sobre la conservación y gestión del guepardo (</w:t>
                      </w:r>
                      <w:r w:rsidRPr="008F58B6">
                        <w:rPr>
                          <w:rFonts w:cs="Arial"/>
                          <w:i/>
                          <w:sz w:val="22"/>
                          <w:szCs w:val="22"/>
                          <w:lang w:val="es-ES_tradnl"/>
                        </w:rPr>
                        <w:t>Acinonyx jubatus</w:t>
                      </w:r>
                      <w:r w:rsidRPr="008F58B6">
                        <w:rPr>
                          <w:rFonts w:cs="Arial"/>
                          <w:sz w:val="22"/>
                          <w:szCs w:val="22"/>
                          <w:lang w:val="es-ES_tradnl"/>
                        </w:rPr>
                        <w:t xml:space="preserve">) y el licaón </w:t>
                      </w:r>
                      <w:r w:rsidRPr="008F58B6">
                        <w:rPr>
                          <w:rFonts w:cs="Arial"/>
                          <w:i/>
                          <w:sz w:val="22"/>
                          <w:szCs w:val="22"/>
                          <w:lang w:val="es-ES_tradnl"/>
                        </w:rPr>
                        <w:t>(</w:t>
                      </w:r>
                      <w:r w:rsidRPr="008F58B6">
                        <w:rPr>
                          <w:rFonts w:cs="Arial"/>
                          <w:i/>
                          <w:iCs/>
                          <w:sz w:val="22"/>
                          <w:szCs w:val="22"/>
                          <w:lang w:val="es-ES_tradnl"/>
                        </w:rPr>
                        <w:t>Lycaon pictus)</w:t>
                      </w:r>
                      <w:r w:rsidRPr="008F58B6">
                        <w:rPr>
                          <w:rFonts w:cs="Arial"/>
                          <w:sz w:val="22"/>
                          <w:szCs w:val="22"/>
                          <w:lang w:val="es-ES_tradnl"/>
                        </w:rPr>
                        <w:t>.</w:t>
                      </w:r>
                    </w:p>
                    <w:p w14:paraId="05C74FB9" w14:textId="4A4A2C92" w:rsidR="0032098F" w:rsidRPr="00FB1856" w:rsidRDefault="0032098F" w:rsidP="002E1F94">
                      <w:pPr>
                        <w:jc w:val="both"/>
                        <w:rPr>
                          <w:rFonts w:cs="Arial"/>
                          <w:sz w:val="22"/>
                          <w:szCs w:val="22"/>
                          <w:highlight w:val="yellow"/>
                          <w:lang w:val="es-ES_tradnl"/>
                        </w:rPr>
                      </w:pPr>
                    </w:p>
                    <w:p w14:paraId="16C1126F" w14:textId="1E65F348" w:rsidR="0032098F" w:rsidRPr="00596A69" w:rsidRDefault="0032098F" w:rsidP="002E1F94">
                      <w:pPr>
                        <w:jc w:val="both"/>
                        <w:rPr>
                          <w:rFonts w:cs="Arial"/>
                          <w:sz w:val="22"/>
                          <w:szCs w:val="22"/>
                          <w:lang w:val="es-ES_tradnl"/>
                        </w:rPr>
                      </w:pPr>
                      <w:r w:rsidRPr="00D0350C">
                        <w:rPr>
                          <w:rFonts w:cs="Arial"/>
                          <w:sz w:val="22"/>
                          <w:szCs w:val="22"/>
                          <w:lang w:val="es-ES_tradnl"/>
                        </w:rPr>
                        <w:t xml:space="preserve">Ambas especies </w:t>
                      </w:r>
                      <w:r>
                        <w:rPr>
                          <w:rFonts w:cs="Arial"/>
                          <w:sz w:val="22"/>
                          <w:szCs w:val="22"/>
                          <w:lang w:val="es-ES_tradnl"/>
                        </w:rPr>
                        <w:t>fueron</w:t>
                      </w:r>
                      <w:r w:rsidRPr="00D0350C">
                        <w:rPr>
                          <w:rFonts w:cs="Arial"/>
                          <w:sz w:val="22"/>
                          <w:szCs w:val="22"/>
                          <w:lang w:val="es-ES_tradnl"/>
                        </w:rPr>
                        <w:t xml:space="preserve"> aceptadas por la Conferencia de las Partes en su 11ª Reunión (Quito, 2014) para Acciones Concertadas y figuran </w:t>
                      </w:r>
                      <w:r>
                        <w:rPr>
                          <w:rFonts w:cs="Arial"/>
                          <w:sz w:val="22"/>
                          <w:szCs w:val="22"/>
                          <w:lang w:val="es-ES_tradnl"/>
                        </w:rPr>
                        <w:t xml:space="preserve">por lo tanto </w:t>
                      </w:r>
                      <w:r w:rsidRPr="00D0350C">
                        <w:rPr>
                          <w:rFonts w:cs="Arial"/>
                          <w:sz w:val="22"/>
                          <w:szCs w:val="22"/>
                          <w:lang w:val="es-ES_tradnl"/>
                        </w:rPr>
                        <w:t>en el Anexo 1 del documento UNEP/CMS/COP12/Doc.26.2. Este conjunto de decisiones puede considerarse complementario a la nominación para Acciones Concertadas.</w:t>
                      </w:r>
                    </w:p>
                    <w:p w14:paraId="0A91A778" w14:textId="2FA9F13F" w:rsidR="0032098F" w:rsidRPr="00FB1856" w:rsidRDefault="0032098F" w:rsidP="002E1F94">
                      <w:pPr>
                        <w:jc w:val="both"/>
                        <w:rPr>
                          <w:rFonts w:cs="Arial"/>
                          <w:sz w:val="22"/>
                          <w:szCs w:val="22"/>
                          <w:highlight w:val="yellow"/>
                          <w:lang w:val="es-ES_tradnl"/>
                        </w:rPr>
                      </w:pPr>
                    </w:p>
                    <w:p w14:paraId="7C2FF91D" w14:textId="66D05E8B" w:rsidR="0032098F" w:rsidRPr="00835667" w:rsidRDefault="0032098F" w:rsidP="002E1F94">
                      <w:pPr>
                        <w:jc w:val="both"/>
                        <w:rPr>
                          <w:rFonts w:cs="Arial"/>
                          <w:sz w:val="22"/>
                          <w:szCs w:val="22"/>
                          <w:lang w:val="es-ES_tradnl"/>
                        </w:rPr>
                      </w:pPr>
                      <w:r w:rsidRPr="00835667">
                        <w:rPr>
                          <w:rFonts w:cs="Arial"/>
                          <w:sz w:val="22"/>
                          <w:szCs w:val="22"/>
                          <w:lang w:val="es-ES_tradnl"/>
                        </w:rPr>
                        <w:t>Este documento d</w:t>
                      </w:r>
                      <w:r w:rsidR="00457045">
                        <w:rPr>
                          <w:rFonts w:cs="Arial"/>
                          <w:sz w:val="22"/>
                          <w:szCs w:val="22"/>
                          <w:lang w:val="es-ES_tradnl"/>
                        </w:rPr>
                        <w:t>ebería considerarse junto con el</w:t>
                      </w:r>
                      <w:r w:rsidRPr="00835667">
                        <w:rPr>
                          <w:rFonts w:cs="Arial"/>
                          <w:sz w:val="22"/>
                          <w:szCs w:val="22"/>
                          <w:lang w:val="es-ES_tradnl"/>
                        </w:rPr>
                        <w:t xml:space="preserve"> documento UNEP/CMS/COP12/Doc.24.3.1.1 sobre la Iniciativa pa</w:t>
                      </w:r>
                      <w:r w:rsidR="00217856">
                        <w:rPr>
                          <w:rFonts w:cs="Arial"/>
                          <w:sz w:val="22"/>
                          <w:szCs w:val="22"/>
                          <w:lang w:val="es-ES_tradnl"/>
                        </w:rPr>
                        <w:t>ra los Carnívoros Africanos, la cual</w:t>
                      </w:r>
                      <w:r w:rsidRPr="00835667">
                        <w:rPr>
                          <w:rFonts w:cs="Arial"/>
                          <w:sz w:val="22"/>
                          <w:szCs w:val="22"/>
                          <w:lang w:val="es-ES_tradnl"/>
                        </w:rPr>
                        <w:t xml:space="preserve"> propone identificar medidas de conservación concretas para su implementación bajo la administración de la Iniciativa. Este conjunto de decisiones puede de este modo implementarse como parte de la Iniciativa para los Carnívoros Africanos.</w:t>
                      </w:r>
                    </w:p>
                    <w:p w14:paraId="500A1830" w14:textId="2E4EBC16" w:rsidR="0032098F" w:rsidRPr="00F0349C" w:rsidRDefault="0032098F" w:rsidP="00200570">
                      <w:pPr>
                        <w:rPr>
                          <w:rFonts w:cs="Arial"/>
                          <w:sz w:val="22"/>
                          <w:szCs w:val="22"/>
                          <w:lang w:val="es-ES_tradnl"/>
                        </w:rPr>
                      </w:pPr>
                    </w:p>
                    <w:p w14:paraId="23935458" w14:textId="1210FD9D" w:rsidR="0032098F" w:rsidRPr="00F0349C" w:rsidRDefault="00F0349C" w:rsidP="00F0349C">
                      <w:pPr>
                        <w:jc w:val="both"/>
                        <w:rPr>
                          <w:rFonts w:cs="Arial"/>
                          <w:sz w:val="22"/>
                          <w:szCs w:val="22"/>
                          <w:lang w:val="es-ES_tradnl"/>
                        </w:rPr>
                      </w:pPr>
                      <w:r>
                        <w:rPr>
                          <w:rFonts w:cs="Arial"/>
                          <w:sz w:val="22"/>
                          <w:szCs w:val="22"/>
                          <w:lang w:val="es-ES_tradnl"/>
                        </w:rPr>
                        <w:t xml:space="preserve">Rev.1 corrige referencia a una de las organizaciones asociadas propuestas como también el nombre común del </w:t>
                      </w:r>
                      <w:proofErr w:type="spellStart"/>
                      <w:r>
                        <w:rPr>
                          <w:rFonts w:cs="Arial"/>
                          <w:sz w:val="22"/>
                          <w:szCs w:val="22"/>
                          <w:lang w:val="es-ES_tradnl"/>
                        </w:rPr>
                        <w:t>Licaón</w:t>
                      </w:r>
                      <w:proofErr w:type="spellEnd"/>
                      <w:r>
                        <w:rPr>
                          <w:rFonts w:cs="Arial"/>
                          <w:sz w:val="22"/>
                          <w:szCs w:val="22"/>
                          <w:lang w:val="es-ES_tradnl"/>
                        </w:rPr>
                        <w:t xml:space="preserve"> en la versión en francés de este documento.</w:t>
                      </w:r>
                    </w:p>
                  </w:txbxContent>
                </v:textbox>
              </v:shape>
            </w:pict>
          </mc:Fallback>
        </mc:AlternateContent>
      </w:r>
    </w:p>
    <w:p w14:paraId="48260FB5" w14:textId="77777777" w:rsidR="00D605A4" w:rsidRPr="00382B0B" w:rsidRDefault="00D605A4" w:rsidP="00D605A4">
      <w:pPr>
        <w:rPr>
          <w:rFonts w:cs="Arial"/>
          <w:sz w:val="21"/>
          <w:szCs w:val="21"/>
          <w:lang w:val="es-ES_tradnl"/>
        </w:rPr>
      </w:pPr>
    </w:p>
    <w:p w14:paraId="77357701" w14:textId="77777777" w:rsidR="00D605A4" w:rsidRPr="00382B0B" w:rsidRDefault="00D605A4" w:rsidP="00D605A4">
      <w:pPr>
        <w:rPr>
          <w:rFonts w:cs="Arial"/>
          <w:sz w:val="21"/>
          <w:szCs w:val="21"/>
          <w:lang w:val="es-ES_tradnl"/>
        </w:rPr>
      </w:pPr>
    </w:p>
    <w:p w14:paraId="592362EA" w14:textId="77777777" w:rsidR="00D605A4" w:rsidRPr="00382B0B" w:rsidRDefault="00D605A4" w:rsidP="00D605A4">
      <w:pPr>
        <w:rPr>
          <w:rFonts w:cs="Arial"/>
          <w:sz w:val="21"/>
          <w:szCs w:val="21"/>
          <w:lang w:val="es-ES_tradnl"/>
        </w:rPr>
      </w:pPr>
    </w:p>
    <w:p w14:paraId="3D968718" w14:textId="77777777" w:rsidR="00D605A4" w:rsidRPr="00382B0B" w:rsidRDefault="00D605A4" w:rsidP="00D605A4">
      <w:pPr>
        <w:rPr>
          <w:rFonts w:cs="Arial"/>
          <w:sz w:val="21"/>
          <w:szCs w:val="21"/>
          <w:lang w:val="es-ES_tradnl"/>
        </w:rPr>
      </w:pPr>
    </w:p>
    <w:p w14:paraId="52C986A0" w14:textId="77777777" w:rsidR="00D605A4" w:rsidRPr="00382B0B" w:rsidRDefault="00D605A4" w:rsidP="00D605A4">
      <w:pPr>
        <w:rPr>
          <w:rFonts w:cs="Arial"/>
          <w:sz w:val="21"/>
          <w:szCs w:val="21"/>
          <w:lang w:val="es-ES_tradnl"/>
        </w:rPr>
      </w:pPr>
    </w:p>
    <w:p w14:paraId="183E78FA" w14:textId="77777777" w:rsidR="00D605A4" w:rsidRPr="00382B0B" w:rsidRDefault="00D605A4" w:rsidP="00D605A4">
      <w:pPr>
        <w:rPr>
          <w:rFonts w:cs="Arial"/>
          <w:sz w:val="21"/>
          <w:szCs w:val="21"/>
          <w:lang w:val="es-ES_tradnl"/>
        </w:rPr>
      </w:pPr>
    </w:p>
    <w:p w14:paraId="2FB3C1EC" w14:textId="77777777" w:rsidR="00D605A4" w:rsidRPr="00382B0B" w:rsidRDefault="00D605A4" w:rsidP="00D605A4">
      <w:pPr>
        <w:rPr>
          <w:rFonts w:cs="Arial"/>
          <w:sz w:val="21"/>
          <w:szCs w:val="21"/>
          <w:lang w:val="es-ES_tradnl"/>
        </w:rPr>
      </w:pPr>
    </w:p>
    <w:p w14:paraId="1E234FEE" w14:textId="77777777" w:rsidR="00D605A4" w:rsidRPr="00382B0B" w:rsidRDefault="00D605A4" w:rsidP="00D605A4">
      <w:pPr>
        <w:rPr>
          <w:rFonts w:cs="Arial"/>
          <w:sz w:val="21"/>
          <w:szCs w:val="21"/>
          <w:lang w:val="es-ES_tradnl"/>
        </w:rPr>
      </w:pPr>
    </w:p>
    <w:p w14:paraId="4BBE2518" w14:textId="77777777" w:rsidR="00D605A4" w:rsidRPr="00382B0B" w:rsidRDefault="00D605A4" w:rsidP="00D605A4">
      <w:pPr>
        <w:rPr>
          <w:rFonts w:cs="Arial"/>
          <w:sz w:val="21"/>
          <w:szCs w:val="21"/>
          <w:lang w:val="es-ES_tradnl"/>
        </w:rPr>
      </w:pPr>
    </w:p>
    <w:p w14:paraId="58A1D612" w14:textId="77777777" w:rsidR="00D605A4" w:rsidRPr="00382B0B" w:rsidRDefault="00D605A4" w:rsidP="00D605A4">
      <w:pPr>
        <w:rPr>
          <w:rFonts w:cs="Arial"/>
          <w:sz w:val="21"/>
          <w:szCs w:val="21"/>
          <w:lang w:val="es-ES_tradnl"/>
        </w:rPr>
      </w:pPr>
    </w:p>
    <w:p w14:paraId="539E4DE6" w14:textId="77777777" w:rsidR="00D605A4" w:rsidRPr="00382B0B" w:rsidRDefault="00D605A4" w:rsidP="00D605A4">
      <w:pPr>
        <w:rPr>
          <w:rFonts w:cs="Arial"/>
          <w:sz w:val="21"/>
          <w:szCs w:val="21"/>
          <w:lang w:val="es-ES_tradnl"/>
        </w:rPr>
      </w:pPr>
    </w:p>
    <w:p w14:paraId="7B1F56D4" w14:textId="77777777" w:rsidR="00D605A4" w:rsidRPr="00382B0B" w:rsidRDefault="00D605A4" w:rsidP="00D605A4">
      <w:pPr>
        <w:rPr>
          <w:rFonts w:cs="Arial"/>
          <w:sz w:val="21"/>
          <w:szCs w:val="21"/>
          <w:lang w:val="es-ES_tradnl"/>
        </w:rPr>
      </w:pPr>
    </w:p>
    <w:p w14:paraId="7C5300E4" w14:textId="77777777" w:rsidR="00D605A4" w:rsidRPr="00382B0B" w:rsidRDefault="00D605A4" w:rsidP="00D605A4">
      <w:pPr>
        <w:rPr>
          <w:rFonts w:cs="Arial"/>
          <w:sz w:val="21"/>
          <w:szCs w:val="21"/>
          <w:lang w:val="es-ES_tradnl"/>
        </w:rPr>
      </w:pPr>
    </w:p>
    <w:p w14:paraId="17563107" w14:textId="77777777" w:rsidR="00D605A4" w:rsidRPr="00382B0B" w:rsidRDefault="00D605A4" w:rsidP="00D605A4">
      <w:pPr>
        <w:rPr>
          <w:rFonts w:cs="Arial"/>
          <w:sz w:val="21"/>
          <w:szCs w:val="21"/>
          <w:lang w:val="es-ES_tradnl"/>
        </w:rPr>
      </w:pPr>
    </w:p>
    <w:p w14:paraId="60A3994E" w14:textId="77777777" w:rsidR="00D605A4" w:rsidRPr="00382B0B" w:rsidRDefault="00D605A4" w:rsidP="00D605A4">
      <w:pPr>
        <w:rPr>
          <w:rFonts w:cs="Arial"/>
          <w:sz w:val="21"/>
          <w:szCs w:val="21"/>
          <w:lang w:val="es-ES_tradnl"/>
        </w:rPr>
      </w:pPr>
    </w:p>
    <w:p w14:paraId="7F3D3546" w14:textId="77777777" w:rsidR="00D605A4" w:rsidRPr="00382B0B" w:rsidRDefault="00D605A4" w:rsidP="00D605A4">
      <w:pPr>
        <w:rPr>
          <w:rFonts w:cs="Arial"/>
          <w:sz w:val="21"/>
          <w:szCs w:val="21"/>
          <w:lang w:val="es-ES_tradnl"/>
        </w:rPr>
      </w:pPr>
    </w:p>
    <w:p w14:paraId="6A31CCDE" w14:textId="77777777" w:rsidR="00D605A4" w:rsidRPr="00382B0B" w:rsidRDefault="00D605A4" w:rsidP="00D605A4">
      <w:pPr>
        <w:rPr>
          <w:rFonts w:cs="Arial"/>
          <w:sz w:val="21"/>
          <w:szCs w:val="21"/>
          <w:lang w:val="es-ES_tradnl"/>
        </w:rPr>
      </w:pPr>
    </w:p>
    <w:p w14:paraId="138D4608" w14:textId="77777777" w:rsidR="00D605A4" w:rsidRPr="00382B0B" w:rsidRDefault="00D605A4" w:rsidP="00D605A4">
      <w:pPr>
        <w:rPr>
          <w:rFonts w:cs="Arial"/>
          <w:sz w:val="21"/>
          <w:szCs w:val="21"/>
          <w:lang w:val="es-ES_tradnl"/>
        </w:rPr>
      </w:pPr>
    </w:p>
    <w:p w14:paraId="2DC44B2B" w14:textId="77777777" w:rsidR="00D605A4" w:rsidRPr="00382B0B" w:rsidRDefault="00D605A4" w:rsidP="00D605A4">
      <w:pPr>
        <w:rPr>
          <w:rFonts w:cs="Arial"/>
          <w:sz w:val="22"/>
          <w:szCs w:val="22"/>
          <w:lang w:val="es-ES_tradnl"/>
        </w:rPr>
      </w:pPr>
    </w:p>
    <w:p w14:paraId="5E84752E" w14:textId="77777777" w:rsidR="00031A88" w:rsidRPr="00382B0B" w:rsidRDefault="00031A88" w:rsidP="00217856">
      <w:pPr>
        <w:jc w:val="right"/>
        <w:rPr>
          <w:rFonts w:cs="Arial"/>
          <w:sz w:val="22"/>
          <w:szCs w:val="22"/>
          <w:lang w:val="es-ES_tradnl"/>
        </w:rPr>
      </w:pPr>
    </w:p>
    <w:p w14:paraId="1A904745" w14:textId="77777777" w:rsidR="00031A88" w:rsidRPr="00382B0B" w:rsidRDefault="00031A88" w:rsidP="00D605A4">
      <w:pPr>
        <w:rPr>
          <w:rFonts w:cs="Arial"/>
          <w:sz w:val="22"/>
          <w:szCs w:val="22"/>
          <w:lang w:val="es-ES_tradnl"/>
        </w:rPr>
      </w:pPr>
    </w:p>
    <w:p w14:paraId="2C0AE893" w14:textId="77777777" w:rsidR="00031A88" w:rsidRPr="00382B0B" w:rsidRDefault="00031A88" w:rsidP="00D605A4">
      <w:pPr>
        <w:rPr>
          <w:rFonts w:cs="Arial"/>
          <w:sz w:val="22"/>
          <w:szCs w:val="22"/>
          <w:lang w:val="es-ES_tradnl"/>
        </w:rPr>
      </w:pPr>
    </w:p>
    <w:p w14:paraId="39892652" w14:textId="56C525D7" w:rsidR="00031A88" w:rsidRPr="00382B0B" w:rsidRDefault="00031A88" w:rsidP="00D605A4">
      <w:pPr>
        <w:rPr>
          <w:rFonts w:cs="Arial"/>
          <w:sz w:val="22"/>
          <w:szCs w:val="22"/>
          <w:lang w:val="es-ES_tradnl"/>
        </w:rPr>
      </w:pPr>
    </w:p>
    <w:p w14:paraId="5D8FE63D" w14:textId="77777777" w:rsidR="00031A88" w:rsidRPr="00382B0B" w:rsidRDefault="00031A88" w:rsidP="00D605A4">
      <w:pPr>
        <w:rPr>
          <w:rFonts w:cs="Arial"/>
          <w:sz w:val="22"/>
          <w:szCs w:val="22"/>
          <w:lang w:val="es-ES_tradnl"/>
        </w:rPr>
      </w:pPr>
    </w:p>
    <w:p w14:paraId="748092D1" w14:textId="77777777" w:rsidR="00031A88" w:rsidRPr="00382B0B" w:rsidRDefault="00031A88" w:rsidP="00D605A4">
      <w:pPr>
        <w:rPr>
          <w:rFonts w:cs="Arial"/>
          <w:sz w:val="22"/>
          <w:szCs w:val="22"/>
          <w:lang w:val="es-ES_tradnl"/>
        </w:rPr>
      </w:pPr>
    </w:p>
    <w:p w14:paraId="038D41E8" w14:textId="77777777" w:rsidR="00031A88" w:rsidRPr="00382B0B" w:rsidRDefault="00031A88" w:rsidP="00D605A4">
      <w:pPr>
        <w:rPr>
          <w:rFonts w:cs="Arial"/>
          <w:sz w:val="22"/>
          <w:szCs w:val="22"/>
          <w:lang w:val="es-ES_tradnl"/>
        </w:rPr>
      </w:pPr>
    </w:p>
    <w:p w14:paraId="5D261CFF" w14:textId="77777777" w:rsidR="00031A88" w:rsidRPr="00382B0B" w:rsidRDefault="00031A88" w:rsidP="00D605A4">
      <w:pPr>
        <w:rPr>
          <w:rFonts w:cs="Arial"/>
          <w:sz w:val="22"/>
          <w:szCs w:val="22"/>
          <w:lang w:val="es-ES_tradnl"/>
        </w:rPr>
      </w:pPr>
    </w:p>
    <w:p w14:paraId="3F0D932B" w14:textId="6EEFD49B" w:rsidR="00031A88" w:rsidRPr="00382B0B" w:rsidRDefault="00031A88" w:rsidP="00D605A4">
      <w:pPr>
        <w:rPr>
          <w:rFonts w:cs="Arial"/>
          <w:sz w:val="22"/>
          <w:szCs w:val="22"/>
          <w:lang w:val="es-ES_tradnl"/>
        </w:rPr>
      </w:pPr>
    </w:p>
    <w:p w14:paraId="06D3A9B3" w14:textId="77777777" w:rsidR="00031A88" w:rsidRPr="00382B0B" w:rsidRDefault="00031A88" w:rsidP="00D605A4">
      <w:pPr>
        <w:rPr>
          <w:rFonts w:cs="Arial"/>
          <w:sz w:val="22"/>
          <w:szCs w:val="22"/>
          <w:lang w:val="es-ES_tradnl"/>
        </w:rPr>
      </w:pPr>
    </w:p>
    <w:p w14:paraId="0121D9AD" w14:textId="77777777" w:rsidR="00D605A4" w:rsidRPr="00382B0B" w:rsidRDefault="00D605A4" w:rsidP="00D605A4">
      <w:pPr>
        <w:rPr>
          <w:rFonts w:cs="Arial"/>
          <w:sz w:val="22"/>
          <w:szCs w:val="22"/>
          <w:lang w:val="es-ES_tradnl"/>
        </w:rPr>
      </w:pPr>
    </w:p>
    <w:p w14:paraId="57F5B3DC" w14:textId="7BAC3E74" w:rsidR="0032098F" w:rsidRPr="00382B0B" w:rsidRDefault="0032098F" w:rsidP="000314B3">
      <w:pPr>
        <w:tabs>
          <w:tab w:val="left" w:pos="1020"/>
        </w:tabs>
        <w:jc w:val="both"/>
        <w:rPr>
          <w:rFonts w:cs="Arial"/>
          <w:szCs w:val="18"/>
          <w:lang w:val="es-ES_tradnl"/>
        </w:rPr>
      </w:pPr>
      <w:r w:rsidRPr="00382B0B">
        <w:rPr>
          <w:rFonts w:cs="Arial"/>
          <w:szCs w:val="18"/>
          <w:lang w:val="es-ES_tradnl"/>
        </w:rPr>
        <w:t xml:space="preserve">* Las designaciones geográficas empleadas en este documento no implican la expresión de ninguna opinión por parte de la Secretaría de la CMS (o del Programa de las Naciones Unidas para el Medio Ambiente) en lo concerniente a la situación legal de ningún país, territorio o área, o a la delimitación de sus </w:t>
      </w:r>
      <w:r w:rsidR="00FB1166" w:rsidRPr="00382B0B">
        <w:rPr>
          <w:rFonts w:cs="Arial"/>
          <w:szCs w:val="18"/>
          <w:lang w:val="es-ES_tradnl"/>
        </w:rPr>
        <w:t xml:space="preserve">bordes o </w:t>
      </w:r>
      <w:r w:rsidRPr="00382B0B">
        <w:rPr>
          <w:rFonts w:cs="Arial"/>
          <w:szCs w:val="18"/>
          <w:lang w:val="es-ES_tradnl"/>
        </w:rPr>
        <w:t>fronteras</w:t>
      </w:r>
      <w:r w:rsidR="00FB1166" w:rsidRPr="00382B0B">
        <w:rPr>
          <w:rFonts w:cs="Arial"/>
          <w:szCs w:val="18"/>
          <w:lang w:val="es-ES_tradnl"/>
        </w:rPr>
        <w:t>. La responsabilidad del contenido del documento pertenece exclusivamente a sus autores.</w:t>
      </w:r>
    </w:p>
    <w:p w14:paraId="4C75DCA1" w14:textId="77777777" w:rsidR="005D353E" w:rsidRPr="00382B0B" w:rsidRDefault="005D353E" w:rsidP="000314B3">
      <w:pPr>
        <w:tabs>
          <w:tab w:val="left" w:pos="1020"/>
        </w:tabs>
        <w:jc w:val="both"/>
        <w:rPr>
          <w:rFonts w:cs="Arial"/>
          <w:szCs w:val="18"/>
          <w:lang w:val="es-ES_tradnl"/>
        </w:rPr>
        <w:sectPr w:rsidR="005D353E" w:rsidRPr="00382B0B"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14:paraId="489B88EC" w14:textId="2C381691" w:rsidR="00661E62" w:rsidRPr="00382B0B" w:rsidRDefault="00E84FCC" w:rsidP="000314B3">
      <w:pPr>
        <w:widowControl/>
        <w:autoSpaceDE/>
        <w:autoSpaceDN/>
        <w:adjustRightInd/>
        <w:jc w:val="center"/>
        <w:rPr>
          <w:rFonts w:eastAsia="MS Mincho" w:cs="Arial"/>
          <w:bCs/>
          <w:sz w:val="22"/>
          <w:szCs w:val="22"/>
          <w:lang w:val="es-ES_tradnl"/>
        </w:rPr>
      </w:pPr>
      <w:r w:rsidRPr="00382B0B">
        <w:rPr>
          <w:rFonts w:eastAsia="MS Mincho" w:cs="Arial"/>
          <w:bCs/>
          <w:sz w:val="22"/>
          <w:szCs w:val="22"/>
          <w:lang w:val="es-ES_tradnl"/>
        </w:rPr>
        <w:lastRenderedPageBreak/>
        <w:t xml:space="preserve">PROPUESTA </w:t>
      </w:r>
      <w:r w:rsidR="00661E62" w:rsidRPr="00382B0B">
        <w:rPr>
          <w:rFonts w:eastAsia="MS Mincho" w:cs="Arial"/>
          <w:bCs/>
          <w:sz w:val="22"/>
          <w:szCs w:val="22"/>
          <w:lang w:val="es-ES_tradnl"/>
        </w:rPr>
        <w:t>DE DECISIONES</w:t>
      </w:r>
    </w:p>
    <w:p w14:paraId="5D73698C" w14:textId="77777777" w:rsidR="00403EB8" w:rsidRPr="00382B0B" w:rsidRDefault="00403EB8" w:rsidP="00403EB8">
      <w:pPr>
        <w:widowControl/>
        <w:autoSpaceDE/>
        <w:autoSpaceDN/>
        <w:adjustRightInd/>
        <w:jc w:val="center"/>
        <w:rPr>
          <w:rFonts w:eastAsia="MS Mincho" w:cs="Arial"/>
          <w:b/>
          <w:bCs/>
          <w:sz w:val="22"/>
          <w:szCs w:val="22"/>
          <w:highlight w:val="yellow"/>
          <w:lang w:val="es-ES_tradnl"/>
        </w:rPr>
      </w:pPr>
    </w:p>
    <w:p w14:paraId="04672B6B" w14:textId="77777777" w:rsidR="00E837AA" w:rsidRPr="00382B0B" w:rsidRDefault="00E837AA" w:rsidP="00E837AA">
      <w:pPr>
        <w:widowControl/>
        <w:autoSpaceDE/>
        <w:autoSpaceDN/>
        <w:adjustRightInd/>
        <w:jc w:val="center"/>
        <w:rPr>
          <w:rFonts w:eastAsia="MS Mincho" w:cs="Arial"/>
          <w:b/>
          <w:bCs/>
          <w:sz w:val="22"/>
          <w:szCs w:val="22"/>
          <w:lang w:val="es-ES_tradnl"/>
        </w:rPr>
      </w:pPr>
      <w:r w:rsidRPr="00382B0B">
        <w:rPr>
          <w:rFonts w:eastAsia="MS Mincho" w:cs="Arial"/>
          <w:b/>
          <w:bCs/>
          <w:sz w:val="22"/>
          <w:szCs w:val="22"/>
          <w:lang w:val="es-ES_tradnl"/>
        </w:rPr>
        <w:t>CONSERVACIÓN Y GESTIÓN DEL GUEPARDO (</w:t>
      </w:r>
      <w:r w:rsidRPr="00382B0B">
        <w:rPr>
          <w:rFonts w:eastAsia="MS Mincho" w:cs="Arial"/>
          <w:b/>
          <w:bCs/>
          <w:i/>
          <w:sz w:val="22"/>
          <w:szCs w:val="22"/>
          <w:lang w:val="es-ES_tradnl"/>
        </w:rPr>
        <w:t>Acinonyx jubatus</w:t>
      </w:r>
      <w:r w:rsidRPr="00382B0B">
        <w:rPr>
          <w:rFonts w:eastAsia="MS Mincho" w:cs="Arial"/>
          <w:b/>
          <w:bCs/>
          <w:sz w:val="22"/>
          <w:szCs w:val="22"/>
          <w:lang w:val="es-ES_tradnl"/>
        </w:rPr>
        <w:t xml:space="preserve">) </w:t>
      </w:r>
    </w:p>
    <w:p w14:paraId="40B2F378" w14:textId="04F94FF6" w:rsidR="00E837AA" w:rsidRPr="00382B0B" w:rsidRDefault="00E837AA" w:rsidP="00E837AA">
      <w:pPr>
        <w:widowControl/>
        <w:autoSpaceDE/>
        <w:autoSpaceDN/>
        <w:adjustRightInd/>
        <w:jc w:val="center"/>
        <w:rPr>
          <w:rFonts w:eastAsia="MS Mincho" w:cs="Arial"/>
          <w:b/>
          <w:bCs/>
          <w:sz w:val="22"/>
          <w:szCs w:val="22"/>
          <w:lang w:val="es-ES_tradnl"/>
        </w:rPr>
      </w:pPr>
      <w:r w:rsidRPr="00382B0B">
        <w:rPr>
          <w:rFonts w:eastAsia="MS Mincho" w:cs="Arial"/>
          <w:b/>
          <w:bCs/>
          <w:sz w:val="22"/>
          <w:szCs w:val="22"/>
          <w:lang w:val="es-ES_tradnl"/>
        </w:rPr>
        <w:t xml:space="preserve">Y DEL LICAÓN </w:t>
      </w:r>
      <w:r w:rsidRPr="00382B0B">
        <w:rPr>
          <w:rFonts w:eastAsia="MS Mincho" w:cs="Arial"/>
          <w:b/>
          <w:bCs/>
          <w:i/>
          <w:sz w:val="22"/>
          <w:szCs w:val="22"/>
          <w:lang w:val="es-ES_tradnl"/>
        </w:rPr>
        <w:t>(</w:t>
      </w:r>
      <w:r w:rsidRPr="00382B0B">
        <w:rPr>
          <w:rFonts w:eastAsia="MS Mincho" w:cs="Arial"/>
          <w:b/>
          <w:bCs/>
          <w:i/>
          <w:iCs/>
          <w:sz w:val="22"/>
          <w:szCs w:val="22"/>
          <w:lang w:val="es-ES_tradnl"/>
        </w:rPr>
        <w:t>Lycaon pictus</w:t>
      </w:r>
      <w:r w:rsidRPr="00382B0B">
        <w:rPr>
          <w:rFonts w:eastAsia="MS Mincho" w:cs="Arial"/>
          <w:b/>
          <w:bCs/>
          <w:i/>
          <w:sz w:val="22"/>
          <w:szCs w:val="22"/>
          <w:lang w:val="es-ES_tradnl"/>
        </w:rPr>
        <w:t>)</w:t>
      </w:r>
    </w:p>
    <w:p w14:paraId="2FA4FD99" w14:textId="1B99CD6C" w:rsidR="00403EB8" w:rsidRPr="00382B0B" w:rsidRDefault="00403EB8" w:rsidP="00403EB8">
      <w:pPr>
        <w:widowControl/>
        <w:autoSpaceDE/>
        <w:autoSpaceDN/>
        <w:adjustRightInd/>
        <w:jc w:val="center"/>
        <w:rPr>
          <w:rFonts w:eastAsia="MS Mincho" w:cs="Arial"/>
          <w:sz w:val="22"/>
          <w:szCs w:val="22"/>
          <w:highlight w:val="yellow"/>
          <w:lang w:val="es-ES_tradnl"/>
        </w:rPr>
      </w:pPr>
    </w:p>
    <w:p w14:paraId="67A192F9" w14:textId="77777777" w:rsidR="00403EB8" w:rsidRPr="00382B0B" w:rsidRDefault="00403EB8" w:rsidP="00403EB8">
      <w:pPr>
        <w:jc w:val="both"/>
        <w:rPr>
          <w:rFonts w:cs="Arial"/>
          <w:sz w:val="22"/>
          <w:szCs w:val="22"/>
          <w:highlight w:val="yellow"/>
          <w:lang w:val="es-ES_tradnl"/>
        </w:rPr>
      </w:pPr>
    </w:p>
    <w:p w14:paraId="1B431F07" w14:textId="34CCE94C" w:rsidR="00674E1E" w:rsidRPr="00382B0B" w:rsidRDefault="00674E1E" w:rsidP="00403EB8">
      <w:pPr>
        <w:jc w:val="both"/>
        <w:rPr>
          <w:rFonts w:cs="Arial"/>
          <w:b/>
          <w:i/>
          <w:sz w:val="22"/>
          <w:szCs w:val="22"/>
          <w:lang w:val="es-ES_tradnl"/>
        </w:rPr>
      </w:pPr>
      <w:r w:rsidRPr="00382B0B">
        <w:rPr>
          <w:rFonts w:cs="Arial"/>
          <w:b/>
          <w:i/>
          <w:sz w:val="22"/>
          <w:szCs w:val="22"/>
          <w:lang w:val="es-ES_tradnl"/>
        </w:rPr>
        <w:t>Dirigidas a la Secretaría</w:t>
      </w:r>
    </w:p>
    <w:p w14:paraId="1706EE06" w14:textId="77777777" w:rsidR="00403EB8" w:rsidRPr="00382B0B" w:rsidRDefault="00403EB8" w:rsidP="00403EB8">
      <w:pPr>
        <w:jc w:val="both"/>
        <w:rPr>
          <w:rFonts w:cs="Arial"/>
          <w:sz w:val="22"/>
          <w:szCs w:val="22"/>
          <w:highlight w:val="yellow"/>
          <w:lang w:val="es-ES_tradnl"/>
        </w:rPr>
      </w:pPr>
    </w:p>
    <w:p w14:paraId="0D5BEFC3" w14:textId="57C8BCCC" w:rsidR="00430EE1" w:rsidRPr="00382B0B" w:rsidRDefault="00403EB8" w:rsidP="00403EB8">
      <w:pPr>
        <w:ind w:left="720" w:hanging="720"/>
        <w:jc w:val="both"/>
        <w:rPr>
          <w:rFonts w:cs="Arial"/>
          <w:sz w:val="22"/>
          <w:szCs w:val="22"/>
          <w:lang w:val="es-ES_tradnl"/>
        </w:rPr>
      </w:pPr>
      <w:r w:rsidRPr="00382B0B">
        <w:rPr>
          <w:rFonts w:cs="Arial"/>
          <w:sz w:val="22"/>
          <w:szCs w:val="22"/>
          <w:lang w:val="es-ES_tradnl"/>
        </w:rPr>
        <w:t>12.AA</w:t>
      </w:r>
      <w:r w:rsidRPr="00382B0B">
        <w:rPr>
          <w:rFonts w:cs="Arial"/>
          <w:sz w:val="22"/>
          <w:szCs w:val="22"/>
          <w:lang w:val="es-ES_tradnl"/>
        </w:rPr>
        <w:tab/>
      </w:r>
      <w:r w:rsidR="00430EE1" w:rsidRPr="00382B0B">
        <w:rPr>
          <w:rFonts w:cs="Arial"/>
          <w:sz w:val="22"/>
          <w:szCs w:val="22"/>
          <w:lang w:val="es-ES_tradnl"/>
        </w:rPr>
        <w:t>La Secretaría deberá:</w:t>
      </w:r>
    </w:p>
    <w:p w14:paraId="3C06E2C2" w14:textId="77777777" w:rsidR="00403EB8" w:rsidRPr="00382B0B" w:rsidRDefault="00403EB8" w:rsidP="00403EB8">
      <w:pPr>
        <w:ind w:left="720" w:hanging="720"/>
        <w:jc w:val="both"/>
        <w:rPr>
          <w:rFonts w:cs="Arial"/>
          <w:sz w:val="22"/>
          <w:szCs w:val="22"/>
          <w:highlight w:val="yellow"/>
          <w:lang w:val="es-ES_tradnl"/>
        </w:rPr>
      </w:pPr>
    </w:p>
    <w:p w14:paraId="4D8A55B7" w14:textId="52581F04" w:rsidR="0003435F" w:rsidRPr="00382B0B" w:rsidRDefault="0003435F" w:rsidP="002E1F94">
      <w:pPr>
        <w:widowControl/>
        <w:numPr>
          <w:ilvl w:val="0"/>
          <w:numId w:val="11"/>
        </w:numPr>
        <w:tabs>
          <w:tab w:val="left" w:pos="397"/>
          <w:tab w:val="left" w:pos="794"/>
          <w:tab w:val="left" w:pos="1191"/>
          <w:tab w:val="left" w:pos="1588"/>
          <w:tab w:val="left" w:pos="1985"/>
        </w:tabs>
        <w:autoSpaceDE/>
        <w:autoSpaceDN/>
        <w:adjustRightInd/>
        <w:contextualSpacing/>
        <w:jc w:val="both"/>
        <w:rPr>
          <w:rFonts w:cs="Arial"/>
          <w:sz w:val="22"/>
          <w:szCs w:val="22"/>
          <w:lang w:val="es-ES_tradnl"/>
        </w:rPr>
      </w:pPr>
      <w:r w:rsidRPr="00382B0B">
        <w:rPr>
          <w:rFonts w:cs="Arial"/>
          <w:sz w:val="22"/>
          <w:szCs w:val="22"/>
          <w:lang w:val="es-ES_tradnl"/>
        </w:rPr>
        <w:t xml:space="preserve">Sujeta a la </w:t>
      </w:r>
      <w:r w:rsidR="00942AB9" w:rsidRPr="00382B0B">
        <w:rPr>
          <w:rFonts w:cs="Arial"/>
          <w:sz w:val="22"/>
          <w:szCs w:val="22"/>
          <w:lang w:val="es-ES_tradnl"/>
        </w:rPr>
        <w:t xml:space="preserve">disponibilidad de </w:t>
      </w:r>
      <w:r w:rsidRPr="00382B0B">
        <w:rPr>
          <w:rFonts w:cs="Arial"/>
          <w:sz w:val="22"/>
          <w:szCs w:val="22"/>
          <w:lang w:val="es-ES_tradnl"/>
        </w:rPr>
        <w:t>financiació</w:t>
      </w:r>
      <w:r w:rsidR="000A3BDE" w:rsidRPr="00382B0B">
        <w:rPr>
          <w:rFonts w:cs="Arial"/>
          <w:sz w:val="22"/>
          <w:szCs w:val="22"/>
          <w:lang w:val="es-ES_tradnl"/>
        </w:rPr>
        <w:t>n externa y en</w:t>
      </w:r>
      <w:r w:rsidRPr="00382B0B">
        <w:rPr>
          <w:rFonts w:cs="Arial"/>
          <w:sz w:val="22"/>
          <w:szCs w:val="22"/>
          <w:lang w:val="es-ES_tradnl"/>
        </w:rPr>
        <w:t xml:space="preserve"> colaboración</w:t>
      </w:r>
      <w:r w:rsidR="000A3BDE" w:rsidRPr="00382B0B">
        <w:rPr>
          <w:rFonts w:cs="Arial"/>
          <w:sz w:val="22"/>
          <w:szCs w:val="22"/>
          <w:lang w:val="es-ES_tradnl"/>
        </w:rPr>
        <w:t xml:space="preserve"> con los estados del área de distribución, la Unión Internacional para la Conservación de la Naturaleza</w:t>
      </w:r>
      <w:r w:rsidR="00F32A1D" w:rsidRPr="00382B0B">
        <w:rPr>
          <w:rFonts w:cs="Arial"/>
          <w:sz w:val="22"/>
          <w:szCs w:val="22"/>
          <w:lang w:val="es-ES_tradnl"/>
        </w:rPr>
        <w:t xml:space="preserve"> (UICN) y otros socios relevantes:</w:t>
      </w:r>
    </w:p>
    <w:p w14:paraId="0697635C" w14:textId="77777777" w:rsidR="00403EB8" w:rsidRPr="00382B0B" w:rsidRDefault="00403EB8" w:rsidP="002E1F94">
      <w:pPr>
        <w:ind w:left="720" w:hanging="720"/>
        <w:jc w:val="both"/>
        <w:rPr>
          <w:rFonts w:cs="Arial"/>
          <w:iCs/>
          <w:sz w:val="22"/>
          <w:szCs w:val="22"/>
          <w:highlight w:val="yellow"/>
          <w:lang w:val="es-ES_tradnl"/>
        </w:rPr>
      </w:pPr>
    </w:p>
    <w:p w14:paraId="53259AEE" w14:textId="007B7163" w:rsidR="00931557" w:rsidRPr="00382B0B" w:rsidRDefault="00931557" w:rsidP="000314B3">
      <w:pPr>
        <w:widowControl/>
        <w:numPr>
          <w:ilvl w:val="0"/>
          <w:numId w:val="10"/>
        </w:numPr>
        <w:tabs>
          <w:tab w:val="left" w:pos="397"/>
          <w:tab w:val="left" w:pos="794"/>
          <w:tab w:val="left" w:pos="1191"/>
          <w:tab w:val="left" w:pos="1588"/>
          <w:tab w:val="left" w:pos="1985"/>
        </w:tabs>
        <w:autoSpaceDE/>
        <w:autoSpaceDN/>
        <w:adjustRightInd/>
        <w:spacing w:after="120"/>
        <w:ind w:left="1077" w:hanging="357"/>
        <w:jc w:val="both"/>
        <w:rPr>
          <w:rFonts w:cs="Arial"/>
          <w:sz w:val="22"/>
          <w:szCs w:val="22"/>
          <w:lang w:val="es-ES_tradnl"/>
        </w:rPr>
      </w:pPr>
      <w:r w:rsidRPr="00382B0B">
        <w:rPr>
          <w:rFonts w:cs="Arial"/>
          <w:sz w:val="22"/>
          <w:szCs w:val="22"/>
          <w:lang w:val="es-ES_tradnl"/>
        </w:rPr>
        <w:t xml:space="preserve">Apoyar la implementación </w:t>
      </w:r>
      <w:r w:rsidR="00BC0DC4" w:rsidRPr="00382B0B">
        <w:rPr>
          <w:rFonts w:cs="Arial"/>
          <w:sz w:val="22"/>
          <w:szCs w:val="22"/>
          <w:lang w:val="es-ES_tradnl"/>
        </w:rPr>
        <w:t xml:space="preserve">y la revisión regular de las estrategias y planes de conservación </w:t>
      </w:r>
      <w:r w:rsidR="00A7327D">
        <w:rPr>
          <w:rFonts w:cs="Arial"/>
          <w:sz w:val="22"/>
          <w:szCs w:val="22"/>
          <w:lang w:val="es-ES_tradnl"/>
        </w:rPr>
        <w:t xml:space="preserve">conjuntos existentes </w:t>
      </w:r>
      <w:r w:rsidR="00BC0DC4" w:rsidRPr="00382B0B">
        <w:rPr>
          <w:rFonts w:cs="Arial"/>
          <w:sz w:val="22"/>
          <w:szCs w:val="22"/>
          <w:lang w:val="es-ES_tradnl"/>
        </w:rPr>
        <w:t>para el guepardo y el licaón, tanto a nivel regional como nacional.</w:t>
      </w:r>
    </w:p>
    <w:p w14:paraId="15F68ECA" w14:textId="5B38DA4B" w:rsidR="002821EC" w:rsidRPr="00382B0B" w:rsidRDefault="002821EC" w:rsidP="000314B3">
      <w:pPr>
        <w:widowControl/>
        <w:numPr>
          <w:ilvl w:val="0"/>
          <w:numId w:val="10"/>
        </w:numPr>
        <w:tabs>
          <w:tab w:val="left" w:pos="397"/>
          <w:tab w:val="left" w:pos="794"/>
          <w:tab w:val="left" w:pos="1191"/>
          <w:tab w:val="left" w:pos="1588"/>
          <w:tab w:val="left" w:pos="1985"/>
        </w:tabs>
        <w:autoSpaceDE/>
        <w:autoSpaceDN/>
        <w:adjustRightInd/>
        <w:spacing w:after="120"/>
        <w:ind w:left="1077" w:hanging="357"/>
        <w:jc w:val="both"/>
        <w:rPr>
          <w:rFonts w:cs="Arial"/>
          <w:sz w:val="22"/>
          <w:szCs w:val="22"/>
          <w:lang w:val="es-ES_tradnl"/>
        </w:rPr>
      </w:pPr>
      <w:r w:rsidRPr="00382B0B">
        <w:rPr>
          <w:rFonts w:cs="Arial"/>
          <w:sz w:val="22"/>
          <w:szCs w:val="22"/>
          <w:lang w:val="es-ES_tradnl"/>
        </w:rPr>
        <w:t xml:space="preserve">Desarrollar e implementar estrategias para reforzar la cooperación internacional </w:t>
      </w:r>
      <w:r w:rsidR="00275215" w:rsidRPr="00382B0B">
        <w:rPr>
          <w:rFonts w:cs="Arial"/>
          <w:sz w:val="22"/>
          <w:szCs w:val="22"/>
          <w:lang w:val="es-ES_tradnl"/>
        </w:rPr>
        <w:t>en</w:t>
      </w:r>
      <w:r w:rsidRPr="00382B0B">
        <w:rPr>
          <w:rFonts w:cs="Arial"/>
          <w:sz w:val="22"/>
          <w:szCs w:val="22"/>
          <w:lang w:val="es-ES_tradnl"/>
        </w:rPr>
        <w:t xml:space="preserve"> la gestión de los guepardos y los licaones</w:t>
      </w:r>
      <w:r w:rsidR="00D84EEC" w:rsidRPr="00382B0B">
        <w:rPr>
          <w:rFonts w:cs="Arial"/>
          <w:sz w:val="22"/>
          <w:szCs w:val="22"/>
          <w:lang w:val="es-ES_tradnl"/>
        </w:rPr>
        <w:t>, incluyendo un intercambio de información eficiente entre los estados del área de distribución.</w:t>
      </w:r>
    </w:p>
    <w:p w14:paraId="3FBB3A42" w14:textId="57EA9A91" w:rsidR="00D84EEC" w:rsidRPr="00382B0B" w:rsidRDefault="00D84EEC" w:rsidP="000314B3">
      <w:pPr>
        <w:widowControl/>
        <w:numPr>
          <w:ilvl w:val="0"/>
          <w:numId w:val="10"/>
        </w:numPr>
        <w:tabs>
          <w:tab w:val="left" w:pos="397"/>
          <w:tab w:val="left" w:pos="794"/>
          <w:tab w:val="left" w:pos="1191"/>
          <w:tab w:val="left" w:pos="1588"/>
          <w:tab w:val="left" w:pos="1985"/>
        </w:tabs>
        <w:autoSpaceDE/>
        <w:autoSpaceDN/>
        <w:adjustRightInd/>
        <w:spacing w:after="120"/>
        <w:ind w:left="1077" w:hanging="357"/>
        <w:jc w:val="both"/>
        <w:rPr>
          <w:rFonts w:cs="Arial"/>
          <w:sz w:val="22"/>
          <w:szCs w:val="22"/>
          <w:lang w:val="es-ES_tradnl"/>
        </w:rPr>
      </w:pPr>
      <w:r w:rsidRPr="00382B0B">
        <w:rPr>
          <w:rFonts w:cs="Arial"/>
          <w:sz w:val="22"/>
          <w:szCs w:val="22"/>
          <w:lang w:val="es-ES_tradnl"/>
        </w:rPr>
        <w:t xml:space="preserve">Apoyar la capacitación y la transferencia de </w:t>
      </w:r>
      <w:r w:rsidR="00BC010D" w:rsidRPr="00382B0B">
        <w:rPr>
          <w:rFonts w:cs="Arial"/>
          <w:sz w:val="22"/>
          <w:szCs w:val="22"/>
          <w:lang w:val="es-ES_tradnl"/>
        </w:rPr>
        <w:t>h</w:t>
      </w:r>
      <w:r w:rsidRPr="00382B0B">
        <w:rPr>
          <w:rFonts w:cs="Arial"/>
          <w:sz w:val="22"/>
          <w:szCs w:val="22"/>
          <w:lang w:val="es-ES_tradnl"/>
        </w:rPr>
        <w:t xml:space="preserve">abilidades en lo </w:t>
      </w:r>
      <w:r w:rsidR="00C375BA" w:rsidRPr="00382B0B">
        <w:rPr>
          <w:rFonts w:cs="Arial"/>
          <w:sz w:val="22"/>
          <w:szCs w:val="22"/>
          <w:lang w:val="es-ES_tradnl"/>
        </w:rPr>
        <w:t>que respecta</w:t>
      </w:r>
      <w:r w:rsidR="00BC010D" w:rsidRPr="00382B0B">
        <w:rPr>
          <w:rFonts w:cs="Arial"/>
          <w:sz w:val="22"/>
          <w:szCs w:val="22"/>
          <w:lang w:val="es-ES_tradnl"/>
        </w:rPr>
        <w:t xml:space="preserve"> a la conservación y gest</w:t>
      </w:r>
      <w:r w:rsidRPr="00382B0B">
        <w:rPr>
          <w:rFonts w:cs="Arial"/>
          <w:sz w:val="22"/>
          <w:szCs w:val="22"/>
          <w:lang w:val="es-ES_tradnl"/>
        </w:rPr>
        <w:t xml:space="preserve">ión del guepardo y el licaón, </w:t>
      </w:r>
      <w:r w:rsidR="00BC010D" w:rsidRPr="00382B0B">
        <w:rPr>
          <w:rFonts w:cs="Arial"/>
          <w:sz w:val="22"/>
          <w:szCs w:val="22"/>
          <w:lang w:val="es-ES_tradnl"/>
        </w:rPr>
        <w:t xml:space="preserve">con un énfasis especial en el desarrollo de capacidades </w:t>
      </w:r>
      <w:r w:rsidR="00406637" w:rsidRPr="00382B0B">
        <w:rPr>
          <w:rFonts w:cs="Arial"/>
          <w:sz w:val="22"/>
          <w:szCs w:val="22"/>
          <w:lang w:val="es-ES_tradnl"/>
        </w:rPr>
        <w:t>dentro de</w:t>
      </w:r>
      <w:r w:rsidR="00BC010D" w:rsidRPr="00382B0B">
        <w:rPr>
          <w:rFonts w:cs="Arial"/>
          <w:sz w:val="22"/>
          <w:szCs w:val="22"/>
          <w:lang w:val="es-ES_tradnl"/>
        </w:rPr>
        <w:t xml:space="preserve"> las autoridades locales de </w:t>
      </w:r>
      <w:r w:rsidR="00406637" w:rsidRPr="00382B0B">
        <w:rPr>
          <w:rFonts w:cs="Arial"/>
          <w:sz w:val="22"/>
          <w:szCs w:val="22"/>
          <w:lang w:val="es-ES_tradnl"/>
        </w:rPr>
        <w:t xml:space="preserve">la </w:t>
      </w:r>
      <w:r w:rsidR="00BC010D" w:rsidRPr="00382B0B">
        <w:rPr>
          <w:rFonts w:cs="Arial"/>
          <w:sz w:val="22"/>
          <w:szCs w:val="22"/>
          <w:lang w:val="es-ES_tradnl"/>
        </w:rPr>
        <w:t xml:space="preserve">fauna </w:t>
      </w:r>
      <w:r w:rsidR="00406637" w:rsidRPr="00382B0B">
        <w:rPr>
          <w:rFonts w:cs="Arial"/>
          <w:sz w:val="22"/>
          <w:szCs w:val="22"/>
          <w:lang w:val="es-ES_tradnl"/>
        </w:rPr>
        <w:t>correspondientes</w:t>
      </w:r>
      <w:r w:rsidR="00BC010D" w:rsidRPr="00382B0B">
        <w:rPr>
          <w:rFonts w:cs="Arial"/>
          <w:sz w:val="22"/>
          <w:szCs w:val="22"/>
          <w:lang w:val="es-ES_tradnl"/>
        </w:rPr>
        <w:t>.</w:t>
      </w:r>
    </w:p>
    <w:p w14:paraId="4F882E9E" w14:textId="1943BECB" w:rsidR="00BC010D" w:rsidRPr="00382B0B" w:rsidRDefault="00B7761D" w:rsidP="000314B3">
      <w:pPr>
        <w:widowControl/>
        <w:numPr>
          <w:ilvl w:val="0"/>
          <w:numId w:val="10"/>
        </w:numPr>
        <w:tabs>
          <w:tab w:val="left" w:pos="397"/>
          <w:tab w:val="left" w:pos="794"/>
          <w:tab w:val="left" w:pos="1191"/>
          <w:tab w:val="left" w:pos="1588"/>
          <w:tab w:val="left" w:pos="1985"/>
        </w:tabs>
        <w:autoSpaceDE/>
        <w:autoSpaceDN/>
        <w:adjustRightInd/>
        <w:spacing w:after="120"/>
        <w:ind w:left="1077" w:hanging="357"/>
        <w:jc w:val="both"/>
        <w:rPr>
          <w:rFonts w:cs="Arial"/>
          <w:sz w:val="22"/>
          <w:szCs w:val="22"/>
          <w:lang w:val="es-ES_tradnl"/>
        </w:rPr>
      </w:pPr>
      <w:r w:rsidRPr="00382B0B">
        <w:rPr>
          <w:rFonts w:cs="Arial"/>
          <w:sz w:val="22"/>
          <w:szCs w:val="22"/>
          <w:lang w:val="es-ES_tradnl"/>
        </w:rPr>
        <w:t xml:space="preserve">Apoyar el desarrollo de bases de datos </w:t>
      </w:r>
      <w:r w:rsidR="007A1F06" w:rsidRPr="00382B0B">
        <w:rPr>
          <w:rFonts w:cs="Arial"/>
          <w:sz w:val="22"/>
          <w:szCs w:val="22"/>
          <w:lang w:val="es-ES_tradnl"/>
        </w:rPr>
        <w:t>pertinentes</w:t>
      </w:r>
      <w:r w:rsidRPr="00382B0B">
        <w:rPr>
          <w:rFonts w:cs="Arial"/>
          <w:sz w:val="22"/>
          <w:szCs w:val="22"/>
          <w:lang w:val="es-ES_tradnl"/>
        </w:rPr>
        <w:t xml:space="preserve">, incluyendo información sobre las poblaciones </w:t>
      </w:r>
      <w:r w:rsidR="00BC57F2" w:rsidRPr="00382B0B">
        <w:rPr>
          <w:rFonts w:cs="Arial"/>
          <w:sz w:val="22"/>
          <w:szCs w:val="22"/>
          <w:lang w:val="es-ES_tradnl"/>
        </w:rPr>
        <w:t>en</w:t>
      </w:r>
      <w:r w:rsidR="0007612F">
        <w:rPr>
          <w:rFonts w:cs="Arial"/>
          <w:sz w:val="22"/>
          <w:szCs w:val="22"/>
          <w:lang w:val="es-ES_tradnl"/>
        </w:rPr>
        <w:t xml:space="preserve"> toda</w:t>
      </w:r>
      <w:r w:rsidRPr="00382B0B">
        <w:rPr>
          <w:rFonts w:cs="Arial"/>
          <w:sz w:val="22"/>
          <w:szCs w:val="22"/>
          <w:lang w:val="es-ES_tradnl"/>
        </w:rPr>
        <w:t xml:space="preserve"> su área de distribución, avistamientos, depredación de</w:t>
      </w:r>
      <w:r w:rsidR="00BC57F2" w:rsidRPr="00382B0B">
        <w:rPr>
          <w:rFonts w:cs="Arial"/>
          <w:sz w:val="22"/>
          <w:szCs w:val="22"/>
          <w:lang w:val="es-ES_tradnl"/>
        </w:rPr>
        <w:t>l</w:t>
      </w:r>
      <w:r w:rsidRPr="00382B0B">
        <w:rPr>
          <w:rFonts w:cs="Arial"/>
          <w:sz w:val="22"/>
          <w:szCs w:val="22"/>
          <w:lang w:val="es-ES_tradnl"/>
        </w:rPr>
        <w:t xml:space="preserve"> ga</w:t>
      </w:r>
      <w:r w:rsidR="00BC57F2" w:rsidRPr="00382B0B">
        <w:rPr>
          <w:rFonts w:cs="Arial"/>
          <w:sz w:val="22"/>
          <w:szCs w:val="22"/>
          <w:lang w:val="es-ES_tradnl"/>
        </w:rPr>
        <w:t>nado, matanza y comercio ilegal</w:t>
      </w:r>
      <w:r w:rsidRPr="00382B0B">
        <w:rPr>
          <w:rFonts w:cs="Arial"/>
          <w:sz w:val="22"/>
          <w:szCs w:val="22"/>
          <w:lang w:val="es-ES_tradnl"/>
        </w:rPr>
        <w:t xml:space="preserve"> dentro de los estados del área de distribución del guepardo y el licaón, teniendo debidamente en cuenta los inventarios existentes recopilados por el Grupo Especialista en Felinos de la UICN y la Sociedad Zoo</w:t>
      </w:r>
      <w:r w:rsidR="00643B00">
        <w:rPr>
          <w:rFonts w:cs="Arial"/>
          <w:sz w:val="22"/>
          <w:szCs w:val="22"/>
          <w:lang w:val="es-ES_tradnl"/>
        </w:rPr>
        <w:t xml:space="preserve">lógica de Londres/ </w:t>
      </w:r>
      <w:proofErr w:type="spellStart"/>
      <w:r w:rsidR="00643B00">
        <w:rPr>
          <w:rFonts w:cs="Arial"/>
          <w:sz w:val="22"/>
          <w:szCs w:val="22"/>
          <w:lang w:val="es-ES_tradnl"/>
        </w:rPr>
        <w:t>Wildlife</w:t>
      </w:r>
      <w:proofErr w:type="spellEnd"/>
      <w:r w:rsidR="00643B00">
        <w:rPr>
          <w:rFonts w:cs="Arial"/>
          <w:sz w:val="22"/>
          <w:szCs w:val="22"/>
          <w:lang w:val="es-ES_tradnl"/>
        </w:rPr>
        <w:t xml:space="preserve"> </w:t>
      </w:r>
      <w:proofErr w:type="spellStart"/>
      <w:r w:rsidR="00643B00">
        <w:rPr>
          <w:rFonts w:cs="Arial"/>
          <w:sz w:val="22"/>
          <w:szCs w:val="22"/>
          <w:lang w:val="es-ES_tradnl"/>
        </w:rPr>
        <w:t>Conservation</w:t>
      </w:r>
      <w:proofErr w:type="spellEnd"/>
      <w:r w:rsidR="00643B00">
        <w:rPr>
          <w:rFonts w:cs="Arial"/>
          <w:sz w:val="22"/>
          <w:szCs w:val="22"/>
          <w:lang w:val="es-ES_tradnl"/>
        </w:rPr>
        <w:t xml:space="preserve"> </w:t>
      </w:r>
      <w:proofErr w:type="spellStart"/>
      <w:r w:rsidR="00643B00">
        <w:rPr>
          <w:rFonts w:cs="Arial"/>
          <w:sz w:val="22"/>
          <w:szCs w:val="22"/>
          <w:lang w:val="es-ES_tradnl"/>
        </w:rPr>
        <w:t>Society</w:t>
      </w:r>
      <w:proofErr w:type="spellEnd"/>
      <w:r w:rsidR="00643B00">
        <w:rPr>
          <w:rFonts w:cs="Arial"/>
          <w:sz w:val="22"/>
          <w:szCs w:val="22"/>
          <w:lang w:val="es-ES_tradnl"/>
        </w:rPr>
        <w:t xml:space="preserve">, </w:t>
      </w:r>
      <w:r w:rsidR="00BC57F2" w:rsidRPr="00382B0B">
        <w:rPr>
          <w:rFonts w:cs="Arial"/>
          <w:sz w:val="22"/>
          <w:szCs w:val="22"/>
          <w:lang w:val="es-ES_tradnl"/>
        </w:rPr>
        <w:t>así como otra</w:t>
      </w:r>
      <w:r w:rsidRPr="00382B0B">
        <w:rPr>
          <w:rFonts w:cs="Arial"/>
          <w:sz w:val="22"/>
          <w:szCs w:val="22"/>
          <w:lang w:val="es-ES_tradnl"/>
        </w:rPr>
        <w:t>s organizaciones.</w:t>
      </w:r>
    </w:p>
    <w:p w14:paraId="7EE34CD2" w14:textId="59BC4748" w:rsidR="00191569" w:rsidRPr="00382B0B" w:rsidRDefault="00191569" w:rsidP="000314B3">
      <w:pPr>
        <w:widowControl/>
        <w:numPr>
          <w:ilvl w:val="0"/>
          <w:numId w:val="10"/>
        </w:numPr>
        <w:tabs>
          <w:tab w:val="left" w:pos="397"/>
          <w:tab w:val="left" w:pos="794"/>
          <w:tab w:val="left" w:pos="1191"/>
          <w:tab w:val="left" w:pos="1588"/>
          <w:tab w:val="left" w:pos="1985"/>
        </w:tabs>
        <w:autoSpaceDE/>
        <w:autoSpaceDN/>
        <w:adjustRightInd/>
        <w:spacing w:after="120"/>
        <w:ind w:left="1077" w:hanging="357"/>
        <w:jc w:val="both"/>
        <w:rPr>
          <w:rFonts w:cs="Arial"/>
          <w:sz w:val="22"/>
          <w:szCs w:val="22"/>
          <w:lang w:val="es-ES_tradnl"/>
        </w:rPr>
      </w:pPr>
      <w:r w:rsidRPr="00382B0B">
        <w:rPr>
          <w:rFonts w:cs="Arial"/>
          <w:sz w:val="22"/>
          <w:szCs w:val="22"/>
          <w:lang w:val="es-ES_tradnl"/>
        </w:rPr>
        <w:t>Ayudar a las Partes a compartir información</w:t>
      </w:r>
      <w:r w:rsidR="001C1156" w:rsidRPr="00382B0B">
        <w:rPr>
          <w:rFonts w:cs="Arial"/>
          <w:sz w:val="22"/>
          <w:szCs w:val="22"/>
          <w:lang w:val="es-ES_tradnl"/>
        </w:rPr>
        <w:t xml:space="preserve"> sobre el comercio de las especies, incluyendo niveles y origen de las especies en el comercio con Burkina Faso.</w:t>
      </w:r>
    </w:p>
    <w:p w14:paraId="3DB38322" w14:textId="113DC03D" w:rsidR="00EF1CF9" w:rsidRPr="00382B0B" w:rsidRDefault="00EF1CF9" w:rsidP="002E1F94">
      <w:pPr>
        <w:widowControl/>
        <w:numPr>
          <w:ilvl w:val="0"/>
          <w:numId w:val="10"/>
        </w:numPr>
        <w:tabs>
          <w:tab w:val="left" w:pos="397"/>
          <w:tab w:val="left" w:pos="794"/>
          <w:tab w:val="left" w:pos="1191"/>
          <w:tab w:val="left" w:pos="1588"/>
          <w:tab w:val="left" w:pos="1985"/>
        </w:tabs>
        <w:autoSpaceDE/>
        <w:autoSpaceDN/>
        <w:adjustRightInd/>
        <w:ind w:left="1080"/>
        <w:contextualSpacing/>
        <w:jc w:val="both"/>
        <w:rPr>
          <w:rFonts w:cs="Arial"/>
          <w:sz w:val="22"/>
          <w:szCs w:val="22"/>
          <w:lang w:val="es-ES_tradnl"/>
        </w:rPr>
      </w:pPr>
      <w:r w:rsidRPr="00382B0B">
        <w:rPr>
          <w:rFonts w:cs="Arial"/>
          <w:sz w:val="22"/>
          <w:szCs w:val="22"/>
          <w:lang w:val="es-ES_tradnl"/>
        </w:rPr>
        <w:t>Promover la recaudación de fondos para apoyar la implementación efectiva de los planes de conservación y gestión y es</w:t>
      </w:r>
      <w:r w:rsidR="00D93707">
        <w:rPr>
          <w:rFonts w:cs="Arial"/>
          <w:sz w:val="22"/>
          <w:szCs w:val="22"/>
          <w:lang w:val="es-ES_tradnl"/>
        </w:rPr>
        <w:t>trategias para el guepardo y el licaón</w:t>
      </w:r>
      <w:r w:rsidRPr="00382B0B">
        <w:rPr>
          <w:rFonts w:cs="Arial"/>
          <w:sz w:val="22"/>
          <w:szCs w:val="22"/>
          <w:lang w:val="es-ES_tradnl"/>
        </w:rPr>
        <w:t>.</w:t>
      </w:r>
    </w:p>
    <w:p w14:paraId="12E4E78B" w14:textId="77777777" w:rsidR="00403EB8" w:rsidRPr="00382B0B" w:rsidRDefault="00403EB8" w:rsidP="002E1F94">
      <w:pPr>
        <w:ind w:left="1080"/>
        <w:contextualSpacing/>
        <w:jc w:val="both"/>
        <w:rPr>
          <w:rFonts w:cs="Arial"/>
          <w:sz w:val="22"/>
          <w:szCs w:val="22"/>
          <w:highlight w:val="yellow"/>
          <w:lang w:val="es-ES_tradnl"/>
        </w:rPr>
      </w:pPr>
    </w:p>
    <w:p w14:paraId="13065716" w14:textId="58662A53" w:rsidR="00365953" w:rsidRPr="00382B0B" w:rsidRDefault="004655F7" w:rsidP="002E1F94">
      <w:pPr>
        <w:widowControl/>
        <w:numPr>
          <w:ilvl w:val="0"/>
          <w:numId w:val="11"/>
        </w:numPr>
        <w:tabs>
          <w:tab w:val="left" w:pos="397"/>
          <w:tab w:val="left" w:pos="794"/>
          <w:tab w:val="left" w:pos="1191"/>
          <w:tab w:val="left" w:pos="1588"/>
          <w:tab w:val="left" w:pos="1985"/>
        </w:tabs>
        <w:autoSpaceDE/>
        <w:autoSpaceDN/>
        <w:adjustRightInd/>
        <w:contextualSpacing/>
        <w:jc w:val="both"/>
        <w:rPr>
          <w:rFonts w:cs="Arial"/>
          <w:sz w:val="22"/>
          <w:szCs w:val="22"/>
          <w:lang w:val="es-ES_tradnl"/>
        </w:rPr>
      </w:pPr>
      <w:r w:rsidRPr="00382B0B">
        <w:rPr>
          <w:rFonts w:cs="Arial"/>
          <w:sz w:val="22"/>
          <w:szCs w:val="22"/>
          <w:lang w:val="es-ES_tradnl"/>
        </w:rPr>
        <w:t xml:space="preserve">Alentar a los estados del área de distribución del guepardo y del licaón que todavía no son Partes de la Convención a </w:t>
      </w:r>
      <w:r w:rsidR="00F14D89" w:rsidRPr="00382B0B">
        <w:rPr>
          <w:rFonts w:cs="Arial"/>
          <w:sz w:val="22"/>
          <w:szCs w:val="22"/>
          <w:lang w:val="es-ES_tradnl"/>
        </w:rPr>
        <w:t>convertirse en</w:t>
      </w:r>
      <w:r w:rsidRPr="00382B0B">
        <w:rPr>
          <w:rFonts w:cs="Arial"/>
          <w:sz w:val="22"/>
          <w:szCs w:val="22"/>
          <w:lang w:val="es-ES_tradnl"/>
        </w:rPr>
        <w:t xml:space="preserve"> Partes de la Convenció</w:t>
      </w:r>
      <w:r w:rsidR="00837E59" w:rsidRPr="00382B0B">
        <w:rPr>
          <w:rFonts w:cs="Arial"/>
          <w:sz w:val="22"/>
          <w:szCs w:val="22"/>
          <w:lang w:val="es-ES_tradnl"/>
        </w:rPr>
        <w:t>n.</w:t>
      </w:r>
    </w:p>
    <w:p w14:paraId="1E77C314" w14:textId="77777777" w:rsidR="00403EB8" w:rsidRPr="00382B0B" w:rsidRDefault="00403EB8" w:rsidP="002E1F94">
      <w:pPr>
        <w:ind w:left="720"/>
        <w:contextualSpacing/>
        <w:jc w:val="both"/>
        <w:rPr>
          <w:rFonts w:cs="Arial"/>
          <w:sz w:val="22"/>
          <w:szCs w:val="22"/>
          <w:highlight w:val="yellow"/>
          <w:lang w:val="es-ES_tradnl"/>
        </w:rPr>
      </w:pPr>
    </w:p>
    <w:p w14:paraId="5F0E766B" w14:textId="3FBCEE7F" w:rsidR="00837E59" w:rsidRPr="00382B0B" w:rsidRDefault="00837E59" w:rsidP="002E1F94">
      <w:pPr>
        <w:widowControl/>
        <w:numPr>
          <w:ilvl w:val="0"/>
          <w:numId w:val="11"/>
        </w:numPr>
        <w:tabs>
          <w:tab w:val="left" w:pos="397"/>
          <w:tab w:val="left" w:pos="794"/>
          <w:tab w:val="left" w:pos="1191"/>
          <w:tab w:val="left" w:pos="1588"/>
          <w:tab w:val="left" w:pos="1985"/>
        </w:tabs>
        <w:autoSpaceDE/>
        <w:autoSpaceDN/>
        <w:adjustRightInd/>
        <w:contextualSpacing/>
        <w:jc w:val="both"/>
        <w:rPr>
          <w:rFonts w:cs="Arial"/>
          <w:sz w:val="22"/>
          <w:szCs w:val="22"/>
          <w:lang w:val="es-ES_tradnl"/>
        </w:rPr>
      </w:pPr>
      <w:r w:rsidRPr="00382B0B">
        <w:rPr>
          <w:rFonts w:cs="Arial"/>
          <w:sz w:val="22"/>
          <w:szCs w:val="22"/>
          <w:lang w:val="es-ES_tradnl"/>
        </w:rPr>
        <w:t>Informar al Comité Permanente en su 48ª y 49ª reunión sobre la implementación de las decisiones mencionada</w:t>
      </w:r>
      <w:r w:rsidR="00B22327">
        <w:rPr>
          <w:rFonts w:cs="Arial"/>
          <w:sz w:val="22"/>
          <w:szCs w:val="22"/>
          <w:lang w:val="es-ES_tradnl"/>
        </w:rPr>
        <w:t>s</w:t>
      </w:r>
      <w:r w:rsidRPr="00382B0B">
        <w:rPr>
          <w:rFonts w:cs="Arial"/>
          <w:sz w:val="22"/>
          <w:szCs w:val="22"/>
          <w:lang w:val="es-ES_tradnl"/>
        </w:rPr>
        <w:t xml:space="preserve"> más arriba.</w:t>
      </w:r>
    </w:p>
    <w:p w14:paraId="1AF9F0A9" w14:textId="233D1CE2" w:rsidR="00403EB8" w:rsidRPr="00382B0B" w:rsidRDefault="00403EB8" w:rsidP="002E1F94">
      <w:pPr>
        <w:jc w:val="both"/>
        <w:rPr>
          <w:rFonts w:cs="Arial"/>
          <w:sz w:val="22"/>
          <w:szCs w:val="22"/>
          <w:lang w:val="es-ES_tradnl"/>
        </w:rPr>
      </w:pPr>
    </w:p>
    <w:p w14:paraId="7A89D062" w14:textId="77777777" w:rsidR="002E1F94" w:rsidRPr="00382B0B" w:rsidRDefault="002E1F94" w:rsidP="002E1F94">
      <w:pPr>
        <w:jc w:val="both"/>
        <w:rPr>
          <w:rFonts w:cs="Arial"/>
          <w:sz w:val="22"/>
          <w:szCs w:val="22"/>
          <w:lang w:val="es-ES_tradnl"/>
        </w:rPr>
      </w:pPr>
    </w:p>
    <w:p w14:paraId="4AF2C877" w14:textId="11DB1C24" w:rsidR="00B87333" w:rsidRPr="00382B0B" w:rsidRDefault="00B87333" w:rsidP="002E1F94">
      <w:pPr>
        <w:jc w:val="both"/>
        <w:rPr>
          <w:rFonts w:cs="Arial"/>
          <w:b/>
          <w:i/>
          <w:sz w:val="22"/>
          <w:szCs w:val="22"/>
          <w:lang w:val="es-ES_tradnl"/>
        </w:rPr>
      </w:pPr>
      <w:r w:rsidRPr="00382B0B">
        <w:rPr>
          <w:rFonts w:cs="Arial"/>
          <w:b/>
          <w:i/>
          <w:sz w:val="22"/>
          <w:szCs w:val="22"/>
          <w:lang w:val="es-ES_tradnl"/>
        </w:rPr>
        <w:t>Dirigidas a las Partes del área de distribución</w:t>
      </w:r>
    </w:p>
    <w:p w14:paraId="62864CB7" w14:textId="77777777" w:rsidR="00403EB8" w:rsidRPr="00382B0B" w:rsidRDefault="00403EB8" w:rsidP="002E1F94">
      <w:pPr>
        <w:jc w:val="both"/>
        <w:rPr>
          <w:rFonts w:cs="Arial"/>
          <w:sz w:val="22"/>
          <w:szCs w:val="22"/>
          <w:highlight w:val="green"/>
          <w:lang w:val="es-ES_tradnl"/>
        </w:rPr>
      </w:pPr>
    </w:p>
    <w:p w14:paraId="3F0FF303" w14:textId="014ACB57" w:rsidR="009D465E" w:rsidRPr="00382B0B" w:rsidRDefault="00403EB8" w:rsidP="002E1F94">
      <w:pPr>
        <w:ind w:left="720" w:hanging="720"/>
        <w:jc w:val="both"/>
        <w:rPr>
          <w:rFonts w:cs="Arial"/>
          <w:iCs/>
          <w:sz w:val="22"/>
          <w:szCs w:val="22"/>
          <w:lang w:val="es-ES_tradnl"/>
        </w:rPr>
      </w:pPr>
      <w:r w:rsidRPr="00382B0B">
        <w:rPr>
          <w:rFonts w:cs="Arial"/>
          <w:sz w:val="22"/>
          <w:szCs w:val="22"/>
          <w:lang w:val="es-ES_tradnl"/>
        </w:rPr>
        <w:t>12.BB</w:t>
      </w:r>
      <w:r w:rsidRPr="00382B0B">
        <w:rPr>
          <w:rFonts w:cs="Arial"/>
          <w:sz w:val="22"/>
          <w:szCs w:val="22"/>
          <w:lang w:val="es-ES_tradnl"/>
        </w:rPr>
        <w:tab/>
      </w:r>
      <w:r w:rsidRPr="00382B0B">
        <w:rPr>
          <w:rFonts w:cs="Arial"/>
          <w:iCs/>
          <w:sz w:val="22"/>
          <w:szCs w:val="22"/>
          <w:lang w:val="es-ES_tradnl"/>
        </w:rPr>
        <w:t xml:space="preserve"> </w:t>
      </w:r>
      <w:r w:rsidR="009D465E" w:rsidRPr="00382B0B">
        <w:rPr>
          <w:rFonts w:cs="Arial"/>
          <w:iCs/>
          <w:sz w:val="22"/>
          <w:szCs w:val="22"/>
          <w:lang w:val="es-ES_tradnl"/>
        </w:rPr>
        <w:t>Se solicita a las Partes:</w:t>
      </w:r>
    </w:p>
    <w:p w14:paraId="2AE56752" w14:textId="77777777" w:rsidR="00403EB8" w:rsidRPr="00382B0B" w:rsidRDefault="00403EB8" w:rsidP="002E1F94">
      <w:pPr>
        <w:ind w:left="720" w:hanging="720"/>
        <w:jc w:val="both"/>
        <w:rPr>
          <w:rFonts w:cs="Arial"/>
          <w:iCs/>
          <w:sz w:val="22"/>
          <w:szCs w:val="22"/>
          <w:highlight w:val="green"/>
          <w:lang w:val="es-ES_tradnl"/>
        </w:rPr>
      </w:pPr>
    </w:p>
    <w:p w14:paraId="4FBCE5B3" w14:textId="471943B7" w:rsidR="00341E5E" w:rsidRPr="00382B0B" w:rsidRDefault="00341E5E" w:rsidP="000314B3">
      <w:pPr>
        <w:widowControl/>
        <w:numPr>
          <w:ilvl w:val="0"/>
          <w:numId w:val="5"/>
        </w:numPr>
        <w:tabs>
          <w:tab w:val="left" w:pos="397"/>
          <w:tab w:val="left" w:pos="794"/>
          <w:tab w:val="left" w:pos="1191"/>
          <w:tab w:val="left" w:pos="1588"/>
          <w:tab w:val="left" w:pos="1985"/>
        </w:tabs>
        <w:autoSpaceDE/>
        <w:autoSpaceDN/>
        <w:adjustRightInd/>
        <w:spacing w:after="120"/>
        <w:ind w:left="714" w:hanging="357"/>
        <w:jc w:val="both"/>
        <w:rPr>
          <w:rFonts w:cs="Arial"/>
          <w:iCs/>
          <w:sz w:val="22"/>
          <w:szCs w:val="22"/>
          <w:lang w:val="es-ES_tradnl"/>
        </w:rPr>
      </w:pPr>
      <w:r w:rsidRPr="00382B0B">
        <w:rPr>
          <w:rFonts w:cs="Arial"/>
          <w:iCs/>
          <w:sz w:val="22"/>
          <w:szCs w:val="22"/>
          <w:lang w:val="es-ES_tradnl"/>
        </w:rPr>
        <w:t>Colaborar en la implementación de las decisiones</w:t>
      </w:r>
      <w:r w:rsidR="00432C7E" w:rsidRPr="00382B0B">
        <w:rPr>
          <w:rFonts w:cs="Arial"/>
          <w:iCs/>
          <w:sz w:val="22"/>
          <w:szCs w:val="22"/>
          <w:lang w:val="es-ES_tradnl"/>
        </w:rPr>
        <w:t xml:space="preserve"> recogidas en el párrafo a) 1-6.</w:t>
      </w:r>
    </w:p>
    <w:p w14:paraId="6251B560" w14:textId="2FEBD845" w:rsidR="00341E5E" w:rsidRPr="00382B0B" w:rsidRDefault="00341E5E" w:rsidP="000314B3">
      <w:pPr>
        <w:widowControl/>
        <w:numPr>
          <w:ilvl w:val="0"/>
          <w:numId w:val="5"/>
        </w:numPr>
        <w:tabs>
          <w:tab w:val="left" w:pos="397"/>
          <w:tab w:val="left" w:pos="794"/>
          <w:tab w:val="left" w:pos="1191"/>
          <w:tab w:val="left" w:pos="1588"/>
          <w:tab w:val="left" w:pos="1985"/>
        </w:tabs>
        <w:autoSpaceDE/>
        <w:autoSpaceDN/>
        <w:adjustRightInd/>
        <w:spacing w:after="120"/>
        <w:ind w:left="714" w:hanging="357"/>
        <w:jc w:val="both"/>
        <w:rPr>
          <w:rFonts w:cs="Arial"/>
          <w:sz w:val="22"/>
          <w:szCs w:val="22"/>
          <w:lang w:val="es-ES_tradnl"/>
        </w:rPr>
      </w:pPr>
      <w:r w:rsidRPr="00382B0B">
        <w:rPr>
          <w:rFonts w:cs="Arial"/>
          <w:sz w:val="22"/>
          <w:szCs w:val="22"/>
          <w:lang w:val="es-ES_tradnl"/>
        </w:rPr>
        <w:t>Desarrollar e implementar dentro de las comunidades estrategias basadas en pruebas que reduzcan la depredación del gan</w:t>
      </w:r>
      <w:r w:rsidR="00432C7E" w:rsidRPr="00382B0B">
        <w:rPr>
          <w:rFonts w:cs="Arial"/>
          <w:sz w:val="22"/>
          <w:szCs w:val="22"/>
          <w:lang w:val="es-ES_tradnl"/>
        </w:rPr>
        <w:t>ado por el guepardo y el licaón.</w:t>
      </w:r>
    </w:p>
    <w:p w14:paraId="51670EC0" w14:textId="3FF15F9C" w:rsidR="009C3761" w:rsidRPr="00382B0B" w:rsidRDefault="009C3761" w:rsidP="000314B3">
      <w:pPr>
        <w:widowControl/>
        <w:numPr>
          <w:ilvl w:val="0"/>
          <w:numId w:val="5"/>
        </w:numPr>
        <w:tabs>
          <w:tab w:val="left" w:pos="397"/>
          <w:tab w:val="left" w:pos="794"/>
          <w:tab w:val="left" w:pos="1191"/>
          <w:tab w:val="left" w:pos="1588"/>
          <w:tab w:val="left" w:pos="1985"/>
        </w:tabs>
        <w:autoSpaceDE/>
        <w:autoSpaceDN/>
        <w:adjustRightInd/>
        <w:spacing w:after="120"/>
        <w:ind w:left="714" w:hanging="357"/>
        <w:jc w:val="both"/>
        <w:rPr>
          <w:rFonts w:cs="Arial"/>
          <w:sz w:val="22"/>
          <w:szCs w:val="22"/>
          <w:lang w:val="es-ES_tradnl"/>
        </w:rPr>
      </w:pPr>
      <w:r w:rsidRPr="00382B0B">
        <w:rPr>
          <w:rFonts w:cs="Arial"/>
          <w:sz w:val="22"/>
          <w:szCs w:val="22"/>
          <w:lang w:val="es-ES_tradnl"/>
        </w:rPr>
        <w:t>Desarrollar e implementar dentro de las comunidades estrategias basadas en pruebas</w:t>
      </w:r>
      <w:r w:rsidR="00214059" w:rsidRPr="00382B0B">
        <w:rPr>
          <w:rFonts w:cs="Arial"/>
          <w:sz w:val="22"/>
          <w:szCs w:val="22"/>
          <w:lang w:val="es-ES_tradnl"/>
        </w:rPr>
        <w:t xml:space="preserve"> que reduzcan la transmisión de enfermedades a los licaones.</w:t>
      </w:r>
    </w:p>
    <w:p w14:paraId="29EDAF34" w14:textId="22D894F7" w:rsidR="00214059" w:rsidRPr="00382B0B" w:rsidRDefault="00214059" w:rsidP="000314B3">
      <w:pPr>
        <w:widowControl/>
        <w:numPr>
          <w:ilvl w:val="0"/>
          <w:numId w:val="5"/>
        </w:numPr>
        <w:tabs>
          <w:tab w:val="left" w:pos="397"/>
          <w:tab w:val="left" w:pos="794"/>
          <w:tab w:val="left" w:pos="1191"/>
          <w:tab w:val="left" w:pos="1588"/>
          <w:tab w:val="left" w:pos="1985"/>
        </w:tabs>
        <w:autoSpaceDE/>
        <w:autoSpaceDN/>
        <w:adjustRightInd/>
        <w:spacing w:after="120"/>
        <w:ind w:left="714" w:hanging="357"/>
        <w:jc w:val="both"/>
        <w:rPr>
          <w:rFonts w:cs="Arial"/>
          <w:sz w:val="22"/>
          <w:szCs w:val="22"/>
          <w:lang w:val="es-ES_tradnl"/>
        </w:rPr>
      </w:pPr>
      <w:r w:rsidRPr="00382B0B">
        <w:rPr>
          <w:rFonts w:cs="Arial"/>
          <w:sz w:val="22"/>
          <w:szCs w:val="22"/>
          <w:lang w:val="es-ES_tradnl"/>
        </w:rPr>
        <w:t>Promover mecanismos de generación de ingresos basados en la fauna que bene</w:t>
      </w:r>
      <w:r w:rsidR="009650E5" w:rsidRPr="00382B0B">
        <w:rPr>
          <w:rFonts w:cs="Arial"/>
          <w:sz w:val="22"/>
          <w:szCs w:val="22"/>
          <w:lang w:val="es-ES_tradnl"/>
        </w:rPr>
        <w:t>ficien tanto a las personas como a la fauna.</w:t>
      </w:r>
    </w:p>
    <w:p w14:paraId="5885EF7A" w14:textId="1709FECE" w:rsidR="00E0654C" w:rsidRPr="00382B0B" w:rsidRDefault="00E0654C" w:rsidP="000F75CE">
      <w:pPr>
        <w:widowControl/>
        <w:numPr>
          <w:ilvl w:val="0"/>
          <w:numId w:val="5"/>
        </w:numPr>
        <w:tabs>
          <w:tab w:val="left" w:pos="397"/>
          <w:tab w:val="left" w:pos="794"/>
          <w:tab w:val="left" w:pos="1191"/>
          <w:tab w:val="left" w:pos="1588"/>
          <w:tab w:val="left" w:pos="1985"/>
        </w:tabs>
        <w:autoSpaceDE/>
        <w:autoSpaceDN/>
        <w:adjustRightInd/>
        <w:spacing w:after="120"/>
        <w:ind w:left="714" w:hanging="357"/>
        <w:jc w:val="both"/>
        <w:rPr>
          <w:rFonts w:cs="Arial"/>
          <w:sz w:val="22"/>
          <w:szCs w:val="22"/>
          <w:lang w:val="es-ES_tradnl"/>
        </w:rPr>
      </w:pPr>
      <w:r w:rsidRPr="00382B0B">
        <w:rPr>
          <w:rFonts w:cs="Arial"/>
          <w:sz w:val="22"/>
          <w:szCs w:val="22"/>
          <w:lang w:val="es-ES_tradnl"/>
        </w:rPr>
        <w:lastRenderedPageBreak/>
        <w:t xml:space="preserve">Proporcionar </w:t>
      </w:r>
      <w:r w:rsidR="003725D1" w:rsidRPr="00382B0B">
        <w:rPr>
          <w:rFonts w:cs="Arial"/>
          <w:sz w:val="22"/>
          <w:szCs w:val="22"/>
          <w:lang w:val="es-ES_tradnl"/>
        </w:rPr>
        <w:t>un marco de políticas</w:t>
      </w:r>
      <w:r w:rsidR="00517685">
        <w:rPr>
          <w:rFonts w:cs="Arial"/>
          <w:sz w:val="22"/>
          <w:szCs w:val="22"/>
          <w:lang w:val="es-ES_tradnl"/>
        </w:rPr>
        <w:t xml:space="preserve"> que apoye más</w:t>
      </w:r>
      <w:r w:rsidR="003725D1" w:rsidRPr="00382B0B">
        <w:rPr>
          <w:rFonts w:cs="Arial"/>
          <w:sz w:val="22"/>
          <w:szCs w:val="22"/>
          <w:lang w:val="es-ES_tradnl"/>
        </w:rPr>
        <w:t xml:space="preserve"> </w:t>
      </w:r>
      <w:r w:rsidR="005636A5" w:rsidRPr="00382B0B">
        <w:rPr>
          <w:rFonts w:cs="Arial"/>
          <w:sz w:val="22"/>
          <w:szCs w:val="22"/>
          <w:lang w:val="es-ES_tradnl"/>
        </w:rPr>
        <w:t xml:space="preserve">a </w:t>
      </w:r>
      <w:r w:rsidR="003725D1" w:rsidRPr="00382B0B">
        <w:rPr>
          <w:rFonts w:cs="Arial"/>
          <w:sz w:val="22"/>
          <w:szCs w:val="22"/>
          <w:lang w:val="es-ES_tradnl"/>
        </w:rPr>
        <w:t>los negocios basados en la utilización sostenible de la fauna.</w:t>
      </w:r>
    </w:p>
    <w:p w14:paraId="32F57246" w14:textId="6A0B3238" w:rsidR="000F75CE" w:rsidRPr="00382B0B" w:rsidRDefault="0020229E" w:rsidP="000F75CE">
      <w:pPr>
        <w:widowControl/>
        <w:numPr>
          <w:ilvl w:val="0"/>
          <w:numId w:val="5"/>
        </w:numPr>
        <w:tabs>
          <w:tab w:val="left" w:pos="397"/>
          <w:tab w:val="left" w:pos="794"/>
          <w:tab w:val="left" w:pos="1191"/>
          <w:tab w:val="left" w:pos="1588"/>
          <w:tab w:val="left" w:pos="1985"/>
        </w:tabs>
        <w:autoSpaceDE/>
        <w:autoSpaceDN/>
        <w:adjustRightInd/>
        <w:spacing w:after="120"/>
        <w:ind w:left="714" w:hanging="357"/>
        <w:jc w:val="both"/>
        <w:rPr>
          <w:rFonts w:cs="Arial"/>
          <w:sz w:val="22"/>
          <w:szCs w:val="22"/>
          <w:lang w:val="es-ES_tradnl"/>
        </w:rPr>
      </w:pPr>
      <w:r w:rsidRPr="00382B0B">
        <w:rPr>
          <w:rFonts w:cs="Arial"/>
          <w:sz w:val="22"/>
          <w:szCs w:val="22"/>
          <w:lang w:val="es-ES_tradnl"/>
        </w:rPr>
        <w:t xml:space="preserve">Asegurar que la legislación que protege a los guepardos y </w:t>
      </w:r>
      <w:r w:rsidR="005636A5" w:rsidRPr="00382B0B">
        <w:rPr>
          <w:rFonts w:cs="Arial"/>
          <w:sz w:val="22"/>
          <w:szCs w:val="22"/>
          <w:lang w:val="es-ES_tradnl"/>
        </w:rPr>
        <w:t xml:space="preserve">a </w:t>
      </w:r>
      <w:r w:rsidRPr="00382B0B">
        <w:rPr>
          <w:rFonts w:cs="Arial"/>
          <w:sz w:val="22"/>
          <w:szCs w:val="22"/>
          <w:lang w:val="es-ES_tradnl"/>
        </w:rPr>
        <w:t>los licaones se cumple</w:t>
      </w:r>
      <w:r w:rsidR="00855817" w:rsidRPr="00382B0B">
        <w:rPr>
          <w:rFonts w:cs="Arial"/>
          <w:sz w:val="22"/>
          <w:szCs w:val="22"/>
          <w:lang w:val="es-ES_tradnl"/>
        </w:rPr>
        <w:t xml:space="preserve"> y que las sanciones por incumplimiento son lo suficientemente altas </w:t>
      </w:r>
      <w:r w:rsidR="00203A83">
        <w:rPr>
          <w:rFonts w:cs="Arial"/>
          <w:sz w:val="22"/>
          <w:szCs w:val="22"/>
          <w:lang w:val="es-ES_tradnl"/>
        </w:rPr>
        <w:t xml:space="preserve">como </w:t>
      </w:r>
      <w:r w:rsidR="00855817" w:rsidRPr="00382B0B">
        <w:rPr>
          <w:rFonts w:cs="Arial"/>
          <w:sz w:val="22"/>
          <w:szCs w:val="22"/>
          <w:lang w:val="es-ES_tradnl"/>
        </w:rPr>
        <w:t xml:space="preserve">para </w:t>
      </w:r>
      <w:r w:rsidR="005636A5" w:rsidRPr="00382B0B">
        <w:rPr>
          <w:rFonts w:cs="Arial"/>
          <w:sz w:val="22"/>
          <w:szCs w:val="22"/>
          <w:lang w:val="es-ES_tradnl"/>
        </w:rPr>
        <w:t>tener un efecto</w:t>
      </w:r>
      <w:r w:rsidR="00855817" w:rsidRPr="00382B0B">
        <w:rPr>
          <w:rFonts w:cs="Arial"/>
          <w:sz w:val="22"/>
          <w:szCs w:val="22"/>
          <w:lang w:val="es-ES_tradnl"/>
        </w:rPr>
        <w:t xml:space="preserve"> disuasorio.</w:t>
      </w:r>
    </w:p>
    <w:p w14:paraId="697FEBAA" w14:textId="4BC42190" w:rsidR="00855817" w:rsidRPr="00382B0B" w:rsidRDefault="00855817" w:rsidP="000314B3">
      <w:pPr>
        <w:widowControl/>
        <w:numPr>
          <w:ilvl w:val="0"/>
          <w:numId w:val="5"/>
        </w:numPr>
        <w:tabs>
          <w:tab w:val="left" w:pos="397"/>
          <w:tab w:val="left" w:pos="794"/>
          <w:tab w:val="left" w:pos="1191"/>
          <w:tab w:val="left" w:pos="1588"/>
          <w:tab w:val="left" w:pos="1985"/>
        </w:tabs>
        <w:autoSpaceDE/>
        <w:autoSpaceDN/>
        <w:adjustRightInd/>
        <w:spacing w:after="120"/>
        <w:ind w:left="714" w:hanging="357"/>
        <w:jc w:val="both"/>
        <w:rPr>
          <w:rFonts w:cs="Arial"/>
          <w:sz w:val="22"/>
          <w:szCs w:val="22"/>
          <w:lang w:val="es-ES_tradnl"/>
        </w:rPr>
      </w:pPr>
      <w:r w:rsidRPr="00382B0B">
        <w:rPr>
          <w:rFonts w:cs="Arial"/>
          <w:sz w:val="22"/>
          <w:szCs w:val="22"/>
          <w:lang w:val="es-ES_tradnl"/>
        </w:rPr>
        <w:t xml:space="preserve">Hacer cumplir la protección dentro de las áreas protegidas y mantener zonas de amortiguación y de conectividad </w:t>
      </w:r>
      <w:r w:rsidR="00210803" w:rsidRPr="00382B0B">
        <w:rPr>
          <w:rFonts w:cs="Arial"/>
          <w:sz w:val="22"/>
          <w:szCs w:val="22"/>
          <w:lang w:val="es-ES_tradnl"/>
        </w:rPr>
        <w:t>fuera del</w:t>
      </w:r>
      <w:r w:rsidRPr="00382B0B">
        <w:rPr>
          <w:rFonts w:cs="Arial"/>
          <w:sz w:val="22"/>
          <w:szCs w:val="22"/>
          <w:lang w:val="es-ES_tradnl"/>
        </w:rPr>
        <w:t xml:space="preserve"> perímetro, con el fin de garantizar los vastos paisajes necesarios para la conservación del guepardo y del licaón.</w:t>
      </w:r>
    </w:p>
    <w:p w14:paraId="618D9241" w14:textId="621339F8" w:rsidR="002521C9" w:rsidRPr="00382B0B" w:rsidRDefault="002521C9" w:rsidP="000314B3">
      <w:pPr>
        <w:widowControl/>
        <w:numPr>
          <w:ilvl w:val="0"/>
          <w:numId w:val="5"/>
        </w:numPr>
        <w:tabs>
          <w:tab w:val="left" w:pos="397"/>
          <w:tab w:val="left" w:pos="794"/>
          <w:tab w:val="left" w:pos="1191"/>
          <w:tab w:val="left" w:pos="1588"/>
          <w:tab w:val="left" w:pos="1985"/>
        </w:tabs>
        <w:autoSpaceDE/>
        <w:autoSpaceDN/>
        <w:adjustRightInd/>
        <w:spacing w:after="120"/>
        <w:ind w:left="714" w:hanging="357"/>
        <w:jc w:val="both"/>
        <w:rPr>
          <w:rFonts w:cs="Arial"/>
          <w:sz w:val="22"/>
          <w:szCs w:val="22"/>
          <w:lang w:val="es-ES_tradnl"/>
        </w:rPr>
      </w:pPr>
      <w:r w:rsidRPr="00382B0B">
        <w:rPr>
          <w:rFonts w:cs="Arial"/>
          <w:sz w:val="22"/>
          <w:szCs w:val="22"/>
          <w:lang w:val="es-ES_tradnl"/>
        </w:rPr>
        <w:t>Garantizar que todo el desarrollo de infraestructu</w:t>
      </w:r>
      <w:r w:rsidR="00694B7B">
        <w:rPr>
          <w:rFonts w:cs="Arial"/>
          <w:sz w:val="22"/>
          <w:szCs w:val="22"/>
          <w:lang w:val="es-ES_tradnl"/>
        </w:rPr>
        <w:t>ras a gran escala, incluyendo</w:t>
      </w:r>
      <w:r w:rsidRPr="00382B0B">
        <w:rPr>
          <w:rFonts w:cs="Arial"/>
          <w:sz w:val="22"/>
          <w:szCs w:val="22"/>
          <w:lang w:val="es-ES_tradnl"/>
        </w:rPr>
        <w:t xml:space="preserve"> vallado</w:t>
      </w:r>
      <w:r w:rsidR="00872558" w:rsidRPr="00382B0B">
        <w:rPr>
          <w:rFonts w:cs="Arial"/>
          <w:sz w:val="22"/>
          <w:szCs w:val="22"/>
          <w:lang w:val="es-ES_tradnl"/>
        </w:rPr>
        <w:t>s</w:t>
      </w:r>
      <w:r w:rsidRPr="00382B0B">
        <w:rPr>
          <w:rFonts w:cs="Arial"/>
          <w:sz w:val="22"/>
          <w:szCs w:val="22"/>
          <w:lang w:val="es-ES_tradnl"/>
        </w:rPr>
        <w:t xml:space="preserve"> y con</w:t>
      </w:r>
      <w:r w:rsidR="00872558" w:rsidRPr="00382B0B">
        <w:rPr>
          <w:rFonts w:cs="Arial"/>
          <w:sz w:val="22"/>
          <w:szCs w:val="22"/>
          <w:lang w:val="es-ES_tradnl"/>
        </w:rPr>
        <w:t>strucción de carreteras, permita</w:t>
      </w:r>
      <w:r w:rsidRPr="00382B0B">
        <w:rPr>
          <w:rFonts w:cs="Arial"/>
          <w:sz w:val="22"/>
          <w:szCs w:val="22"/>
          <w:lang w:val="es-ES_tradnl"/>
        </w:rPr>
        <w:t xml:space="preserve"> a los guepardos y a los licaones cruzar de manera segura.</w:t>
      </w:r>
    </w:p>
    <w:p w14:paraId="780D08C4" w14:textId="5A4A34D6" w:rsidR="00012566" w:rsidRPr="00382B0B" w:rsidRDefault="00012566" w:rsidP="000314B3">
      <w:pPr>
        <w:widowControl/>
        <w:numPr>
          <w:ilvl w:val="0"/>
          <w:numId w:val="5"/>
        </w:numPr>
        <w:tabs>
          <w:tab w:val="left" w:pos="397"/>
          <w:tab w:val="left" w:pos="794"/>
          <w:tab w:val="left" w:pos="1191"/>
          <w:tab w:val="left" w:pos="1588"/>
          <w:tab w:val="left" w:pos="1985"/>
        </w:tabs>
        <w:autoSpaceDE/>
        <w:autoSpaceDN/>
        <w:adjustRightInd/>
        <w:spacing w:after="120"/>
        <w:ind w:left="714" w:hanging="357"/>
        <w:jc w:val="both"/>
        <w:rPr>
          <w:rFonts w:cs="Arial"/>
          <w:iCs/>
          <w:sz w:val="22"/>
          <w:szCs w:val="22"/>
          <w:lang w:val="es-ES_tradnl"/>
        </w:rPr>
      </w:pPr>
      <w:r w:rsidRPr="00382B0B">
        <w:rPr>
          <w:rFonts w:cs="Arial"/>
          <w:iCs/>
          <w:sz w:val="22"/>
          <w:szCs w:val="22"/>
          <w:lang w:val="es-ES_tradnl"/>
        </w:rPr>
        <w:t xml:space="preserve">Considerar opciones de ordenación del </w:t>
      </w:r>
      <w:r w:rsidR="00F22E0C" w:rsidRPr="00382B0B">
        <w:rPr>
          <w:rFonts w:cs="Arial"/>
          <w:iCs/>
          <w:sz w:val="22"/>
          <w:szCs w:val="22"/>
          <w:lang w:val="es-ES_tradnl"/>
        </w:rPr>
        <w:t>territorio</w:t>
      </w:r>
      <w:r w:rsidRPr="00382B0B">
        <w:rPr>
          <w:rFonts w:cs="Arial"/>
          <w:iCs/>
          <w:sz w:val="22"/>
          <w:szCs w:val="22"/>
          <w:lang w:val="es-ES_tradnl"/>
        </w:rPr>
        <w:t xml:space="preserve"> para mantener y restablecer áreas importantes para la conservación del guepardo y </w:t>
      </w:r>
      <w:r w:rsidR="00FC6EB1">
        <w:rPr>
          <w:rFonts w:cs="Arial"/>
          <w:iCs/>
          <w:sz w:val="22"/>
          <w:szCs w:val="22"/>
          <w:lang w:val="es-ES_tradnl"/>
        </w:rPr>
        <w:t>d</w:t>
      </w:r>
      <w:r w:rsidRPr="00382B0B">
        <w:rPr>
          <w:rFonts w:cs="Arial"/>
          <w:iCs/>
          <w:sz w:val="22"/>
          <w:szCs w:val="22"/>
          <w:lang w:val="es-ES_tradnl"/>
        </w:rPr>
        <w:t>el licaón fuera de las áreas protegidas.</w:t>
      </w:r>
    </w:p>
    <w:p w14:paraId="0ADAD3A0" w14:textId="25F925B8" w:rsidR="007747C5" w:rsidRPr="00382B0B" w:rsidRDefault="007747C5" w:rsidP="000314B3">
      <w:pPr>
        <w:widowControl/>
        <w:numPr>
          <w:ilvl w:val="0"/>
          <w:numId w:val="5"/>
        </w:numPr>
        <w:tabs>
          <w:tab w:val="left" w:pos="397"/>
          <w:tab w:val="left" w:pos="794"/>
          <w:tab w:val="left" w:pos="1191"/>
          <w:tab w:val="left" w:pos="1588"/>
          <w:tab w:val="left" w:pos="1985"/>
        </w:tabs>
        <w:autoSpaceDE/>
        <w:autoSpaceDN/>
        <w:adjustRightInd/>
        <w:spacing w:after="120"/>
        <w:ind w:left="714" w:hanging="357"/>
        <w:jc w:val="both"/>
        <w:rPr>
          <w:rFonts w:cs="Arial"/>
          <w:sz w:val="22"/>
          <w:szCs w:val="22"/>
          <w:lang w:val="es-ES_tradnl"/>
        </w:rPr>
      </w:pPr>
      <w:r w:rsidRPr="00382B0B">
        <w:rPr>
          <w:rFonts w:cs="Arial"/>
          <w:sz w:val="22"/>
          <w:szCs w:val="22"/>
          <w:lang w:val="es-ES_tradnl"/>
        </w:rPr>
        <w:t>Investigar oportunidades para garantizar que la conservación del gu</w:t>
      </w:r>
      <w:r w:rsidR="00EC15D2" w:rsidRPr="00382B0B">
        <w:rPr>
          <w:rFonts w:cs="Arial"/>
          <w:sz w:val="22"/>
          <w:szCs w:val="22"/>
          <w:lang w:val="es-ES_tradnl"/>
        </w:rPr>
        <w:t>e</w:t>
      </w:r>
      <w:r w:rsidRPr="00382B0B">
        <w:rPr>
          <w:rFonts w:cs="Arial"/>
          <w:sz w:val="22"/>
          <w:szCs w:val="22"/>
          <w:lang w:val="es-ES_tradnl"/>
        </w:rPr>
        <w:t xml:space="preserve">pardo y </w:t>
      </w:r>
      <w:r w:rsidR="00EC15D2" w:rsidRPr="00382B0B">
        <w:rPr>
          <w:rFonts w:cs="Arial"/>
          <w:sz w:val="22"/>
          <w:szCs w:val="22"/>
          <w:lang w:val="es-ES_tradnl"/>
        </w:rPr>
        <w:t>del licaón</w:t>
      </w:r>
      <w:r w:rsidR="0062445C" w:rsidRPr="00382B0B">
        <w:rPr>
          <w:rFonts w:cs="Arial"/>
          <w:sz w:val="22"/>
          <w:szCs w:val="22"/>
          <w:lang w:val="es-ES_tradnl"/>
        </w:rPr>
        <w:t xml:space="preserve"> esté</w:t>
      </w:r>
      <w:r w:rsidRPr="00382B0B">
        <w:rPr>
          <w:rFonts w:cs="Arial"/>
          <w:sz w:val="22"/>
          <w:szCs w:val="22"/>
          <w:lang w:val="es-ES_tradnl"/>
        </w:rPr>
        <w:t xml:space="preserve">n integradas en </w:t>
      </w:r>
      <w:r w:rsidR="00A60E71" w:rsidRPr="00382B0B">
        <w:rPr>
          <w:rFonts w:cs="Arial"/>
          <w:sz w:val="22"/>
          <w:szCs w:val="22"/>
          <w:lang w:val="es-ES_tradnl"/>
        </w:rPr>
        <w:t>los currículos educa</w:t>
      </w:r>
      <w:r w:rsidR="00B23271" w:rsidRPr="00382B0B">
        <w:rPr>
          <w:rFonts w:cs="Arial"/>
          <w:sz w:val="22"/>
          <w:szCs w:val="22"/>
          <w:lang w:val="es-ES_tradnl"/>
        </w:rPr>
        <w:t>tivos</w:t>
      </w:r>
      <w:r w:rsidR="00A60E71" w:rsidRPr="00382B0B">
        <w:rPr>
          <w:rFonts w:cs="Arial"/>
          <w:sz w:val="22"/>
          <w:szCs w:val="22"/>
          <w:lang w:val="es-ES_tradnl"/>
        </w:rPr>
        <w:t xml:space="preserve"> </w:t>
      </w:r>
      <w:r w:rsidR="003143A2" w:rsidRPr="00382B0B">
        <w:rPr>
          <w:rFonts w:cs="Arial"/>
          <w:sz w:val="22"/>
          <w:szCs w:val="22"/>
          <w:lang w:val="es-ES_tradnl"/>
        </w:rPr>
        <w:t xml:space="preserve">a nivel nacional y subnacional, </w:t>
      </w:r>
      <w:r w:rsidR="00A60E71" w:rsidRPr="00382B0B">
        <w:rPr>
          <w:rFonts w:cs="Arial"/>
          <w:sz w:val="22"/>
          <w:szCs w:val="22"/>
          <w:lang w:val="es-ES_tradnl"/>
        </w:rPr>
        <w:t>incluyendo colegios, universidades y centros de formación profesional.</w:t>
      </w:r>
    </w:p>
    <w:p w14:paraId="6AD667F9" w14:textId="7F21999E" w:rsidR="00387E19" w:rsidRPr="00382B0B" w:rsidRDefault="00387E19" w:rsidP="000314B3">
      <w:pPr>
        <w:widowControl/>
        <w:numPr>
          <w:ilvl w:val="0"/>
          <w:numId w:val="5"/>
        </w:numPr>
        <w:tabs>
          <w:tab w:val="left" w:pos="397"/>
          <w:tab w:val="left" w:pos="794"/>
          <w:tab w:val="left" w:pos="1191"/>
          <w:tab w:val="left" w:pos="1588"/>
          <w:tab w:val="left" w:pos="1985"/>
        </w:tabs>
        <w:autoSpaceDE/>
        <w:autoSpaceDN/>
        <w:adjustRightInd/>
        <w:spacing w:after="120"/>
        <w:ind w:left="714" w:hanging="357"/>
        <w:jc w:val="both"/>
        <w:rPr>
          <w:rFonts w:cs="Arial"/>
          <w:sz w:val="22"/>
          <w:szCs w:val="22"/>
          <w:lang w:val="es-ES_tradnl"/>
        </w:rPr>
      </w:pPr>
      <w:r w:rsidRPr="00382B0B">
        <w:rPr>
          <w:rFonts w:cs="Arial"/>
          <w:sz w:val="22"/>
          <w:szCs w:val="22"/>
          <w:lang w:val="es-ES_tradnl"/>
        </w:rPr>
        <w:t xml:space="preserve">Colaborar e intercambiar buenas prácticas en </w:t>
      </w:r>
      <w:r w:rsidR="00E224B1" w:rsidRPr="00382B0B">
        <w:rPr>
          <w:rFonts w:cs="Arial"/>
          <w:sz w:val="22"/>
          <w:szCs w:val="22"/>
          <w:lang w:val="es-ES_tradnl"/>
        </w:rPr>
        <w:t xml:space="preserve">relación con </w:t>
      </w:r>
      <w:r w:rsidRPr="00382B0B">
        <w:rPr>
          <w:rFonts w:cs="Arial"/>
          <w:sz w:val="22"/>
          <w:szCs w:val="22"/>
          <w:lang w:val="es-ES_tradnl"/>
        </w:rPr>
        <w:t>la conservación y restauración de las poblaciones de</w:t>
      </w:r>
      <w:r w:rsidR="00B672A6" w:rsidRPr="00382B0B">
        <w:rPr>
          <w:rFonts w:cs="Arial"/>
          <w:sz w:val="22"/>
          <w:szCs w:val="22"/>
          <w:lang w:val="es-ES_tradnl"/>
        </w:rPr>
        <w:t>l licaón</w:t>
      </w:r>
      <w:r w:rsidRPr="00382B0B">
        <w:rPr>
          <w:rFonts w:cs="Arial"/>
          <w:sz w:val="22"/>
          <w:szCs w:val="22"/>
          <w:lang w:val="es-ES_tradnl"/>
        </w:rPr>
        <w:t xml:space="preserve"> (</w:t>
      </w:r>
      <w:r w:rsidRPr="00382B0B">
        <w:rPr>
          <w:rFonts w:cs="Arial"/>
          <w:i/>
          <w:iCs/>
          <w:sz w:val="22"/>
          <w:szCs w:val="22"/>
          <w:lang w:val="es-ES_tradnl"/>
        </w:rPr>
        <w:t>Lycaon pictus</w:t>
      </w:r>
      <w:r w:rsidRPr="00382B0B">
        <w:rPr>
          <w:rFonts w:cs="Arial"/>
          <w:sz w:val="22"/>
          <w:szCs w:val="22"/>
          <w:lang w:val="es-ES_tradnl"/>
        </w:rPr>
        <w:t xml:space="preserve">), y cooperar con la Unión Internacional para la Conservación de la Naturaleza (UICN) y otras organizaciones interesadas en </w:t>
      </w:r>
      <w:r w:rsidR="00CB1318" w:rsidRPr="00382B0B">
        <w:rPr>
          <w:rFonts w:cs="Arial"/>
          <w:sz w:val="22"/>
          <w:szCs w:val="22"/>
          <w:lang w:val="es-ES_tradnl"/>
        </w:rPr>
        <w:t>actuar</w:t>
      </w:r>
      <w:r w:rsidRPr="00382B0B">
        <w:rPr>
          <w:rFonts w:cs="Arial"/>
          <w:sz w:val="22"/>
          <w:szCs w:val="22"/>
          <w:lang w:val="es-ES_tradnl"/>
        </w:rPr>
        <w:t xml:space="preserve"> a </w:t>
      </w:r>
      <w:r w:rsidR="000A06B3" w:rsidRPr="00382B0B">
        <w:rPr>
          <w:rFonts w:cs="Arial"/>
          <w:sz w:val="22"/>
          <w:szCs w:val="22"/>
          <w:lang w:val="es-ES_tradnl"/>
        </w:rPr>
        <w:t xml:space="preserve">nivel nacional y regional, </w:t>
      </w:r>
      <w:r w:rsidR="00CB1318" w:rsidRPr="00382B0B">
        <w:rPr>
          <w:rFonts w:cs="Arial"/>
          <w:sz w:val="22"/>
          <w:szCs w:val="22"/>
          <w:lang w:val="es-ES_tradnl"/>
        </w:rPr>
        <w:t>especialmente</w:t>
      </w:r>
      <w:r w:rsidR="000A06B3" w:rsidRPr="00382B0B">
        <w:rPr>
          <w:rFonts w:cs="Arial"/>
          <w:sz w:val="22"/>
          <w:szCs w:val="22"/>
          <w:lang w:val="es-ES_tradnl"/>
        </w:rPr>
        <w:t xml:space="preserve"> en lo que respecta a: la conservación de hábitat; el establecimiento de corredores ecológicos para </w:t>
      </w:r>
      <w:r w:rsidR="00D50B2B" w:rsidRPr="00382B0B">
        <w:rPr>
          <w:rFonts w:cs="Arial"/>
          <w:sz w:val="22"/>
          <w:szCs w:val="22"/>
          <w:lang w:val="es-ES_tradnl"/>
        </w:rPr>
        <w:t>responder a</w:t>
      </w:r>
      <w:r w:rsidR="000A06B3" w:rsidRPr="00382B0B">
        <w:rPr>
          <w:rFonts w:cs="Arial"/>
          <w:sz w:val="22"/>
          <w:szCs w:val="22"/>
          <w:lang w:val="es-ES_tradnl"/>
        </w:rPr>
        <w:t xml:space="preserve"> la fragmentación del hábitat; la gestión de enfermedades inf</w:t>
      </w:r>
      <w:r w:rsidR="00472DDA" w:rsidRPr="00382B0B">
        <w:rPr>
          <w:rFonts w:cs="Arial"/>
          <w:sz w:val="22"/>
          <w:szCs w:val="22"/>
          <w:lang w:val="es-ES_tradnl"/>
        </w:rPr>
        <w:t xml:space="preserve">ecciosas; la restauración de las poblaciones de </w:t>
      </w:r>
      <w:r w:rsidR="000A06B3" w:rsidRPr="00382B0B">
        <w:rPr>
          <w:rFonts w:cs="Arial"/>
          <w:sz w:val="22"/>
          <w:szCs w:val="22"/>
          <w:lang w:val="es-ES_tradnl"/>
        </w:rPr>
        <w:t xml:space="preserve">presas; los conflictos entre los humanos y la fauna; </w:t>
      </w:r>
      <w:r w:rsidR="00201AFC" w:rsidRPr="00382B0B">
        <w:rPr>
          <w:rFonts w:cs="Arial"/>
          <w:sz w:val="22"/>
          <w:szCs w:val="22"/>
          <w:lang w:val="es-ES_tradnl"/>
        </w:rPr>
        <w:t>así como</w:t>
      </w:r>
      <w:r w:rsidR="000A06B3" w:rsidRPr="00382B0B">
        <w:rPr>
          <w:rFonts w:cs="Arial"/>
          <w:sz w:val="22"/>
          <w:szCs w:val="22"/>
          <w:lang w:val="es-ES_tradnl"/>
        </w:rPr>
        <w:t xml:space="preserve"> el comercio, incluyendo la comercialización de ejemplares criados en cautividad.</w:t>
      </w:r>
    </w:p>
    <w:p w14:paraId="4AE1FFE2" w14:textId="44BE9A9D" w:rsidR="00143B36" w:rsidRPr="00382B0B" w:rsidRDefault="00143B36" w:rsidP="002E1F94">
      <w:pPr>
        <w:widowControl/>
        <w:numPr>
          <w:ilvl w:val="0"/>
          <w:numId w:val="5"/>
        </w:numPr>
        <w:tabs>
          <w:tab w:val="left" w:pos="397"/>
          <w:tab w:val="left" w:pos="794"/>
          <w:tab w:val="left" w:pos="1191"/>
          <w:tab w:val="left" w:pos="1588"/>
          <w:tab w:val="left" w:pos="1985"/>
        </w:tabs>
        <w:autoSpaceDE/>
        <w:autoSpaceDN/>
        <w:adjustRightInd/>
        <w:jc w:val="both"/>
        <w:rPr>
          <w:rFonts w:cs="Arial"/>
          <w:iCs/>
          <w:sz w:val="22"/>
          <w:szCs w:val="22"/>
          <w:lang w:val="es-ES_tradnl"/>
        </w:rPr>
      </w:pPr>
      <w:r w:rsidRPr="00382B0B">
        <w:rPr>
          <w:rFonts w:cs="Arial"/>
          <w:iCs/>
          <w:sz w:val="22"/>
          <w:szCs w:val="22"/>
          <w:lang w:val="es-ES_tradnl"/>
        </w:rPr>
        <w:t>Informar al Comité Perm</w:t>
      </w:r>
      <w:r w:rsidR="00D555D2" w:rsidRPr="00382B0B">
        <w:rPr>
          <w:rFonts w:cs="Arial"/>
          <w:iCs/>
          <w:sz w:val="22"/>
          <w:szCs w:val="22"/>
          <w:lang w:val="es-ES_tradnl"/>
        </w:rPr>
        <w:t>anente en su 48ª y 49ª reunión</w:t>
      </w:r>
      <w:r w:rsidRPr="00382B0B">
        <w:rPr>
          <w:rFonts w:cs="Arial"/>
          <w:iCs/>
          <w:sz w:val="22"/>
          <w:szCs w:val="22"/>
          <w:lang w:val="es-ES_tradnl"/>
        </w:rPr>
        <w:t xml:space="preserve"> sobre el progreso en la implementación de las decisiones.</w:t>
      </w:r>
    </w:p>
    <w:p w14:paraId="2275E907" w14:textId="77777777" w:rsidR="002E1F94" w:rsidRPr="00382B0B" w:rsidRDefault="002E1F94" w:rsidP="002E1F94">
      <w:pPr>
        <w:pStyle w:val="ListParagraph"/>
        <w:rPr>
          <w:rFonts w:cs="Arial"/>
          <w:iCs/>
          <w:sz w:val="22"/>
          <w:szCs w:val="22"/>
          <w:highlight w:val="yellow"/>
          <w:lang w:val="es-ES_tradnl"/>
        </w:rPr>
      </w:pPr>
    </w:p>
    <w:p w14:paraId="15365830" w14:textId="77777777" w:rsidR="002E1F94" w:rsidRPr="00382B0B" w:rsidRDefault="002E1F94" w:rsidP="002E1F94">
      <w:pPr>
        <w:widowControl/>
        <w:tabs>
          <w:tab w:val="left" w:pos="397"/>
          <w:tab w:val="left" w:pos="794"/>
          <w:tab w:val="left" w:pos="1191"/>
          <w:tab w:val="left" w:pos="1588"/>
          <w:tab w:val="left" w:pos="1985"/>
        </w:tabs>
        <w:autoSpaceDE/>
        <w:autoSpaceDN/>
        <w:adjustRightInd/>
        <w:ind w:left="720"/>
        <w:jc w:val="both"/>
        <w:rPr>
          <w:rFonts w:cs="Arial"/>
          <w:iCs/>
          <w:sz w:val="22"/>
          <w:szCs w:val="22"/>
          <w:highlight w:val="yellow"/>
          <w:lang w:val="es-ES_tradnl"/>
        </w:rPr>
      </w:pPr>
    </w:p>
    <w:p w14:paraId="6AFE792C" w14:textId="541384B7" w:rsidR="00EB3549" w:rsidRPr="00382B0B" w:rsidRDefault="00EB3549" w:rsidP="002E1F94">
      <w:pPr>
        <w:jc w:val="both"/>
        <w:rPr>
          <w:rFonts w:cs="Arial"/>
          <w:b/>
          <w:bCs/>
          <w:i/>
          <w:sz w:val="22"/>
          <w:szCs w:val="22"/>
          <w:lang w:val="es-ES_tradnl"/>
        </w:rPr>
      </w:pPr>
      <w:r w:rsidRPr="00382B0B">
        <w:rPr>
          <w:rFonts w:cs="Arial"/>
          <w:b/>
          <w:bCs/>
          <w:i/>
          <w:sz w:val="22"/>
          <w:szCs w:val="22"/>
          <w:lang w:val="es-ES_tradnl"/>
        </w:rPr>
        <w:t>Dirigidas a los estados del área de distribución y consumidores del licaón (</w:t>
      </w:r>
      <w:r w:rsidRPr="00382B0B">
        <w:rPr>
          <w:rFonts w:cs="Arial"/>
          <w:b/>
          <w:bCs/>
          <w:i/>
          <w:iCs/>
          <w:sz w:val="22"/>
          <w:szCs w:val="22"/>
          <w:lang w:val="es-ES_tradnl"/>
        </w:rPr>
        <w:t>Lycaon pictus</w:t>
      </w:r>
      <w:r w:rsidRPr="00382B0B">
        <w:rPr>
          <w:rFonts w:cs="Arial"/>
          <w:b/>
          <w:bCs/>
          <w:i/>
          <w:sz w:val="22"/>
          <w:szCs w:val="22"/>
          <w:lang w:val="es-ES_tradnl"/>
        </w:rPr>
        <w:t>)</w:t>
      </w:r>
    </w:p>
    <w:p w14:paraId="1B3C40B6" w14:textId="77777777" w:rsidR="002E1F94" w:rsidRPr="00382B0B" w:rsidRDefault="002E1F94" w:rsidP="002E1F94">
      <w:pPr>
        <w:jc w:val="both"/>
        <w:rPr>
          <w:rFonts w:cs="Arial"/>
          <w:b/>
          <w:bCs/>
          <w:i/>
          <w:sz w:val="22"/>
          <w:szCs w:val="22"/>
          <w:highlight w:val="yellow"/>
          <w:lang w:val="es-ES_tradnl"/>
        </w:rPr>
      </w:pPr>
    </w:p>
    <w:p w14:paraId="0BD7512D" w14:textId="25117DA9" w:rsidR="00EB3549" w:rsidRPr="00382B0B" w:rsidRDefault="00D66CEE" w:rsidP="002E1F94">
      <w:pPr>
        <w:ind w:left="720" w:hanging="720"/>
        <w:jc w:val="both"/>
        <w:rPr>
          <w:rFonts w:cs="Arial"/>
          <w:sz w:val="22"/>
          <w:szCs w:val="22"/>
          <w:lang w:val="es-ES_tradnl"/>
        </w:rPr>
      </w:pPr>
      <w:r w:rsidRPr="00382B0B">
        <w:rPr>
          <w:rFonts w:cs="Arial"/>
          <w:sz w:val="22"/>
          <w:szCs w:val="22"/>
          <w:lang w:val="es-ES_tradnl"/>
        </w:rPr>
        <w:t>12.CC</w:t>
      </w:r>
      <w:r w:rsidRPr="00382B0B">
        <w:rPr>
          <w:rFonts w:cs="Arial"/>
          <w:sz w:val="22"/>
          <w:szCs w:val="22"/>
          <w:lang w:val="es-ES_tradnl"/>
        </w:rPr>
        <w:tab/>
      </w:r>
      <w:r w:rsidR="00EB3549" w:rsidRPr="00382B0B">
        <w:rPr>
          <w:rFonts w:cs="Arial"/>
          <w:sz w:val="22"/>
          <w:szCs w:val="22"/>
          <w:lang w:val="es-ES_tradnl"/>
        </w:rPr>
        <w:t xml:space="preserve">Se alienta a las Partes a compartir información </w:t>
      </w:r>
      <w:r w:rsidR="0078722F" w:rsidRPr="00382B0B">
        <w:rPr>
          <w:rFonts w:cs="Arial"/>
          <w:sz w:val="22"/>
          <w:szCs w:val="22"/>
          <w:lang w:val="es-ES_tradnl"/>
        </w:rPr>
        <w:t>sobre el comercio de la especie, incl</w:t>
      </w:r>
      <w:r w:rsidR="00EB3549" w:rsidRPr="00382B0B">
        <w:rPr>
          <w:rFonts w:cs="Arial"/>
          <w:sz w:val="22"/>
          <w:szCs w:val="22"/>
          <w:lang w:val="es-ES_tradnl"/>
        </w:rPr>
        <w:t>uyendo niveles y origen de las especies que se comercian con Burkina Faso</w:t>
      </w:r>
    </w:p>
    <w:p w14:paraId="4E546DC8" w14:textId="6EC2D354" w:rsidR="00403EB8" w:rsidRPr="00382B0B" w:rsidRDefault="00403EB8" w:rsidP="002E1F94">
      <w:pPr>
        <w:jc w:val="both"/>
        <w:rPr>
          <w:rFonts w:cs="Arial"/>
          <w:b/>
          <w:i/>
          <w:sz w:val="22"/>
          <w:szCs w:val="22"/>
          <w:highlight w:val="yellow"/>
          <w:lang w:val="es-ES_tradnl"/>
        </w:rPr>
      </w:pPr>
    </w:p>
    <w:p w14:paraId="43322A50" w14:textId="77777777" w:rsidR="002E1F94" w:rsidRPr="00382B0B" w:rsidRDefault="002E1F94" w:rsidP="002E1F94">
      <w:pPr>
        <w:jc w:val="both"/>
        <w:rPr>
          <w:rFonts w:cs="Arial"/>
          <w:b/>
          <w:i/>
          <w:sz w:val="22"/>
          <w:szCs w:val="22"/>
          <w:highlight w:val="yellow"/>
          <w:lang w:val="es-ES_tradnl"/>
        </w:rPr>
      </w:pPr>
    </w:p>
    <w:p w14:paraId="2DEC4EBB" w14:textId="3759D95C" w:rsidR="00EB3549" w:rsidRPr="00382B0B" w:rsidRDefault="00EB3549" w:rsidP="002E1F94">
      <w:pPr>
        <w:widowControl/>
        <w:autoSpaceDE/>
        <w:autoSpaceDN/>
        <w:adjustRightInd/>
        <w:jc w:val="both"/>
        <w:rPr>
          <w:rFonts w:cs="Arial"/>
          <w:b/>
          <w:i/>
          <w:sz w:val="22"/>
          <w:szCs w:val="22"/>
          <w:lang w:val="es-ES_tradnl" w:eastAsia="en-GB"/>
        </w:rPr>
      </w:pPr>
      <w:r w:rsidRPr="00382B0B">
        <w:rPr>
          <w:rFonts w:cs="Arial"/>
          <w:b/>
          <w:i/>
          <w:sz w:val="22"/>
          <w:szCs w:val="22"/>
          <w:lang w:val="es-ES_tradnl" w:eastAsia="en-GB"/>
        </w:rPr>
        <w:t>Dirigida</w:t>
      </w:r>
      <w:r w:rsidR="00710920" w:rsidRPr="00382B0B">
        <w:rPr>
          <w:rFonts w:cs="Arial"/>
          <w:b/>
          <w:i/>
          <w:sz w:val="22"/>
          <w:szCs w:val="22"/>
          <w:lang w:val="es-ES_tradnl" w:eastAsia="en-GB"/>
        </w:rPr>
        <w:t>s</w:t>
      </w:r>
      <w:r w:rsidRPr="00382B0B">
        <w:rPr>
          <w:rFonts w:cs="Arial"/>
          <w:b/>
          <w:i/>
          <w:sz w:val="22"/>
          <w:szCs w:val="22"/>
          <w:lang w:val="es-ES_tradnl" w:eastAsia="en-GB"/>
        </w:rPr>
        <w:t xml:space="preserve"> al Consejo Científico</w:t>
      </w:r>
    </w:p>
    <w:p w14:paraId="7D1E12FC" w14:textId="77777777" w:rsidR="00403EB8" w:rsidRPr="00382B0B" w:rsidRDefault="00403EB8" w:rsidP="002E1F94">
      <w:pPr>
        <w:widowControl/>
        <w:autoSpaceDE/>
        <w:autoSpaceDN/>
        <w:adjustRightInd/>
        <w:jc w:val="both"/>
        <w:rPr>
          <w:rFonts w:cs="Arial"/>
          <w:sz w:val="22"/>
          <w:szCs w:val="22"/>
          <w:lang w:val="es-ES_tradnl" w:eastAsia="en-GB"/>
        </w:rPr>
      </w:pPr>
    </w:p>
    <w:p w14:paraId="65141A6B" w14:textId="35A247D1" w:rsidR="00EB3549" w:rsidRPr="00382B0B" w:rsidRDefault="00403EB8" w:rsidP="002E1F94">
      <w:pPr>
        <w:widowControl/>
        <w:autoSpaceDE/>
        <w:autoSpaceDN/>
        <w:adjustRightInd/>
        <w:ind w:left="720" w:hanging="720"/>
        <w:jc w:val="both"/>
        <w:rPr>
          <w:rFonts w:cs="Arial"/>
          <w:sz w:val="22"/>
          <w:szCs w:val="22"/>
          <w:lang w:val="es-ES_tradnl" w:eastAsia="en-GB"/>
        </w:rPr>
      </w:pPr>
      <w:r w:rsidRPr="00382B0B">
        <w:rPr>
          <w:rFonts w:cs="Arial"/>
          <w:sz w:val="22"/>
          <w:szCs w:val="22"/>
          <w:lang w:val="es-ES_tradnl" w:eastAsia="en-GB"/>
        </w:rPr>
        <w:t>12.</w:t>
      </w:r>
      <w:r w:rsidR="00D66CEE" w:rsidRPr="00382B0B">
        <w:rPr>
          <w:rFonts w:cs="Arial"/>
          <w:sz w:val="22"/>
          <w:szCs w:val="22"/>
          <w:lang w:val="es-ES_tradnl" w:eastAsia="en-GB"/>
        </w:rPr>
        <w:t>DD</w:t>
      </w:r>
      <w:r w:rsidRPr="00382B0B">
        <w:rPr>
          <w:rFonts w:cs="Arial"/>
          <w:sz w:val="22"/>
          <w:szCs w:val="22"/>
          <w:lang w:val="es-ES_tradnl" w:eastAsia="en-GB"/>
        </w:rPr>
        <w:t xml:space="preserve"> </w:t>
      </w:r>
      <w:r w:rsidRPr="00382B0B">
        <w:rPr>
          <w:rFonts w:cs="Arial"/>
          <w:sz w:val="22"/>
          <w:szCs w:val="22"/>
          <w:lang w:val="es-ES_tradnl" w:eastAsia="en-GB"/>
        </w:rPr>
        <w:tab/>
      </w:r>
      <w:r w:rsidR="00EB3549" w:rsidRPr="00382B0B">
        <w:rPr>
          <w:rFonts w:cs="Arial"/>
          <w:sz w:val="22"/>
          <w:szCs w:val="22"/>
          <w:lang w:val="es-ES_tradnl" w:eastAsia="en-GB"/>
        </w:rPr>
        <w:t>El Consejo Científico deberá revisar la lista de países actualmente exentos de</w:t>
      </w:r>
      <w:r w:rsidR="00AA4662" w:rsidRPr="00382B0B">
        <w:rPr>
          <w:rFonts w:cs="Arial"/>
          <w:sz w:val="22"/>
          <w:szCs w:val="22"/>
          <w:lang w:val="es-ES_tradnl" w:eastAsia="en-GB"/>
        </w:rPr>
        <w:t>l</w:t>
      </w:r>
      <w:r w:rsidR="00EB3549" w:rsidRPr="00382B0B">
        <w:rPr>
          <w:rFonts w:cs="Arial"/>
          <w:sz w:val="22"/>
          <w:szCs w:val="22"/>
          <w:lang w:val="es-ES_tradnl" w:eastAsia="en-GB"/>
        </w:rPr>
        <w:t xml:space="preserve"> lista</w:t>
      </w:r>
      <w:r w:rsidR="00AA4662" w:rsidRPr="00382B0B">
        <w:rPr>
          <w:rFonts w:cs="Arial"/>
          <w:sz w:val="22"/>
          <w:szCs w:val="22"/>
          <w:lang w:val="es-ES_tradnl" w:eastAsia="en-GB"/>
        </w:rPr>
        <w:t>do</w:t>
      </w:r>
      <w:r w:rsidR="00EB3549" w:rsidRPr="00382B0B">
        <w:rPr>
          <w:rFonts w:cs="Arial"/>
          <w:sz w:val="22"/>
          <w:szCs w:val="22"/>
          <w:lang w:val="es-ES_tradnl" w:eastAsia="en-GB"/>
        </w:rPr>
        <w:t xml:space="preserve"> del guepa</w:t>
      </w:r>
      <w:r w:rsidR="00AA4662" w:rsidRPr="00382B0B">
        <w:rPr>
          <w:rFonts w:cs="Arial"/>
          <w:sz w:val="22"/>
          <w:szCs w:val="22"/>
          <w:lang w:val="es-ES_tradnl" w:eastAsia="en-GB"/>
        </w:rPr>
        <w:t>rdo en el Apéndice I para reflej</w:t>
      </w:r>
      <w:r w:rsidR="00EB3549" w:rsidRPr="00382B0B">
        <w:rPr>
          <w:rFonts w:cs="Arial"/>
          <w:sz w:val="22"/>
          <w:szCs w:val="22"/>
          <w:lang w:val="es-ES_tradnl" w:eastAsia="en-GB"/>
        </w:rPr>
        <w:t>ar</w:t>
      </w:r>
      <w:r w:rsidR="00AA4662" w:rsidRPr="00382B0B">
        <w:rPr>
          <w:rFonts w:cs="Arial"/>
          <w:sz w:val="22"/>
          <w:szCs w:val="22"/>
          <w:lang w:val="es-ES_tradnl" w:eastAsia="en-GB"/>
        </w:rPr>
        <w:t xml:space="preserve"> el</w:t>
      </w:r>
      <w:r w:rsidR="00EB3549" w:rsidRPr="00382B0B">
        <w:rPr>
          <w:rFonts w:cs="Arial"/>
          <w:sz w:val="22"/>
          <w:szCs w:val="22"/>
          <w:lang w:val="es-ES_tradnl" w:eastAsia="en-GB"/>
        </w:rPr>
        <w:t xml:space="preserve"> estado </w:t>
      </w:r>
      <w:r w:rsidR="00AA4662" w:rsidRPr="00382B0B">
        <w:rPr>
          <w:rFonts w:cs="Arial"/>
          <w:sz w:val="22"/>
          <w:szCs w:val="22"/>
          <w:lang w:val="es-ES_tradnl" w:eastAsia="en-GB"/>
        </w:rPr>
        <w:t xml:space="preserve">de </w:t>
      </w:r>
      <w:r w:rsidR="00EB3549" w:rsidRPr="00382B0B">
        <w:rPr>
          <w:rFonts w:cs="Arial"/>
          <w:sz w:val="22"/>
          <w:szCs w:val="22"/>
          <w:lang w:val="es-ES_tradnl" w:eastAsia="en-GB"/>
        </w:rPr>
        <w:t>conservación</w:t>
      </w:r>
      <w:r w:rsidR="00AA4662" w:rsidRPr="00382B0B">
        <w:rPr>
          <w:rFonts w:cs="Arial"/>
          <w:sz w:val="22"/>
          <w:szCs w:val="22"/>
          <w:lang w:val="es-ES_tradnl" w:eastAsia="en-GB"/>
        </w:rPr>
        <w:t xml:space="preserve"> actual</w:t>
      </w:r>
      <w:r w:rsidR="00EB3549" w:rsidRPr="00382B0B">
        <w:rPr>
          <w:rFonts w:cs="Arial"/>
          <w:sz w:val="22"/>
          <w:szCs w:val="22"/>
          <w:lang w:val="es-ES_tradnl" w:eastAsia="en-GB"/>
        </w:rPr>
        <w:t xml:space="preserve"> y las políticas nacionales.</w:t>
      </w:r>
    </w:p>
    <w:p w14:paraId="6455A65A" w14:textId="34206FAC" w:rsidR="00403EB8" w:rsidRPr="00382B0B" w:rsidRDefault="00403EB8" w:rsidP="002E1F94">
      <w:pPr>
        <w:jc w:val="both"/>
        <w:rPr>
          <w:rFonts w:cs="Arial"/>
          <w:b/>
          <w:i/>
          <w:sz w:val="22"/>
          <w:szCs w:val="22"/>
          <w:highlight w:val="yellow"/>
          <w:lang w:val="es-ES_tradnl"/>
        </w:rPr>
      </w:pPr>
    </w:p>
    <w:p w14:paraId="5B68D7E6" w14:textId="77777777" w:rsidR="002E1F94" w:rsidRPr="00382B0B" w:rsidRDefault="002E1F94" w:rsidP="002E1F94">
      <w:pPr>
        <w:jc w:val="both"/>
        <w:rPr>
          <w:rFonts w:cs="Arial"/>
          <w:b/>
          <w:i/>
          <w:sz w:val="22"/>
          <w:szCs w:val="22"/>
          <w:highlight w:val="yellow"/>
          <w:lang w:val="es-ES_tradnl"/>
        </w:rPr>
      </w:pPr>
    </w:p>
    <w:p w14:paraId="0249AE87" w14:textId="04BAD775" w:rsidR="00F6274A" w:rsidRPr="00382B0B" w:rsidRDefault="00F6274A" w:rsidP="002E1F94">
      <w:pPr>
        <w:jc w:val="both"/>
        <w:rPr>
          <w:rFonts w:cs="Arial"/>
          <w:b/>
          <w:i/>
          <w:sz w:val="22"/>
          <w:szCs w:val="22"/>
          <w:lang w:val="es-ES_tradnl"/>
        </w:rPr>
      </w:pPr>
      <w:r w:rsidRPr="00382B0B">
        <w:rPr>
          <w:rFonts w:cs="Arial"/>
          <w:b/>
          <w:i/>
          <w:sz w:val="22"/>
          <w:szCs w:val="22"/>
          <w:lang w:val="es-ES_tradnl"/>
        </w:rPr>
        <w:t>Dirigidas al Comité Permanente</w:t>
      </w:r>
    </w:p>
    <w:p w14:paraId="3E3D5427" w14:textId="77777777" w:rsidR="00403EB8" w:rsidRPr="00382B0B" w:rsidRDefault="00403EB8" w:rsidP="002E1F94">
      <w:pPr>
        <w:jc w:val="both"/>
        <w:rPr>
          <w:rFonts w:cs="Arial"/>
          <w:sz w:val="22"/>
          <w:szCs w:val="22"/>
          <w:highlight w:val="yellow"/>
          <w:lang w:val="es-ES_tradnl"/>
        </w:rPr>
      </w:pPr>
    </w:p>
    <w:p w14:paraId="0EE850D7" w14:textId="29C6165E" w:rsidR="00F6274A" w:rsidRPr="00382B0B" w:rsidRDefault="00403EB8" w:rsidP="002E1F94">
      <w:pPr>
        <w:jc w:val="both"/>
        <w:rPr>
          <w:rFonts w:cs="Arial"/>
          <w:sz w:val="22"/>
          <w:szCs w:val="22"/>
          <w:lang w:val="es-ES_tradnl"/>
        </w:rPr>
      </w:pPr>
      <w:r w:rsidRPr="00382B0B">
        <w:rPr>
          <w:rFonts w:cs="Arial"/>
          <w:sz w:val="22"/>
          <w:szCs w:val="22"/>
          <w:lang w:val="es-ES_tradnl"/>
        </w:rPr>
        <w:t>12.</w:t>
      </w:r>
      <w:r w:rsidR="00D66CEE" w:rsidRPr="00382B0B">
        <w:rPr>
          <w:rFonts w:cs="Arial"/>
          <w:sz w:val="22"/>
          <w:szCs w:val="22"/>
          <w:lang w:val="es-ES_tradnl"/>
        </w:rPr>
        <w:t>EE</w:t>
      </w:r>
      <w:r w:rsidRPr="00382B0B">
        <w:rPr>
          <w:rFonts w:cs="Arial"/>
          <w:sz w:val="22"/>
          <w:szCs w:val="22"/>
          <w:lang w:val="es-ES_tradnl"/>
        </w:rPr>
        <w:tab/>
      </w:r>
      <w:r w:rsidR="002726FD" w:rsidRPr="00382B0B">
        <w:rPr>
          <w:rFonts w:cs="Arial"/>
          <w:sz w:val="22"/>
          <w:szCs w:val="22"/>
          <w:lang w:val="es-ES_tradnl"/>
        </w:rPr>
        <w:t>El</w:t>
      </w:r>
      <w:r w:rsidR="00F6274A" w:rsidRPr="00382B0B">
        <w:rPr>
          <w:rFonts w:cs="Arial"/>
          <w:sz w:val="22"/>
          <w:szCs w:val="22"/>
          <w:lang w:val="es-ES_tradnl"/>
        </w:rPr>
        <w:t xml:space="preserve"> Comité Permanente deberá:</w:t>
      </w:r>
    </w:p>
    <w:p w14:paraId="04FC441B" w14:textId="77777777" w:rsidR="00403EB8" w:rsidRPr="00382B0B" w:rsidRDefault="00403EB8" w:rsidP="002E1F94">
      <w:pPr>
        <w:jc w:val="both"/>
        <w:rPr>
          <w:rFonts w:cs="Arial"/>
          <w:sz w:val="22"/>
          <w:szCs w:val="22"/>
          <w:lang w:val="es-ES_tradnl"/>
        </w:rPr>
      </w:pPr>
    </w:p>
    <w:p w14:paraId="2593788A" w14:textId="64977E7B" w:rsidR="00F6274A" w:rsidRPr="00382B0B" w:rsidRDefault="00F6274A" w:rsidP="000314B3">
      <w:pPr>
        <w:widowControl/>
        <w:numPr>
          <w:ilvl w:val="0"/>
          <w:numId w:val="7"/>
        </w:numPr>
        <w:tabs>
          <w:tab w:val="left" w:pos="397"/>
          <w:tab w:val="left" w:pos="794"/>
          <w:tab w:val="left" w:pos="1191"/>
          <w:tab w:val="left" w:pos="1588"/>
          <w:tab w:val="left" w:pos="1985"/>
        </w:tabs>
        <w:autoSpaceDE/>
        <w:autoSpaceDN/>
        <w:adjustRightInd/>
        <w:spacing w:after="120"/>
        <w:ind w:left="714" w:hanging="357"/>
        <w:jc w:val="both"/>
        <w:rPr>
          <w:rFonts w:cs="Arial"/>
          <w:sz w:val="22"/>
          <w:szCs w:val="22"/>
          <w:lang w:val="es-ES_tradnl"/>
        </w:rPr>
      </w:pPr>
      <w:r w:rsidRPr="00382B0B">
        <w:rPr>
          <w:rFonts w:cs="Arial"/>
          <w:sz w:val="22"/>
          <w:szCs w:val="22"/>
          <w:lang w:val="es-ES_tradnl"/>
        </w:rPr>
        <w:t xml:space="preserve">Considerar en su 48ª y 49ª reunión los informes presentados por la Secretaría y las Partes y según </w:t>
      </w:r>
      <w:r w:rsidR="002726FD" w:rsidRPr="00382B0B">
        <w:rPr>
          <w:rFonts w:cs="Arial"/>
          <w:sz w:val="22"/>
          <w:szCs w:val="22"/>
          <w:lang w:val="es-ES_tradnl"/>
        </w:rPr>
        <w:t>corresponda,</w:t>
      </w:r>
      <w:r w:rsidRPr="00382B0B">
        <w:rPr>
          <w:rFonts w:cs="Arial"/>
          <w:sz w:val="22"/>
          <w:szCs w:val="22"/>
          <w:lang w:val="es-ES_tradnl"/>
        </w:rPr>
        <w:t xml:space="preserve"> recomendar otras medidas a tomar;</w:t>
      </w:r>
    </w:p>
    <w:p w14:paraId="2724C0BD" w14:textId="12A55B1B" w:rsidR="00F6274A" w:rsidRPr="00382B0B" w:rsidRDefault="00F6274A" w:rsidP="002E1F94">
      <w:pPr>
        <w:widowControl/>
        <w:numPr>
          <w:ilvl w:val="0"/>
          <w:numId w:val="7"/>
        </w:numPr>
        <w:tabs>
          <w:tab w:val="left" w:pos="397"/>
          <w:tab w:val="left" w:pos="794"/>
          <w:tab w:val="left" w:pos="1191"/>
          <w:tab w:val="left" w:pos="1588"/>
          <w:tab w:val="left" w:pos="1985"/>
        </w:tabs>
        <w:autoSpaceDE/>
        <w:autoSpaceDN/>
        <w:adjustRightInd/>
        <w:jc w:val="both"/>
        <w:rPr>
          <w:rFonts w:cs="Arial"/>
          <w:sz w:val="22"/>
          <w:szCs w:val="22"/>
          <w:lang w:val="es-ES_tradnl"/>
        </w:rPr>
      </w:pPr>
      <w:r w:rsidRPr="00382B0B">
        <w:rPr>
          <w:rFonts w:cs="Arial"/>
          <w:sz w:val="22"/>
          <w:szCs w:val="22"/>
          <w:lang w:val="es-ES_tradnl"/>
        </w:rPr>
        <w:t xml:space="preserve">Informar a la Conferencia de las Partes en </w:t>
      </w:r>
      <w:r w:rsidR="006415AD" w:rsidRPr="00382B0B">
        <w:rPr>
          <w:rFonts w:cs="Arial"/>
          <w:sz w:val="22"/>
          <w:szCs w:val="22"/>
          <w:lang w:val="es-ES_tradnl"/>
        </w:rPr>
        <w:t>su 13ª Reunión sobre el progreso en la implementación de esta d</w:t>
      </w:r>
      <w:r w:rsidRPr="00382B0B">
        <w:rPr>
          <w:rFonts w:cs="Arial"/>
          <w:sz w:val="22"/>
          <w:szCs w:val="22"/>
          <w:lang w:val="es-ES_tradnl"/>
        </w:rPr>
        <w:t>ecisión.</w:t>
      </w:r>
    </w:p>
    <w:p w14:paraId="615B3094" w14:textId="77777777" w:rsidR="00403EB8" w:rsidRPr="00382B0B" w:rsidRDefault="00403EB8" w:rsidP="002E1F94">
      <w:pPr>
        <w:jc w:val="both"/>
        <w:rPr>
          <w:rFonts w:cs="Arial"/>
          <w:sz w:val="22"/>
          <w:szCs w:val="22"/>
          <w:lang w:val="es-ES_tradnl"/>
        </w:rPr>
      </w:pPr>
    </w:p>
    <w:p w14:paraId="553787E6" w14:textId="64B05EE4" w:rsidR="002E1F94" w:rsidRPr="00382B0B" w:rsidRDefault="002E1F94" w:rsidP="002E1F94">
      <w:pPr>
        <w:jc w:val="both"/>
        <w:rPr>
          <w:rFonts w:cs="Arial"/>
          <w:sz w:val="22"/>
          <w:szCs w:val="22"/>
          <w:lang w:val="es-ES_tradnl"/>
        </w:rPr>
      </w:pPr>
    </w:p>
    <w:p w14:paraId="044E5AE2" w14:textId="48C59CE6" w:rsidR="00F87295" w:rsidRPr="00382B0B" w:rsidRDefault="00F87295" w:rsidP="002E1F94">
      <w:pPr>
        <w:jc w:val="both"/>
        <w:rPr>
          <w:rFonts w:cs="Arial"/>
          <w:b/>
          <w:i/>
          <w:sz w:val="22"/>
          <w:szCs w:val="22"/>
          <w:lang w:val="es-ES_tradnl"/>
        </w:rPr>
      </w:pPr>
      <w:r w:rsidRPr="00382B0B">
        <w:rPr>
          <w:rFonts w:cs="Arial"/>
          <w:b/>
          <w:i/>
          <w:sz w:val="22"/>
          <w:szCs w:val="22"/>
          <w:lang w:val="es-ES_tradnl"/>
        </w:rPr>
        <w:t>Dirigidas a las Partes, organizaciones</w:t>
      </w:r>
      <w:r w:rsidR="0078747B" w:rsidRPr="00382B0B">
        <w:rPr>
          <w:rFonts w:cs="Arial"/>
          <w:b/>
          <w:i/>
          <w:sz w:val="22"/>
          <w:szCs w:val="22"/>
          <w:lang w:val="es-ES_tradnl"/>
        </w:rPr>
        <w:t xml:space="preserve"> gubernamentales, intergubernamentales y no </w:t>
      </w:r>
      <w:r w:rsidR="0078747B" w:rsidRPr="00382B0B">
        <w:rPr>
          <w:rFonts w:cs="Arial"/>
          <w:b/>
          <w:i/>
          <w:sz w:val="22"/>
          <w:szCs w:val="22"/>
          <w:lang w:val="es-ES_tradnl"/>
        </w:rPr>
        <w:lastRenderedPageBreak/>
        <w:t>gubernamentales</w:t>
      </w:r>
      <w:r w:rsidR="00C3465B" w:rsidRPr="00382B0B">
        <w:rPr>
          <w:rFonts w:cs="Arial"/>
          <w:b/>
          <w:i/>
          <w:sz w:val="22"/>
          <w:szCs w:val="22"/>
          <w:lang w:val="es-ES_tradnl"/>
        </w:rPr>
        <w:t>, donantes y otras entidades</w:t>
      </w:r>
    </w:p>
    <w:p w14:paraId="7C6141A3" w14:textId="77777777" w:rsidR="00403EB8" w:rsidRPr="00382B0B" w:rsidRDefault="00403EB8" w:rsidP="002E1F94">
      <w:pPr>
        <w:jc w:val="both"/>
        <w:rPr>
          <w:rFonts w:cs="Arial"/>
          <w:sz w:val="22"/>
          <w:szCs w:val="22"/>
          <w:highlight w:val="green"/>
          <w:lang w:val="es-ES_tradnl"/>
        </w:rPr>
      </w:pPr>
    </w:p>
    <w:p w14:paraId="77F41CDA" w14:textId="089F6F9B" w:rsidR="00166C88" w:rsidRPr="00382B0B" w:rsidRDefault="00403EB8" w:rsidP="002E1F94">
      <w:pPr>
        <w:ind w:left="720" w:hanging="720"/>
        <w:jc w:val="both"/>
        <w:rPr>
          <w:rFonts w:cs="Arial"/>
          <w:sz w:val="22"/>
          <w:szCs w:val="22"/>
          <w:lang w:val="es-ES_tradnl"/>
        </w:rPr>
      </w:pPr>
      <w:r w:rsidRPr="00382B0B">
        <w:rPr>
          <w:rFonts w:cs="Arial"/>
          <w:sz w:val="22"/>
          <w:szCs w:val="22"/>
          <w:lang w:val="es-ES_tradnl"/>
        </w:rPr>
        <w:t>12.</w:t>
      </w:r>
      <w:r w:rsidR="00D66CEE" w:rsidRPr="00382B0B">
        <w:rPr>
          <w:rFonts w:cs="Arial"/>
          <w:sz w:val="22"/>
          <w:szCs w:val="22"/>
          <w:lang w:val="es-ES_tradnl"/>
        </w:rPr>
        <w:t>FF</w:t>
      </w:r>
      <w:r w:rsidRPr="00382B0B">
        <w:rPr>
          <w:rFonts w:cs="Arial"/>
          <w:sz w:val="22"/>
          <w:szCs w:val="22"/>
          <w:lang w:val="es-ES_tradnl"/>
        </w:rPr>
        <w:tab/>
      </w:r>
      <w:r w:rsidR="00166C88" w:rsidRPr="00382B0B">
        <w:rPr>
          <w:rFonts w:cs="Arial"/>
          <w:sz w:val="22"/>
          <w:szCs w:val="22"/>
          <w:lang w:val="es-ES_tradnl"/>
        </w:rPr>
        <w:t>Se alienta a las Partes, organizaciones intergubernamentales y no gubernamentales</w:t>
      </w:r>
      <w:r w:rsidR="00695997" w:rsidRPr="00382B0B">
        <w:rPr>
          <w:rFonts w:cs="Arial"/>
          <w:sz w:val="22"/>
          <w:szCs w:val="22"/>
          <w:lang w:val="es-ES_tradnl"/>
        </w:rPr>
        <w:t xml:space="preserve"> a</w:t>
      </w:r>
      <w:r w:rsidR="00166C88" w:rsidRPr="00382B0B">
        <w:rPr>
          <w:rFonts w:cs="Arial"/>
          <w:sz w:val="22"/>
          <w:szCs w:val="22"/>
          <w:lang w:val="es-ES_tradnl"/>
        </w:rPr>
        <w:t xml:space="preserve"> apoyar a los estados del área de distribución del guepardo y del licaón y a la Secretaría en sus esfuerzos para conservar y restablecer estas especies </w:t>
      </w:r>
      <w:r w:rsidR="00F06A8E" w:rsidRPr="00382B0B">
        <w:rPr>
          <w:rFonts w:cs="Arial"/>
          <w:sz w:val="22"/>
          <w:szCs w:val="22"/>
          <w:lang w:val="es-ES_tradnl"/>
        </w:rPr>
        <w:t>en toda</w:t>
      </w:r>
      <w:r w:rsidR="00166C88" w:rsidRPr="00382B0B">
        <w:rPr>
          <w:rFonts w:cs="Arial"/>
          <w:sz w:val="22"/>
          <w:szCs w:val="22"/>
          <w:lang w:val="es-ES_tradnl"/>
        </w:rPr>
        <w:t xml:space="preserve"> su área de </w:t>
      </w:r>
      <w:r w:rsidR="00F06A8E" w:rsidRPr="00382B0B">
        <w:rPr>
          <w:rFonts w:cs="Arial"/>
          <w:sz w:val="22"/>
          <w:szCs w:val="22"/>
          <w:lang w:val="es-ES_tradnl"/>
        </w:rPr>
        <w:t>distribución</w:t>
      </w:r>
      <w:r w:rsidR="00673E03" w:rsidRPr="00382B0B">
        <w:rPr>
          <w:rFonts w:cs="Arial"/>
          <w:sz w:val="22"/>
          <w:szCs w:val="22"/>
          <w:lang w:val="es-ES_tradnl"/>
        </w:rPr>
        <w:t>; así como en la implementación de</w:t>
      </w:r>
      <w:r w:rsidR="00166C88" w:rsidRPr="00382B0B">
        <w:rPr>
          <w:rFonts w:cs="Arial"/>
          <w:sz w:val="22"/>
          <w:szCs w:val="22"/>
          <w:lang w:val="es-ES_tradnl"/>
        </w:rPr>
        <w:t xml:space="preserve"> las decisiones recogidas en la Decisión 12.AA, párrafos 1-6 y Decisión 12.BB párrafos b) - k).</w:t>
      </w:r>
    </w:p>
    <w:p w14:paraId="71B067A7" w14:textId="12ECA100" w:rsidR="000314B3" w:rsidRPr="00382B0B" w:rsidRDefault="000314B3" w:rsidP="002E1F94">
      <w:pPr>
        <w:jc w:val="both"/>
        <w:rPr>
          <w:rFonts w:cs="Arial"/>
          <w:sz w:val="22"/>
          <w:szCs w:val="22"/>
          <w:highlight w:val="green"/>
          <w:lang w:val="es-ES_tradnl"/>
        </w:rPr>
      </w:pPr>
    </w:p>
    <w:p w14:paraId="1AE94A7A" w14:textId="77777777" w:rsidR="000314B3" w:rsidRPr="00382B0B" w:rsidRDefault="000314B3" w:rsidP="002E1F94">
      <w:pPr>
        <w:jc w:val="both"/>
        <w:rPr>
          <w:rFonts w:cs="Arial"/>
          <w:sz w:val="22"/>
          <w:szCs w:val="22"/>
          <w:lang w:val="es-ES_tradnl"/>
        </w:rPr>
      </w:pPr>
    </w:p>
    <w:p w14:paraId="17949F57" w14:textId="6ECDB54B" w:rsidR="000F2BBC" w:rsidRPr="00382B0B" w:rsidRDefault="000F2BBC" w:rsidP="002E1F94">
      <w:pPr>
        <w:jc w:val="center"/>
        <w:rPr>
          <w:rFonts w:cs="Arial"/>
          <w:b/>
          <w:sz w:val="22"/>
          <w:szCs w:val="22"/>
          <w:lang w:val="es-ES_tradnl"/>
        </w:rPr>
      </w:pPr>
      <w:r w:rsidRPr="00382B0B">
        <w:rPr>
          <w:rFonts w:cs="Arial"/>
          <w:b/>
          <w:sz w:val="22"/>
          <w:szCs w:val="22"/>
          <w:lang w:val="es-ES_tradnl"/>
        </w:rPr>
        <w:t>CONSERVACIÓN DE LOS GRANDES CARNÍVOROS AFRICANOS</w:t>
      </w:r>
    </w:p>
    <w:p w14:paraId="26D5B4A9" w14:textId="7B65B3AD" w:rsidR="00403EB8" w:rsidRPr="00382B0B" w:rsidRDefault="00403EB8" w:rsidP="002E1F94">
      <w:pPr>
        <w:jc w:val="both"/>
        <w:rPr>
          <w:rFonts w:cs="Arial"/>
          <w:sz w:val="22"/>
          <w:szCs w:val="22"/>
          <w:highlight w:val="green"/>
          <w:lang w:val="es-ES_tradnl"/>
        </w:rPr>
      </w:pPr>
    </w:p>
    <w:p w14:paraId="07AAE332" w14:textId="77777777" w:rsidR="002E1F94" w:rsidRPr="00382B0B" w:rsidRDefault="002E1F94" w:rsidP="002E1F94">
      <w:pPr>
        <w:jc w:val="both"/>
        <w:rPr>
          <w:rFonts w:cs="Arial"/>
          <w:sz w:val="22"/>
          <w:szCs w:val="22"/>
          <w:lang w:val="es-ES_tradnl"/>
        </w:rPr>
      </w:pPr>
    </w:p>
    <w:p w14:paraId="64B0E545" w14:textId="40CD32FC" w:rsidR="000F2BBC" w:rsidRPr="00382B0B" w:rsidRDefault="000F2BBC" w:rsidP="002E1F94">
      <w:pPr>
        <w:jc w:val="both"/>
        <w:rPr>
          <w:rFonts w:cs="Arial"/>
          <w:b/>
          <w:i/>
          <w:sz w:val="22"/>
          <w:szCs w:val="22"/>
          <w:lang w:val="es-ES_tradnl"/>
        </w:rPr>
      </w:pPr>
      <w:r w:rsidRPr="00382B0B">
        <w:rPr>
          <w:rFonts w:cs="Arial"/>
          <w:b/>
          <w:i/>
          <w:sz w:val="22"/>
          <w:szCs w:val="22"/>
          <w:lang w:val="es-ES_tradnl"/>
        </w:rPr>
        <w:t>Dirigida</w:t>
      </w:r>
      <w:r w:rsidR="00543660" w:rsidRPr="00382B0B">
        <w:rPr>
          <w:rFonts w:cs="Arial"/>
          <w:b/>
          <w:i/>
          <w:sz w:val="22"/>
          <w:szCs w:val="22"/>
          <w:lang w:val="es-ES_tradnl"/>
        </w:rPr>
        <w:t>s</w:t>
      </w:r>
      <w:r w:rsidRPr="00382B0B">
        <w:rPr>
          <w:rFonts w:cs="Arial"/>
          <w:b/>
          <w:i/>
          <w:sz w:val="22"/>
          <w:szCs w:val="22"/>
          <w:lang w:val="es-ES_tradnl"/>
        </w:rPr>
        <w:t xml:space="preserve"> a la Secretaría</w:t>
      </w:r>
    </w:p>
    <w:p w14:paraId="2D59F5A2" w14:textId="77777777" w:rsidR="00403EB8" w:rsidRPr="00382B0B" w:rsidRDefault="00403EB8" w:rsidP="002E1F94">
      <w:pPr>
        <w:jc w:val="both"/>
        <w:rPr>
          <w:rFonts w:cs="Arial"/>
          <w:sz w:val="22"/>
          <w:szCs w:val="22"/>
          <w:lang w:val="es-ES_tradnl"/>
        </w:rPr>
      </w:pPr>
    </w:p>
    <w:p w14:paraId="0D9B6FBC" w14:textId="0AA7DE03" w:rsidR="00B51E2E" w:rsidRPr="00382B0B" w:rsidRDefault="000314B3" w:rsidP="002E1F94">
      <w:pPr>
        <w:widowControl/>
        <w:autoSpaceDE/>
        <w:autoSpaceDN/>
        <w:adjustRightInd/>
        <w:ind w:left="720" w:hanging="720"/>
        <w:jc w:val="both"/>
        <w:rPr>
          <w:rFonts w:cs="Arial"/>
          <w:sz w:val="22"/>
          <w:szCs w:val="22"/>
          <w:lang w:val="es-ES_tradnl" w:eastAsia="en-GB"/>
        </w:rPr>
      </w:pPr>
      <w:r w:rsidRPr="00382B0B">
        <w:rPr>
          <w:rFonts w:cs="Arial"/>
          <w:sz w:val="22"/>
          <w:szCs w:val="22"/>
          <w:lang w:val="es-ES_tradnl" w:eastAsia="en-GB"/>
        </w:rPr>
        <w:t>12.AA</w:t>
      </w:r>
      <w:r w:rsidR="00D66CEE" w:rsidRPr="00382B0B">
        <w:rPr>
          <w:rFonts w:cs="Arial"/>
          <w:sz w:val="22"/>
          <w:szCs w:val="22"/>
          <w:lang w:val="es-ES_tradnl" w:eastAsia="en-GB"/>
        </w:rPr>
        <w:tab/>
      </w:r>
      <w:r w:rsidR="00B51E2E" w:rsidRPr="00382B0B">
        <w:rPr>
          <w:rFonts w:cs="Arial"/>
          <w:sz w:val="22"/>
          <w:szCs w:val="22"/>
          <w:lang w:val="es-ES_tradnl" w:eastAsia="en-GB"/>
        </w:rPr>
        <w:t>La Secretaría deberá esta</w:t>
      </w:r>
      <w:r w:rsidR="00DF6DDD" w:rsidRPr="00382B0B">
        <w:rPr>
          <w:rFonts w:cs="Arial"/>
          <w:sz w:val="22"/>
          <w:szCs w:val="22"/>
          <w:lang w:val="es-ES_tradnl" w:eastAsia="en-GB"/>
        </w:rPr>
        <w:t>b</w:t>
      </w:r>
      <w:r w:rsidR="00B51E2E" w:rsidRPr="00382B0B">
        <w:rPr>
          <w:rFonts w:cs="Arial"/>
          <w:sz w:val="22"/>
          <w:szCs w:val="22"/>
          <w:lang w:val="es-ES_tradnl" w:eastAsia="en-GB"/>
        </w:rPr>
        <w:t>lecer</w:t>
      </w:r>
      <w:r w:rsidR="00DF6DDD" w:rsidRPr="00382B0B">
        <w:rPr>
          <w:rFonts w:cs="Arial"/>
          <w:sz w:val="22"/>
          <w:szCs w:val="22"/>
          <w:lang w:val="es-ES_tradnl" w:eastAsia="en-GB"/>
        </w:rPr>
        <w:t xml:space="preserve"> un Grupo de Trabajo Especial de grandes carnívoros africanos para a</w:t>
      </w:r>
      <w:r w:rsidR="00B86795" w:rsidRPr="00382B0B">
        <w:rPr>
          <w:rFonts w:cs="Arial"/>
          <w:sz w:val="22"/>
          <w:szCs w:val="22"/>
          <w:lang w:val="es-ES_tradnl" w:eastAsia="en-GB"/>
        </w:rPr>
        <w:t xml:space="preserve">poyar a </w:t>
      </w:r>
      <w:r w:rsidR="00265D64">
        <w:rPr>
          <w:rFonts w:cs="Arial"/>
          <w:sz w:val="22"/>
          <w:szCs w:val="22"/>
          <w:lang w:val="es-ES_tradnl" w:eastAsia="en-GB"/>
        </w:rPr>
        <w:t>lo</w:t>
      </w:r>
      <w:r w:rsidR="00B86795" w:rsidRPr="00382B0B">
        <w:rPr>
          <w:rFonts w:cs="Arial"/>
          <w:sz w:val="22"/>
          <w:szCs w:val="22"/>
          <w:lang w:val="es-ES_tradnl" w:eastAsia="en-GB"/>
        </w:rPr>
        <w:t>s estados Partes del á</w:t>
      </w:r>
      <w:r w:rsidR="00DF6DDD" w:rsidRPr="00382B0B">
        <w:rPr>
          <w:rFonts w:cs="Arial"/>
          <w:sz w:val="22"/>
          <w:szCs w:val="22"/>
          <w:lang w:val="es-ES_tradnl" w:eastAsia="en-GB"/>
        </w:rPr>
        <w:t xml:space="preserve">rea de distribución </w:t>
      </w:r>
      <w:r w:rsidR="00225325">
        <w:rPr>
          <w:rFonts w:cs="Arial"/>
          <w:sz w:val="22"/>
          <w:szCs w:val="22"/>
          <w:lang w:val="es-ES_tradnl" w:eastAsia="en-GB"/>
        </w:rPr>
        <w:t>en</w:t>
      </w:r>
      <w:r w:rsidR="00E80706" w:rsidRPr="00382B0B">
        <w:rPr>
          <w:rFonts w:cs="Arial"/>
          <w:sz w:val="22"/>
          <w:szCs w:val="22"/>
          <w:lang w:val="es-ES_tradnl" w:eastAsia="en-GB"/>
        </w:rPr>
        <w:t xml:space="preserve"> la</w:t>
      </w:r>
      <w:r w:rsidR="00DF6DDD" w:rsidRPr="00382B0B">
        <w:rPr>
          <w:rFonts w:cs="Arial"/>
          <w:sz w:val="22"/>
          <w:szCs w:val="22"/>
          <w:lang w:val="es-ES_tradnl" w:eastAsia="en-GB"/>
        </w:rPr>
        <w:t xml:space="preserve"> imp</w:t>
      </w:r>
      <w:r w:rsidR="00B86795" w:rsidRPr="00382B0B">
        <w:rPr>
          <w:rFonts w:cs="Arial"/>
          <w:sz w:val="22"/>
          <w:szCs w:val="22"/>
          <w:lang w:val="es-ES_tradnl" w:eastAsia="en-GB"/>
        </w:rPr>
        <w:t>l</w:t>
      </w:r>
      <w:r w:rsidR="00E80706" w:rsidRPr="00382B0B">
        <w:rPr>
          <w:rFonts w:cs="Arial"/>
          <w:sz w:val="22"/>
          <w:szCs w:val="22"/>
          <w:lang w:val="es-ES_tradnl" w:eastAsia="en-GB"/>
        </w:rPr>
        <w:t>ementación de</w:t>
      </w:r>
      <w:r w:rsidR="00DF6DDD" w:rsidRPr="00382B0B">
        <w:rPr>
          <w:rFonts w:cs="Arial"/>
          <w:sz w:val="22"/>
          <w:szCs w:val="22"/>
          <w:lang w:val="es-ES_tradnl" w:eastAsia="en-GB"/>
        </w:rPr>
        <w:t xml:space="preserve"> los planes de conservación nacionales y estrategias regionales y</w:t>
      </w:r>
      <w:r w:rsidR="00E80706" w:rsidRPr="00382B0B">
        <w:rPr>
          <w:rFonts w:cs="Arial"/>
          <w:sz w:val="22"/>
          <w:szCs w:val="22"/>
          <w:lang w:val="es-ES_tradnl" w:eastAsia="en-GB"/>
        </w:rPr>
        <w:t xml:space="preserve"> para</w:t>
      </w:r>
      <w:r w:rsidR="00DF6DDD" w:rsidRPr="00382B0B">
        <w:rPr>
          <w:rFonts w:cs="Arial"/>
          <w:sz w:val="22"/>
          <w:szCs w:val="22"/>
          <w:lang w:val="es-ES_tradnl" w:eastAsia="en-GB"/>
        </w:rPr>
        <w:t xml:space="preserve"> </w:t>
      </w:r>
      <w:r w:rsidR="00E80706" w:rsidRPr="00382B0B">
        <w:rPr>
          <w:rFonts w:cs="Arial"/>
          <w:sz w:val="22"/>
          <w:szCs w:val="22"/>
          <w:lang w:val="es-ES_tradnl" w:eastAsia="en-GB"/>
        </w:rPr>
        <w:t>fomentar</w:t>
      </w:r>
      <w:r w:rsidR="00DF6DDD" w:rsidRPr="00382B0B">
        <w:rPr>
          <w:rFonts w:cs="Arial"/>
          <w:sz w:val="22"/>
          <w:szCs w:val="22"/>
          <w:lang w:val="es-ES_tradnl" w:eastAsia="en-GB"/>
        </w:rPr>
        <w:t xml:space="preserve"> la conservación transfronteriza entre los estados del área de distribución</w:t>
      </w:r>
      <w:r w:rsidR="00037EFB" w:rsidRPr="00382B0B">
        <w:rPr>
          <w:rFonts w:cs="Arial"/>
          <w:sz w:val="22"/>
          <w:szCs w:val="22"/>
          <w:lang w:val="es-ES_tradnl" w:eastAsia="en-GB"/>
        </w:rPr>
        <w:t xml:space="preserve">, incluyendo </w:t>
      </w:r>
      <w:r w:rsidR="00E80706" w:rsidRPr="00382B0B">
        <w:rPr>
          <w:rFonts w:cs="Arial"/>
          <w:sz w:val="22"/>
          <w:szCs w:val="22"/>
          <w:lang w:val="es-ES_tradnl" w:eastAsia="en-GB"/>
        </w:rPr>
        <w:t>mediante la armonización leyes</w:t>
      </w:r>
      <w:r w:rsidR="00037EFB" w:rsidRPr="00382B0B">
        <w:rPr>
          <w:rFonts w:cs="Arial"/>
          <w:sz w:val="22"/>
          <w:szCs w:val="22"/>
          <w:lang w:val="es-ES_tradnl" w:eastAsia="en-GB"/>
        </w:rPr>
        <w:t>, políticas y usos del suelo a través de las fronteras internacio</w:t>
      </w:r>
      <w:r w:rsidR="0042751E">
        <w:rPr>
          <w:rFonts w:cs="Arial"/>
          <w:sz w:val="22"/>
          <w:szCs w:val="22"/>
          <w:lang w:val="es-ES_tradnl" w:eastAsia="en-GB"/>
        </w:rPr>
        <w:t>nales de las poblaciones compartidas</w:t>
      </w:r>
      <w:r w:rsidR="00037EFB" w:rsidRPr="00382B0B">
        <w:rPr>
          <w:rFonts w:cs="Arial"/>
          <w:sz w:val="22"/>
          <w:szCs w:val="22"/>
          <w:lang w:val="es-ES_tradnl" w:eastAsia="en-GB"/>
        </w:rPr>
        <w:t>.</w:t>
      </w:r>
    </w:p>
    <w:p w14:paraId="47D87826" w14:textId="77777777" w:rsidR="00403EB8" w:rsidRPr="00382B0B" w:rsidRDefault="00403EB8" w:rsidP="002E1F94">
      <w:pPr>
        <w:widowControl/>
        <w:autoSpaceDE/>
        <w:autoSpaceDN/>
        <w:adjustRightInd/>
        <w:rPr>
          <w:rFonts w:eastAsia="Calibri" w:cs="Arial"/>
          <w:sz w:val="22"/>
          <w:szCs w:val="22"/>
          <w:lang w:val="es-ES_tradnl"/>
        </w:rPr>
      </w:pPr>
    </w:p>
    <w:p w14:paraId="56862BBC" w14:textId="77777777" w:rsidR="00403EB8" w:rsidRPr="00382B0B" w:rsidRDefault="00403EB8" w:rsidP="002E1F94">
      <w:pPr>
        <w:widowControl/>
        <w:tabs>
          <w:tab w:val="left" w:pos="397"/>
          <w:tab w:val="left" w:pos="794"/>
          <w:tab w:val="left" w:pos="1191"/>
          <w:tab w:val="left" w:pos="1588"/>
          <w:tab w:val="left" w:pos="1985"/>
        </w:tabs>
        <w:autoSpaceDE/>
        <w:autoSpaceDN/>
        <w:adjustRightInd/>
        <w:jc w:val="both"/>
        <w:rPr>
          <w:rFonts w:cs="Arial"/>
          <w:color w:val="000000"/>
          <w:spacing w:val="-2"/>
          <w:kern w:val="20"/>
          <w:sz w:val="22"/>
          <w:szCs w:val="22"/>
          <w:lang w:val="es-ES_tradnl"/>
        </w:rPr>
      </w:pPr>
    </w:p>
    <w:p w14:paraId="44690189" w14:textId="77777777" w:rsidR="0079075D" w:rsidRPr="00382B0B" w:rsidRDefault="0079075D" w:rsidP="007910DD">
      <w:pPr>
        <w:pStyle w:val="Heading2"/>
        <w:keepNext w:val="0"/>
        <w:ind w:left="-90" w:right="-367"/>
        <w:jc w:val="center"/>
        <w:rPr>
          <w:rFonts w:cs="Arial"/>
          <w:sz w:val="22"/>
          <w:szCs w:val="22"/>
          <w:lang w:val="es-ES_tradnl"/>
        </w:rPr>
      </w:pPr>
    </w:p>
    <w:sectPr w:rsidR="0079075D" w:rsidRPr="00382B0B" w:rsidSect="006A0649">
      <w:headerReference w:type="first" r:id="rId15"/>
      <w:footerReference w:type="first" r:id="rId16"/>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F2011" w14:textId="77777777" w:rsidR="0032098F" w:rsidRDefault="0032098F">
      <w:r>
        <w:separator/>
      </w:r>
    </w:p>
  </w:endnote>
  <w:endnote w:type="continuationSeparator" w:id="0">
    <w:p w14:paraId="73087F42" w14:textId="77777777" w:rsidR="0032098F" w:rsidRDefault="0032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FEC5" w14:textId="42A49DF9" w:rsidR="0032098F" w:rsidRPr="00922791" w:rsidRDefault="0032098F"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6A0649">
      <w:rPr>
        <w:rFonts w:cs="Arial"/>
        <w:noProof/>
        <w:szCs w:val="18"/>
      </w:rPr>
      <w:t>4</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C47D9" w14:textId="4D32970D" w:rsidR="0032098F" w:rsidRPr="002E1F94" w:rsidRDefault="0032098F" w:rsidP="00056DC1">
    <w:pPr>
      <w:pStyle w:val="Footer"/>
      <w:ind w:right="-367"/>
      <w:jc w:val="center"/>
      <w:rPr>
        <w:rFonts w:cs="Arial"/>
        <w:szCs w:val="18"/>
      </w:rPr>
    </w:pPr>
    <w:r w:rsidRPr="002E1F94">
      <w:rPr>
        <w:rFonts w:cs="Arial"/>
        <w:szCs w:val="18"/>
      </w:rPr>
      <w:fldChar w:fldCharType="begin"/>
    </w:r>
    <w:r w:rsidRPr="002E1F94">
      <w:rPr>
        <w:rFonts w:cs="Arial"/>
        <w:szCs w:val="18"/>
      </w:rPr>
      <w:instrText xml:space="preserve"> PAGE   \* MERGEFORMAT </w:instrText>
    </w:r>
    <w:r w:rsidRPr="002E1F94">
      <w:rPr>
        <w:rFonts w:cs="Arial"/>
        <w:szCs w:val="18"/>
      </w:rPr>
      <w:fldChar w:fldCharType="separate"/>
    </w:r>
    <w:r w:rsidR="006A0649">
      <w:rPr>
        <w:rFonts w:cs="Arial"/>
        <w:noProof/>
        <w:szCs w:val="18"/>
      </w:rPr>
      <w:t>3</w:t>
    </w:r>
    <w:r w:rsidRPr="002E1F94">
      <w:rPr>
        <w:rFonts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EDB47" w14:textId="77777777" w:rsidR="0032098F" w:rsidRPr="00CD7355" w:rsidRDefault="0032098F"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81E28" w14:textId="1AFC56AC" w:rsidR="0032098F" w:rsidRPr="002E1F94" w:rsidRDefault="0032098F" w:rsidP="00015E07">
    <w:pPr>
      <w:pStyle w:val="Footer"/>
      <w:tabs>
        <w:tab w:val="clear" w:pos="8640"/>
        <w:tab w:val="right" w:pos="9083"/>
      </w:tabs>
      <w:jc w:val="center"/>
      <w:rPr>
        <w:rFonts w:cs="Arial"/>
        <w:szCs w:val="18"/>
      </w:rPr>
    </w:pPr>
    <w:r w:rsidRPr="002E1F94">
      <w:rPr>
        <w:rFonts w:cs="Arial"/>
        <w:noProof/>
        <w:szCs w:val="18"/>
      </w:rPr>
      <w:tab/>
    </w:r>
    <w:r w:rsidRPr="002E1F94">
      <w:rPr>
        <w:rFonts w:cs="Arial"/>
        <w:szCs w:val="18"/>
      </w:rPr>
      <w:fldChar w:fldCharType="begin"/>
    </w:r>
    <w:r w:rsidRPr="002E1F94">
      <w:rPr>
        <w:rFonts w:cs="Arial"/>
        <w:szCs w:val="18"/>
      </w:rPr>
      <w:instrText xml:space="preserve"> PAGE   \* MERGEFORMAT </w:instrText>
    </w:r>
    <w:r w:rsidRPr="002E1F94">
      <w:rPr>
        <w:rFonts w:cs="Arial"/>
        <w:szCs w:val="18"/>
      </w:rPr>
      <w:fldChar w:fldCharType="separate"/>
    </w:r>
    <w:r w:rsidR="006A0649">
      <w:rPr>
        <w:rFonts w:cs="Arial"/>
        <w:noProof/>
        <w:szCs w:val="18"/>
      </w:rPr>
      <w:t>2</w:t>
    </w:r>
    <w:r w:rsidRPr="002E1F94">
      <w:rPr>
        <w:rFonts w:cs="Arial"/>
        <w:noProof/>
        <w:szCs w:val="18"/>
      </w:rPr>
      <w:fldChar w:fldCharType="end"/>
    </w:r>
    <w:r w:rsidRPr="002E1F94">
      <w:rPr>
        <w:rFonts w:cs="Arial"/>
        <w:noProof/>
        <w:szCs w:val="18"/>
      </w:rPr>
      <w:tab/>
    </w:r>
  </w:p>
  <w:p w14:paraId="4849B7C7" w14:textId="77777777" w:rsidR="0032098F" w:rsidRPr="00D605A4" w:rsidRDefault="0032098F"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DCF8B" w14:textId="77777777" w:rsidR="0032098F" w:rsidRDefault="0032098F">
      <w:r>
        <w:separator/>
      </w:r>
    </w:p>
  </w:footnote>
  <w:footnote w:type="continuationSeparator" w:id="0">
    <w:p w14:paraId="3AE7E91F" w14:textId="77777777" w:rsidR="0032098F" w:rsidRDefault="00320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25F75" w14:textId="06B701CC" w:rsidR="0032098F" w:rsidRPr="00922791" w:rsidRDefault="0032098F"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UNEP/CMS/COP12</w:t>
    </w:r>
    <w:r>
      <w:rPr>
        <w:rFonts w:cs="Arial"/>
        <w:b w:val="0"/>
        <w:i/>
        <w:sz w:val="18"/>
        <w:szCs w:val="18"/>
        <w:lang w:val="en-US"/>
      </w:rPr>
      <w:t>/Doc</w:t>
    </w:r>
    <w:r w:rsidR="006A0649">
      <w:rPr>
        <w:rFonts w:cs="Arial"/>
        <w:b w:val="0"/>
        <w:i/>
        <w:sz w:val="18"/>
        <w:szCs w:val="18"/>
        <w:lang w:val="en-US"/>
      </w:rPr>
      <w:t>.24.3.1.2</w:t>
    </w:r>
    <w:bookmarkStart w:id="0" w:name="_GoBack"/>
    <w:bookmarkEnd w:id="0"/>
    <w:r w:rsidR="006A0649">
      <w:rPr>
        <w:rFonts w:cs="Arial"/>
        <w:b w:val="0"/>
        <w:i/>
        <w:sz w:val="18"/>
        <w:szCs w:val="18"/>
        <w:lang w:val="en-US"/>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C1274" w14:textId="0506654D" w:rsidR="0032098F" w:rsidRPr="00497E66" w:rsidRDefault="0032098F" w:rsidP="006A0649">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24.3.1.2</w:t>
    </w:r>
    <w:r w:rsidR="006A0649">
      <w:rPr>
        <w:rFonts w:cs="Arial"/>
        <w:b w:val="0"/>
        <w:i/>
        <w:sz w:val="18"/>
        <w:szCs w:val="18"/>
        <w:lang w:val="fr-FR"/>
      </w:rPr>
      <w:t>/Rev.1</w:t>
    </w:r>
  </w:p>
  <w:p w14:paraId="210CD5DE" w14:textId="77777777" w:rsidR="0032098F" w:rsidRPr="00497E66" w:rsidRDefault="0032098F"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46E82" w14:textId="49B496E3" w:rsidR="0032098F" w:rsidRDefault="00F6680B" w:rsidP="00894D19">
    <w:pPr>
      <w:pStyle w:val="Header"/>
    </w:pPr>
    <w:r>
      <w:rPr>
        <w:noProof/>
        <w:lang w:val="en-US"/>
      </w:rPr>
      <w:drawing>
        <wp:anchor distT="0" distB="0" distL="114300" distR="114300" simplePos="0" relativeHeight="251659264" behindDoc="1" locked="0" layoutInCell="1" allowOverlap="1" wp14:anchorId="300D6DD7" wp14:editId="0E3B8FC0">
          <wp:simplePos x="0" y="0"/>
          <wp:positionH relativeFrom="column">
            <wp:posOffset>-175260</wp:posOffset>
          </wp:positionH>
          <wp:positionV relativeFrom="paragraph">
            <wp:posOffset>-64770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32098F">
      <w:rPr>
        <w:noProof/>
        <w:lang w:val="en-US"/>
      </w:rPr>
      <w:drawing>
        <wp:anchor distT="0" distB="0" distL="114300" distR="114300" simplePos="0" relativeHeight="251657216" behindDoc="1" locked="0" layoutInCell="1" allowOverlap="1" wp14:anchorId="1669999D" wp14:editId="6C36EAC8">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01F32" w14:textId="77777777" w:rsidR="0032098F" w:rsidRDefault="003209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C10FA" w14:textId="395F2638" w:rsidR="0032098F" w:rsidRPr="00D605A4" w:rsidRDefault="0032098F" w:rsidP="002E1F94">
    <w:pPr>
      <w:pStyle w:val="Header"/>
      <w:pBdr>
        <w:bottom w:val="single" w:sz="4" w:space="1" w:color="auto"/>
      </w:pBdr>
      <w:rPr>
        <w:rFonts w:cs="Arial"/>
        <w:i/>
        <w:szCs w:val="18"/>
        <w:lang w:val="de-DE"/>
      </w:rPr>
    </w:pPr>
    <w:r w:rsidRPr="00D605A4">
      <w:rPr>
        <w:rFonts w:cs="Arial"/>
        <w:i/>
        <w:szCs w:val="18"/>
        <w:lang w:val="de-DE"/>
      </w:rPr>
      <w:t>UNEP/CMS/COP12/Doc.</w:t>
    </w:r>
    <w:r>
      <w:rPr>
        <w:rFonts w:cs="Arial"/>
        <w:i/>
        <w:szCs w:val="18"/>
        <w:lang w:val="de-DE"/>
      </w:rPr>
      <w:t>24.3.1.2</w:t>
    </w:r>
    <w:r w:rsidR="006A0649">
      <w:rPr>
        <w:rFonts w:cs="Arial"/>
        <w:i/>
        <w:szCs w:val="18"/>
        <w:lang w:val="de-DE"/>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1D7466E"/>
    <w:multiLevelType w:val="hybridMultilevel"/>
    <w:tmpl w:val="CC5EDB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A6D7CE2"/>
    <w:multiLevelType w:val="hybridMultilevel"/>
    <w:tmpl w:val="C8F629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2566"/>
    <w:rsid w:val="00015E07"/>
    <w:rsid w:val="00024D14"/>
    <w:rsid w:val="000254DF"/>
    <w:rsid w:val="000314B3"/>
    <w:rsid w:val="00031A88"/>
    <w:rsid w:val="00032123"/>
    <w:rsid w:val="00032BD5"/>
    <w:rsid w:val="0003435F"/>
    <w:rsid w:val="0003449E"/>
    <w:rsid w:val="00036C53"/>
    <w:rsid w:val="00037EFB"/>
    <w:rsid w:val="000476F3"/>
    <w:rsid w:val="000518C2"/>
    <w:rsid w:val="00056DC1"/>
    <w:rsid w:val="00060156"/>
    <w:rsid w:val="000664C8"/>
    <w:rsid w:val="00070BBC"/>
    <w:rsid w:val="00071F66"/>
    <w:rsid w:val="00073C92"/>
    <w:rsid w:val="0007612F"/>
    <w:rsid w:val="00080F03"/>
    <w:rsid w:val="00087CB5"/>
    <w:rsid w:val="000900E1"/>
    <w:rsid w:val="000901F3"/>
    <w:rsid w:val="0009076A"/>
    <w:rsid w:val="000A06B3"/>
    <w:rsid w:val="000A3BDE"/>
    <w:rsid w:val="000B0F4C"/>
    <w:rsid w:val="000B6220"/>
    <w:rsid w:val="000C21B1"/>
    <w:rsid w:val="000C3C87"/>
    <w:rsid w:val="000C7460"/>
    <w:rsid w:val="000E01C1"/>
    <w:rsid w:val="000E09AD"/>
    <w:rsid w:val="000F0B93"/>
    <w:rsid w:val="000F1156"/>
    <w:rsid w:val="000F2BBC"/>
    <w:rsid w:val="000F52BA"/>
    <w:rsid w:val="000F6619"/>
    <w:rsid w:val="000F75CE"/>
    <w:rsid w:val="001111A9"/>
    <w:rsid w:val="001151A3"/>
    <w:rsid w:val="001162DE"/>
    <w:rsid w:val="001245DF"/>
    <w:rsid w:val="00125100"/>
    <w:rsid w:val="00130BFD"/>
    <w:rsid w:val="00132B11"/>
    <w:rsid w:val="001419C7"/>
    <w:rsid w:val="00142207"/>
    <w:rsid w:val="00143B36"/>
    <w:rsid w:val="00150AC4"/>
    <w:rsid w:val="00162D88"/>
    <w:rsid w:val="00162F23"/>
    <w:rsid w:val="00166ABA"/>
    <w:rsid w:val="00166C88"/>
    <w:rsid w:val="001729EE"/>
    <w:rsid w:val="001743FD"/>
    <w:rsid w:val="001764E6"/>
    <w:rsid w:val="00176F8B"/>
    <w:rsid w:val="001808F1"/>
    <w:rsid w:val="00191569"/>
    <w:rsid w:val="001A33B6"/>
    <w:rsid w:val="001A5F65"/>
    <w:rsid w:val="001B0713"/>
    <w:rsid w:val="001C069F"/>
    <w:rsid w:val="001C1156"/>
    <w:rsid w:val="001C6038"/>
    <w:rsid w:val="001F60A1"/>
    <w:rsid w:val="00200570"/>
    <w:rsid w:val="00200759"/>
    <w:rsid w:val="00200A67"/>
    <w:rsid w:val="00201AFC"/>
    <w:rsid w:val="00201F88"/>
    <w:rsid w:val="0020229E"/>
    <w:rsid w:val="00202332"/>
    <w:rsid w:val="00203A83"/>
    <w:rsid w:val="00205FA1"/>
    <w:rsid w:val="00210803"/>
    <w:rsid w:val="00214059"/>
    <w:rsid w:val="00217856"/>
    <w:rsid w:val="002210F4"/>
    <w:rsid w:val="00224DAD"/>
    <w:rsid w:val="00225325"/>
    <w:rsid w:val="002324D1"/>
    <w:rsid w:val="00236D84"/>
    <w:rsid w:val="0024016C"/>
    <w:rsid w:val="002413C0"/>
    <w:rsid w:val="002521C9"/>
    <w:rsid w:val="00254721"/>
    <w:rsid w:val="00257709"/>
    <w:rsid w:val="00263159"/>
    <w:rsid w:val="00265D64"/>
    <w:rsid w:val="002726FD"/>
    <w:rsid w:val="00275215"/>
    <w:rsid w:val="002756DF"/>
    <w:rsid w:val="002779F7"/>
    <w:rsid w:val="002821EC"/>
    <w:rsid w:val="00287939"/>
    <w:rsid w:val="002965C2"/>
    <w:rsid w:val="002A0A1C"/>
    <w:rsid w:val="002A380C"/>
    <w:rsid w:val="002C187A"/>
    <w:rsid w:val="002C20F1"/>
    <w:rsid w:val="002C21BF"/>
    <w:rsid w:val="002D2863"/>
    <w:rsid w:val="002D5EC0"/>
    <w:rsid w:val="002E1F94"/>
    <w:rsid w:val="002E3DEA"/>
    <w:rsid w:val="002E7CC2"/>
    <w:rsid w:val="002F50FF"/>
    <w:rsid w:val="002F5C8B"/>
    <w:rsid w:val="002F6A9E"/>
    <w:rsid w:val="002F6F9B"/>
    <w:rsid w:val="00303E49"/>
    <w:rsid w:val="003050BB"/>
    <w:rsid w:val="003143A2"/>
    <w:rsid w:val="0032098F"/>
    <w:rsid w:val="003331C6"/>
    <w:rsid w:val="00340ABD"/>
    <w:rsid w:val="00341E5E"/>
    <w:rsid w:val="00343305"/>
    <w:rsid w:val="00345044"/>
    <w:rsid w:val="00346DAB"/>
    <w:rsid w:val="00351095"/>
    <w:rsid w:val="00354A9C"/>
    <w:rsid w:val="00364973"/>
    <w:rsid w:val="00364C8C"/>
    <w:rsid w:val="00365953"/>
    <w:rsid w:val="003715C8"/>
    <w:rsid w:val="00372347"/>
    <w:rsid w:val="003725D1"/>
    <w:rsid w:val="0037672E"/>
    <w:rsid w:val="003779D4"/>
    <w:rsid w:val="00382398"/>
    <w:rsid w:val="00382B0B"/>
    <w:rsid w:val="003867F6"/>
    <w:rsid w:val="00387E19"/>
    <w:rsid w:val="003909E4"/>
    <w:rsid w:val="003A3E30"/>
    <w:rsid w:val="003A70FE"/>
    <w:rsid w:val="003B0C35"/>
    <w:rsid w:val="003B219E"/>
    <w:rsid w:val="003D1BDD"/>
    <w:rsid w:val="003E21B3"/>
    <w:rsid w:val="00402620"/>
    <w:rsid w:val="00403EB8"/>
    <w:rsid w:val="00404D15"/>
    <w:rsid w:val="00406637"/>
    <w:rsid w:val="00411E65"/>
    <w:rsid w:val="00412DE9"/>
    <w:rsid w:val="00414C99"/>
    <w:rsid w:val="00420040"/>
    <w:rsid w:val="00423388"/>
    <w:rsid w:val="00426D73"/>
    <w:rsid w:val="0042751E"/>
    <w:rsid w:val="00430EE1"/>
    <w:rsid w:val="00432C7E"/>
    <w:rsid w:val="00435F9F"/>
    <w:rsid w:val="00447C55"/>
    <w:rsid w:val="00454913"/>
    <w:rsid w:val="00457045"/>
    <w:rsid w:val="00457441"/>
    <w:rsid w:val="004579F6"/>
    <w:rsid w:val="004655F7"/>
    <w:rsid w:val="004656D0"/>
    <w:rsid w:val="00465B53"/>
    <w:rsid w:val="00465F4F"/>
    <w:rsid w:val="00472DDA"/>
    <w:rsid w:val="00473ABD"/>
    <w:rsid w:val="00482DCA"/>
    <w:rsid w:val="00497E66"/>
    <w:rsid w:val="004A0322"/>
    <w:rsid w:val="004A3AC7"/>
    <w:rsid w:val="004B6CFD"/>
    <w:rsid w:val="004C204D"/>
    <w:rsid w:val="004D0436"/>
    <w:rsid w:val="004D0936"/>
    <w:rsid w:val="004E47B3"/>
    <w:rsid w:val="004E7ED7"/>
    <w:rsid w:val="004F243D"/>
    <w:rsid w:val="004F3D8D"/>
    <w:rsid w:val="005076F1"/>
    <w:rsid w:val="00512B91"/>
    <w:rsid w:val="005158EB"/>
    <w:rsid w:val="00517685"/>
    <w:rsid w:val="0052082F"/>
    <w:rsid w:val="00542FCC"/>
    <w:rsid w:val="00543660"/>
    <w:rsid w:val="005452BA"/>
    <w:rsid w:val="0055762E"/>
    <w:rsid w:val="005636A5"/>
    <w:rsid w:val="00565445"/>
    <w:rsid w:val="00575334"/>
    <w:rsid w:val="00584DFC"/>
    <w:rsid w:val="00593736"/>
    <w:rsid w:val="0059632C"/>
    <w:rsid w:val="00596A69"/>
    <w:rsid w:val="005A3181"/>
    <w:rsid w:val="005A471E"/>
    <w:rsid w:val="005A76D5"/>
    <w:rsid w:val="005B0F06"/>
    <w:rsid w:val="005B6141"/>
    <w:rsid w:val="005C3F15"/>
    <w:rsid w:val="005C7615"/>
    <w:rsid w:val="005D353E"/>
    <w:rsid w:val="005E63F0"/>
    <w:rsid w:val="005F3989"/>
    <w:rsid w:val="005F4303"/>
    <w:rsid w:val="005F7B20"/>
    <w:rsid w:val="00601B52"/>
    <w:rsid w:val="0060280B"/>
    <w:rsid w:val="00603FA1"/>
    <w:rsid w:val="00604422"/>
    <w:rsid w:val="00607CEF"/>
    <w:rsid w:val="00620809"/>
    <w:rsid w:val="00623F5D"/>
    <w:rsid w:val="0062445C"/>
    <w:rsid w:val="006272CB"/>
    <w:rsid w:val="006415AD"/>
    <w:rsid w:val="00643B00"/>
    <w:rsid w:val="00651341"/>
    <w:rsid w:val="00661E62"/>
    <w:rsid w:val="00666F8B"/>
    <w:rsid w:val="00673E03"/>
    <w:rsid w:val="00674E1E"/>
    <w:rsid w:val="006815B2"/>
    <w:rsid w:val="006826E0"/>
    <w:rsid w:val="00682B31"/>
    <w:rsid w:val="006864E1"/>
    <w:rsid w:val="00691001"/>
    <w:rsid w:val="00694B7B"/>
    <w:rsid w:val="00695997"/>
    <w:rsid w:val="006A0649"/>
    <w:rsid w:val="006A6382"/>
    <w:rsid w:val="006A7490"/>
    <w:rsid w:val="006B1037"/>
    <w:rsid w:val="006D165E"/>
    <w:rsid w:val="006D5210"/>
    <w:rsid w:val="006E56AD"/>
    <w:rsid w:val="006E5763"/>
    <w:rsid w:val="00705ED7"/>
    <w:rsid w:val="007101BB"/>
    <w:rsid w:val="00710920"/>
    <w:rsid w:val="007130AD"/>
    <w:rsid w:val="00713308"/>
    <w:rsid w:val="00725A91"/>
    <w:rsid w:val="00727E01"/>
    <w:rsid w:val="00745222"/>
    <w:rsid w:val="00752E19"/>
    <w:rsid w:val="00757614"/>
    <w:rsid w:val="007728B4"/>
    <w:rsid w:val="007747C5"/>
    <w:rsid w:val="0077622E"/>
    <w:rsid w:val="00777FE4"/>
    <w:rsid w:val="0078504A"/>
    <w:rsid w:val="0078506A"/>
    <w:rsid w:val="0078722F"/>
    <w:rsid w:val="0078747B"/>
    <w:rsid w:val="0079075D"/>
    <w:rsid w:val="007910DD"/>
    <w:rsid w:val="00794C7C"/>
    <w:rsid w:val="007A1F06"/>
    <w:rsid w:val="007B7C74"/>
    <w:rsid w:val="007B7FE9"/>
    <w:rsid w:val="007C0968"/>
    <w:rsid w:val="007C1468"/>
    <w:rsid w:val="007C41D7"/>
    <w:rsid w:val="007F16FB"/>
    <w:rsid w:val="007F1BBA"/>
    <w:rsid w:val="00801CA6"/>
    <w:rsid w:val="00814776"/>
    <w:rsid w:val="008148C6"/>
    <w:rsid w:val="0081600F"/>
    <w:rsid w:val="0082722D"/>
    <w:rsid w:val="008274F7"/>
    <w:rsid w:val="0083268E"/>
    <w:rsid w:val="00835667"/>
    <w:rsid w:val="00837E59"/>
    <w:rsid w:val="008441F9"/>
    <w:rsid w:val="00846A99"/>
    <w:rsid w:val="00855817"/>
    <w:rsid w:val="008641D1"/>
    <w:rsid w:val="00870FB9"/>
    <w:rsid w:val="00872558"/>
    <w:rsid w:val="00872D9C"/>
    <w:rsid w:val="00872F67"/>
    <w:rsid w:val="0087614B"/>
    <w:rsid w:val="00883B6F"/>
    <w:rsid w:val="008879E9"/>
    <w:rsid w:val="008930C3"/>
    <w:rsid w:val="00893346"/>
    <w:rsid w:val="00894D19"/>
    <w:rsid w:val="008A06B5"/>
    <w:rsid w:val="008A0D8D"/>
    <w:rsid w:val="008B1A69"/>
    <w:rsid w:val="008C1A39"/>
    <w:rsid w:val="008C4077"/>
    <w:rsid w:val="008C65AB"/>
    <w:rsid w:val="008D1B43"/>
    <w:rsid w:val="008E7DFB"/>
    <w:rsid w:val="008F4DC6"/>
    <w:rsid w:val="008F58B6"/>
    <w:rsid w:val="008F7327"/>
    <w:rsid w:val="0090059C"/>
    <w:rsid w:val="00903681"/>
    <w:rsid w:val="009076C8"/>
    <w:rsid w:val="00915BBE"/>
    <w:rsid w:val="00916790"/>
    <w:rsid w:val="00921D62"/>
    <w:rsid w:val="00922791"/>
    <w:rsid w:val="00927CD6"/>
    <w:rsid w:val="00931557"/>
    <w:rsid w:val="00933572"/>
    <w:rsid w:val="0093436F"/>
    <w:rsid w:val="009363C7"/>
    <w:rsid w:val="00942AB9"/>
    <w:rsid w:val="00942EED"/>
    <w:rsid w:val="00950545"/>
    <w:rsid w:val="00953E10"/>
    <w:rsid w:val="009650E5"/>
    <w:rsid w:val="0096790F"/>
    <w:rsid w:val="00972D36"/>
    <w:rsid w:val="00973BFB"/>
    <w:rsid w:val="00980406"/>
    <w:rsid w:val="00981A74"/>
    <w:rsid w:val="00994621"/>
    <w:rsid w:val="00996D85"/>
    <w:rsid w:val="009A2C8F"/>
    <w:rsid w:val="009A7B65"/>
    <w:rsid w:val="009C1388"/>
    <w:rsid w:val="009C2816"/>
    <w:rsid w:val="009C3761"/>
    <w:rsid w:val="009D2AD6"/>
    <w:rsid w:val="009D3A07"/>
    <w:rsid w:val="009D465E"/>
    <w:rsid w:val="009D4711"/>
    <w:rsid w:val="009D5DA6"/>
    <w:rsid w:val="009E3A84"/>
    <w:rsid w:val="009E72D7"/>
    <w:rsid w:val="009E7ACC"/>
    <w:rsid w:val="009F450E"/>
    <w:rsid w:val="009F467D"/>
    <w:rsid w:val="009F54DA"/>
    <w:rsid w:val="00A06984"/>
    <w:rsid w:val="00A123C4"/>
    <w:rsid w:val="00A1324E"/>
    <w:rsid w:val="00A27BE3"/>
    <w:rsid w:val="00A339B9"/>
    <w:rsid w:val="00A362D3"/>
    <w:rsid w:val="00A40EDF"/>
    <w:rsid w:val="00A41195"/>
    <w:rsid w:val="00A54263"/>
    <w:rsid w:val="00A568DF"/>
    <w:rsid w:val="00A570E5"/>
    <w:rsid w:val="00A60E71"/>
    <w:rsid w:val="00A7327D"/>
    <w:rsid w:val="00A73A79"/>
    <w:rsid w:val="00A93C52"/>
    <w:rsid w:val="00AA09A7"/>
    <w:rsid w:val="00AA4662"/>
    <w:rsid w:val="00AA7368"/>
    <w:rsid w:val="00AB4FF9"/>
    <w:rsid w:val="00AE7B21"/>
    <w:rsid w:val="00AF1980"/>
    <w:rsid w:val="00AF2021"/>
    <w:rsid w:val="00AF7351"/>
    <w:rsid w:val="00B00527"/>
    <w:rsid w:val="00B016F8"/>
    <w:rsid w:val="00B025B7"/>
    <w:rsid w:val="00B22327"/>
    <w:rsid w:val="00B23271"/>
    <w:rsid w:val="00B23D5A"/>
    <w:rsid w:val="00B471BD"/>
    <w:rsid w:val="00B50C2D"/>
    <w:rsid w:val="00B51E2E"/>
    <w:rsid w:val="00B64904"/>
    <w:rsid w:val="00B672A6"/>
    <w:rsid w:val="00B7761D"/>
    <w:rsid w:val="00B83B42"/>
    <w:rsid w:val="00B86795"/>
    <w:rsid w:val="00B87333"/>
    <w:rsid w:val="00B90274"/>
    <w:rsid w:val="00BA60CE"/>
    <w:rsid w:val="00BB7A54"/>
    <w:rsid w:val="00BB7AB8"/>
    <w:rsid w:val="00BC010D"/>
    <w:rsid w:val="00BC0DC4"/>
    <w:rsid w:val="00BC16B6"/>
    <w:rsid w:val="00BC21BC"/>
    <w:rsid w:val="00BC5607"/>
    <w:rsid w:val="00BC57F2"/>
    <w:rsid w:val="00BD66D3"/>
    <w:rsid w:val="00BE0D1D"/>
    <w:rsid w:val="00BE2448"/>
    <w:rsid w:val="00BE24D4"/>
    <w:rsid w:val="00BF1CC9"/>
    <w:rsid w:val="00BF2BE7"/>
    <w:rsid w:val="00BF4512"/>
    <w:rsid w:val="00BF6839"/>
    <w:rsid w:val="00C05102"/>
    <w:rsid w:val="00C12C06"/>
    <w:rsid w:val="00C13FA6"/>
    <w:rsid w:val="00C169ED"/>
    <w:rsid w:val="00C201CE"/>
    <w:rsid w:val="00C216A9"/>
    <w:rsid w:val="00C3024D"/>
    <w:rsid w:val="00C3465B"/>
    <w:rsid w:val="00C375BA"/>
    <w:rsid w:val="00C444DC"/>
    <w:rsid w:val="00C44645"/>
    <w:rsid w:val="00C5484D"/>
    <w:rsid w:val="00C565A2"/>
    <w:rsid w:val="00C618F2"/>
    <w:rsid w:val="00C73207"/>
    <w:rsid w:val="00C7602A"/>
    <w:rsid w:val="00C82160"/>
    <w:rsid w:val="00C82ED9"/>
    <w:rsid w:val="00C87D68"/>
    <w:rsid w:val="00C9281B"/>
    <w:rsid w:val="00CA367A"/>
    <w:rsid w:val="00CB1318"/>
    <w:rsid w:val="00CB1D26"/>
    <w:rsid w:val="00CB7A7B"/>
    <w:rsid w:val="00CC4C21"/>
    <w:rsid w:val="00CC57AD"/>
    <w:rsid w:val="00CD0FE9"/>
    <w:rsid w:val="00CD7355"/>
    <w:rsid w:val="00CE5B83"/>
    <w:rsid w:val="00CF028A"/>
    <w:rsid w:val="00CF5C6C"/>
    <w:rsid w:val="00CF6EDD"/>
    <w:rsid w:val="00D0350C"/>
    <w:rsid w:val="00D03D59"/>
    <w:rsid w:val="00D05922"/>
    <w:rsid w:val="00D101A9"/>
    <w:rsid w:val="00D107A3"/>
    <w:rsid w:val="00D147EA"/>
    <w:rsid w:val="00D15E2D"/>
    <w:rsid w:val="00D21383"/>
    <w:rsid w:val="00D3330E"/>
    <w:rsid w:val="00D42AE1"/>
    <w:rsid w:val="00D43D8D"/>
    <w:rsid w:val="00D46C91"/>
    <w:rsid w:val="00D50B2B"/>
    <w:rsid w:val="00D540C3"/>
    <w:rsid w:val="00D555D2"/>
    <w:rsid w:val="00D605A4"/>
    <w:rsid w:val="00D61B13"/>
    <w:rsid w:val="00D66CEE"/>
    <w:rsid w:val="00D7746A"/>
    <w:rsid w:val="00D838FE"/>
    <w:rsid w:val="00D8406F"/>
    <w:rsid w:val="00D84EEC"/>
    <w:rsid w:val="00D859C7"/>
    <w:rsid w:val="00D9021F"/>
    <w:rsid w:val="00D93707"/>
    <w:rsid w:val="00DA1080"/>
    <w:rsid w:val="00DA12C2"/>
    <w:rsid w:val="00DA2FAB"/>
    <w:rsid w:val="00DB030F"/>
    <w:rsid w:val="00DB30A6"/>
    <w:rsid w:val="00DD6A9E"/>
    <w:rsid w:val="00DF4819"/>
    <w:rsid w:val="00DF6DDD"/>
    <w:rsid w:val="00E0654C"/>
    <w:rsid w:val="00E123FB"/>
    <w:rsid w:val="00E224B1"/>
    <w:rsid w:val="00E23367"/>
    <w:rsid w:val="00E31B92"/>
    <w:rsid w:val="00E475D4"/>
    <w:rsid w:val="00E57213"/>
    <w:rsid w:val="00E74D1C"/>
    <w:rsid w:val="00E80706"/>
    <w:rsid w:val="00E837AA"/>
    <w:rsid w:val="00E84FCC"/>
    <w:rsid w:val="00E8776E"/>
    <w:rsid w:val="00E9237A"/>
    <w:rsid w:val="00EA0B88"/>
    <w:rsid w:val="00EB2285"/>
    <w:rsid w:val="00EB3549"/>
    <w:rsid w:val="00EC15D2"/>
    <w:rsid w:val="00EC4294"/>
    <w:rsid w:val="00EC582E"/>
    <w:rsid w:val="00EC681E"/>
    <w:rsid w:val="00ED02D3"/>
    <w:rsid w:val="00ED477B"/>
    <w:rsid w:val="00ED5E31"/>
    <w:rsid w:val="00EE1210"/>
    <w:rsid w:val="00EE4815"/>
    <w:rsid w:val="00EE64C1"/>
    <w:rsid w:val="00EF1CF9"/>
    <w:rsid w:val="00EF4183"/>
    <w:rsid w:val="00EF752A"/>
    <w:rsid w:val="00F02886"/>
    <w:rsid w:val="00F0349C"/>
    <w:rsid w:val="00F05AA0"/>
    <w:rsid w:val="00F061CB"/>
    <w:rsid w:val="00F06A8E"/>
    <w:rsid w:val="00F11793"/>
    <w:rsid w:val="00F14292"/>
    <w:rsid w:val="00F14D89"/>
    <w:rsid w:val="00F22E0C"/>
    <w:rsid w:val="00F24050"/>
    <w:rsid w:val="00F248AA"/>
    <w:rsid w:val="00F31539"/>
    <w:rsid w:val="00F32A1D"/>
    <w:rsid w:val="00F40298"/>
    <w:rsid w:val="00F409B1"/>
    <w:rsid w:val="00F444EC"/>
    <w:rsid w:val="00F45FE3"/>
    <w:rsid w:val="00F54D03"/>
    <w:rsid w:val="00F6274A"/>
    <w:rsid w:val="00F62E64"/>
    <w:rsid w:val="00F6347A"/>
    <w:rsid w:val="00F6680B"/>
    <w:rsid w:val="00F73CDD"/>
    <w:rsid w:val="00F7503A"/>
    <w:rsid w:val="00F81FEF"/>
    <w:rsid w:val="00F87295"/>
    <w:rsid w:val="00F978B9"/>
    <w:rsid w:val="00FA61AF"/>
    <w:rsid w:val="00FB1166"/>
    <w:rsid w:val="00FB1856"/>
    <w:rsid w:val="00FB2C17"/>
    <w:rsid w:val="00FC6EB1"/>
    <w:rsid w:val="00FD3A06"/>
    <w:rsid w:val="00FD7D14"/>
    <w:rsid w:val="00FE3051"/>
    <w:rsid w:val="00FE79B8"/>
    <w:rsid w:val="00FF7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EA78C6A"/>
  <w15:docId w15:val="{7EC18073-074E-4601-95A6-F11A73FD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8119">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9427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F2095-3E18-4C30-8FA2-838EF302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2</TotalTime>
  <Pages>4</Pages>
  <Words>1138</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Ximena Cancino</cp:lastModifiedBy>
  <cp:revision>3</cp:revision>
  <cp:lastPrinted>2017-06-09T10:31:00Z</cp:lastPrinted>
  <dcterms:created xsi:type="dcterms:W3CDTF">2017-08-01T11:24:00Z</dcterms:created>
  <dcterms:modified xsi:type="dcterms:W3CDTF">2017-08-01T11:53:00Z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