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111A" w14:textId="77777777" w:rsidR="00682B31" w:rsidRPr="00682B31" w:rsidRDefault="00682B31" w:rsidP="00682B31">
      <w:pPr>
        <w:tabs>
          <w:tab w:val="left" w:pos="-1057"/>
          <w:tab w:val="left" w:pos="-720"/>
        </w:tabs>
        <w:ind w:left="-90"/>
        <w:rPr>
          <w:rFonts w:cs="Arial"/>
          <w:spacing w:val="-8"/>
          <w:sz w:val="12"/>
          <w:szCs w:val="12"/>
          <w:lang w:val="en-GB"/>
        </w:rPr>
      </w:pPr>
    </w:p>
    <w:p w14:paraId="1C94C2A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11FB461A"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6FBCFBFB" w14:textId="77777777"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D46C15" w:rsidRPr="00D46C15">
        <w:rPr>
          <w:rFonts w:cs="Arial"/>
          <w:iCs/>
          <w:sz w:val="22"/>
          <w:szCs w:val="22"/>
          <w:lang w:val="pt-PT"/>
        </w:rPr>
        <w:t>24.1.3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1545009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01BB04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146D423"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4A3B6E0E"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335158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75769A0A" wp14:editId="62006805">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68690A6"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3681AE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BDC725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031A974C"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2E2AFA7A"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1D7F92F"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57F48E8"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4F1CB50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1B5A026C" w14:textId="0AB3FE05"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D46C15" w:rsidRPr="00D46C15">
              <w:rPr>
                <w:rFonts w:cs="Arial"/>
                <w:sz w:val="22"/>
                <w:szCs w:val="22"/>
                <w:lang w:val="en-GB"/>
              </w:rPr>
              <w:t>24.1.3</w:t>
            </w:r>
            <w:r w:rsidR="00812023">
              <w:rPr>
                <w:rFonts w:cs="Arial"/>
                <w:sz w:val="22"/>
                <w:szCs w:val="22"/>
                <w:lang w:val="en-GB"/>
              </w:rPr>
              <w:t>/Rev.</w:t>
            </w:r>
            <w:r w:rsidR="0048320A">
              <w:rPr>
                <w:rFonts w:cs="Arial"/>
                <w:sz w:val="22"/>
                <w:szCs w:val="22"/>
                <w:lang w:val="en-GB"/>
              </w:rPr>
              <w:t>2</w:t>
            </w:r>
          </w:p>
          <w:p w14:paraId="671BAF24" w14:textId="2125D317" w:rsidR="0081600F" w:rsidRPr="00420040" w:rsidRDefault="0048320A"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9</w:t>
            </w:r>
            <w:r w:rsidR="002F2B3F">
              <w:rPr>
                <w:rFonts w:cs="Arial"/>
                <w:sz w:val="22"/>
                <w:szCs w:val="22"/>
                <w:lang w:val="en-GB"/>
              </w:rPr>
              <w:t xml:space="preserve"> </w:t>
            </w:r>
            <w:r>
              <w:rPr>
                <w:rFonts w:cs="Arial"/>
                <w:sz w:val="22"/>
                <w:szCs w:val="22"/>
                <w:lang w:val="en-GB"/>
              </w:rPr>
              <w:t>June</w:t>
            </w:r>
            <w:r w:rsidR="0079075D" w:rsidRPr="00420040">
              <w:rPr>
                <w:rFonts w:cs="Arial"/>
                <w:sz w:val="22"/>
                <w:szCs w:val="22"/>
                <w:lang w:val="en-GB"/>
              </w:rPr>
              <w:t xml:space="preserve"> </w:t>
            </w:r>
            <w:r w:rsidR="00EA0B88">
              <w:rPr>
                <w:rFonts w:cs="Arial"/>
                <w:sz w:val="22"/>
                <w:szCs w:val="22"/>
                <w:lang w:val="en-GB"/>
              </w:rPr>
              <w:t>2017</w:t>
            </w:r>
          </w:p>
          <w:p w14:paraId="2C1AE3FA" w14:textId="77777777" w:rsidR="00E8776E" w:rsidRPr="00420040" w:rsidRDefault="00E8776E" w:rsidP="000C21B1">
            <w:pPr>
              <w:rPr>
                <w:rFonts w:cs="Arial"/>
                <w:sz w:val="12"/>
                <w:szCs w:val="12"/>
                <w:lang w:val="en-GB"/>
              </w:rPr>
            </w:pPr>
          </w:p>
          <w:p w14:paraId="1EA8B6E1"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497C8D09" w14:textId="77777777" w:rsidR="00682B31" w:rsidRPr="00682B31" w:rsidRDefault="00682B31" w:rsidP="000C21B1">
            <w:pPr>
              <w:rPr>
                <w:rFonts w:cs="Arial"/>
                <w:sz w:val="12"/>
                <w:szCs w:val="12"/>
                <w:lang w:val="en-GB"/>
              </w:rPr>
            </w:pPr>
          </w:p>
        </w:tc>
      </w:tr>
    </w:tbl>
    <w:p w14:paraId="64F9FC7B" w14:textId="77777777" w:rsidR="00E8776E" w:rsidRPr="00682B31" w:rsidRDefault="00E8776E" w:rsidP="00E8776E">
      <w:pPr>
        <w:tabs>
          <w:tab w:val="left" w:pos="7020"/>
        </w:tabs>
        <w:rPr>
          <w:rFonts w:cs="Arial"/>
          <w:sz w:val="22"/>
          <w:szCs w:val="22"/>
        </w:rPr>
      </w:pPr>
    </w:p>
    <w:p w14:paraId="6557DC03" w14:textId="77777777" w:rsidR="00354A9C" w:rsidRPr="00682B31" w:rsidRDefault="00354A9C" w:rsidP="00922791">
      <w:pPr>
        <w:tabs>
          <w:tab w:val="left" w:pos="7020"/>
        </w:tabs>
        <w:rPr>
          <w:rFonts w:cs="Arial"/>
          <w:sz w:val="22"/>
          <w:szCs w:val="22"/>
        </w:rPr>
      </w:pPr>
    </w:p>
    <w:p w14:paraId="76A05D6A" w14:textId="77777777" w:rsidR="0052082F" w:rsidRPr="00682B31" w:rsidRDefault="0052082F" w:rsidP="00354A9C">
      <w:pPr>
        <w:rPr>
          <w:rFonts w:cs="Arial"/>
          <w:sz w:val="22"/>
          <w:szCs w:val="22"/>
        </w:rPr>
      </w:pPr>
    </w:p>
    <w:p w14:paraId="012CB528" w14:textId="7EC95D85" w:rsidR="00B64904" w:rsidRPr="00420040" w:rsidRDefault="00D46C15" w:rsidP="00056DC1">
      <w:pPr>
        <w:pStyle w:val="Heading2"/>
        <w:keepNext w:val="0"/>
        <w:ind w:left="-90" w:right="-367"/>
        <w:jc w:val="center"/>
        <w:rPr>
          <w:rFonts w:cs="Arial"/>
          <w:sz w:val="22"/>
          <w:szCs w:val="22"/>
          <w:lang w:val="en-GB"/>
        </w:rPr>
      </w:pPr>
      <w:r>
        <w:rPr>
          <w:rFonts w:cs="Arial"/>
          <w:sz w:val="22"/>
          <w:szCs w:val="22"/>
          <w:lang w:val="en-GB"/>
        </w:rPr>
        <w:t xml:space="preserve">THE </w:t>
      </w:r>
      <w:r w:rsidR="00983795">
        <w:rPr>
          <w:rFonts w:cs="Arial"/>
          <w:sz w:val="22"/>
          <w:szCs w:val="22"/>
          <w:lang w:val="en-GB"/>
        </w:rPr>
        <w:t>PREVENTION OF B</w:t>
      </w:r>
      <w:r>
        <w:rPr>
          <w:rFonts w:cs="Arial"/>
          <w:sz w:val="22"/>
          <w:szCs w:val="22"/>
          <w:lang w:val="en-GB"/>
        </w:rPr>
        <w:t>I</w:t>
      </w:r>
      <w:r w:rsidR="00983795">
        <w:rPr>
          <w:rFonts w:cs="Arial"/>
          <w:sz w:val="22"/>
          <w:szCs w:val="22"/>
          <w:lang w:val="en-GB"/>
        </w:rPr>
        <w:t>R</w:t>
      </w:r>
      <w:r>
        <w:rPr>
          <w:rFonts w:cs="Arial"/>
          <w:sz w:val="22"/>
          <w:szCs w:val="22"/>
          <w:lang w:val="en-GB"/>
        </w:rPr>
        <w:t>D POISONING</w:t>
      </w:r>
    </w:p>
    <w:p w14:paraId="2B2E6692" w14:textId="77777777" w:rsidR="00593736" w:rsidRPr="004D0936" w:rsidRDefault="00593736" w:rsidP="00593736">
      <w:pPr>
        <w:rPr>
          <w:sz w:val="8"/>
          <w:szCs w:val="8"/>
          <w:lang w:val="en-GB"/>
        </w:rPr>
      </w:pPr>
    </w:p>
    <w:p w14:paraId="2E21BADE" w14:textId="77777777" w:rsidR="00B64904" w:rsidRDefault="00B64904" w:rsidP="00B64904">
      <w:pPr>
        <w:jc w:val="center"/>
        <w:rPr>
          <w:rFonts w:cs="Arial"/>
          <w:i/>
          <w:sz w:val="22"/>
          <w:szCs w:val="22"/>
          <w:lang w:val="en-GB"/>
        </w:rPr>
      </w:pPr>
      <w:r w:rsidRPr="00D46C15">
        <w:rPr>
          <w:rFonts w:cs="Arial"/>
          <w:i/>
          <w:sz w:val="22"/>
          <w:szCs w:val="22"/>
          <w:lang w:val="en-GB"/>
        </w:rPr>
        <w:t>(</w:t>
      </w:r>
      <w:r w:rsidR="00F11793" w:rsidRPr="00D46C15">
        <w:rPr>
          <w:rFonts w:cs="Arial"/>
          <w:i/>
          <w:sz w:val="22"/>
          <w:szCs w:val="22"/>
          <w:lang w:val="en-GB"/>
        </w:rPr>
        <w:t>P</w:t>
      </w:r>
      <w:r w:rsidR="0079075D" w:rsidRPr="00D46C15">
        <w:rPr>
          <w:rFonts w:cs="Arial"/>
          <w:i/>
          <w:sz w:val="22"/>
          <w:szCs w:val="22"/>
          <w:lang w:val="en-GB"/>
        </w:rPr>
        <w:t xml:space="preserve">repared by </w:t>
      </w:r>
      <w:r w:rsidR="00870FB9" w:rsidRPr="00D46C15">
        <w:rPr>
          <w:rFonts w:cs="Arial"/>
          <w:i/>
          <w:sz w:val="22"/>
          <w:szCs w:val="22"/>
          <w:lang w:val="en-GB"/>
        </w:rPr>
        <w:t>the Secretariat</w:t>
      </w:r>
      <w:r w:rsidRPr="00D46C15">
        <w:rPr>
          <w:rFonts w:cs="Arial"/>
          <w:i/>
          <w:sz w:val="22"/>
          <w:szCs w:val="22"/>
          <w:lang w:val="en-GB"/>
        </w:rPr>
        <w:t>)</w:t>
      </w:r>
      <w:r w:rsidR="00497E66">
        <w:rPr>
          <w:rFonts w:cs="Arial"/>
          <w:i/>
          <w:sz w:val="22"/>
          <w:szCs w:val="22"/>
          <w:lang w:val="en-GB"/>
        </w:rPr>
        <w:t xml:space="preserve"> </w:t>
      </w:r>
    </w:p>
    <w:p w14:paraId="5F0AB518" w14:textId="77777777" w:rsidR="00870FB9" w:rsidRPr="004D0936" w:rsidRDefault="00870FB9" w:rsidP="00870FB9">
      <w:pPr>
        <w:rPr>
          <w:sz w:val="8"/>
          <w:szCs w:val="8"/>
          <w:lang w:val="en-GB"/>
        </w:rPr>
      </w:pPr>
    </w:p>
    <w:p w14:paraId="38D24521" w14:textId="77777777" w:rsidR="00870FB9" w:rsidRPr="00420040" w:rsidRDefault="00870FB9" w:rsidP="00870FB9">
      <w:pPr>
        <w:jc w:val="center"/>
        <w:rPr>
          <w:rFonts w:cs="Arial"/>
          <w:i/>
          <w:sz w:val="22"/>
          <w:szCs w:val="22"/>
          <w:lang w:val="en-GB"/>
        </w:rPr>
      </w:pPr>
    </w:p>
    <w:p w14:paraId="75B2D841" w14:textId="77777777" w:rsidR="00870FB9" w:rsidRPr="00420040" w:rsidRDefault="00870FB9" w:rsidP="00B64904">
      <w:pPr>
        <w:jc w:val="center"/>
        <w:rPr>
          <w:rFonts w:cs="Arial"/>
          <w:i/>
          <w:sz w:val="22"/>
          <w:szCs w:val="22"/>
          <w:lang w:val="en-GB"/>
        </w:rPr>
      </w:pPr>
    </w:p>
    <w:p w14:paraId="691F2A93" w14:textId="77777777" w:rsidR="001764E6" w:rsidRPr="00C169ED" w:rsidRDefault="001764E6" w:rsidP="001764E6">
      <w:pPr>
        <w:jc w:val="both"/>
        <w:rPr>
          <w:rFonts w:cs="Arial"/>
          <w:sz w:val="21"/>
          <w:szCs w:val="21"/>
          <w:lang w:val="en-GB"/>
        </w:rPr>
      </w:pPr>
    </w:p>
    <w:p w14:paraId="6BB13812" w14:textId="77777777" w:rsidR="001764E6" w:rsidRPr="00C169ED" w:rsidRDefault="001764E6" w:rsidP="00D605A4">
      <w:pPr>
        <w:tabs>
          <w:tab w:val="left" w:pos="8295"/>
        </w:tabs>
        <w:jc w:val="both"/>
        <w:rPr>
          <w:rFonts w:cs="Arial"/>
          <w:sz w:val="21"/>
          <w:szCs w:val="21"/>
        </w:rPr>
      </w:pPr>
    </w:p>
    <w:p w14:paraId="08C0EF3F"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44A3615B" wp14:editId="01157817">
                <wp:simplePos x="0" y="0"/>
                <wp:positionH relativeFrom="column">
                  <wp:posOffset>780415</wp:posOffset>
                </wp:positionH>
                <wp:positionV relativeFrom="paragraph">
                  <wp:posOffset>153035</wp:posOffset>
                </wp:positionV>
                <wp:extent cx="4305300" cy="34766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76625"/>
                        </a:xfrm>
                        <a:prstGeom prst="rect">
                          <a:avLst/>
                        </a:prstGeom>
                        <a:solidFill>
                          <a:srgbClr val="FFFFFF"/>
                        </a:solidFill>
                        <a:ln w="3175">
                          <a:solidFill>
                            <a:srgbClr val="000000"/>
                          </a:solidFill>
                          <a:miter lim="800000"/>
                          <a:headEnd/>
                          <a:tailEnd/>
                        </a:ln>
                      </wps:spPr>
                      <wps:txbx>
                        <w:txbxContent>
                          <w:p w14:paraId="1C4B2A43" w14:textId="1E40EB98" w:rsidR="00AC5BA3" w:rsidRDefault="00AC5BA3" w:rsidP="00E475D4">
                            <w:pPr>
                              <w:rPr>
                                <w:rFonts w:cs="Arial"/>
                                <w:sz w:val="22"/>
                                <w:szCs w:val="22"/>
                              </w:rPr>
                            </w:pPr>
                            <w:r w:rsidRPr="00420040">
                              <w:rPr>
                                <w:rFonts w:cs="Arial"/>
                                <w:sz w:val="22"/>
                                <w:szCs w:val="22"/>
                              </w:rPr>
                              <w:t>Summary:</w:t>
                            </w:r>
                          </w:p>
                          <w:p w14:paraId="3B9AF2DF" w14:textId="77777777" w:rsidR="00AC5BA3" w:rsidRPr="00420040" w:rsidRDefault="00AC5BA3" w:rsidP="00E475D4">
                            <w:pPr>
                              <w:rPr>
                                <w:rFonts w:cs="Arial"/>
                                <w:sz w:val="22"/>
                                <w:szCs w:val="22"/>
                              </w:rPr>
                            </w:pPr>
                          </w:p>
                          <w:p w14:paraId="0A4908CB" w14:textId="621EE5AC" w:rsidR="00AC5BA3" w:rsidRPr="00B46B51" w:rsidRDefault="00AC5BA3" w:rsidP="00ED477B">
                            <w:pPr>
                              <w:rPr>
                                <w:rFonts w:cs="Arial"/>
                                <w:sz w:val="22"/>
                                <w:szCs w:val="22"/>
                              </w:rPr>
                            </w:pPr>
                            <w:r w:rsidRPr="00B46B51">
                              <w:rPr>
                                <w:rFonts w:cs="Arial"/>
                                <w:sz w:val="22"/>
                                <w:szCs w:val="22"/>
                              </w:rPr>
                              <w:t xml:space="preserve">This document reports on the implementation of Resolution 11.15 on </w:t>
                            </w:r>
                            <w:r w:rsidRPr="00A11721">
                              <w:rPr>
                                <w:rFonts w:cs="Arial"/>
                                <w:i/>
                                <w:sz w:val="22"/>
                                <w:szCs w:val="22"/>
                              </w:rPr>
                              <w:t>Preventing Poisoning of Migratory Birds</w:t>
                            </w:r>
                            <w:r w:rsidRPr="00A11721">
                              <w:rPr>
                                <w:rFonts w:cs="Arial"/>
                                <w:sz w:val="22"/>
                                <w:szCs w:val="22"/>
                              </w:rPr>
                              <w:t xml:space="preserve">, which mandates the Inter-sessional Working Group </w:t>
                            </w:r>
                            <w:r>
                              <w:rPr>
                                <w:rFonts w:cs="Arial"/>
                                <w:sz w:val="22"/>
                                <w:szCs w:val="22"/>
                              </w:rPr>
                              <w:t xml:space="preserve">of </w:t>
                            </w:r>
                            <w:r w:rsidRPr="00A11721">
                              <w:rPr>
                                <w:rFonts w:cs="Arial"/>
                                <w:sz w:val="22"/>
                                <w:szCs w:val="22"/>
                              </w:rPr>
                              <w:t xml:space="preserve">CMS </w:t>
                            </w:r>
                            <w:r>
                              <w:rPr>
                                <w:rFonts w:cs="Arial"/>
                                <w:sz w:val="22"/>
                                <w:szCs w:val="22"/>
                              </w:rPr>
                              <w:t xml:space="preserve">on </w:t>
                            </w:r>
                            <w:r w:rsidRPr="00A11721">
                              <w:rPr>
                                <w:rFonts w:cs="Arial"/>
                                <w:sz w:val="22"/>
                                <w:szCs w:val="22"/>
                              </w:rPr>
                              <w:t>Preventing Poisoning under the Scientific Council to continue its work u</w:t>
                            </w:r>
                            <w:r>
                              <w:rPr>
                                <w:rFonts w:cs="Arial"/>
                                <w:sz w:val="22"/>
                                <w:szCs w:val="22"/>
                              </w:rPr>
                              <w:t xml:space="preserve">nder its Terms of </w:t>
                            </w:r>
                            <w:r w:rsidRPr="00B27220">
                              <w:rPr>
                                <w:rFonts w:cs="Arial"/>
                                <w:sz w:val="22"/>
                                <w:szCs w:val="22"/>
                              </w:rPr>
                              <w:t xml:space="preserve">Reference. It </w:t>
                            </w:r>
                            <w:r>
                              <w:rPr>
                                <w:rFonts w:cs="Arial"/>
                                <w:sz w:val="22"/>
                                <w:szCs w:val="22"/>
                              </w:rPr>
                              <w:t>includes a draft Resolution which proposes the</w:t>
                            </w:r>
                            <w:r w:rsidRPr="00A11721">
                              <w:rPr>
                                <w:rFonts w:cs="Arial"/>
                                <w:sz w:val="22"/>
                                <w:szCs w:val="22"/>
                              </w:rPr>
                              <w:t xml:space="preserve"> establishment of a Lead Task Force as a sub-group under the </w:t>
                            </w:r>
                            <w:r w:rsidRPr="00357D1D">
                              <w:rPr>
                                <w:rFonts w:cs="Arial"/>
                                <w:sz w:val="22"/>
                                <w:szCs w:val="22"/>
                              </w:rPr>
                              <w:t xml:space="preserve">CMS </w:t>
                            </w:r>
                            <w:r w:rsidRPr="009B33F0">
                              <w:rPr>
                                <w:rFonts w:cs="Arial"/>
                                <w:sz w:val="22"/>
                                <w:szCs w:val="22"/>
                              </w:rPr>
                              <w:t>Preventing Poisoning Working Group</w:t>
                            </w:r>
                            <w:r w:rsidRPr="00B46B51">
                              <w:rPr>
                                <w:rFonts w:cs="Arial"/>
                                <w:sz w:val="22"/>
                                <w:szCs w:val="22"/>
                              </w:rPr>
                              <w:t>.</w:t>
                            </w:r>
                          </w:p>
                          <w:p w14:paraId="3D3CA170" w14:textId="6C9AAC7D" w:rsidR="00AC5BA3" w:rsidRPr="00B46B51" w:rsidRDefault="00AC5BA3" w:rsidP="00E475D4">
                            <w:pPr>
                              <w:rPr>
                                <w:rFonts w:cs="Arial"/>
                                <w:i/>
                                <w:sz w:val="22"/>
                                <w:szCs w:val="22"/>
                              </w:rPr>
                            </w:pPr>
                            <w:r w:rsidRPr="00B46B51">
                              <w:rPr>
                                <w:rFonts w:cs="Arial"/>
                                <w:i/>
                                <w:sz w:val="22"/>
                                <w:szCs w:val="22"/>
                              </w:rPr>
                              <w:t xml:space="preserve"> </w:t>
                            </w:r>
                          </w:p>
                          <w:p w14:paraId="1AC47A16" w14:textId="2DF8EF06" w:rsidR="00AC5BA3" w:rsidRDefault="00AC5BA3" w:rsidP="00E475D4">
                            <w:pPr>
                              <w:rPr>
                                <w:rFonts w:cs="Arial"/>
                                <w:sz w:val="22"/>
                                <w:szCs w:val="22"/>
                              </w:rPr>
                            </w:pPr>
                            <w:r w:rsidRPr="00B46B51">
                              <w:rPr>
                                <w:rFonts w:cs="Arial"/>
                                <w:sz w:val="22"/>
                                <w:szCs w:val="22"/>
                              </w:rPr>
                              <w:t>Implementation of the attached draft Resolution and Decisions will contribute towards the implementation of targets 1 - 11, 13, 15 and 16 of the Strategic Plan for Migratory Species 2015 – 2023.</w:t>
                            </w:r>
                          </w:p>
                          <w:p w14:paraId="41F67772" w14:textId="27512815" w:rsidR="00E46A3C" w:rsidRDefault="00E46A3C" w:rsidP="00E475D4">
                            <w:pPr>
                              <w:rPr>
                                <w:rFonts w:cs="Arial"/>
                                <w:sz w:val="22"/>
                                <w:szCs w:val="22"/>
                              </w:rPr>
                            </w:pPr>
                          </w:p>
                          <w:p w14:paraId="6F7B7508" w14:textId="430DC9F4" w:rsidR="00E46A3C" w:rsidRDefault="00E46A3C" w:rsidP="00E475D4">
                            <w:pPr>
                              <w:rPr>
                                <w:rFonts w:cs="Arial"/>
                                <w:sz w:val="22"/>
                                <w:szCs w:val="22"/>
                              </w:rPr>
                            </w:pPr>
                            <w:r w:rsidRPr="00225A14">
                              <w:rPr>
                                <w:rFonts w:cs="Arial"/>
                                <w:sz w:val="22"/>
                                <w:szCs w:val="22"/>
                              </w:rPr>
                              <w:t xml:space="preserve">Rev.1 has </w:t>
                            </w:r>
                            <w:r w:rsidR="00225A14" w:rsidRPr="00225A14">
                              <w:rPr>
                                <w:rFonts w:cs="Arial"/>
                                <w:sz w:val="22"/>
                                <w:szCs w:val="22"/>
                              </w:rPr>
                              <w:t>clarif</w:t>
                            </w:r>
                            <w:r w:rsidR="00310A6A">
                              <w:rPr>
                                <w:rFonts w:cs="Arial"/>
                                <w:sz w:val="22"/>
                                <w:szCs w:val="22"/>
                              </w:rPr>
                              <w:t>ied</w:t>
                            </w:r>
                            <w:r w:rsidR="00225A14" w:rsidRPr="00225A14">
                              <w:rPr>
                                <w:rFonts w:cs="Arial"/>
                                <w:sz w:val="22"/>
                                <w:szCs w:val="22"/>
                              </w:rPr>
                              <w:t xml:space="preserve"> membership </w:t>
                            </w:r>
                            <w:r w:rsidR="00310A6A">
                              <w:rPr>
                                <w:rFonts w:cs="Arial"/>
                                <w:sz w:val="22"/>
                                <w:szCs w:val="22"/>
                              </w:rPr>
                              <w:t>of</w:t>
                            </w:r>
                            <w:r w:rsidR="00225A14" w:rsidRPr="00225A14">
                              <w:rPr>
                                <w:rFonts w:cs="Arial"/>
                                <w:sz w:val="22"/>
                                <w:szCs w:val="22"/>
                              </w:rPr>
                              <w:t xml:space="preserve"> the Lead Task Force, in Annex 3.</w:t>
                            </w:r>
                          </w:p>
                          <w:p w14:paraId="2E9C9C09" w14:textId="0867D4DB" w:rsidR="00F23AA3" w:rsidRPr="00B46B51" w:rsidRDefault="00F23AA3" w:rsidP="00E475D4">
                            <w:pPr>
                              <w:rPr>
                                <w:rFonts w:cs="Arial"/>
                                <w:sz w:val="22"/>
                                <w:szCs w:val="22"/>
                              </w:rPr>
                            </w:pPr>
                            <w:r>
                              <w:rPr>
                                <w:rFonts w:cs="Arial"/>
                                <w:sz w:val="22"/>
                                <w:szCs w:val="22"/>
                              </w:rPr>
                              <w:t xml:space="preserve">Rev.2 </w:t>
                            </w:r>
                            <w:r w:rsidR="007747CE" w:rsidRPr="007747CE">
                              <w:rPr>
                                <w:rFonts w:cs="Arial"/>
                                <w:sz w:val="22"/>
                                <w:szCs w:val="22"/>
                                <w:lang w:val="en-GB"/>
                              </w:rPr>
                              <w:t>has deleted the word ‘draft’ from the title of the Resolution contained in Annex 1 of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3615B" id="_x0000_t202" coordsize="21600,21600" o:spt="202" path="m,l,21600r21600,l21600,xe">
                <v:stroke joinstyle="miter"/>
                <v:path gradientshapeok="t" o:connecttype="rect"/>
              </v:shapetype>
              <v:shape id="Text Box 4" o:spid="_x0000_s1026" type="#_x0000_t202" style="position:absolute;margin-left:61.45pt;margin-top:12.05pt;width:339pt;height:27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" strokeweight=".25pt">
                <v:textbox>
                  <w:txbxContent>
                    <w:p w14:paraId="1C4B2A43" w14:textId="1E40EB98" w:rsidR="00AC5BA3" w:rsidRDefault="00AC5BA3" w:rsidP="00E475D4">
                      <w:pPr>
                        <w:rPr>
                          <w:rFonts w:cs="Arial"/>
                          <w:sz w:val="22"/>
                          <w:szCs w:val="22"/>
                        </w:rPr>
                      </w:pPr>
                      <w:r w:rsidRPr="00420040">
                        <w:rPr>
                          <w:rFonts w:cs="Arial"/>
                          <w:sz w:val="22"/>
                          <w:szCs w:val="22"/>
                        </w:rPr>
                        <w:t>Summary:</w:t>
                      </w:r>
                    </w:p>
                    <w:p w14:paraId="3B9AF2DF" w14:textId="77777777" w:rsidR="00AC5BA3" w:rsidRPr="00420040" w:rsidRDefault="00AC5BA3" w:rsidP="00E475D4">
                      <w:pPr>
                        <w:rPr>
                          <w:rFonts w:cs="Arial"/>
                          <w:sz w:val="22"/>
                          <w:szCs w:val="22"/>
                        </w:rPr>
                      </w:pPr>
                    </w:p>
                    <w:p w14:paraId="0A4908CB" w14:textId="621EE5AC" w:rsidR="00AC5BA3" w:rsidRPr="00B46B51" w:rsidRDefault="00AC5BA3" w:rsidP="00ED477B">
                      <w:pPr>
                        <w:rPr>
                          <w:rFonts w:cs="Arial"/>
                          <w:sz w:val="22"/>
                          <w:szCs w:val="22"/>
                        </w:rPr>
                      </w:pPr>
                      <w:r w:rsidRPr="00B46B51">
                        <w:rPr>
                          <w:rFonts w:cs="Arial"/>
                          <w:sz w:val="22"/>
                          <w:szCs w:val="22"/>
                        </w:rPr>
                        <w:t xml:space="preserve">This document reports on the implementation of Resolution 11.15 on </w:t>
                      </w:r>
                      <w:r w:rsidRPr="00A11721">
                        <w:rPr>
                          <w:rFonts w:cs="Arial"/>
                          <w:i/>
                          <w:sz w:val="22"/>
                          <w:szCs w:val="22"/>
                        </w:rPr>
                        <w:t>Preventing Poisoning of Migratory Birds</w:t>
                      </w:r>
                      <w:r w:rsidRPr="00A11721">
                        <w:rPr>
                          <w:rFonts w:cs="Arial"/>
                          <w:sz w:val="22"/>
                          <w:szCs w:val="22"/>
                        </w:rPr>
                        <w:t xml:space="preserve">, which mandates the Inter-sessional Working Group </w:t>
                      </w:r>
                      <w:r>
                        <w:rPr>
                          <w:rFonts w:cs="Arial"/>
                          <w:sz w:val="22"/>
                          <w:szCs w:val="22"/>
                        </w:rPr>
                        <w:t xml:space="preserve">of </w:t>
                      </w:r>
                      <w:r w:rsidRPr="00A11721">
                        <w:rPr>
                          <w:rFonts w:cs="Arial"/>
                          <w:sz w:val="22"/>
                          <w:szCs w:val="22"/>
                        </w:rPr>
                        <w:t xml:space="preserve">CMS </w:t>
                      </w:r>
                      <w:r>
                        <w:rPr>
                          <w:rFonts w:cs="Arial"/>
                          <w:sz w:val="22"/>
                          <w:szCs w:val="22"/>
                        </w:rPr>
                        <w:t xml:space="preserve">on </w:t>
                      </w:r>
                      <w:r w:rsidRPr="00A11721">
                        <w:rPr>
                          <w:rFonts w:cs="Arial"/>
                          <w:sz w:val="22"/>
                          <w:szCs w:val="22"/>
                        </w:rPr>
                        <w:t>Preventing Poisoning under the Scientific Council to continue its work u</w:t>
                      </w:r>
                      <w:r>
                        <w:rPr>
                          <w:rFonts w:cs="Arial"/>
                          <w:sz w:val="22"/>
                          <w:szCs w:val="22"/>
                        </w:rPr>
                        <w:t xml:space="preserve">nder its Terms of </w:t>
                      </w:r>
                      <w:r w:rsidRPr="00B27220">
                        <w:rPr>
                          <w:rFonts w:cs="Arial"/>
                          <w:sz w:val="22"/>
                          <w:szCs w:val="22"/>
                        </w:rPr>
                        <w:t xml:space="preserve">Reference. It </w:t>
                      </w:r>
                      <w:r>
                        <w:rPr>
                          <w:rFonts w:cs="Arial"/>
                          <w:sz w:val="22"/>
                          <w:szCs w:val="22"/>
                        </w:rPr>
                        <w:t>includes a draft Resolution which proposes the</w:t>
                      </w:r>
                      <w:r w:rsidRPr="00A11721">
                        <w:rPr>
                          <w:rFonts w:cs="Arial"/>
                          <w:sz w:val="22"/>
                          <w:szCs w:val="22"/>
                        </w:rPr>
                        <w:t xml:space="preserve"> establishment of a Lead Task Force as a sub-group under the </w:t>
                      </w:r>
                      <w:r w:rsidRPr="00357D1D">
                        <w:rPr>
                          <w:rFonts w:cs="Arial"/>
                          <w:sz w:val="22"/>
                          <w:szCs w:val="22"/>
                        </w:rPr>
                        <w:t xml:space="preserve">CMS </w:t>
                      </w:r>
                      <w:r w:rsidRPr="009B33F0">
                        <w:rPr>
                          <w:rFonts w:cs="Arial"/>
                          <w:sz w:val="22"/>
                          <w:szCs w:val="22"/>
                        </w:rPr>
                        <w:t>Preventing Poisoning Working Group</w:t>
                      </w:r>
                      <w:r w:rsidRPr="00B46B51">
                        <w:rPr>
                          <w:rFonts w:cs="Arial"/>
                          <w:sz w:val="22"/>
                          <w:szCs w:val="22"/>
                        </w:rPr>
                        <w:t>.</w:t>
                      </w:r>
                    </w:p>
                    <w:p w14:paraId="3D3CA170" w14:textId="6C9AAC7D" w:rsidR="00AC5BA3" w:rsidRPr="00B46B51" w:rsidRDefault="00AC5BA3" w:rsidP="00E475D4">
                      <w:pPr>
                        <w:rPr>
                          <w:rFonts w:cs="Arial"/>
                          <w:i/>
                          <w:sz w:val="22"/>
                          <w:szCs w:val="22"/>
                        </w:rPr>
                      </w:pPr>
                      <w:r w:rsidRPr="00B46B51">
                        <w:rPr>
                          <w:rFonts w:cs="Arial"/>
                          <w:i/>
                          <w:sz w:val="22"/>
                          <w:szCs w:val="22"/>
                        </w:rPr>
                        <w:t xml:space="preserve"> </w:t>
                      </w:r>
                    </w:p>
                    <w:p w14:paraId="1AC47A16" w14:textId="2DF8EF06" w:rsidR="00AC5BA3" w:rsidRDefault="00AC5BA3" w:rsidP="00E475D4">
                      <w:pPr>
                        <w:rPr>
                          <w:rFonts w:cs="Arial"/>
                          <w:sz w:val="22"/>
                          <w:szCs w:val="22"/>
                        </w:rPr>
                      </w:pPr>
                      <w:r w:rsidRPr="00B46B51">
                        <w:rPr>
                          <w:rFonts w:cs="Arial"/>
                          <w:sz w:val="22"/>
                          <w:szCs w:val="22"/>
                        </w:rPr>
                        <w:t>Implementation of the attached draft Resolution and Decisions will contribute towards the implementation of targets 1 - 11, 13, 15 and 16 of the Strategic Plan for Migratory Species 2015 – 2023.</w:t>
                      </w:r>
                    </w:p>
                    <w:p w14:paraId="41F67772" w14:textId="27512815" w:rsidR="00E46A3C" w:rsidRDefault="00E46A3C" w:rsidP="00E475D4">
                      <w:pPr>
                        <w:rPr>
                          <w:rFonts w:cs="Arial"/>
                          <w:sz w:val="22"/>
                          <w:szCs w:val="22"/>
                        </w:rPr>
                      </w:pPr>
                    </w:p>
                    <w:p w14:paraId="6F7B7508" w14:textId="430DC9F4" w:rsidR="00E46A3C" w:rsidRDefault="00E46A3C" w:rsidP="00E475D4">
                      <w:pPr>
                        <w:rPr>
                          <w:rFonts w:cs="Arial"/>
                          <w:sz w:val="22"/>
                          <w:szCs w:val="22"/>
                        </w:rPr>
                      </w:pPr>
                      <w:r w:rsidRPr="00225A14">
                        <w:rPr>
                          <w:rFonts w:cs="Arial"/>
                          <w:sz w:val="22"/>
                          <w:szCs w:val="22"/>
                        </w:rPr>
                        <w:t xml:space="preserve">Rev.1 has </w:t>
                      </w:r>
                      <w:r w:rsidR="00225A14" w:rsidRPr="00225A14">
                        <w:rPr>
                          <w:rFonts w:cs="Arial"/>
                          <w:sz w:val="22"/>
                          <w:szCs w:val="22"/>
                        </w:rPr>
                        <w:t>clarif</w:t>
                      </w:r>
                      <w:r w:rsidR="00310A6A">
                        <w:rPr>
                          <w:rFonts w:cs="Arial"/>
                          <w:sz w:val="22"/>
                          <w:szCs w:val="22"/>
                        </w:rPr>
                        <w:t>ied</w:t>
                      </w:r>
                      <w:r w:rsidR="00225A14" w:rsidRPr="00225A14">
                        <w:rPr>
                          <w:rFonts w:cs="Arial"/>
                          <w:sz w:val="22"/>
                          <w:szCs w:val="22"/>
                        </w:rPr>
                        <w:t xml:space="preserve"> membership </w:t>
                      </w:r>
                      <w:r w:rsidR="00310A6A">
                        <w:rPr>
                          <w:rFonts w:cs="Arial"/>
                          <w:sz w:val="22"/>
                          <w:szCs w:val="22"/>
                        </w:rPr>
                        <w:t>of</w:t>
                      </w:r>
                      <w:r w:rsidR="00225A14" w:rsidRPr="00225A14">
                        <w:rPr>
                          <w:rFonts w:cs="Arial"/>
                          <w:sz w:val="22"/>
                          <w:szCs w:val="22"/>
                        </w:rPr>
                        <w:t xml:space="preserve"> the Lead Task Force, in Annex 3.</w:t>
                      </w:r>
                    </w:p>
                    <w:p w14:paraId="2E9C9C09" w14:textId="0867D4DB" w:rsidR="00F23AA3" w:rsidRPr="00B46B51" w:rsidRDefault="00F23AA3" w:rsidP="00E475D4">
                      <w:pPr>
                        <w:rPr>
                          <w:rFonts w:cs="Arial"/>
                          <w:sz w:val="22"/>
                          <w:szCs w:val="22"/>
                        </w:rPr>
                      </w:pPr>
                      <w:r>
                        <w:rPr>
                          <w:rFonts w:cs="Arial"/>
                          <w:sz w:val="22"/>
                          <w:szCs w:val="22"/>
                        </w:rPr>
                        <w:t xml:space="preserve">Rev.2 </w:t>
                      </w:r>
                      <w:r w:rsidR="007747CE" w:rsidRPr="007747CE">
                        <w:rPr>
                          <w:rFonts w:cs="Arial"/>
                          <w:sz w:val="22"/>
                          <w:szCs w:val="22"/>
                          <w:lang w:val="en-GB"/>
                        </w:rPr>
                        <w:t>has deleted the word ‘draft’ from the title of the Resolution contained in Annex 1 of this document.</w:t>
                      </w:r>
                    </w:p>
                  </w:txbxContent>
                </v:textbox>
              </v:shape>
            </w:pict>
          </mc:Fallback>
        </mc:AlternateContent>
      </w:r>
    </w:p>
    <w:p w14:paraId="6CA6FC28" w14:textId="77777777" w:rsidR="00D605A4" w:rsidRPr="00C169ED" w:rsidRDefault="00D605A4" w:rsidP="00D605A4">
      <w:pPr>
        <w:rPr>
          <w:rFonts w:cs="Arial"/>
          <w:sz w:val="21"/>
          <w:szCs w:val="21"/>
        </w:rPr>
      </w:pPr>
    </w:p>
    <w:p w14:paraId="5D24742E" w14:textId="77777777" w:rsidR="00D605A4" w:rsidRPr="00C169ED" w:rsidRDefault="00D605A4" w:rsidP="00D605A4">
      <w:pPr>
        <w:rPr>
          <w:rFonts w:cs="Arial"/>
          <w:sz w:val="21"/>
          <w:szCs w:val="21"/>
        </w:rPr>
      </w:pPr>
    </w:p>
    <w:p w14:paraId="5A89E70B" w14:textId="77777777" w:rsidR="00D605A4" w:rsidRPr="00C169ED" w:rsidRDefault="00D605A4" w:rsidP="00D605A4">
      <w:pPr>
        <w:rPr>
          <w:rFonts w:cs="Arial"/>
          <w:sz w:val="21"/>
          <w:szCs w:val="21"/>
        </w:rPr>
      </w:pPr>
    </w:p>
    <w:p w14:paraId="77718522" w14:textId="77777777" w:rsidR="00D605A4" w:rsidRPr="00C169ED" w:rsidRDefault="00D605A4" w:rsidP="00D605A4">
      <w:pPr>
        <w:rPr>
          <w:rFonts w:cs="Arial"/>
          <w:sz w:val="21"/>
          <w:szCs w:val="21"/>
        </w:rPr>
      </w:pPr>
    </w:p>
    <w:p w14:paraId="590D5805" w14:textId="77777777" w:rsidR="00D605A4" w:rsidRPr="00C169ED" w:rsidRDefault="00D605A4" w:rsidP="00D605A4">
      <w:pPr>
        <w:rPr>
          <w:rFonts w:cs="Arial"/>
          <w:sz w:val="21"/>
          <w:szCs w:val="21"/>
        </w:rPr>
      </w:pPr>
    </w:p>
    <w:p w14:paraId="6FF69C98" w14:textId="77777777" w:rsidR="00D605A4" w:rsidRPr="00C169ED" w:rsidRDefault="00D605A4" w:rsidP="00D605A4">
      <w:pPr>
        <w:rPr>
          <w:rFonts w:cs="Arial"/>
          <w:sz w:val="21"/>
          <w:szCs w:val="21"/>
        </w:rPr>
      </w:pPr>
    </w:p>
    <w:p w14:paraId="62E258D2" w14:textId="77777777" w:rsidR="00D605A4" w:rsidRPr="00C169ED" w:rsidRDefault="00D605A4" w:rsidP="00D605A4">
      <w:pPr>
        <w:rPr>
          <w:rFonts w:cs="Arial"/>
          <w:sz w:val="21"/>
          <w:szCs w:val="21"/>
        </w:rPr>
      </w:pPr>
    </w:p>
    <w:p w14:paraId="207655D2" w14:textId="77777777" w:rsidR="00D605A4" w:rsidRPr="00C169ED" w:rsidRDefault="00D605A4" w:rsidP="00D605A4">
      <w:pPr>
        <w:rPr>
          <w:rFonts w:cs="Arial"/>
          <w:sz w:val="21"/>
          <w:szCs w:val="21"/>
        </w:rPr>
      </w:pPr>
    </w:p>
    <w:p w14:paraId="76C7117B" w14:textId="77777777" w:rsidR="00D605A4" w:rsidRPr="00C169ED" w:rsidRDefault="00D605A4" w:rsidP="00D605A4">
      <w:pPr>
        <w:rPr>
          <w:rFonts w:cs="Arial"/>
          <w:sz w:val="21"/>
          <w:szCs w:val="21"/>
        </w:rPr>
      </w:pPr>
    </w:p>
    <w:p w14:paraId="4DF6A4BA" w14:textId="77777777" w:rsidR="00D605A4" w:rsidRPr="00C169ED" w:rsidRDefault="00D605A4" w:rsidP="00D605A4">
      <w:pPr>
        <w:rPr>
          <w:rFonts w:cs="Arial"/>
          <w:sz w:val="21"/>
          <w:szCs w:val="21"/>
        </w:rPr>
      </w:pPr>
    </w:p>
    <w:p w14:paraId="0A1A55F4" w14:textId="77777777" w:rsidR="00D605A4" w:rsidRPr="00C169ED" w:rsidRDefault="00D605A4" w:rsidP="00D605A4">
      <w:pPr>
        <w:rPr>
          <w:rFonts w:cs="Arial"/>
          <w:sz w:val="21"/>
          <w:szCs w:val="21"/>
        </w:rPr>
      </w:pPr>
    </w:p>
    <w:p w14:paraId="2F603813" w14:textId="77777777" w:rsidR="00D605A4" w:rsidRPr="00C169ED" w:rsidRDefault="00D605A4" w:rsidP="00D605A4">
      <w:pPr>
        <w:rPr>
          <w:rFonts w:cs="Arial"/>
          <w:sz w:val="21"/>
          <w:szCs w:val="21"/>
        </w:rPr>
      </w:pPr>
    </w:p>
    <w:p w14:paraId="195400DB" w14:textId="77777777" w:rsidR="00D605A4" w:rsidRPr="00C169ED" w:rsidRDefault="00D605A4" w:rsidP="00D605A4">
      <w:pPr>
        <w:rPr>
          <w:rFonts w:cs="Arial"/>
          <w:sz w:val="21"/>
          <w:szCs w:val="21"/>
        </w:rPr>
      </w:pPr>
    </w:p>
    <w:p w14:paraId="46B17DC4" w14:textId="77777777" w:rsidR="00D605A4" w:rsidRPr="00C169ED" w:rsidRDefault="00D605A4" w:rsidP="00D605A4">
      <w:pPr>
        <w:rPr>
          <w:rFonts w:cs="Arial"/>
          <w:sz w:val="21"/>
          <w:szCs w:val="21"/>
        </w:rPr>
      </w:pPr>
    </w:p>
    <w:p w14:paraId="2232A87D" w14:textId="77777777" w:rsidR="00D605A4" w:rsidRPr="00C169ED" w:rsidRDefault="00D605A4" w:rsidP="00D605A4">
      <w:pPr>
        <w:rPr>
          <w:rFonts w:cs="Arial"/>
          <w:sz w:val="21"/>
          <w:szCs w:val="21"/>
        </w:rPr>
      </w:pPr>
    </w:p>
    <w:p w14:paraId="0C76868D" w14:textId="77777777" w:rsidR="00D605A4" w:rsidRPr="00C169ED" w:rsidRDefault="00D605A4" w:rsidP="00D605A4">
      <w:pPr>
        <w:rPr>
          <w:rFonts w:cs="Arial"/>
          <w:sz w:val="21"/>
          <w:szCs w:val="21"/>
        </w:rPr>
      </w:pPr>
    </w:p>
    <w:p w14:paraId="3A14791C" w14:textId="77777777" w:rsidR="00D605A4" w:rsidRPr="00C169ED" w:rsidRDefault="00D605A4" w:rsidP="00D605A4">
      <w:pPr>
        <w:rPr>
          <w:rFonts w:cs="Arial"/>
          <w:sz w:val="21"/>
          <w:szCs w:val="21"/>
        </w:rPr>
      </w:pPr>
    </w:p>
    <w:p w14:paraId="3E76EF41" w14:textId="77777777" w:rsidR="00D605A4" w:rsidRPr="00C169ED" w:rsidRDefault="00D605A4" w:rsidP="00D605A4">
      <w:pPr>
        <w:rPr>
          <w:rFonts w:cs="Arial"/>
          <w:sz w:val="21"/>
          <w:szCs w:val="21"/>
        </w:rPr>
      </w:pPr>
    </w:p>
    <w:p w14:paraId="73C56069" w14:textId="77777777" w:rsidR="00D605A4" w:rsidRDefault="00D605A4" w:rsidP="00D605A4">
      <w:pPr>
        <w:rPr>
          <w:rFonts w:cs="Arial"/>
          <w:sz w:val="22"/>
          <w:szCs w:val="22"/>
        </w:rPr>
      </w:pPr>
    </w:p>
    <w:p w14:paraId="76108724" w14:textId="77777777" w:rsidR="00031A88" w:rsidRDefault="00031A88" w:rsidP="00D605A4">
      <w:pPr>
        <w:rPr>
          <w:rFonts w:cs="Arial"/>
          <w:sz w:val="22"/>
          <w:szCs w:val="22"/>
        </w:rPr>
      </w:pPr>
    </w:p>
    <w:p w14:paraId="731D589A" w14:textId="77777777" w:rsidR="00031A88" w:rsidRDefault="00031A88" w:rsidP="00D605A4">
      <w:pPr>
        <w:rPr>
          <w:rFonts w:cs="Arial"/>
          <w:sz w:val="22"/>
          <w:szCs w:val="22"/>
        </w:rPr>
      </w:pPr>
    </w:p>
    <w:p w14:paraId="47DCF4C5" w14:textId="77777777" w:rsidR="00031A88" w:rsidRDefault="00031A88" w:rsidP="00D605A4">
      <w:pPr>
        <w:rPr>
          <w:rFonts w:cs="Arial"/>
          <w:sz w:val="22"/>
          <w:szCs w:val="22"/>
        </w:rPr>
      </w:pPr>
    </w:p>
    <w:p w14:paraId="02A707E8" w14:textId="77777777" w:rsidR="00031A88" w:rsidRDefault="00031A88" w:rsidP="00D605A4">
      <w:pPr>
        <w:rPr>
          <w:rFonts w:cs="Arial"/>
          <w:sz w:val="22"/>
          <w:szCs w:val="22"/>
        </w:rPr>
      </w:pPr>
    </w:p>
    <w:p w14:paraId="5CE6F6B1" w14:textId="77777777" w:rsidR="00031A88" w:rsidRDefault="00031A88" w:rsidP="00D605A4">
      <w:pPr>
        <w:rPr>
          <w:rFonts w:cs="Arial"/>
          <w:sz w:val="22"/>
          <w:szCs w:val="22"/>
        </w:rPr>
      </w:pPr>
    </w:p>
    <w:p w14:paraId="2392D2F9" w14:textId="77777777" w:rsidR="00031A88" w:rsidRDefault="00031A88" w:rsidP="00D605A4">
      <w:pPr>
        <w:rPr>
          <w:rFonts w:cs="Arial"/>
          <w:sz w:val="22"/>
          <w:szCs w:val="22"/>
        </w:rPr>
      </w:pPr>
    </w:p>
    <w:p w14:paraId="52B46FCD" w14:textId="77777777" w:rsidR="00031A88" w:rsidRDefault="00031A88" w:rsidP="00D605A4">
      <w:pPr>
        <w:rPr>
          <w:rFonts w:cs="Arial"/>
          <w:sz w:val="22"/>
          <w:szCs w:val="22"/>
        </w:rPr>
      </w:pPr>
    </w:p>
    <w:p w14:paraId="6F31E10A" w14:textId="77777777" w:rsidR="00031A88" w:rsidRDefault="00031A88" w:rsidP="00D605A4">
      <w:pPr>
        <w:rPr>
          <w:rFonts w:cs="Arial"/>
          <w:sz w:val="22"/>
          <w:szCs w:val="22"/>
        </w:rPr>
      </w:pPr>
    </w:p>
    <w:p w14:paraId="6793271B" w14:textId="77777777" w:rsidR="00031A88" w:rsidRDefault="00031A88" w:rsidP="00D605A4">
      <w:pPr>
        <w:rPr>
          <w:rFonts w:cs="Arial"/>
          <w:sz w:val="22"/>
          <w:szCs w:val="22"/>
        </w:rPr>
      </w:pPr>
    </w:p>
    <w:p w14:paraId="135014FF" w14:textId="77777777" w:rsidR="00031A88" w:rsidRDefault="00031A88" w:rsidP="00D605A4">
      <w:pPr>
        <w:rPr>
          <w:rFonts w:cs="Arial"/>
          <w:sz w:val="22"/>
          <w:szCs w:val="22"/>
        </w:rPr>
      </w:pPr>
    </w:p>
    <w:p w14:paraId="02423A7B" w14:textId="77777777" w:rsidR="00031A88" w:rsidRPr="00D605A4" w:rsidRDefault="00031A88" w:rsidP="00D605A4">
      <w:pPr>
        <w:rPr>
          <w:rFonts w:cs="Arial"/>
          <w:sz w:val="22"/>
          <w:szCs w:val="22"/>
        </w:rPr>
      </w:pPr>
    </w:p>
    <w:p w14:paraId="41CA2ADE" w14:textId="77777777" w:rsidR="00D605A4" w:rsidRDefault="00D605A4" w:rsidP="00D605A4">
      <w:pPr>
        <w:rPr>
          <w:rFonts w:cs="Arial"/>
          <w:sz w:val="22"/>
          <w:szCs w:val="22"/>
        </w:rPr>
      </w:pPr>
    </w:p>
    <w:p w14:paraId="03DB6A9C"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39592A1" w14:textId="25853C1E" w:rsidR="007910DD" w:rsidRPr="00F11793" w:rsidRDefault="00983795"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983795">
        <w:rPr>
          <w:rFonts w:cs="Arial"/>
          <w:b/>
          <w:caps/>
          <w:sz w:val="22"/>
          <w:szCs w:val="22"/>
          <w:lang w:val="en-GB"/>
        </w:rPr>
        <w:lastRenderedPageBreak/>
        <w:t xml:space="preserve">THE </w:t>
      </w:r>
      <w:r>
        <w:rPr>
          <w:rFonts w:cs="Arial"/>
          <w:b/>
          <w:caps/>
          <w:sz w:val="22"/>
          <w:szCs w:val="22"/>
          <w:lang w:val="en-GB"/>
        </w:rPr>
        <w:t>PREVENTION OF B</w:t>
      </w:r>
      <w:r w:rsidRPr="00983795">
        <w:rPr>
          <w:rFonts w:cs="Arial"/>
          <w:b/>
          <w:caps/>
          <w:sz w:val="22"/>
          <w:szCs w:val="22"/>
          <w:lang w:val="en-GB"/>
        </w:rPr>
        <w:t>I</w:t>
      </w:r>
      <w:r>
        <w:rPr>
          <w:rFonts w:cs="Arial"/>
          <w:b/>
          <w:caps/>
          <w:sz w:val="22"/>
          <w:szCs w:val="22"/>
          <w:lang w:val="en-GB"/>
        </w:rPr>
        <w:t>R</w:t>
      </w:r>
      <w:r w:rsidRPr="00983795">
        <w:rPr>
          <w:rFonts w:cs="Arial"/>
          <w:b/>
          <w:caps/>
          <w:sz w:val="22"/>
          <w:szCs w:val="22"/>
          <w:lang w:val="en-GB"/>
        </w:rPr>
        <w:t>D POISONING</w:t>
      </w:r>
    </w:p>
    <w:p w14:paraId="6C26E78D" w14:textId="77777777" w:rsidR="007910DD" w:rsidRPr="00CD0FE9" w:rsidRDefault="007910DD" w:rsidP="007910DD">
      <w:pPr>
        <w:jc w:val="center"/>
        <w:rPr>
          <w:rFonts w:cs="Arial"/>
          <w:sz w:val="22"/>
          <w:szCs w:val="22"/>
          <w:lang w:val="en-GB"/>
        </w:rPr>
      </w:pPr>
    </w:p>
    <w:p w14:paraId="1EB6695E" w14:textId="1096F010" w:rsidR="007910DD" w:rsidRPr="00CD0FE9" w:rsidRDefault="007910DD" w:rsidP="007910DD">
      <w:pPr>
        <w:jc w:val="both"/>
        <w:rPr>
          <w:rFonts w:cs="Arial"/>
          <w:sz w:val="22"/>
          <w:szCs w:val="22"/>
          <w:lang w:val="en-GB"/>
        </w:rPr>
      </w:pPr>
    </w:p>
    <w:p w14:paraId="56F4EB2D" w14:textId="77777777"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14:paraId="798C7B65" w14:textId="77777777" w:rsidR="008627EF" w:rsidRDefault="008627EF" w:rsidP="008627EF">
      <w:pPr>
        <w:jc w:val="both"/>
        <w:rPr>
          <w:rFonts w:cs="Arial"/>
          <w:sz w:val="22"/>
          <w:szCs w:val="22"/>
        </w:rPr>
      </w:pPr>
    </w:p>
    <w:p w14:paraId="2F16D755" w14:textId="71A8DA16" w:rsidR="00AB348F" w:rsidRPr="00AB348F" w:rsidRDefault="00A11721" w:rsidP="008627EF">
      <w:pPr>
        <w:pStyle w:val="ListParagraph"/>
        <w:numPr>
          <w:ilvl w:val="0"/>
          <w:numId w:val="2"/>
        </w:numPr>
        <w:jc w:val="both"/>
        <w:rPr>
          <w:rFonts w:cs="Arial"/>
          <w:sz w:val="22"/>
          <w:szCs w:val="22"/>
        </w:rPr>
      </w:pPr>
      <w:r>
        <w:rPr>
          <w:rFonts w:cs="Arial"/>
          <w:color w:val="000000"/>
          <w:sz w:val="22"/>
          <w:szCs w:val="22"/>
        </w:rPr>
        <w:t>As mandated by Resolution 10.26 “Minimizing the Risk of Poisoning to Migratory Birds”, i</w:t>
      </w:r>
      <w:r w:rsidR="004D0630">
        <w:rPr>
          <w:rFonts w:cs="Arial"/>
          <w:color w:val="000000"/>
          <w:sz w:val="22"/>
          <w:szCs w:val="22"/>
        </w:rPr>
        <w:t>n 2011</w:t>
      </w:r>
      <w:r w:rsidR="003A02C4">
        <w:rPr>
          <w:rFonts w:cs="Arial"/>
          <w:color w:val="000000"/>
          <w:sz w:val="22"/>
          <w:szCs w:val="22"/>
        </w:rPr>
        <w:t>,</w:t>
      </w:r>
      <w:r w:rsidR="004D0630">
        <w:rPr>
          <w:rFonts w:cs="Arial"/>
          <w:color w:val="000000"/>
          <w:sz w:val="22"/>
          <w:szCs w:val="22"/>
        </w:rPr>
        <w:t xml:space="preserve"> </w:t>
      </w:r>
      <w:r w:rsidR="00AB348F" w:rsidRPr="00372228">
        <w:rPr>
          <w:rFonts w:cs="Arial"/>
          <w:color w:val="000000"/>
          <w:sz w:val="22"/>
          <w:szCs w:val="22"/>
        </w:rPr>
        <w:t xml:space="preserve">the </w:t>
      </w:r>
      <w:r w:rsidR="005713B1">
        <w:rPr>
          <w:rFonts w:cs="Arial"/>
          <w:color w:val="000000"/>
          <w:sz w:val="22"/>
          <w:szCs w:val="22"/>
        </w:rPr>
        <w:t>‘</w:t>
      </w:r>
      <w:r w:rsidR="00AB348F" w:rsidRPr="00372228">
        <w:rPr>
          <w:rFonts w:cs="Arial"/>
          <w:color w:val="000000"/>
          <w:sz w:val="22"/>
          <w:szCs w:val="22"/>
        </w:rPr>
        <w:t>Preventin</w:t>
      </w:r>
      <w:r w:rsidR="004B6CD8">
        <w:rPr>
          <w:rFonts w:cs="Arial"/>
          <w:color w:val="000000"/>
          <w:sz w:val="22"/>
          <w:szCs w:val="22"/>
        </w:rPr>
        <w:t>g Poisoning</w:t>
      </w:r>
      <w:r w:rsidR="00AB348F" w:rsidRPr="00372228">
        <w:rPr>
          <w:rFonts w:cs="Arial"/>
          <w:color w:val="000000"/>
          <w:sz w:val="22"/>
          <w:szCs w:val="22"/>
        </w:rPr>
        <w:t xml:space="preserve"> Working Group</w:t>
      </w:r>
      <w:r w:rsidR="00AB348F">
        <w:rPr>
          <w:rFonts w:cs="Arial"/>
          <w:color w:val="000000"/>
          <w:sz w:val="22"/>
          <w:szCs w:val="22"/>
        </w:rPr>
        <w:t xml:space="preserve"> </w:t>
      </w:r>
      <w:r w:rsidR="004B6CD8">
        <w:rPr>
          <w:rFonts w:cs="Arial"/>
          <w:color w:val="000000"/>
          <w:sz w:val="22"/>
          <w:szCs w:val="22"/>
        </w:rPr>
        <w:t>(PPWG)</w:t>
      </w:r>
      <w:r w:rsidR="005713B1">
        <w:rPr>
          <w:rFonts w:cs="Arial"/>
          <w:color w:val="000000"/>
          <w:sz w:val="22"/>
          <w:szCs w:val="22"/>
        </w:rPr>
        <w:t>’</w:t>
      </w:r>
      <w:r w:rsidR="004B6CD8">
        <w:rPr>
          <w:rFonts w:cs="Arial"/>
          <w:color w:val="000000"/>
          <w:sz w:val="22"/>
          <w:szCs w:val="22"/>
        </w:rPr>
        <w:t xml:space="preserve"> </w:t>
      </w:r>
      <w:r w:rsidR="00682EAA">
        <w:rPr>
          <w:rFonts w:cs="Arial"/>
          <w:color w:val="000000"/>
          <w:sz w:val="22"/>
          <w:szCs w:val="22"/>
        </w:rPr>
        <w:t xml:space="preserve">of CMS </w:t>
      </w:r>
      <w:r w:rsidR="00AB348F">
        <w:rPr>
          <w:rFonts w:cs="Arial"/>
          <w:color w:val="000000"/>
          <w:sz w:val="22"/>
          <w:szCs w:val="22"/>
        </w:rPr>
        <w:t>was established to</w:t>
      </w:r>
      <w:r w:rsidR="00AB348F" w:rsidRPr="00372228">
        <w:rPr>
          <w:rFonts w:cs="Arial"/>
          <w:color w:val="000000"/>
          <w:sz w:val="22"/>
          <w:szCs w:val="22"/>
        </w:rPr>
        <w:t xml:space="preserve"> </w:t>
      </w:r>
      <w:r w:rsidR="00AB348F">
        <w:rPr>
          <w:rFonts w:cs="Arial"/>
          <w:color w:val="000000"/>
          <w:sz w:val="22"/>
          <w:szCs w:val="22"/>
        </w:rPr>
        <w:t xml:space="preserve">assess </w:t>
      </w:r>
      <w:r w:rsidR="00AB348F" w:rsidRPr="00372228">
        <w:rPr>
          <w:rFonts w:cs="Arial"/>
          <w:color w:val="000000"/>
          <w:sz w:val="22"/>
          <w:szCs w:val="22"/>
        </w:rPr>
        <w:t>the severity and scope o</w:t>
      </w:r>
      <w:r w:rsidR="00AB348F">
        <w:rPr>
          <w:rFonts w:cs="Arial"/>
          <w:color w:val="000000"/>
          <w:sz w:val="22"/>
          <w:szCs w:val="22"/>
        </w:rPr>
        <w:t xml:space="preserve">f poisoning for migratory birds, </w:t>
      </w:r>
      <w:r w:rsidR="00682EAA">
        <w:rPr>
          <w:rFonts w:cs="Arial"/>
          <w:color w:val="000000"/>
          <w:sz w:val="22"/>
          <w:szCs w:val="22"/>
        </w:rPr>
        <w:t xml:space="preserve">to identify </w:t>
      </w:r>
      <w:r w:rsidR="00AB348F">
        <w:rPr>
          <w:rFonts w:cs="Arial"/>
          <w:color w:val="000000"/>
          <w:sz w:val="22"/>
          <w:szCs w:val="22"/>
        </w:rPr>
        <w:t>significant knowledge gaps,</w:t>
      </w:r>
      <w:r w:rsidR="00D37145">
        <w:rPr>
          <w:rFonts w:cs="Arial"/>
          <w:color w:val="000000"/>
          <w:sz w:val="22"/>
          <w:szCs w:val="22"/>
        </w:rPr>
        <w:t xml:space="preserve"> and </w:t>
      </w:r>
      <w:r w:rsidR="00AB348F" w:rsidRPr="00372228">
        <w:rPr>
          <w:rFonts w:cs="Arial"/>
          <w:color w:val="000000"/>
          <w:sz w:val="22"/>
          <w:szCs w:val="22"/>
        </w:rPr>
        <w:t>to recommend suitable responses to address the problems</w:t>
      </w:r>
      <w:r w:rsidR="00A743F3">
        <w:rPr>
          <w:rFonts w:cs="Arial"/>
          <w:color w:val="000000"/>
          <w:sz w:val="22"/>
          <w:szCs w:val="22"/>
        </w:rPr>
        <w:t>.</w:t>
      </w:r>
      <w:r w:rsidR="00AB348F" w:rsidRPr="00372228">
        <w:rPr>
          <w:rFonts w:cs="Arial"/>
          <w:color w:val="000000"/>
          <w:sz w:val="22"/>
          <w:szCs w:val="22"/>
        </w:rPr>
        <w:t xml:space="preserve"> </w:t>
      </w:r>
      <w:r w:rsidR="00A743F3">
        <w:rPr>
          <w:rFonts w:cs="Arial"/>
          <w:color w:val="000000"/>
          <w:sz w:val="22"/>
          <w:szCs w:val="22"/>
        </w:rPr>
        <w:t xml:space="preserve">These responses include </w:t>
      </w:r>
      <w:r w:rsidR="00AB348F" w:rsidRPr="00372228">
        <w:rPr>
          <w:rFonts w:cs="Arial"/>
          <w:color w:val="000000"/>
          <w:sz w:val="22"/>
          <w:szCs w:val="22"/>
        </w:rPr>
        <w:t>potentially areas where enhanced legislation may be required, features of effective regulatory regimes, and understanding socio-economic drivers of poisoning</w:t>
      </w:r>
      <w:r w:rsidR="00AB348F">
        <w:rPr>
          <w:rFonts w:cs="Arial"/>
          <w:color w:val="000000"/>
          <w:sz w:val="22"/>
          <w:szCs w:val="22"/>
        </w:rPr>
        <w:t>.</w:t>
      </w:r>
    </w:p>
    <w:p w14:paraId="1A8BEF45" w14:textId="77777777" w:rsidR="00AB348F" w:rsidRPr="00AB348F" w:rsidRDefault="00AB348F" w:rsidP="00AB348F">
      <w:pPr>
        <w:pStyle w:val="ListParagraph"/>
        <w:rPr>
          <w:rFonts w:cs="Arial"/>
          <w:sz w:val="22"/>
          <w:szCs w:val="22"/>
        </w:rPr>
      </w:pPr>
    </w:p>
    <w:p w14:paraId="551FF09B" w14:textId="2E3932C9" w:rsidR="00AB348F" w:rsidRPr="004B6CD8" w:rsidRDefault="004B6CD8" w:rsidP="004B6CD8">
      <w:pPr>
        <w:pStyle w:val="ListParagraph"/>
        <w:numPr>
          <w:ilvl w:val="0"/>
          <w:numId w:val="2"/>
        </w:numPr>
        <w:jc w:val="both"/>
        <w:rPr>
          <w:rFonts w:cs="Arial"/>
          <w:sz w:val="22"/>
          <w:szCs w:val="22"/>
        </w:rPr>
      </w:pPr>
      <w:r>
        <w:rPr>
          <w:rFonts w:cs="Arial"/>
          <w:sz w:val="22"/>
          <w:szCs w:val="22"/>
        </w:rPr>
        <w:t xml:space="preserve">A meeting of the PPWG </w:t>
      </w:r>
      <w:r w:rsidR="00AB348F" w:rsidRPr="00AB348F">
        <w:rPr>
          <w:rFonts w:cs="Arial"/>
          <w:sz w:val="22"/>
          <w:szCs w:val="22"/>
        </w:rPr>
        <w:t xml:space="preserve">took place in Tunis, </w:t>
      </w:r>
      <w:r>
        <w:rPr>
          <w:rFonts w:cs="Arial"/>
          <w:sz w:val="22"/>
          <w:szCs w:val="22"/>
        </w:rPr>
        <w:t>from 27</w:t>
      </w:r>
      <w:r w:rsidR="00682EAA">
        <w:rPr>
          <w:rFonts w:cs="Arial"/>
          <w:sz w:val="22"/>
          <w:szCs w:val="22"/>
        </w:rPr>
        <w:t xml:space="preserve"> to </w:t>
      </w:r>
      <w:r>
        <w:rPr>
          <w:rFonts w:cs="Arial"/>
          <w:sz w:val="22"/>
          <w:szCs w:val="22"/>
        </w:rPr>
        <w:t xml:space="preserve">28 May 2013, </w:t>
      </w:r>
      <w:r w:rsidR="00AB348F" w:rsidRPr="00AB348F">
        <w:rPr>
          <w:rFonts w:cs="Arial"/>
          <w:sz w:val="22"/>
          <w:szCs w:val="22"/>
        </w:rPr>
        <w:t>back to back</w:t>
      </w:r>
      <w:r>
        <w:rPr>
          <w:rFonts w:cs="Arial"/>
          <w:sz w:val="22"/>
          <w:szCs w:val="22"/>
        </w:rPr>
        <w:t xml:space="preserve"> with the Bern Convention’s 2</w:t>
      </w:r>
      <w:r w:rsidRPr="004B6CD8">
        <w:rPr>
          <w:rFonts w:cs="Arial"/>
          <w:sz w:val="22"/>
          <w:szCs w:val="22"/>
          <w:vertAlign w:val="superscript"/>
        </w:rPr>
        <w:t>nd</w:t>
      </w:r>
      <w:r w:rsidR="00AB348F" w:rsidRPr="00AB348F">
        <w:rPr>
          <w:rFonts w:cs="Arial"/>
          <w:sz w:val="22"/>
          <w:szCs w:val="22"/>
        </w:rPr>
        <w:t xml:space="preserve"> Conference on Illegal Killing, Trapping and</w:t>
      </w:r>
      <w:r>
        <w:rPr>
          <w:rFonts w:cs="Arial"/>
          <w:sz w:val="22"/>
          <w:szCs w:val="22"/>
        </w:rPr>
        <w:t xml:space="preserve"> Trade of Wild Birds and the 4</w:t>
      </w:r>
      <w:r w:rsidRPr="004B6CD8">
        <w:rPr>
          <w:rFonts w:cs="Arial"/>
          <w:sz w:val="22"/>
          <w:szCs w:val="22"/>
          <w:vertAlign w:val="superscript"/>
        </w:rPr>
        <w:t>th</w:t>
      </w:r>
      <w:r w:rsidR="00AB348F" w:rsidRPr="00AB348F">
        <w:rPr>
          <w:rFonts w:cs="Arial"/>
          <w:sz w:val="22"/>
          <w:szCs w:val="22"/>
        </w:rPr>
        <w:t xml:space="preserve"> Meeting of the Group of Experts on Conservation of Birds. </w:t>
      </w:r>
      <w:r>
        <w:rPr>
          <w:rFonts w:cs="Arial"/>
          <w:sz w:val="22"/>
          <w:szCs w:val="22"/>
        </w:rPr>
        <w:t xml:space="preserve">The Working Group assessed the severity of poisoning </w:t>
      </w:r>
      <w:r w:rsidR="00235FB1">
        <w:rPr>
          <w:rFonts w:cs="Arial"/>
          <w:sz w:val="22"/>
          <w:szCs w:val="22"/>
        </w:rPr>
        <w:t xml:space="preserve">and </w:t>
      </w:r>
      <w:r>
        <w:rPr>
          <w:rFonts w:cs="Arial"/>
          <w:sz w:val="22"/>
          <w:szCs w:val="22"/>
        </w:rPr>
        <w:t>discussed guidelines. T</w:t>
      </w:r>
      <w:r w:rsidR="00AB348F" w:rsidRPr="004B6CD8">
        <w:rPr>
          <w:rFonts w:cs="Arial"/>
          <w:sz w:val="22"/>
          <w:szCs w:val="22"/>
        </w:rPr>
        <w:t>his workshop was made possible thanks to voluntary contributions provided by the Government of Switzerland and the European Science Foundation.</w:t>
      </w:r>
    </w:p>
    <w:p w14:paraId="10BB3059" w14:textId="77777777" w:rsidR="00AB348F" w:rsidRPr="00AB348F" w:rsidRDefault="00AB348F" w:rsidP="00AB348F">
      <w:pPr>
        <w:pStyle w:val="ListParagraph"/>
        <w:rPr>
          <w:rFonts w:cs="Arial"/>
          <w:sz w:val="22"/>
          <w:szCs w:val="22"/>
          <w:lang w:val="en"/>
        </w:rPr>
      </w:pPr>
    </w:p>
    <w:p w14:paraId="1D66CC5A" w14:textId="28D0F562" w:rsidR="008627EF" w:rsidRPr="008627EF" w:rsidRDefault="008627EF" w:rsidP="008627EF">
      <w:pPr>
        <w:pStyle w:val="ListParagraph"/>
        <w:numPr>
          <w:ilvl w:val="0"/>
          <w:numId w:val="2"/>
        </w:numPr>
        <w:jc w:val="both"/>
        <w:rPr>
          <w:rFonts w:cs="Arial"/>
          <w:sz w:val="22"/>
          <w:szCs w:val="22"/>
        </w:rPr>
      </w:pPr>
      <w:r w:rsidRPr="008627EF">
        <w:rPr>
          <w:rFonts w:cs="Arial"/>
          <w:sz w:val="22"/>
          <w:szCs w:val="22"/>
          <w:lang w:val="en"/>
        </w:rPr>
        <w:t>Resolution 11.15</w:t>
      </w:r>
      <w:r>
        <w:rPr>
          <w:rFonts w:cs="Arial"/>
          <w:sz w:val="22"/>
          <w:szCs w:val="22"/>
        </w:rPr>
        <w:t xml:space="preserve"> was adopted at t</w:t>
      </w:r>
      <w:r w:rsidRPr="00F94D10">
        <w:rPr>
          <w:rFonts w:cs="Arial"/>
          <w:sz w:val="22"/>
          <w:szCs w:val="22"/>
        </w:rPr>
        <w:t xml:space="preserve">he Conference of </w:t>
      </w:r>
      <w:r>
        <w:rPr>
          <w:rFonts w:cs="Arial"/>
          <w:sz w:val="22"/>
          <w:szCs w:val="22"/>
        </w:rPr>
        <w:t xml:space="preserve">the </w:t>
      </w:r>
      <w:r w:rsidRPr="00F94D10">
        <w:rPr>
          <w:rFonts w:cs="Arial"/>
          <w:sz w:val="22"/>
          <w:szCs w:val="22"/>
        </w:rPr>
        <w:t>Parties held in Quito in November 2014</w:t>
      </w:r>
      <w:r w:rsidRPr="008627EF">
        <w:rPr>
          <w:rFonts w:cs="Arial"/>
          <w:sz w:val="22"/>
          <w:szCs w:val="22"/>
          <w:lang w:val="en"/>
        </w:rPr>
        <w:t xml:space="preserve"> </w:t>
      </w:r>
      <w:r>
        <w:rPr>
          <w:rFonts w:cs="Arial"/>
          <w:sz w:val="22"/>
          <w:szCs w:val="22"/>
          <w:lang w:val="en"/>
        </w:rPr>
        <w:t>together with its annexed</w:t>
      </w:r>
      <w:r w:rsidRPr="008627EF">
        <w:rPr>
          <w:rFonts w:cs="Arial"/>
          <w:sz w:val="22"/>
          <w:szCs w:val="22"/>
          <w:lang w:val="en"/>
        </w:rPr>
        <w:t xml:space="preserve"> </w:t>
      </w:r>
      <w:r w:rsidR="005713B1">
        <w:rPr>
          <w:rFonts w:cs="Arial"/>
          <w:sz w:val="22"/>
          <w:szCs w:val="22"/>
          <w:lang w:val="en"/>
        </w:rPr>
        <w:t>“</w:t>
      </w:r>
      <w:r w:rsidRPr="008627EF">
        <w:rPr>
          <w:rFonts w:cs="Arial"/>
          <w:sz w:val="22"/>
          <w:szCs w:val="22"/>
          <w:lang w:val="en"/>
        </w:rPr>
        <w:t xml:space="preserve">Guidelines </w:t>
      </w:r>
      <w:r>
        <w:rPr>
          <w:rFonts w:cs="Arial"/>
          <w:sz w:val="22"/>
          <w:szCs w:val="22"/>
          <w:lang w:val="en"/>
        </w:rPr>
        <w:t xml:space="preserve">to </w:t>
      </w:r>
      <w:r w:rsidRPr="000216DD">
        <w:rPr>
          <w:rFonts w:cs="Arial"/>
          <w:bCs/>
          <w:sz w:val="22"/>
          <w:szCs w:val="22"/>
          <w:lang w:val="en"/>
        </w:rPr>
        <w:t>Prevent the Risk of Poisoning to Migratory Birds</w:t>
      </w:r>
      <w:r w:rsidR="005713B1">
        <w:rPr>
          <w:rFonts w:cs="Arial"/>
          <w:bCs/>
          <w:sz w:val="22"/>
          <w:szCs w:val="22"/>
          <w:lang w:val="en"/>
        </w:rPr>
        <w:t>”</w:t>
      </w:r>
      <w:r w:rsidR="00502375">
        <w:rPr>
          <w:rFonts w:cs="Arial"/>
          <w:bCs/>
          <w:sz w:val="22"/>
          <w:szCs w:val="22"/>
          <w:lang w:val="en"/>
        </w:rPr>
        <w:t xml:space="preserve"> (the Guidelines)</w:t>
      </w:r>
      <w:r w:rsidR="00754822">
        <w:rPr>
          <w:rFonts w:cs="Arial"/>
          <w:bCs/>
          <w:sz w:val="22"/>
          <w:szCs w:val="22"/>
          <w:lang w:val="en"/>
        </w:rPr>
        <w:t xml:space="preserve">, and the </w:t>
      </w:r>
      <w:r w:rsidR="00754822" w:rsidRPr="00372228">
        <w:rPr>
          <w:rFonts w:cs="Arial"/>
          <w:color w:val="000000"/>
          <w:sz w:val="22"/>
          <w:szCs w:val="22"/>
        </w:rPr>
        <w:t>“Review of the ecological effects of poisoning on migratory birds” (UNEP/CMS/COP11/Inf.34)</w:t>
      </w:r>
      <w:r w:rsidR="00754822">
        <w:rPr>
          <w:rFonts w:cs="Arial"/>
          <w:color w:val="000000"/>
          <w:sz w:val="22"/>
          <w:szCs w:val="22"/>
        </w:rPr>
        <w:t xml:space="preserve">, which had been prepared </w:t>
      </w:r>
      <w:r w:rsidR="005A214B">
        <w:rPr>
          <w:rFonts w:cs="Arial"/>
          <w:color w:val="000000"/>
          <w:sz w:val="22"/>
          <w:szCs w:val="22"/>
        </w:rPr>
        <w:t xml:space="preserve">by </w:t>
      </w:r>
      <w:r w:rsidR="00D37145">
        <w:rPr>
          <w:rFonts w:cs="Arial"/>
          <w:color w:val="000000"/>
          <w:sz w:val="22"/>
          <w:szCs w:val="22"/>
        </w:rPr>
        <w:t>the PPWG</w:t>
      </w:r>
      <w:r w:rsidR="00754822" w:rsidRPr="00372228">
        <w:rPr>
          <w:rFonts w:cs="Arial"/>
          <w:color w:val="000000"/>
          <w:sz w:val="22"/>
          <w:szCs w:val="22"/>
        </w:rPr>
        <w:t xml:space="preserve"> members</w:t>
      </w:r>
      <w:r w:rsidR="00A21145">
        <w:rPr>
          <w:rFonts w:cs="Arial"/>
          <w:color w:val="000000"/>
          <w:sz w:val="22"/>
          <w:szCs w:val="22"/>
        </w:rPr>
        <w:t xml:space="preserve"> and</w:t>
      </w:r>
      <w:r w:rsidR="00754822" w:rsidRPr="00372228">
        <w:rPr>
          <w:rFonts w:cs="Arial"/>
          <w:color w:val="000000"/>
          <w:sz w:val="22"/>
          <w:szCs w:val="22"/>
        </w:rPr>
        <w:t xml:space="preserve"> C</w:t>
      </w:r>
      <w:r w:rsidR="00754822">
        <w:rPr>
          <w:rFonts w:cs="Arial"/>
          <w:color w:val="000000"/>
          <w:sz w:val="22"/>
          <w:szCs w:val="22"/>
        </w:rPr>
        <w:t>MS Secretariat</w:t>
      </w:r>
      <w:r w:rsidR="00754822">
        <w:rPr>
          <w:rFonts w:cs="Arial"/>
          <w:bCs/>
          <w:sz w:val="22"/>
          <w:szCs w:val="22"/>
          <w:lang w:val="en"/>
        </w:rPr>
        <w:t>. Resolution 11.15</w:t>
      </w:r>
      <w:r w:rsidRPr="008627EF">
        <w:rPr>
          <w:rFonts w:cs="Arial"/>
          <w:sz w:val="22"/>
          <w:szCs w:val="22"/>
          <w:lang w:val="en"/>
        </w:rPr>
        <w:t xml:space="preserve"> </w:t>
      </w:r>
      <w:r w:rsidR="00357D1D">
        <w:rPr>
          <w:rFonts w:cs="Arial"/>
          <w:sz w:val="22"/>
          <w:szCs w:val="22"/>
          <w:lang w:val="en"/>
        </w:rPr>
        <w:t xml:space="preserve">mandated the PPWG to continue its work under its Terms of Reference annexed to that resolution. It also </w:t>
      </w:r>
      <w:r w:rsidRPr="008627EF">
        <w:rPr>
          <w:rFonts w:cs="Arial"/>
          <w:sz w:val="22"/>
          <w:szCs w:val="22"/>
          <w:lang w:val="en"/>
        </w:rPr>
        <w:t>requested the establishment of task grou</w:t>
      </w:r>
      <w:r w:rsidR="004B6CD8">
        <w:rPr>
          <w:rFonts w:cs="Arial"/>
          <w:sz w:val="22"/>
          <w:szCs w:val="22"/>
          <w:lang w:val="en"/>
        </w:rPr>
        <w:t>ps in the context of the PPWG</w:t>
      </w:r>
      <w:r w:rsidRPr="008627EF">
        <w:rPr>
          <w:rFonts w:cs="Arial"/>
          <w:sz w:val="22"/>
          <w:szCs w:val="22"/>
          <w:lang w:val="en"/>
        </w:rPr>
        <w:t>, addressing either thematic issues (e.g. for different poison types) and/or geographical regions to progress its work and organize region</w:t>
      </w:r>
      <w:r>
        <w:rPr>
          <w:rFonts w:cs="Arial"/>
          <w:sz w:val="22"/>
          <w:szCs w:val="22"/>
          <w:lang w:val="en"/>
        </w:rPr>
        <w:t xml:space="preserve">al workshops in high risk areas or </w:t>
      </w:r>
      <w:r w:rsidRPr="008627EF">
        <w:rPr>
          <w:rFonts w:cs="Arial"/>
          <w:sz w:val="22"/>
          <w:szCs w:val="22"/>
          <w:lang w:val="en"/>
        </w:rPr>
        <w:t>flyways to promote the implementation of the Guidelines.</w:t>
      </w:r>
    </w:p>
    <w:p w14:paraId="0BBA5983" w14:textId="77777777" w:rsidR="00786BD3" w:rsidRDefault="00786BD3" w:rsidP="00786BD3">
      <w:pPr>
        <w:jc w:val="both"/>
        <w:rPr>
          <w:rFonts w:cs="Arial"/>
          <w:sz w:val="22"/>
          <w:szCs w:val="22"/>
        </w:rPr>
      </w:pPr>
    </w:p>
    <w:p w14:paraId="0708AEA4" w14:textId="7273C5CF" w:rsidR="00786BD3" w:rsidRPr="00A04CC9" w:rsidRDefault="008627EF" w:rsidP="00786BD3">
      <w:pPr>
        <w:pStyle w:val="ListParagraph"/>
        <w:numPr>
          <w:ilvl w:val="0"/>
          <w:numId w:val="2"/>
        </w:numPr>
        <w:jc w:val="both"/>
        <w:rPr>
          <w:rFonts w:cs="Arial"/>
          <w:sz w:val="22"/>
          <w:szCs w:val="22"/>
        </w:rPr>
      </w:pPr>
      <w:r>
        <w:rPr>
          <w:rFonts w:cs="Arial"/>
          <w:sz w:val="22"/>
          <w:szCs w:val="22"/>
        </w:rPr>
        <w:t>A</w:t>
      </w:r>
      <w:r w:rsidR="00A04CC9">
        <w:rPr>
          <w:rFonts w:cs="Arial"/>
          <w:sz w:val="22"/>
          <w:szCs w:val="22"/>
        </w:rPr>
        <w:t xml:space="preserve"> </w:t>
      </w:r>
      <w:r>
        <w:rPr>
          <w:rFonts w:cs="Arial"/>
          <w:bCs/>
          <w:sz w:val="22"/>
          <w:szCs w:val="22"/>
          <w:lang w:val="en"/>
        </w:rPr>
        <w:t>R</w:t>
      </w:r>
      <w:r w:rsidR="00A04CC9" w:rsidRPr="00A04CC9">
        <w:rPr>
          <w:rFonts w:cs="Arial"/>
          <w:bCs/>
          <w:sz w:val="22"/>
          <w:szCs w:val="22"/>
          <w:lang w:val="en"/>
        </w:rPr>
        <w:t>egional Workshop on Preventing Poisoning of Migratory Birds</w:t>
      </w:r>
      <w:r w:rsidR="00A04CC9">
        <w:rPr>
          <w:rFonts w:cs="Arial"/>
          <w:bCs/>
          <w:sz w:val="22"/>
          <w:szCs w:val="22"/>
          <w:lang w:val="en"/>
        </w:rPr>
        <w:t xml:space="preserve"> took place in Cape Town, South Africa, on </w:t>
      </w:r>
      <w:r w:rsidR="00A04CC9" w:rsidRPr="00A04CC9">
        <w:rPr>
          <w:rFonts w:cs="Arial"/>
          <w:bCs/>
          <w:sz w:val="22"/>
          <w:szCs w:val="22"/>
          <w:lang w:val="en"/>
        </w:rPr>
        <w:t>24 August 2015</w:t>
      </w:r>
      <w:r w:rsidR="00A04CC9" w:rsidRPr="00A04CC9">
        <w:rPr>
          <w:rFonts w:ascii="Lato" w:hAnsi="Lato" w:cs="Arial"/>
          <w:color w:val="333333"/>
          <w:sz w:val="23"/>
          <w:szCs w:val="23"/>
          <w:lang w:val="en"/>
        </w:rPr>
        <w:t xml:space="preserve"> </w:t>
      </w:r>
      <w:r w:rsidR="00A04CC9" w:rsidRPr="00A04CC9">
        <w:rPr>
          <w:rFonts w:cs="Arial"/>
          <w:bCs/>
          <w:sz w:val="22"/>
          <w:szCs w:val="22"/>
          <w:lang w:val="en"/>
        </w:rPr>
        <w:t xml:space="preserve">at the invitation of the Government of </w:t>
      </w:r>
      <w:r w:rsidR="00A04CC9">
        <w:rPr>
          <w:rFonts w:cs="Arial"/>
          <w:bCs/>
          <w:sz w:val="22"/>
          <w:szCs w:val="22"/>
          <w:lang w:val="en"/>
        </w:rPr>
        <w:t>South Africa</w:t>
      </w:r>
      <w:r w:rsidR="008B1AAD">
        <w:rPr>
          <w:rFonts w:cs="Arial"/>
          <w:bCs/>
          <w:sz w:val="22"/>
          <w:szCs w:val="22"/>
          <w:lang w:val="en"/>
        </w:rPr>
        <w:t xml:space="preserve"> </w:t>
      </w:r>
      <w:r w:rsidR="008B1AAD" w:rsidRPr="008B1AAD">
        <w:rPr>
          <w:rFonts w:cs="Arial"/>
          <w:bCs/>
          <w:sz w:val="22"/>
          <w:szCs w:val="22"/>
          <w:lang w:val="en"/>
        </w:rPr>
        <w:t xml:space="preserve">in the framework of the Thematic </w:t>
      </w:r>
      <w:proofErr w:type="spellStart"/>
      <w:r w:rsidR="008B1AAD" w:rsidRPr="008B1AAD">
        <w:rPr>
          <w:rFonts w:cs="Arial"/>
          <w:bCs/>
          <w:sz w:val="22"/>
          <w:szCs w:val="22"/>
          <w:lang w:val="en"/>
        </w:rPr>
        <w:t>Programme</w:t>
      </w:r>
      <w:proofErr w:type="spellEnd"/>
      <w:r w:rsidR="008B1AAD" w:rsidRPr="008B1AAD">
        <w:rPr>
          <w:rFonts w:cs="Arial"/>
          <w:bCs/>
          <w:sz w:val="22"/>
          <w:szCs w:val="22"/>
          <w:lang w:val="en"/>
        </w:rPr>
        <w:t xml:space="preserve"> for Environment and Sustainable Management of Natural Resources including Energy (ENRTP) Strategic Cooperation Agreement (SCA) between the European Commission - DG Environment and United Nations Environme</w:t>
      </w:r>
      <w:r w:rsidR="008B1AAD">
        <w:rPr>
          <w:rFonts w:cs="Arial"/>
          <w:bCs/>
          <w:sz w:val="22"/>
          <w:szCs w:val="22"/>
          <w:lang w:val="en"/>
        </w:rPr>
        <w:t>nt (UNEP)</w:t>
      </w:r>
      <w:r w:rsidR="00A04CC9">
        <w:rPr>
          <w:rFonts w:cs="Arial"/>
          <w:bCs/>
          <w:sz w:val="22"/>
          <w:szCs w:val="22"/>
          <w:lang w:val="en"/>
        </w:rPr>
        <w:t xml:space="preserve">. </w:t>
      </w:r>
      <w:r w:rsidR="00E5044E">
        <w:rPr>
          <w:rFonts w:cs="Arial"/>
          <w:bCs/>
          <w:sz w:val="22"/>
          <w:szCs w:val="22"/>
          <w:lang w:val="en"/>
        </w:rPr>
        <w:t xml:space="preserve">The </w:t>
      </w:r>
      <w:r w:rsidR="00A04CC9">
        <w:rPr>
          <w:rFonts w:cs="Arial"/>
          <w:bCs/>
          <w:sz w:val="22"/>
          <w:szCs w:val="22"/>
          <w:lang w:val="en"/>
        </w:rPr>
        <w:t xml:space="preserve">workshop </w:t>
      </w:r>
      <w:r w:rsidR="00E5044E">
        <w:rPr>
          <w:rFonts w:cs="Arial"/>
          <w:bCs/>
          <w:sz w:val="22"/>
          <w:szCs w:val="22"/>
          <w:lang w:val="en"/>
        </w:rPr>
        <w:t>adopted</w:t>
      </w:r>
      <w:r w:rsidR="00A04CC9">
        <w:rPr>
          <w:rFonts w:cs="Arial"/>
          <w:bCs/>
          <w:sz w:val="22"/>
          <w:szCs w:val="22"/>
          <w:lang w:val="en"/>
        </w:rPr>
        <w:t xml:space="preserve"> </w:t>
      </w:r>
      <w:r w:rsidR="00F94D10">
        <w:rPr>
          <w:rFonts w:cs="Arial"/>
          <w:bCs/>
          <w:sz w:val="22"/>
          <w:szCs w:val="22"/>
          <w:lang w:val="en"/>
        </w:rPr>
        <w:t>the</w:t>
      </w:r>
      <w:r w:rsidR="00E5044E">
        <w:rPr>
          <w:rFonts w:cs="Arial"/>
          <w:bCs/>
          <w:sz w:val="22"/>
          <w:szCs w:val="22"/>
          <w:lang w:val="en"/>
        </w:rPr>
        <w:t xml:space="preserve"> </w:t>
      </w:r>
      <w:r w:rsidR="005713B1">
        <w:rPr>
          <w:rFonts w:cs="Arial"/>
          <w:bCs/>
          <w:sz w:val="22"/>
          <w:szCs w:val="22"/>
          <w:lang w:val="en"/>
        </w:rPr>
        <w:t>“</w:t>
      </w:r>
      <w:r w:rsidR="00A04CC9" w:rsidRPr="00A04CC9">
        <w:rPr>
          <w:rFonts w:cs="Arial"/>
          <w:bCs/>
          <w:sz w:val="22"/>
          <w:szCs w:val="22"/>
          <w:lang w:val="en"/>
        </w:rPr>
        <w:t>Sub-regional Implementation Plan to Prevent Poisoning of Migratory Birds in Southern African Countries 2017-2020</w:t>
      </w:r>
      <w:r w:rsidR="005713B1">
        <w:rPr>
          <w:rFonts w:cs="Arial"/>
          <w:bCs/>
          <w:sz w:val="22"/>
          <w:szCs w:val="22"/>
          <w:lang w:val="en"/>
        </w:rPr>
        <w:t>”</w:t>
      </w:r>
      <w:r w:rsidR="00E5044E">
        <w:rPr>
          <w:rFonts w:cs="Arial"/>
          <w:bCs/>
          <w:sz w:val="22"/>
          <w:szCs w:val="22"/>
          <w:lang w:val="en"/>
        </w:rPr>
        <w:t xml:space="preserve">, providing guidance for national implementation of the </w:t>
      </w:r>
      <w:r>
        <w:rPr>
          <w:rFonts w:cs="Arial"/>
          <w:bCs/>
          <w:sz w:val="22"/>
          <w:szCs w:val="22"/>
          <w:lang w:val="en"/>
        </w:rPr>
        <w:t>Guidelines</w:t>
      </w:r>
      <w:r w:rsidR="00A04CC9">
        <w:rPr>
          <w:rFonts w:cs="Arial"/>
          <w:bCs/>
          <w:sz w:val="22"/>
          <w:szCs w:val="22"/>
          <w:lang w:val="en"/>
        </w:rPr>
        <w:t xml:space="preserve">. </w:t>
      </w:r>
      <w:r w:rsidR="005713B1">
        <w:rPr>
          <w:rFonts w:cs="Arial"/>
          <w:bCs/>
          <w:sz w:val="22"/>
          <w:szCs w:val="22"/>
          <w:lang w:val="en"/>
        </w:rPr>
        <w:t>The final draft of this implementation p</w:t>
      </w:r>
      <w:r w:rsidR="00382FA8">
        <w:rPr>
          <w:rFonts w:cs="Arial"/>
          <w:bCs/>
          <w:sz w:val="22"/>
          <w:szCs w:val="22"/>
          <w:lang w:val="en"/>
        </w:rPr>
        <w:t>lan was disseminated by the</w:t>
      </w:r>
      <w:r w:rsidR="00D37145">
        <w:rPr>
          <w:rFonts w:cs="Arial"/>
          <w:bCs/>
          <w:sz w:val="22"/>
          <w:szCs w:val="22"/>
          <w:lang w:val="en"/>
        </w:rPr>
        <w:t xml:space="preserve"> Secretariat in November 2016.</w:t>
      </w:r>
    </w:p>
    <w:p w14:paraId="732077F5" w14:textId="77777777" w:rsidR="00A04CC9" w:rsidRPr="00A04CC9" w:rsidRDefault="00A04CC9" w:rsidP="00A04CC9">
      <w:pPr>
        <w:pStyle w:val="ListParagraph"/>
        <w:rPr>
          <w:rFonts w:cs="Arial"/>
          <w:sz w:val="22"/>
          <w:szCs w:val="22"/>
        </w:rPr>
      </w:pPr>
    </w:p>
    <w:p w14:paraId="3FA6DC8D" w14:textId="1AA8BE31" w:rsidR="00E5044E" w:rsidRPr="003D22CD" w:rsidRDefault="00E5044E" w:rsidP="00E5044E">
      <w:pPr>
        <w:pStyle w:val="ListParagraph"/>
        <w:numPr>
          <w:ilvl w:val="0"/>
          <w:numId w:val="2"/>
        </w:numPr>
        <w:jc w:val="both"/>
        <w:rPr>
          <w:rFonts w:cs="Arial"/>
          <w:sz w:val="22"/>
          <w:szCs w:val="22"/>
        </w:rPr>
      </w:pPr>
      <w:r>
        <w:rPr>
          <w:rFonts w:cs="Arial"/>
          <w:sz w:val="22"/>
          <w:szCs w:val="22"/>
        </w:rPr>
        <w:t>From 19 to 21 Feb</w:t>
      </w:r>
      <w:r w:rsidR="005713B1">
        <w:rPr>
          <w:rFonts w:cs="Arial"/>
          <w:sz w:val="22"/>
          <w:szCs w:val="22"/>
        </w:rPr>
        <w:t>ruary 2017, a m</w:t>
      </w:r>
      <w:r w:rsidR="00106232">
        <w:rPr>
          <w:rFonts w:cs="Arial"/>
          <w:sz w:val="22"/>
          <w:szCs w:val="22"/>
        </w:rPr>
        <w:t>eeting of the PPWG</w:t>
      </w:r>
      <w:r w:rsidR="00611C78">
        <w:rPr>
          <w:rFonts w:cs="Arial"/>
          <w:sz w:val="22"/>
          <w:szCs w:val="22"/>
        </w:rPr>
        <w:t xml:space="preserve"> </w:t>
      </w:r>
      <w:r>
        <w:rPr>
          <w:rFonts w:cs="Arial"/>
          <w:sz w:val="22"/>
          <w:szCs w:val="22"/>
        </w:rPr>
        <w:t>took place in Toledo, Spain, supported by the Regional Government of Castilla</w:t>
      </w:r>
      <w:r w:rsidR="008627EF">
        <w:rPr>
          <w:rFonts w:cs="Arial"/>
          <w:sz w:val="22"/>
          <w:szCs w:val="22"/>
        </w:rPr>
        <w:t>-La Mancha and</w:t>
      </w:r>
      <w:r>
        <w:rPr>
          <w:rFonts w:cs="Arial"/>
          <w:sz w:val="22"/>
          <w:szCs w:val="22"/>
        </w:rPr>
        <w:t xml:space="preserve"> the </w:t>
      </w:r>
      <w:r w:rsidRPr="00E5044E">
        <w:rPr>
          <w:rFonts w:cs="Arial"/>
          <w:sz w:val="22"/>
          <w:szCs w:val="22"/>
        </w:rPr>
        <w:t>Coordinating Unit of the UNEP/CMS Memorandum of Understanding on the Conservation of Migratory Birds of Prey in Africa and Eurasia (Raptors M</w:t>
      </w:r>
      <w:r w:rsidR="00682EAA">
        <w:rPr>
          <w:rFonts w:cs="Arial"/>
          <w:sz w:val="22"/>
          <w:szCs w:val="22"/>
        </w:rPr>
        <w:t>O</w:t>
      </w:r>
      <w:r w:rsidRPr="00E5044E">
        <w:rPr>
          <w:rFonts w:cs="Arial"/>
          <w:sz w:val="22"/>
          <w:szCs w:val="22"/>
        </w:rPr>
        <w:t>U)</w:t>
      </w:r>
      <w:r w:rsidR="008627EF">
        <w:rPr>
          <w:rFonts w:cs="Arial"/>
          <w:sz w:val="22"/>
          <w:szCs w:val="22"/>
        </w:rPr>
        <w:t>,</w:t>
      </w:r>
      <w:r>
        <w:rPr>
          <w:rFonts w:cs="Arial"/>
          <w:sz w:val="22"/>
          <w:szCs w:val="22"/>
        </w:rPr>
        <w:t xml:space="preserve"> and organized by the Spanish Ornithological </w:t>
      </w:r>
      <w:r w:rsidRPr="003D22CD">
        <w:rPr>
          <w:rFonts w:cs="Arial"/>
          <w:sz w:val="22"/>
          <w:szCs w:val="22"/>
        </w:rPr>
        <w:t>Society (SEO/</w:t>
      </w:r>
      <w:proofErr w:type="spellStart"/>
      <w:r w:rsidRPr="003D22CD">
        <w:rPr>
          <w:rFonts w:cs="Arial"/>
          <w:sz w:val="22"/>
          <w:szCs w:val="22"/>
        </w:rPr>
        <w:t>BirdLife</w:t>
      </w:r>
      <w:proofErr w:type="spellEnd"/>
      <w:r w:rsidRPr="003D22CD">
        <w:rPr>
          <w:rFonts w:cs="Arial"/>
          <w:sz w:val="22"/>
          <w:szCs w:val="22"/>
        </w:rPr>
        <w:t xml:space="preserve"> Spain)</w:t>
      </w:r>
      <w:r w:rsidR="00D11925">
        <w:rPr>
          <w:rFonts w:cs="Arial"/>
          <w:sz w:val="22"/>
          <w:szCs w:val="22"/>
        </w:rPr>
        <w:t xml:space="preserve"> and the CMS Secretariat</w:t>
      </w:r>
      <w:r w:rsidRPr="003D22CD">
        <w:rPr>
          <w:rFonts w:cs="Arial"/>
          <w:sz w:val="22"/>
          <w:szCs w:val="22"/>
        </w:rPr>
        <w:t>.</w:t>
      </w:r>
      <w:r w:rsidR="00D01841" w:rsidRPr="003D22CD">
        <w:rPr>
          <w:rFonts w:cs="Arial"/>
          <w:sz w:val="22"/>
          <w:szCs w:val="22"/>
        </w:rPr>
        <w:t xml:space="preserve"> At this meeting, the Working Group </w:t>
      </w:r>
      <w:r w:rsidR="00E315E1">
        <w:rPr>
          <w:rFonts w:cs="Arial"/>
          <w:sz w:val="22"/>
          <w:szCs w:val="22"/>
        </w:rPr>
        <w:t>assessed that</w:t>
      </w:r>
      <w:r w:rsidR="005335BD">
        <w:rPr>
          <w:rFonts w:cs="Arial"/>
          <w:sz w:val="22"/>
          <w:szCs w:val="22"/>
        </w:rPr>
        <w:t xml:space="preserve"> the overall progress of national implementation of the </w:t>
      </w:r>
      <w:r w:rsidR="00E315E1" w:rsidRPr="008627EF">
        <w:rPr>
          <w:rFonts w:cs="Arial"/>
          <w:sz w:val="22"/>
          <w:szCs w:val="22"/>
          <w:lang w:val="en"/>
        </w:rPr>
        <w:t>Guidelines</w:t>
      </w:r>
      <w:r w:rsidR="00E315E1">
        <w:rPr>
          <w:rFonts w:cs="Arial"/>
          <w:sz w:val="22"/>
          <w:szCs w:val="22"/>
          <w:lang w:val="en"/>
        </w:rPr>
        <w:t xml:space="preserve"> had been insufficient since COP11 and proposed timelines had not been met. In order to promote the implementation of the Guidelines more effectively, the PPWG</w:t>
      </w:r>
      <w:r w:rsidR="00E315E1" w:rsidRPr="008627EF">
        <w:rPr>
          <w:rFonts w:cs="Arial"/>
          <w:sz w:val="22"/>
          <w:szCs w:val="22"/>
          <w:lang w:val="en"/>
        </w:rPr>
        <w:t xml:space="preserve"> </w:t>
      </w:r>
      <w:r w:rsidR="00D01841" w:rsidRPr="003D22CD">
        <w:rPr>
          <w:rFonts w:cs="Arial"/>
          <w:sz w:val="22"/>
          <w:szCs w:val="22"/>
        </w:rPr>
        <w:t xml:space="preserve">agreed on a </w:t>
      </w:r>
      <w:proofErr w:type="spellStart"/>
      <w:r w:rsidR="00D01841" w:rsidRPr="003D22CD">
        <w:rPr>
          <w:rFonts w:cs="Arial"/>
          <w:sz w:val="22"/>
          <w:szCs w:val="22"/>
        </w:rPr>
        <w:t>Programme</w:t>
      </w:r>
      <w:proofErr w:type="spellEnd"/>
      <w:r w:rsidR="00D01841" w:rsidRPr="003D22CD">
        <w:rPr>
          <w:rFonts w:cs="Arial"/>
          <w:sz w:val="22"/>
          <w:szCs w:val="22"/>
        </w:rPr>
        <w:t xml:space="preserve"> of Work </w:t>
      </w:r>
      <w:r w:rsidR="00106232" w:rsidRPr="003D22CD">
        <w:rPr>
          <w:rFonts w:cs="Arial"/>
          <w:sz w:val="22"/>
          <w:szCs w:val="22"/>
        </w:rPr>
        <w:t xml:space="preserve">(POW) </w:t>
      </w:r>
      <w:r w:rsidR="00D01841" w:rsidRPr="003D22CD">
        <w:rPr>
          <w:rFonts w:cs="Arial"/>
          <w:sz w:val="22"/>
          <w:szCs w:val="22"/>
        </w:rPr>
        <w:t>and the es</w:t>
      </w:r>
      <w:r w:rsidR="00D37145">
        <w:rPr>
          <w:rFonts w:cs="Arial"/>
          <w:sz w:val="22"/>
          <w:szCs w:val="22"/>
        </w:rPr>
        <w:t>tablishment of a Task Force on l</w:t>
      </w:r>
      <w:r w:rsidR="00D01841" w:rsidRPr="003D22CD">
        <w:rPr>
          <w:rFonts w:cs="Arial"/>
          <w:sz w:val="22"/>
          <w:szCs w:val="22"/>
        </w:rPr>
        <w:t xml:space="preserve">ead </w:t>
      </w:r>
      <w:r w:rsidR="00502375">
        <w:rPr>
          <w:rFonts w:cs="Arial"/>
          <w:sz w:val="22"/>
          <w:szCs w:val="22"/>
        </w:rPr>
        <w:t xml:space="preserve">as a thematic sub-group </w:t>
      </w:r>
      <w:r w:rsidR="00502375">
        <w:rPr>
          <w:rFonts w:cs="Arial"/>
          <w:bCs/>
          <w:sz w:val="22"/>
          <w:szCs w:val="22"/>
          <w:lang w:val="en-GB"/>
        </w:rPr>
        <w:t>focusing</w:t>
      </w:r>
      <w:r w:rsidR="00502375" w:rsidRPr="00502375">
        <w:rPr>
          <w:rFonts w:cs="Arial"/>
          <w:bCs/>
          <w:sz w:val="22"/>
          <w:szCs w:val="22"/>
          <w:lang w:val="en-GB"/>
        </w:rPr>
        <w:t xml:space="preserve"> </w:t>
      </w:r>
      <w:r w:rsidR="00502375">
        <w:rPr>
          <w:rFonts w:cs="Arial"/>
          <w:bCs/>
          <w:sz w:val="22"/>
          <w:szCs w:val="22"/>
          <w:lang w:val="en-GB"/>
        </w:rPr>
        <w:t xml:space="preserve">on </w:t>
      </w:r>
      <w:r w:rsidR="00502375" w:rsidRPr="00502375">
        <w:rPr>
          <w:rFonts w:cs="Arial"/>
          <w:bCs/>
          <w:sz w:val="22"/>
          <w:szCs w:val="22"/>
          <w:lang w:val="en-GB"/>
        </w:rPr>
        <w:t>po</w:t>
      </w:r>
      <w:r w:rsidR="00502375">
        <w:rPr>
          <w:rFonts w:cs="Arial"/>
          <w:bCs/>
          <w:sz w:val="22"/>
          <w:szCs w:val="22"/>
          <w:lang w:val="en-GB"/>
        </w:rPr>
        <w:t>isoning from lead ammunition, fishing weights</w:t>
      </w:r>
      <w:r w:rsidR="00502375" w:rsidRPr="00502375">
        <w:rPr>
          <w:rFonts w:cs="Arial"/>
          <w:bCs/>
          <w:sz w:val="22"/>
          <w:szCs w:val="22"/>
          <w:lang w:val="en-GB"/>
        </w:rPr>
        <w:t xml:space="preserve"> and other sources of lead</w:t>
      </w:r>
      <w:r w:rsidR="00502375">
        <w:rPr>
          <w:rFonts w:cs="Arial"/>
          <w:bCs/>
          <w:sz w:val="22"/>
          <w:szCs w:val="22"/>
          <w:lang w:val="en-GB"/>
        </w:rPr>
        <w:t>,</w:t>
      </w:r>
      <w:r w:rsidR="000E788A">
        <w:rPr>
          <w:rFonts w:cs="Arial"/>
          <w:sz w:val="22"/>
          <w:szCs w:val="22"/>
        </w:rPr>
        <w:t xml:space="preserve"> </w:t>
      </w:r>
      <w:r w:rsidR="00D01841" w:rsidRPr="003D22CD">
        <w:rPr>
          <w:rFonts w:cs="Arial"/>
          <w:sz w:val="22"/>
          <w:szCs w:val="22"/>
        </w:rPr>
        <w:t>and developed its Terms of Reference</w:t>
      </w:r>
      <w:r w:rsidR="004370B7" w:rsidRPr="003D22CD">
        <w:rPr>
          <w:rFonts w:cs="Arial"/>
          <w:sz w:val="22"/>
          <w:szCs w:val="22"/>
        </w:rPr>
        <w:t>.</w:t>
      </w:r>
      <w:r w:rsidR="00F94D10" w:rsidRPr="003D22CD">
        <w:rPr>
          <w:rFonts w:cs="Arial"/>
          <w:sz w:val="22"/>
          <w:szCs w:val="22"/>
        </w:rPr>
        <w:t xml:space="preserve"> It also </w:t>
      </w:r>
      <w:r w:rsidR="00A324B4">
        <w:rPr>
          <w:rFonts w:cs="Arial"/>
          <w:sz w:val="22"/>
          <w:szCs w:val="22"/>
        </w:rPr>
        <w:t xml:space="preserve">made suggestions for amendments </w:t>
      </w:r>
      <w:r w:rsidR="008B34A7">
        <w:rPr>
          <w:rFonts w:cs="Arial"/>
          <w:sz w:val="22"/>
          <w:szCs w:val="22"/>
        </w:rPr>
        <w:t>to Resolution 11.15.</w:t>
      </w:r>
    </w:p>
    <w:p w14:paraId="7F67F272" w14:textId="77777777" w:rsidR="00A04CC9" w:rsidRPr="003D22CD" w:rsidRDefault="00A04CC9" w:rsidP="008B1AAD">
      <w:pPr>
        <w:jc w:val="both"/>
        <w:rPr>
          <w:rFonts w:cs="Arial"/>
          <w:sz w:val="22"/>
          <w:szCs w:val="22"/>
        </w:rPr>
      </w:pPr>
    </w:p>
    <w:p w14:paraId="51CD0ED3" w14:textId="77777777" w:rsidR="00EB0011" w:rsidRDefault="00EB0011" w:rsidP="008575E5">
      <w:pPr>
        <w:jc w:val="both"/>
        <w:rPr>
          <w:rFonts w:cs="Arial"/>
          <w:sz w:val="22"/>
          <w:szCs w:val="22"/>
          <w:u w:val="single"/>
          <w:lang w:val="en-GB"/>
        </w:rPr>
      </w:pPr>
      <w:r>
        <w:rPr>
          <w:rFonts w:cs="Arial"/>
          <w:sz w:val="22"/>
          <w:szCs w:val="22"/>
          <w:u w:val="single"/>
          <w:lang w:val="en-GB"/>
        </w:rPr>
        <w:t>Coordination of the Preventing Poisoning Working Group</w:t>
      </w:r>
    </w:p>
    <w:p w14:paraId="42BEA7F8" w14:textId="77777777" w:rsidR="001B36E0" w:rsidRDefault="001B36E0" w:rsidP="008575E5">
      <w:pPr>
        <w:jc w:val="both"/>
        <w:rPr>
          <w:rFonts w:cs="Arial"/>
          <w:sz w:val="22"/>
          <w:szCs w:val="22"/>
          <w:u w:val="single"/>
          <w:lang w:val="en-GB"/>
        </w:rPr>
      </w:pPr>
    </w:p>
    <w:p w14:paraId="282C16A1" w14:textId="7373553C" w:rsidR="001B36E0" w:rsidRPr="002F2B3F" w:rsidRDefault="00D11925" w:rsidP="008575E5">
      <w:pPr>
        <w:pStyle w:val="ListParagraph"/>
        <w:numPr>
          <w:ilvl w:val="0"/>
          <w:numId w:val="2"/>
        </w:numPr>
        <w:jc w:val="both"/>
        <w:rPr>
          <w:rFonts w:cs="Arial"/>
          <w:sz w:val="22"/>
          <w:szCs w:val="22"/>
          <w:lang w:val="en-GB"/>
        </w:rPr>
      </w:pPr>
      <w:r>
        <w:rPr>
          <w:rFonts w:cs="Arial"/>
          <w:sz w:val="22"/>
          <w:szCs w:val="22"/>
          <w:lang w:val="en-GB"/>
        </w:rPr>
        <w:t xml:space="preserve">In the absence of funding for a Coordinator, </w:t>
      </w:r>
      <w:r w:rsidR="001B36E0" w:rsidRPr="001B36E0">
        <w:rPr>
          <w:rFonts w:cs="Arial"/>
          <w:sz w:val="22"/>
          <w:szCs w:val="22"/>
          <w:lang w:val="en-GB"/>
        </w:rPr>
        <w:t>SE</w:t>
      </w:r>
      <w:r w:rsidR="001B36E0">
        <w:rPr>
          <w:rFonts w:cs="Arial"/>
          <w:sz w:val="22"/>
          <w:szCs w:val="22"/>
          <w:lang w:val="en-GB"/>
        </w:rPr>
        <w:t>O/</w:t>
      </w:r>
      <w:proofErr w:type="spellStart"/>
      <w:r w:rsidR="001B36E0">
        <w:rPr>
          <w:rFonts w:cs="Arial"/>
          <w:sz w:val="22"/>
          <w:szCs w:val="22"/>
          <w:lang w:val="en-GB"/>
        </w:rPr>
        <w:t>BirdLife</w:t>
      </w:r>
      <w:proofErr w:type="spellEnd"/>
      <w:r w:rsidR="001B36E0">
        <w:rPr>
          <w:rFonts w:cs="Arial"/>
          <w:sz w:val="22"/>
          <w:szCs w:val="22"/>
          <w:lang w:val="en-GB"/>
        </w:rPr>
        <w:t xml:space="preserve"> Spain agreed to coordinate the PPWG </w:t>
      </w:r>
      <w:r>
        <w:rPr>
          <w:rFonts w:cs="Arial"/>
          <w:sz w:val="22"/>
          <w:szCs w:val="22"/>
          <w:lang w:val="en-GB"/>
        </w:rPr>
        <w:t xml:space="preserve">on an interim basis </w:t>
      </w:r>
      <w:r w:rsidR="001B36E0">
        <w:rPr>
          <w:rFonts w:cs="Arial"/>
          <w:sz w:val="22"/>
          <w:szCs w:val="22"/>
          <w:lang w:val="en-GB"/>
        </w:rPr>
        <w:t xml:space="preserve">until COP12. However, </w:t>
      </w:r>
      <w:r w:rsidR="00682EAA">
        <w:rPr>
          <w:rFonts w:cs="Arial"/>
          <w:sz w:val="22"/>
          <w:szCs w:val="22"/>
          <w:lang w:val="en-GB"/>
        </w:rPr>
        <w:t xml:space="preserve">as at the </w:t>
      </w:r>
      <w:r w:rsidR="00413651">
        <w:rPr>
          <w:rFonts w:cs="Arial"/>
          <w:sz w:val="22"/>
          <w:szCs w:val="22"/>
          <w:lang w:val="en-GB"/>
        </w:rPr>
        <w:t>beginning of the triennium 2017-2020</w:t>
      </w:r>
      <w:r w:rsidR="001B36E0">
        <w:rPr>
          <w:rFonts w:cs="Arial"/>
          <w:sz w:val="22"/>
          <w:szCs w:val="22"/>
          <w:lang w:val="en-GB"/>
        </w:rPr>
        <w:t>, resources for a Coordinator of the PPWG need to be identified</w:t>
      </w:r>
      <w:r>
        <w:rPr>
          <w:rFonts w:cs="Arial"/>
          <w:sz w:val="22"/>
          <w:szCs w:val="22"/>
          <w:lang w:val="en-GB"/>
        </w:rPr>
        <w:t xml:space="preserve"> urgently</w:t>
      </w:r>
      <w:r w:rsidR="001B36E0">
        <w:rPr>
          <w:rFonts w:cs="Arial"/>
          <w:sz w:val="22"/>
          <w:szCs w:val="22"/>
          <w:lang w:val="en-GB"/>
        </w:rPr>
        <w:t>.</w:t>
      </w:r>
    </w:p>
    <w:p w14:paraId="3E6CF901" w14:textId="6B1ACAC0" w:rsidR="00EB0011" w:rsidRPr="001B36E0" w:rsidRDefault="001B36E0" w:rsidP="008575E5">
      <w:pPr>
        <w:pStyle w:val="ListParagraph"/>
        <w:numPr>
          <w:ilvl w:val="0"/>
          <w:numId w:val="2"/>
        </w:numPr>
        <w:jc w:val="both"/>
        <w:rPr>
          <w:rFonts w:cs="Arial"/>
          <w:sz w:val="22"/>
          <w:szCs w:val="22"/>
          <w:lang w:val="en-GB"/>
        </w:rPr>
      </w:pPr>
      <w:r>
        <w:rPr>
          <w:rFonts w:cs="Arial"/>
          <w:sz w:val="22"/>
          <w:szCs w:val="22"/>
          <w:lang w:val="en-GB"/>
        </w:rPr>
        <w:lastRenderedPageBreak/>
        <w:t xml:space="preserve">In order to ensure the implementation of the </w:t>
      </w:r>
      <w:r w:rsidR="00127CC7">
        <w:rPr>
          <w:rFonts w:cs="Arial"/>
          <w:sz w:val="22"/>
          <w:szCs w:val="22"/>
          <w:lang w:val="en-GB"/>
        </w:rPr>
        <w:t xml:space="preserve">proposed </w:t>
      </w:r>
      <w:r>
        <w:rPr>
          <w:rFonts w:cs="Arial"/>
          <w:sz w:val="22"/>
          <w:szCs w:val="22"/>
          <w:lang w:val="en-GB"/>
        </w:rPr>
        <w:t xml:space="preserve">POW, the Coordinator will </w:t>
      </w:r>
      <w:r w:rsidR="00682EAA" w:rsidRPr="001B36E0">
        <w:rPr>
          <w:rFonts w:cs="Arial"/>
          <w:sz w:val="22"/>
          <w:szCs w:val="22"/>
          <w:lang w:val="en-GB"/>
        </w:rPr>
        <w:t>organi</w:t>
      </w:r>
      <w:r w:rsidR="00682EAA">
        <w:rPr>
          <w:rFonts w:cs="Arial"/>
          <w:sz w:val="22"/>
          <w:szCs w:val="22"/>
          <w:lang w:val="en-GB"/>
        </w:rPr>
        <w:t xml:space="preserve">ze </w:t>
      </w:r>
      <w:r>
        <w:rPr>
          <w:rFonts w:cs="Arial"/>
          <w:sz w:val="22"/>
          <w:szCs w:val="22"/>
          <w:lang w:val="en-GB"/>
        </w:rPr>
        <w:t>the meetings of the Working Group, prepare background documents,</w:t>
      </w:r>
      <w:r w:rsidRPr="001B36E0">
        <w:rPr>
          <w:rFonts w:cs="Arial"/>
          <w:sz w:val="22"/>
          <w:szCs w:val="22"/>
          <w:lang w:val="en-GB"/>
        </w:rPr>
        <w:t xml:space="preserve"> </w:t>
      </w:r>
      <w:r>
        <w:rPr>
          <w:rFonts w:cs="Arial"/>
          <w:sz w:val="22"/>
          <w:szCs w:val="22"/>
          <w:lang w:val="en-GB"/>
        </w:rPr>
        <w:t>co-ordinate the PPWG’s communications,</w:t>
      </w:r>
      <w:r w:rsidRPr="001B36E0">
        <w:rPr>
          <w:rFonts w:cs="Arial"/>
          <w:sz w:val="22"/>
          <w:szCs w:val="22"/>
          <w:lang w:val="en-GB"/>
        </w:rPr>
        <w:t xml:space="preserve"> facilitate fundra</w:t>
      </w:r>
      <w:r>
        <w:rPr>
          <w:rFonts w:cs="Arial"/>
          <w:sz w:val="22"/>
          <w:szCs w:val="22"/>
          <w:lang w:val="en-GB"/>
        </w:rPr>
        <w:t xml:space="preserve">ising and resource </w:t>
      </w:r>
      <w:r w:rsidR="00682EAA">
        <w:rPr>
          <w:rFonts w:cs="Arial"/>
          <w:sz w:val="22"/>
          <w:szCs w:val="22"/>
          <w:lang w:val="en-GB"/>
        </w:rPr>
        <w:t xml:space="preserve">mobilization </w:t>
      </w:r>
      <w:r>
        <w:rPr>
          <w:rFonts w:cs="Arial"/>
          <w:sz w:val="22"/>
          <w:szCs w:val="22"/>
          <w:lang w:val="en-GB"/>
        </w:rPr>
        <w:t>and</w:t>
      </w:r>
      <w:r w:rsidRPr="001B36E0">
        <w:rPr>
          <w:rFonts w:cs="Arial"/>
          <w:sz w:val="22"/>
          <w:szCs w:val="22"/>
          <w:lang w:val="en-GB"/>
        </w:rPr>
        <w:t xml:space="preserve"> facilitate engagement with stakeholders </w:t>
      </w:r>
      <w:r>
        <w:rPr>
          <w:rFonts w:cs="Arial"/>
          <w:sz w:val="22"/>
          <w:szCs w:val="22"/>
          <w:lang w:val="en-GB"/>
        </w:rPr>
        <w:t>within and beyond the Working Group</w:t>
      </w:r>
      <w:r w:rsidRPr="001B36E0">
        <w:rPr>
          <w:rFonts w:cs="Arial"/>
          <w:sz w:val="22"/>
          <w:szCs w:val="22"/>
          <w:lang w:val="en-GB"/>
        </w:rPr>
        <w:t xml:space="preserve">. </w:t>
      </w:r>
      <w:r>
        <w:rPr>
          <w:rFonts w:cs="Arial"/>
          <w:sz w:val="22"/>
          <w:szCs w:val="22"/>
          <w:lang w:val="en-GB"/>
        </w:rPr>
        <w:t xml:space="preserve"> </w:t>
      </w:r>
    </w:p>
    <w:p w14:paraId="75995F05" w14:textId="77777777" w:rsidR="00EB0011" w:rsidRDefault="00EB0011" w:rsidP="008575E5">
      <w:pPr>
        <w:jc w:val="both"/>
        <w:rPr>
          <w:rFonts w:cs="Arial"/>
          <w:sz w:val="22"/>
          <w:szCs w:val="22"/>
          <w:u w:val="single"/>
          <w:lang w:val="en-GB"/>
        </w:rPr>
      </w:pPr>
    </w:p>
    <w:p w14:paraId="17DF43D9" w14:textId="025C2BB9" w:rsidR="007910DD" w:rsidRPr="003D22CD" w:rsidRDefault="00ED490C" w:rsidP="008575E5">
      <w:pPr>
        <w:jc w:val="both"/>
        <w:rPr>
          <w:rFonts w:cs="Arial"/>
          <w:sz w:val="22"/>
          <w:szCs w:val="22"/>
          <w:u w:val="single"/>
          <w:lang w:val="en-GB"/>
        </w:rPr>
      </w:pPr>
      <w:r>
        <w:rPr>
          <w:rFonts w:cs="Arial"/>
          <w:sz w:val="22"/>
          <w:szCs w:val="22"/>
          <w:u w:val="single"/>
          <w:lang w:val="en-GB"/>
        </w:rPr>
        <w:t>S</w:t>
      </w:r>
      <w:r w:rsidR="00611C78" w:rsidRPr="003D22CD">
        <w:rPr>
          <w:rFonts w:cs="Arial"/>
          <w:sz w:val="22"/>
          <w:szCs w:val="22"/>
          <w:u w:val="single"/>
          <w:lang w:val="en-GB"/>
        </w:rPr>
        <w:t xml:space="preserve">ynergies between </w:t>
      </w:r>
      <w:r w:rsidR="00C302AC" w:rsidRPr="003D22CD">
        <w:rPr>
          <w:rFonts w:cs="Arial"/>
          <w:sz w:val="22"/>
          <w:szCs w:val="22"/>
          <w:u w:val="single"/>
          <w:lang w:val="en-GB"/>
        </w:rPr>
        <w:t>the PPWG</w:t>
      </w:r>
      <w:r w:rsidR="003D22CD">
        <w:rPr>
          <w:rFonts w:cs="Arial"/>
          <w:sz w:val="22"/>
          <w:szCs w:val="22"/>
          <w:u w:val="single"/>
          <w:lang w:val="en-GB"/>
        </w:rPr>
        <w:t xml:space="preserve"> and</w:t>
      </w:r>
      <w:r w:rsidR="00106232" w:rsidRPr="003D22CD">
        <w:rPr>
          <w:rFonts w:cs="Arial"/>
          <w:sz w:val="22"/>
          <w:szCs w:val="22"/>
          <w:u w:val="single"/>
          <w:lang w:val="en-GB"/>
        </w:rPr>
        <w:t xml:space="preserve"> the Vulture Working Group</w:t>
      </w:r>
      <w:r w:rsidR="00C302AC" w:rsidRPr="003D22CD">
        <w:rPr>
          <w:rFonts w:cs="Arial"/>
          <w:sz w:val="22"/>
          <w:szCs w:val="22"/>
          <w:u w:val="single"/>
          <w:lang w:val="en-GB"/>
        </w:rPr>
        <w:t xml:space="preserve"> (VWG) and the Intergovernmental Task Force on Illegal Killing, Taking and Trade of Migratory Birds in the Mediterranean (MIKT)</w:t>
      </w:r>
    </w:p>
    <w:p w14:paraId="6B3A8737" w14:textId="77777777" w:rsidR="00611C78" w:rsidRPr="003D22CD" w:rsidRDefault="00611C78" w:rsidP="008575E5">
      <w:pPr>
        <w:jc w:val="both"/>
        <w:rPr>
          <w:rFonts w:cs="Arial"/>
          <w:sz w:val="22"/>
          <w:szCs w:val="22"/>
          <w:lang w:val="en-GB"/>
        </w:rPr>
      </w:pPr>
    </w:p>
    <w:p w14:paraId="3F622957" w14:textId="0759B8A6" w:rsidR="00CC3B76" w:rsidRDefault="00CC3B76" w:rsidP="008575E5">
      <w:pPr>
        <w:pStyle w:val="ListParagraph"/>
        <w:numPr>
          <w:ilvl w:val="0"/>
          <w:numId w:val="2"/>
        </w:numPr>
        <w:jc w:val="both"/>
        <w:rPr>
          <w:rFonts w:cs="Arial"/>
          <w:sz w:val="22"/>
          <w:szCs w:val="22"/>
          <w:lang w:val="en-GB"/>
        </w:rPr>
      </w:pPr>
      <w:r w:rsidRPr="00CC3B76">
        <w:rPr>
          <w:rFonts w:cs="Arial"/>
          <w:sz w:val="22"/>
          <w:szCs w:val="22"/>
        </w:rPr>
        <w:t>Poisoning,</w:t>
      </w:r>
      <w:r>
        <w:rPr>
          <w:rFonts w:cs="Arial"/>
          <w:sz w:val="22"/>
          <w:szCs w:val="22"/>
        </w:rPr>
        <w:t xml:space="preserve"> in its various forms, is</w:t>
      </w:r>
      <w:r w:rsidRPr="00CC3B76">
        <w:rPr>
          <w:rFonts w:cs="Arial"/>
          <w:sz w:val="22"/>
          <w:szCs w:val="22"/>
        </w:rPr>
        <w:t xml:space="preserve"> the most significant threat that </w:t>
      </w:r>
      <w:r w:rsidR="00682EAA">
        <w:rPr>
          <w:rFonts w:cs="Arial"/>
          <w:sz w:val="22"/>
          <w:szCs w:val="22"/>
        </w:rPr>
        <w:t>affects</w:t>
      </w:r>
      <w:r w:rsidR="00682EAA" w:rsidRPr="00CC3B76">
        <w:rPr>
          <w:rFonts w:cs="Arial"/>
          <w:sz w:val="22"/>
          <w:szCs w:val="22"/>
        </w:rPr>
        <w:t xml:space="preserve"> </w:t>
      </w:r>
      <w:r w:rsidRPr="00CC3B76">
        <w:rPr>
          <w:rFonts w:cs="Arial"/>
          <w:sz w:val="22"/>
          <w:szCs w:val="22"/>
        </w:rPr>
        <w:t>the</w:t>
      </w:r>
      <w:r>
        <w:rPr>
          <w:rFonts w:cs="Arial"/>
          <w:sz w:val="22"/>
          <w:szCs w:val="22"/>
        </w:rPr>
        <w:t xml:space="preserve"> African-Eurasian</w:t>
      </w:r>
      <w:r w:rsidRPr="00CC3B76">
        <w:rPr>
          <w:rFonts w:cs="Arial"/>
          <w:sz w:val="22"/>
          <w:szCs w:val="22"/>
        </w:rPr>
        <w:t xml:space="preserve"> vulture species that a</w:t>
      </w:r>
      <w:r>
        <w:rPr>
          <w:rFonts w:cs="Arial"/>
          <w:sz w:val="22"/>
          <w:szCs w:val="22"/>
        </w:rPr>
        <w:t xml:space="preserve">re </w:t>
      </w:r>
      <w:r w:rsidR="001C391F">
        <w:rPr>
          <w:rFonts w:cs="Arial"/>
          <w:sz w:val="22"/>
          <w:szCs w:val="22"/>
        </w:rPr>
        <w:t xml:space="preserve">in </w:t>
      </w:r>
      <w:r>
        <w:rPr>
          <w:rFonts w:cs="Arial"/>
          <w:sz w:val="22"/>
          <w:szCs w:val="22"/>
        </w:rPr>
        <w:t xml:space="preserve">the focus of the </w:t>
      </w:r>
      <w:r w:rsidR="00225F65">
        <w:rPr>
          <w:rFonts w:cs="Arial"/>
          <w:sz w:val="22"/>
          <w:szCs w:val="22"/>
        </w:rPr>
        <w:t xml:space="preserve">CMS </w:t>
      </w:r>
      <w:r>
        <w:rPr>
          <w:rFonts w:cs="Arial"/>
          <w:sz w:val="22"/>
          <w:szCs w:val="22"/>
          <w:lang w:val="en-GB"/>
        </w:rPr>
        <w:t xml:space="preserve">Multi-species Action Plan to Conserve African-Eurasian Vultures (Vulture </w:t>
      </w:r>
      <w:proofErr w:type="spellStart"/>
      <w:r>
        <w:rPr>
          <w:rFonts w:cs="Arial"/>
          <w:sz w:val="22"/>
          <w:szCs w:val="22"/>
          <w:lang w:val="en-GB"/>
        </w:rPr>
        <w:t>MsAP</w:t>
      </w:r>
      <w:proofErr w:type="spellEnd"/>
      <w:r>
        <w:rPr>
          <w:rFonts w:cs="Arial"/>
          <w:sz w:val="22"/>
          <w:szCs w:val="22"/>
          <w:lang w:val="en-GB"/>
        </w:rPr>
        <w:t xml:space="preserve">), which </w:t>
      </w:r>
      <w:r w:rsidR="00D11925">
        <w:rPr>
          <w:rFonts w:cs="Arial"/>
          <w:sz w:val="22"/>
          <w:szCs w:val="22"/>
          <w:lang w:val="en-GB"/>
        </w:rPr>
        <w:t xml:space="preserve">will </w:t>
      </w:r>
      <w:r w:rsidRPr="00CC3B76">
        <w:rPr>
          <w:rFonts w:cs="Arial"/>
          <w:sz w:val="22"/>
          <w:szCs w:val="22"/>
          <w:lang w:val="en"/>
        </w:rPr>
        <w:t>be considered</w:t>
      </w:r>
      <w:r w:rsidR="00ED490C">
        <w:rPr>
          <w:rFonts w:cs="Arial"/>
          <w:sz w:val="22"/>
          <w:szCs w:val="22"/>
          <w:lang w:val="en"/>
        </w:rPr>
        <w:t xml:space="preserve"> at COP12</w:t>
      </w:r>
      <w:r>
        <w:rPr>
          <w:rFonts w:cs="Arial"/>
          <w:sz w:val="22"/>
          <w:szCs w:val="22"/>
          <w:lang w:val="en-GB"/>
        </w:rPr>
        <w:t>.</w:t>
      </w:r>
    </w:p>
    <w:p w14:paraId="33D8B8DC" w14:textId="77777777" w:rsidR="00CC3B76" w:rsidRDefault="00CC3B76" w:rsidP="008575E5">
      <w:pPr>
        <w:pStyle w:val="ListParagraph"/>
        <w:ind w:left="360"/>
        <w:jc w:val="both"/>
        <w:rPr>
          <w:rFonts w:cs="Arial"/>
          <w:sz w:val="22"/>
          <w:szCs w:val="22"/>
          <w:lang w:val="en-GB"/>
        </w:rPr>
      </w:pPr>
    </w:p>
    <w:p w14:paraId="1C38A9FD" w14:textId="1BE093F7" w:rsidR="0084230F" w:rsidRDefault="00C302AC" w:rsidP="008575E5">
      <w:pPr>
        <w:pStyle w:val="ListParagraph"/>
        <w:numPr>
          <w:ilvl w:val="0"/>
          <w:numId w:val="2"/>
        </w:numPr>
        <w:jc w:val="both"/>
        <w:rPr>
          <w:rFonts w:cs="Arial"/>
          <w:sz w:val="22"/>
          <w:szCs w:val="22"/>
          <w:lang w:val="en-GB"/>
        </w:rPr>
      </w:pPr>
      <w:r w:rsidRPr="003D22CD">
        <w:rPr>
          <w:rFonts w:cs="Arial"/>
          <w:sz w:val="22"/>
          <w:szCs w:val="22"/>
          <w:lang w:val="en-GB"/>
        </w:rPr>
        <w:t xml:space="preserve">As an overarching issue in its POW, the PPWG </w:t>
      </w:r>
      <w:r w:rsidR="00D4082B">
        <w:rPr>
          <w:rFonts w:cs="Arial"/>
          <w:sz w:val="22"/>
          <w:szCs w:val="22"/>
        </w:rPr>
        <w:t>seeks</w:t>
      </w:r>
      <w:r w:rsidRPr="003D22CD">
        <w:rPr>
          <w:rFonts w:cs="Arial"/>
          <w:sz w:val="22"/>
          <w:szCs w:val="22"/>
        </w:rPr>
        <w:t xml:space="preserve"> to define the division of </w:t>
      </w:r>
      <w:proofErr w:type="spellStart"/>
      <w:r w:rsidRPr="003D22CD">
        <w:rPr>
          <w:rFonts w:cs="Arial"/>
          <w:sz w:val="22"/>
          <w:szCs w:val="22"/>
        </w:rPr>
        <w:t>labour</w:t>
      </w:r>
      <w:proofErr w:type="spellEnd"/>
      <w:r w:rsidRPr="003D22CD">
        <w:rPr>
          <w:rFonts w:cs="Arial"/>
          <w:sz w:val="22"/>
          <w:szCs w:val="22"/>
        </w:rPr>
        <w:t xml:space="preserve"> and to identify synergie</w:t>
      </w:r>
      <w:r w:rsidR="003614AA">
        <w:rPr>
          <w:rFonts w:cs="Arial"/>
          <w:sz w:val="22"/>
          <w:szCs w:val="22"/>
        </w:rPr>
        <w:t xml:space="preserve">s </w:t>
      </w:r>
      <w:r w:rsidR="00D11925">
        <w:rPr>
          <w:rFonts w:cs="Arial"/>
          <w:sz w:val="22"/>
          <w:szCs w:val="22"/>
        </w:rPr>
        <w:t xml:space="preserve">with </w:t>
      </w:r>
      <w:r w:rsidR="003614AA">
        <w:rPr>
          <w:rFonts w:cs="Arial"/>
          <w:sz w:val="22"/>
          <w:szCs w:val="22"/>
        </w:rPr>
        <w:t>the Vulture Working Group</w:t>
      </w:r>
      <w:r w:rsidR="00A658E4">
        <w:rPr>
          <w:rFonts w:cs="Arial"/>
          <w:sz w:val="22"/>
          <w:szCs w:val="22"/>
        </w:rPr>
        <w:t xml:space="preserve"> (VWG)</w:t>
      </w:r>
      <w:r w:rsidR="00D11925">
        <w:rPr>
          <w:rFonts w:cs="Arial"/>
          <w:sz w:val="22"/>
          <w:szCs w:val="22"/>
        </w:rPr>
        <w:t xml:space="preserve"> and other CMS initiatives</w:t>
      </w:r>
      <w:r w:rsidR="003614AA">
        <w:rPr>
          <w:rFonts w:cs="Arial"/>
          <w:sz w:val="22"/>
          <w:szCs w:val="22"/>
        </w:rPr>
        <w:t>. A</w:t>
      </w:r>
      <w:r w:rsidR="003D22CD">
        <w:rPr>
          <w:rFonts w:cs="Arial"/>
          <w:sz w:val="22"/>
          <w:szCs w:val="22"/>
        </w:rPr>
        <w:t>s appropriate,</w:t>
      </w:r>
      <w:r w:rsidRPr="003D22CD">
        <w:rPr>
          <w:rFonts w:cs="Arial"/>
          <w:sz w:val="22"/>
          <w:szCs w:val="22"/>
        </w:rPr>
        <w:t xml:space="preserve"> </w:t>
      </w:r>
      <w:r w:rsidR="003614AA">
        <w:rPr>
          <w:rFonts w:cs="Arial"/>
          <w:sz w:val="22"/>
          <w:szCs w:val="22"/>
        </w:rPr>
        <w:t xml:space="preserve">structural and conceptual similarities to and synergies with </w:t>
      </w:r>
      <w:r w:rsidRPr="003D22CD">
        <w:rPr>
          <w:rFonts w:cs="Arial"/>
          <w:sz w:val="22"/>
          <w:szCs w:val="22"/>
        </w:rPr>
        <w:t xml:space="preserve">the </w:t>
      </w:r>
      <w:r w:rsidRPr="003D22CD">
        <w:rPr>
          <w:rFonts w:cs="Arial"/>
          <w:sz w:val="22"/>
          <w:szCs w:val="22"/>
          <w:lang w:val="en-GB"/>
        </w:rPr>
        <w:t>Intergovernmental Task Force on Illegal Killing, Taking and Trade of Migratory Birds in the Mediterranean (MIKT)</w:t>
      </w:r>
      <w:r w:rsidR="00413651">
        <w:rPr>
          <w:rFonts w:cs="Arial"/>
          <w:sz w:val="22"/>
          <w:szCs w:val="22"/>
          <w:lang w:val="en-GB"/>
        </w:rPr>
        <w:t xml:space="preserve"> can</w:t>
      </w:r>
      <w:r w:rsidR="00A658E4">
        <w:rPr>
          <w:rFonts w:cs="Arial"/>
          <w:sz w:val="22"/>
          <w:szCs w:val="22"/>
          <w:lang w:val="en-GB"/>
        </w:rPr>
        <w:t xml:space="preserve"> be developed</w:t>
      </w:r>
      <w:r w:rsidRPr="003D22CD">
        <w:rPr>
          <w:rFonts w:cs="Arial"/>
          <w:sz w:val="22"/>
          <w:szCs w:val="22"/>
          <w:lang w:val="en-GB"/>
        </w:rPr>
        <w:t>. I</w:t>
      </w:r>
      <w:r w:rsidR="003D22CD">
        <w:rPr>
          <w:rFonts w:cs="Arial"/>
          <w:sz w:val="22"/>
          <w:szCs w:val="22"/>
          <w:lang w:val="en-GB"/>
        </w:rPr>
        <w:t xml:space="preserve">n particular with regard to the </w:t>
      </w:r>
      <w:r w:rsidRPr="003D22CD">
        <w:rPr>
          <w:rFonts w:cs="Arial"/>
          <w:sz w:val="22"/>
          <w:szCs w:val="22"/>
          <w:lang w:val="en-GB"/>
        </w:rPr>
        <w:t>VWG</w:t>
      </w:r>
      <w:r w:rsidR="003D22CD">
        <w:rPr>
          <w:rFonts w:cs="Arial"/>
          <w:sz w:val="22"/>
          <w:szCs w:val="22"/>
          <w:lang w:val="en-GB"/>
        </w:rPr>
        <w:t xml:space="preserve">, </w:t>
      </w:r>
      <w:r w:rsidR="00651302">
        <w:rPr>
          <w:rFonts w:cs="Arial"/>
          <w:sz w:val="22"/>
          <w:szCs w:val="22"/>
          <w:lang w:val="en-GB"/>
        </w:rPr>
        <w:t xml:space="preserve">the </w:t>
      </w:r>
      <w:r w:rsidR="00682EAA">
        <w:rPr>
          <w:rFonts w:cs="Arial"/>
          <w:sz w:val="22"/>
          <w:szCs w:val="22"/>
          <w:lang w:val="en-GB"/>
        </w:rPr>
        <w:t xml:space="preserve">division </w:t>
      </w:r>
      <w:r w:rsidR="003D22CD">
        <w:rPr>
          <w:rFonts w:cs="Arial"/>
          <w:sz w:val="22"/>
          <w:szCs w:val="22"/>
          <w:lang w:val="en-GB"/>
        </w:rPr>
        <w:t xml:space="preserve">of labour and </w:t>
      </w:r>
      <w:r w:rsidR="00682EAA">
        <w:rPr>
          <w:rFonts w:cs="Arial"/>
          <w:sz w:val="22"/>
          <w:szCs w:val="22"/>
          <w:lang w:val="en-GB"/>
        </w:rPr>
        <w:t xml:space="preserve">development of </w:t>
      </w:r>
      <w:r w:rsidR="003D22CD">
        <w:rPr>
          <w:rFonts w:cs="Arial"/>
          <w:sz w:val="22"/>
          <w:szCs w:val="22"/>
          <w:lang w:val="en-GB"/>
        </w:rPr>
        <w:t xml:space="preserve">synergies require the completion </w:t>
      </w:r>
      <w:r w:rsidR="00651302">
        <w:rPr>
          <w:rFonts w:cs="Arial"/>
          <w:sz w:val="22"/>
          <w:szCs w:val="22"/>
          <w:lang w:val="en-GB"/>
        </w:rPr>
        <w:t xml:space="preserve">and adoption </w:t>
      </w:r>
      <w:r w:rsidR="003D22CD">
        <w:rPr>
          <w:rFonts w:cs="Arial"/>
          <w:sz w:val="22"/>
          <w:szCs w:val="22"/>
          <w:lang w:val="en-GB"/>
        </w:rPr>
        <w:t xml:space="preserve">of the action framework of the </w:t>
      </w:r>
      <w:r w:rsidR="001C391F">
        <w:rPr>
          <w:rFonts w:cs="Arial"/>
          <w:sz w:val="22"/>
          <w:szCs w:val="22"/>
          <w:lang w:val="en-GB"/>
        </w:rPr>
        <w:t xml:space="preserve">Vulture </w:t>
      </w:r>
      <w:proofErr w:type="spellStart"/>
      <w:r w:rsidR="001C391F">
        <w:rPr>
          <w:rFonts w:cs="Arial"/>
          <w:sz w:val="22"/>
          <w:szCs w:val="22"/>
          <w:lang w:val="en-GB"/>
        </w:rPr>
        <w:t>MsAP</w:t>
      </w:r>
      <w:proofErr w:type="spellEnd"/>
      <w:r w:rsidR="003D22CD">
        <w:rPr>
          <w:rFonts w:cs="Arial"/>
          <w:sz w:val="22"/>
          <w:szCs w:val="22"/>
          <w:lang w:val="en-GB"/>
        </w:rPr>
        <w:t>.</w:t>
      </w:r>
      <w:r w:rsidR="00D11925">
        <w:rPr>
          <w:rFonts w:cs="Arial"/>
          <w:sz w:val="22"/>
          <w:szCs w:val="22"/>
          <w:lang w:val="en-GB"/>
        </w:rPr>
        <w:t xml:space="preserve"> The PPWG agreed that the division of labour should be clearly reflected in the POWs of the avian working groups and task forces</w:t>
      </w:r>
      <w:r w:rsidR="00682EAA">
        <w:rPr>
          <w:rFonts w:cs="Arial"/>
          <w:sz w:val="22"/>
          <w:szCs w:val="22"/>
          <w:lang w:val="en-GB"/>
        </w:rPr>
        <w:t xml:space="preserve"> concerned</w:t>
      </w:r>
      <w:r w:rsidR="00D11925">
        <w:rPr>
          <w:rFonts w:cs="Arial"/>
          <w:sz w:val="22"/>
          <w:szCs w:val="22"/>
          <w:lang w:val="en-GB"/>
        </w:rPr>
        <w:t xml:space="preserve">. </w:t>
      </w:r>
    </w:p>
    <w:p w14:paraId="44DE0F20" w14:textId="77777777" w:rsidR="00651302" w:rsidRPr="00651302" w:rsidRDefault="00651302" w:rsidP="008575E5">
      <w:pPr>
        <w:pStyle w:val="ListParagraph"/>
        <w:jc w:val="both"/>
        <w:rPr>
          <w:rFonts w:cs="Arial"/>
          <w:sz w:val="22"/>
          <w:szCs w:val="22"/>
          <w:lang w:val="en-GB"/>
        </w:rPr>
      </w:pPr>
    </w:p>
    <w:p w14:paraId="15F70BA7" w14:textId="6EA7BD4A" w:rsidR="00651302" w:rsidRDefault="009C7730" w:rsidP="008575E5">
      <w:pPr>
        <w:jc w:val="both"/>
        <w:rPr>
          <w:rFonts w:cs="Arial"/>
          <w:sz w:val="22"/>
          <w:szCs w:val="22"/>
          <w:u w:val="single"/>
          <w:lang w:val="en-GB"/>
        </w:rPr>
      </w:pPr>
      <w:r>
        <w:rPr>
          <w:rFonts w:cs="Arial"/>
          <w:sz w:val="22"/>
          <w:szCs w:val="22"/>
          <w:u w:val="single"/>
          <w:lang w:val="en-GB"/>
        </w:rPr>
        <w:t xml:space="preserve">Establishment of the </w:t>
      </w:r>
      <w:r w:rsidR="00651302" w:rsidRPr="00651302">
        <w:rPr>
          <w:rFonts w:cs="Arial"/>
          <w:sz w:val="22"/>
          <w:szCs w:val="22"/>
          <w:u w:val="single"/>
          <w:lang w:val="en-GB"/>
        </w:rPr>
        <w:t>Lead Task Force</w:t>
      </w:r>
    </w:p>
    <w:p w14:paraId="4186D504" w14:textId="77777777" w:rsidR="00EB0011" w:rsidRDefault="00EB0011" w:rsidP="008575E5">
      <w:pPr>
        <w:jc w:val="both"/>
        <w:rPr>
          <w:rFonts w:cs="Arial"/>
          <w:sz w:val="22"/>
          <w:szCs w:val="22"/>
          <w:u w:val="single"/>
          <w:lang w:val="en-GB"/>
        </w:rPr>
      </w:pPr>
    </w:p>
    <w:p w14:paraId="6CA6E200" w14:textId="086FBD17" w:rsidR="00EB0011" w:rsidRPr="00EB0011" w:rsidRDefault="009C7730" w:rsidP="008575E5">
      <w:pPr>
        <w:pStyle w:val="ListParagraph"/>
        <w:numPr>
          <w:ilvl w:val="0"/>
          <w:numId w:val="2"/>
        </w:numPr>
        <w:jc w:val="both"/>
        <w:rPr>
          <w:rFonts w:cs="Arial"/>
          <w:sz w:val="22"/>
          <w:szCs w:val="22"/>
          <w:lang w:val="en-GB"/>
        </w:rPr>
      </w:pPr>
      <w:r>
        <w:rPr>
          <w:rFonts w:cs="Arial"/>
          <w:sz w:val="22"/>
          <w:szCs w:val="22"/>
          <w:lang w:val="en-GB"/>
        </w:rPr>
        <w:t>At the meeting held in Toledo</w:t>
      </w:r>
      <w:r w:rsidR="003A02C4">
        <w:rPr>
          <w:rFonts w:cs="Arial"/>
          <w:sz w:val="22"/>
          <w:szCs w:val="22"/>
          <w:lang w:val="en-GB"/>
        </w:rPr>
        <w:t>,</w:t>
      </w:r>
      <w:r>
        <w:rPr>
          <w:rFonts w:cs="Arial"/>
          <w:sz w:val="22"/>
          <w:szCs w:val="22"/>
          <w:lang w:val="en-GB"/>
        </w:rPr>
        <w:t xml:space="preserve"> the PPWG discussed Terms of Reference of a Lead Task Force to deal as a matter of priority with the issue of lead ammunition. M</w:t>
      </w:r>
      <w:r w:rsidR="00EB0011" w:rsidRPr="00EB0011">
        <w:rPr>
          <w:rFonts w:cs="Arial"/>
          <w:sz w:val="22"/>
          <w:szCs w:val="22"/>
          <w:lang w:val="en-GB"/>
        </w:rPr>
        <w:t xml:space="preserve">embers of </w:t>
      </w:r>
      <w:r w:rsidR="00413651">
        <w:rPr>
          <w:rFonts w:cs="Arial"/>
          <w:sz w:val="22"/>
          <w:szCs w:val="22"/>
          <w:lang w:val="en-GB"/>
        </w:rPr>
        <w:t xml:space="preserve">the </w:t>
      </w:r>
      <w:r w:rsidR="009845C6">
        <w:rPr>
          <w:rFonts w:cs="Arial"/>
          <w:sz w:val="22"/>
          <w:szCs w:val="22"/>
          <w:lang w:val="en-GB"/>
        </w:rPr>
        <w:t xml:space="preserve">Lead Task Force </w:t>
      </w:r>
      <w:r>
        <w:rPr>
          <w:rFonts w:cs="Arial"/>
          <w:sz w:val="22"/>
          <w:szCs w:val="22"/>
          <w:lang w:val="en-GB"/>
        </w:rPr>
        <w:t xml:space="preserve">will include </w:t>
      </w:r>
      <w:r w:rsidR="009845C6">
        <w:rPr>
          <w:rFonts w:cs="Arial"/>
          <w:sz w:val="22"/>
          <w:szCs w:val="22"/>
          <w:lang w:val="en-GB"/>
        </w:rPr>
        <w:t xml:space="preserve">representatives of </w:t>
      </w:r>
      <w:r w:rsidR="00EB0011" w:rsidRPr="00EB0011">
        <w:rPr>
          <w:rFonts w:cs="Arial"/>
          <w:sz w:val="22"/>
          <w:szCs w:val="22"/>
          <w:lang w:val="en-GB"/>
        </w:rPr>
        <w:t>the participating MEAs, CMS and AEWA Parties, as well as academic institutions, NGOs, industry representatives, and other stakeholders, as appropriate</w:t>
      </w:r>
      <w:r w:rsidR="009845C6">
        <w:rPr>
          <w:rFonts w:cs="Arial"/>
          <w:sz w:val="22"/>
          <w:szCs w:val="22"/>
          <w:lang w:val="en-GB"/>
        </w:rPr>
        <w:t>.</w:t>
      </w:r>
    </w:p>
    <w:p w14:paraId="59391B40" w14:textId="77777777" w:rsidR="00651302" w:rsidRDefault="00651302" w:rsidP="008575E5">
      <w:pPr>
        <w:jc w:val="both"/>
        <w:rPr>
          <w:rFonts w:cs="Arial"/>
          <w:sz w:val="22"/>
          <w:szCs w:val="22"/>
          <w:lang w:val="en-GB"/>
        </w:rPr>
      </w:pPr>
    </w:p>
    <w:p w14:paraId="7ED74CD3" w14:textId="77777777" w:rsidR="00651302" w:rsidRDefault="00651302" w:rsidP="008575E5">
      <w:pPr>
        <w:pStyle w:val="ListParagraph"/>
        <w:numPr>
          <w:ilvl w:val="0"/>
          <w:numId w:val="2"/>
        </w:numPr>
        <w:jc w:val="both"/>
        <w:rPr>
          <w:rFonts w:cs="Arial"/>
          <w:sz w:val="22"/>
          <w:szCs w:val="22"/>
          <w:lang w:val="en-GB"/>
        </w:rPr>
      </w:pPr>
      <w:r>
        <w:rPr>
          <w:rFonts w:cs="Arial"/>
          <w:sz w:val="22"/>
          <w:szCs w:val="22"/>
          <w:lang w:val="en-GB"/>
        </w:rPr>
        <w:t>The envisaged Lead Task Force</w:t>
      </w:r>
      <w:r w:rsidR="00382FA8">
        <w:rPr>
          <w:rFonts w:cs="Arial"/>
          <w:sz w:val="22"/>
          <w:szCs w:val="22"/>
          <w:lang w:val="en-GB"/>
        </w:rPr>
        <w:t xml:space="preserve"> is to identify targets, indicators, scope, responsible bodies, budgets, timelines and priorities of the actions contained in the POW</w:t>
      </w:r>
      <w:r>
        <w:rPr>
          <w:rFonts w:cs="Arial"/>
          <w:sz w:val="22"/>
          <w:szCs w:val="22"/>
          <w:lang w:val="en-GB"/>
        </w:rPr>
        <w:t xml:space="preserve"> </w:t>
      </w:r>
      <w:r w:rsidR="00EB0011">
        <w:rPr>
          <w:rFonts w:cs="Arial"/>
          <w:sz w:val="22"/>
          <w:szCs w:val="22"/>
          <w:lang w:val="en-GB"/>
        </w:rPr>
        <w:t>of the PPWG.</w:t>
      </w:r>
    </w:p>
    <w:p w14:paraId="24AB2E0B" w14:textId="77777777" w:rsidR="00127CC7" w:rsidRPr="00127CC7" w:rsidRDefault="00127CC7" w:rsidP="008575E5">
      <w:pPr>
        <w:pStyle w:val="ListParagraph"/>
        <w:jc w:val="both"/>
        <w:rPr>
          <w:rFonts w:cs="Arial"/>
          <w:sz w:val="22"/>
          <w:szCs w:val="22"/>
          <w:lang w:val="en-GB"/>
        </w:rPr>
      </w:pPr>
    </w:p>
    <w:p w14:paraId="56122B58" w14:textId="3AFF2202" w:rsidR="00127CC7" w:rsidRDefault="00127CC7" w:rsidP="008575E5">
      <w:pPr>
        <w:pStyle w:val="ListParagraph"/>
        <w:numPr>
          <w:ilvl w:val="0"/>
          <w:numId w:val="2"/>
        </w:numPr>
        <w:jc w:val="both"/>
        <w:rPr>
          <w:rFonts w:cs="Arial"/>
          <w:sz w:val="22"/>
          <w:szCs w:val="22"/>
          <w:lang w:val="en-GB"/>
        </w:rPr>
      </w:pPr>
      <w:r>
        <w:rPr>
          <w:rFonts w:cs="Arial"/>
          <w:sz w:val="22"/>
          <w:szCs w:val="22"/>
          <w:lang w:val="en-GB"/>
        </w:rPr>
        <w:t xml:space="preserve">Resources for funding of a Coordinator of the Lead Task Force need to be identified. According to the proposed TOR, the Coordinator will </w:t>
      </w:r>
      <w:r w:rsidR="00682EAA" w:rsidRPr="001B36E0">
        <w:rPr>
          <w:rFonts w:cs="Arial"/>
          <w:sz w:val="22"/>
          <w:szCs w:val="22"/>
          <w:lang w:val="en-GB"/>
        </w:rPr>
        <w:t>organi</w:t>
      </w:r>
      <w:r w:rsidR="00682EAA">
        <w:rPr>
          <w:rFonts w:cs="Arial"/>
          <w:sz w:val="22"/>
          <w:szCs w:val="22"/>
          <w:lang w:val="en-GB"/>
        </w:rPr>
        <w:t xml:space="preserve">ze </w:t>
      </w:r>
      <w:r>
        <w:rPr>
          <w:rFonts w:cs="Arial"/>
          <w:sz w:val="22"/>
          <w:szCs w:val="22"/>
          <w:lang w:val="en-GB"/>
        </w:rPr>
        <w:t>the meetings of the Task Force, prepare background documents,</w:t>
      </w:r>
      <w:r w:rsidRPr="001B36E0">
        <w:rPr>
          <w:rFonts w:cs="Arial"/>
          <w:sz w:val="22"/>
          <w:szCs w:val="22"/>
          <w:lang w:val="en-GB"/>
        </w:rPr>
        <w:t xml:space="preserve"> </w:t>
      </w:r>
      <w:r>
        <w:rPr>
          <w:rFonts w:cs="Arial"/>
          <w:sz w:val="22"/>
          <w:szCs w:val="22"/>
          <w:lang w:val="en-GB"/>
        </w:rPr>
        <w:t>co-ordinate the Task Force’s communications,</w:t>
      </w:r>
      <w:r w:rsidRPr="001B36E0">
        <w:rPr>
          <w:rFonts w:cs="Arial"/>
          <w:sz w:val="22"/>
          <w:szCs w:val="22"/>
          <w:lang w:val="en-GB"/>
        </w:rPr>
        <w:t xml:space="preserve"> facilitate fundra</w:t>
      </w:r>
      <w:r>
        <w:rPr>
          <w:rFonts w:cs="Arial"/>
          <w:sz w:val="22"/>
          <w:szCs w:val="22"/>
          <w:lang w:val="en-GB"/>
        </w:rPr>
        <w:t xml:space="preserve">ising and resource </w:t>
      </w:r>
      <w:r w:rsidR="00682EAA">
        <w:rPr>
          <w:rFonts w:cs="Arial"/>
          <w:sz w:val="22"/>
          <w:szCs w:val="22"/>
          <w:lang w:val="en-GB"/>
        </w:rPr>
        <w:t xml:space="preserve">mobilization </w:t>
      </w:r>
      <w:r>
        <w:rPr>
          <w:rFonts w:cs="Arial"/>
          <w:sz w:val="22"/>
          <w:szCs w:val="22"/>
          <w:lang w:val="en-GB"/>
        </w:rPr>
        <w:t>and</w:t>
      </w:r>
      <w:r w:rsidRPr="001B36E0">
        <w:rPr>
          <w:rFonts w:cs="Arial"/>
          <w:sz w:val="22"/>
          <w:szCs w:val="22"/>
          <w:lang w:val="en-GB"/>
        </w:rPr>
        <w:t xml:space="preserve"> facilitate engagement with stakeholders </w:t>
      </w:r>
      <w:r>
        <w:rPr>
          <w:rFonts w:cs="Arial"/>
          <w:sz w:val="22"/>
          <w:szCs w:val="22"/>
          <w:lang w:val="en-GB"/>
        </w:rPr>
        <w:t>within and beyond the Working Group</w:t>
      </w:r>
      <w:r w:rsidRPr="001B36E0">
        <w:rPr>
          <w:rFonts w:cs="Arial"/>
          <w:sz w:val="22"/>
          <w:szCs w:val="22"/>
          <w:lang w:val="en-GB"/>
        </w:rPr>
        <w:t>.</w:t>
      </w:r>
    </w:p>
    <w:p w14:paraId="3E1AF6CA" w14:textId="77777777" w:rsidR="008B34A7" w:rsidRDefault="008B34A7" w:rsidP="008B34A7">
      <w:pPr>
        <w:pStyle w:val="ListParagraph"/>
        <w:ind w:left="360"/>
        <w:jc w:val="both"/>
        <w:rPr>
          <w:rFonts w:cs="Arial"/>
          <w:sz w:val="22"/>
          <w:szCs w:val="22"/>
          <w:lang w:val="en-GB"/>
        </w:rPr>
      </w:pPr>
    </w:p>
    <w:p w14:paraId="5458AC85" w14:textId="21DF2538" w:rsidR="008B34A7" w:rsidRPr="008B34A7" w:rsidRDefault="008B34A7" w:rsidP="008B34A7">
      <w:pPr>
        <w:jc w:val="both"/>
        <w:rPr>
          <w:rFonts w:cs="Arial"/>
          <w:sz w:val="22"/>
          <w:szCs w:val="22"/>
          <w:u w:val="single"/>
          <w:lang w:val="en-GB"/>
        </w:rPr>
      </w:pPr>
      <w:r w:rsidRPr="008B34A7">
        <w:rPr>
          <w:rFonts w:cs="Arial"/>
          <w:sz w:val="22"/>
          <w:szCs w:val="22"/>
          <w:u w:val="single"/>
          <w:lang w:val="en-GB"/>
        </w:rPr>
        <w:t>United Nations Environment Assembly</w:t>
      </w:r>
    </w:p>
    <w:p w14:paraId="08A3ABD1" w14:textId="77777777" w:rsidR="008B34A7" w:rsidRPr="008B34A7" w:rsidRDefault="008B34A7" w:rsidP="008B34A7">
      <w:pPr>
        <w:jc w:val="both"/>
        <w:rPr>
          <w:rFonts w:cs="Arial"/>
          <w:sz w:val="22"/>
          <w:szCs w:val="22"/>
          <w:lang w:val="en-GB"/>
        </w:rPr>
      </w:pPr>
    </w:p>
    <w:p w14:paraId="4EA594C0" w14:textId="49D014C9" w:rsidR="00D4082B" w:rsidRPr="008B34A7" w:rsidRDefault="009C7730" w:rsidP="008B34A7">
      <w:pPr>
        <w:pStyle w:val="ListParagraph"/>
        <w:numPr>
          <w:ilvl w:val="0"/>
          <w:numId w:val="2"/>
        </w:numPr>
        <w:jc w:val="both"/>
        <w:rPr>
          <w:rFonts w:cs="Arial"/>
          <w:sz w:val="22"/>
          <w:szCs w:val="22"/>
          <w:lang w:val="en-GB"/>
        </w:rPr>
      </w:pPr>
      <w:r w:rsidRPr="008B34A7">
        <w:rPr>
          <w:rFonts w:cs="Arial"/>
          <w:sz w:val="22"/>
          <w:szCs w:val="22"/>
          <w:lang w:val="en-GB"/>
        </w:rPr>
        <w:t>In December 2017</w:t>
      </w:r>
      <w:r w:rsidR="00735F82" w:rsidRPr="008B34A7">
        <w:rPr>
          <w:rFonts w:cs="Arial"/>
          <w:sz w:val="22"/>
          <w:szCs w:val="22"/>
          <w:lang w:val="en-GB"/>
        </w:rPr>
        <w:t>,</w:t>
      </w:r>
      <w:r w:rsidRPr="008B34A7">
        <w:rPr>
          <w:rFonts w:cs="Arial"/>
          <w:sz w:val="22"/>
          <w:szCs w:val="22"/>
          <w:lang w:val="en-GB"/>
        </w:rPr>
        <w:t xml:space="preserve"> </w:t>
      </w:r>
      <w:r w:rsidR="00735F82" w:rsidRPr="008B34A7">
        <w:rPr>
          <w:rFonts w:cs="Arial"/>
          <w:sz w:val="22"/>
          <w:szCs w:val="22"/>
          <w:lang w:val="en-GB"/>
        </w:rPr>
        <w:t xml:space="preserve">the </w:t>
      </w:r>
      <w:r w:rsidRPr="008B34A7">
        <w:rPr>
          <w:rFonts w:cs="Arial"/>
          <w:sz w:val="22"/>
          <w:szCs w:val="22"/>
          <w:lang w:val="en-GB"/>
        </w:rPr>
        <w:t>meeting of the United Nations Environment Assembly</w:t>
      </w:r>
      <w:r w:rsidR="008B5953" w:rsidRPr="008B34A7">
        <w:rPr>
          <w:rFonts w:cs="Arial"/>
          <w:sz w:val="22"/>
          <w:szCs w:val="22"/>
          <w:lang w:val="en-GB"/>
        </w:rPr>
        <w:t>,</w:t>
      </w:r>
      <w:r w:rsidRPr="008B34A7">
        <w:rPr>
          <w:rFonts w:cs="Arial"/>
          <w:sz w:val="22"/>
          <w:szCs w:val="22"/>
          <w:lang w:val="en-GB"/>
        </w:rPr>
        <w:t xml:space="preserve"> UNEA </w:t>
      </w:r>
      <w:r w:rsidR="008B5953" w:rsidRPr="008B34A7">
        <w:rPr>
          <w:rFonts w:cs="Arial"/>
          <w:sz w:val="22"/>
          <w:szCs w:val="22"/>
          <w:lang w:val="en-GB"/>
        </w:rPr>
        <w:t xml:space="preserve">3, </w:t>
      </w:r>
      <w:r w:rsidR="00735F82" w:rsidRPr="008B34A7">
        <w:rPr>
          <w:rFonts w:cs="Arial"/>
          <w:sz w:val="22"/>
          <w:szCs w:val="22"/>
          <w:lang w:val="en-GB"/>
        </w:rPr>
        <w:t xml:space="preserve">will take place </w:t>
      </w:r>
      <w:r w:rsidR="008B5953" w:rsidRPr="008B34A7">
        <w:rPr>
          <w:rFonts w:cs="Arial"/>
          <w:sz w:val="22"/>
          <w:szCs w:val="22"/>
          <w:lang w:val="en-GB"/>
        </w:rPr>
        <w:t>in Nairobi. The topic of this meeting</w:t>
      </w:r>
      <w:r w:rsidR="00735F82" w:rsidRPr="008B34A7">
        <w:rPr>
          <w:rFonts w:cs="Arial"/>
          <w:sz w:val="22"/>
          <w:szCs w:val="22"/>
          <w:lang w:val="en-GB"/>
        </w:rPr>
        <w:t xml:space="preserve"> being</w:t>
      </w:r>
      <w:r w:rsidR="008B5953" w:rsidRPr="008B34A7">
        <w:rPr>
          <w:rFonts w:cs="Arial"/>
          <w:sz w:val="22"/>
          <w:szCs w:val="22"/>
          <w:lang w:val="en-GB"/>
        </w:rPr>
        <w:t xml:space="preserve"> </w:t>
      </w:r>
      <w:r w:rsidR="00735F82" w:rsidRPr="008B34A7">
        <w:rPr>
          <w:rFonts w:cs="Arial"/>
          <w:sz w:val="22"/>
          <w:szCs w:val="22"/>
          <w:lang w:val="en-GB"/>
        </w:rPr>
        <w:t>“</w:t>
      </w:r>
      <w:r w:rsidR="008B5953" w:rsidRPr="008B34A7">
        <w:rPr>
          <w:rFonts w:cs="Arial"/>
          <w:sz w:val="22"/>
          <w:szCs w:val="22"/>
          <w:lang w:val="en-GB"/>
        </w:rPr>
        <w:t>Pollution</w:t>
      </w:r>
      <w:r w:rsidR="00735F82" w:rsidRPr="008B34A7">
        <w:rPr>
          <w:rFonts w:cs="Arial"/>
          <w:sz w:val="22"/>
          <w:szCs w:val="22"/>
          <w:lang w:val="en-GB"/>
        </w:rPr>
        <w:t>”,</w:t>
      </w:r>
      <w:r w:rsidR="008B5953" w:rsidRPr="008B34A7">
        <w:rPr>
          <w:rFonts w:cs="Arial"/>
          <w:sz w:val="22"/>
          <w:szCs w:val="22"/>
          <w:lang w:val="en-GB"/>
        </w:rPr>
        <w:t xml:space="preserve"> </w:t>
      </w:r>
      <w:r w:rsidR="00735F82" w:rsidRPr="008B34A7">
        <w:rPr>
          <w:rFonts w:cs="Arial"/>
          <w:sz w:val="22"/>
          <w:szCs w:val="22"/>
          <w:lang w:val="en-GB"/>
        </w:rPr>
        <w:t xml:space="preserve">UNEA 3 </w:t>
      </w:r>
      <w:r w:rsidR="008B5953" w:rsidRPr="008B34A7">
        <w:rPr>
          <w:rFonts w:cs="Arial"/>
          <w:sz w:val="22"/>
          <w:szCs w:val="22"/>
          <w:lang w:val="en-GB"/>
        </w:rPr>
        <w:t xml:space="preserve">provides an opportunity to promote the CMS Guidelines </w:t>
      </w:r>
      <w:r w:rsidR="00314A03" w:rsidRPr="008B34A7">
        <w:rPr>
          <w:rFonts w:cs="Arial"/>
          <w:sz w:val="22"/>
          <w:szCs w:val="22"/>
          <w:lang w:val="en"/>
        </w:rPr>
        <w:t xml:space="preserve">to </w:t>
      </w:r>
      <w:r w:rsidR="00314A03" w:rsidRPr="008B34A7">
        <w:rPr>
          <w:rFonts w:cs="Arial"/>
          <w:bCs/>
          <w:sz w:val="22"/>
          <w:szCs w:val="22"/>
          <w:lang w:val="en"/>
        </w:rPr>
        <w:t>Prevent the Risk of Poisoning to Migratory Birds</w:t>
      </w:r>
      <w:r w:rsidR="008B5953" w:rsidRPr="008B34A7">
        <w:rPr>
          <w:rFonts w:cs="Arial"/>
          <w:sz w:val="22"/>
          <w:szCs w:val="22"/>
          <w:lang w:val="en-GB"/>
        </w:rPr>
        <w:t xml:space="preserve"> and make progress towards a global ban of lead ammunition.</w:t>
      </w:r>
    </w:p>
    <w:p w14:paraId="105EA4DE" w14:textId="758D761A" w:rsidR="007910DD" w:rsidRPr="005335BD" w:rsidRDefault="007910DD" w:rsidP="008575E5">
      <w:pPr>
        <w:jc w:val="both"/>
        <w:rPr>
          <w:rFonts w:cs="Arial"/>
          <w:sz w:val="22"/>
          <w:szCs w:val="22"/>
          <w:u w:val="single"/>
          <w:lang w:val="en-GB"/>
        </w:rPr>
      </w:pPr>
    </w:p>
    <w:p w14:paraId="19E78755" w14:textId="77777777" w:rsidR="007910DD" w:rsidRPr="005335BD" w:rsidRDefault="007910DD" w:rsidP="008575E5">
      <w:pPr>
        <w:jc w:val="both"/>
        <w:rPr>
          <w:rFonts w:cs="Arial"/>
          <w:sz w:val="22"/>
          <w:szCs w:val="22"/>
          <w:u w:val="single"/>
          <w:lang w:val="en-GB"/>
        </w:rPr>
      </w:pPr>
      <w:r w:rsidRPr="005335BD">
        <w:rPr>
          <w:rFonts w:cs="Arial"/>
          <w:sz w:val="22"/>
          <w:szCs w:val="22"/>
          <w:u w:val="single"/>
          <w:lang w:val="en-GB"/>
        </w:rPr>
        <w:t>Discussion and analysis</w:t>
      </w:r>
    </w:p>
    <w:p w14:paraId="623F8192" w14:textId="3CDD6E41" w:rsidR="007910DD" w:rsidRDefault="007910DD" w:rsidP="008575E5">
      <w:pPr>
        <w:jc w:val="both"/>
        <w:rPr>
          <w:rFonts w:cs="Arial"/>
          <w:sz w:val="22"/>
          <w:szCs w:val="22"/>
          <w:lang w:val="en-GB"/>
        </w:rPr>
      </w:pPr>
    </w:p>
    <w:p w14:paraId="15DB87C3" w14:textId="5D806F78" w:rsidR="005335BD" w:rsidRDefault="00F330D2" w:rsidP="002F2B3F">
      <w:pPr>
        <w:pStyle w:val="ListParagraph"/>
        <w:widowControl/>
        <w:numPr>
          <w:ilvl w:val="0"/>
          <w:numId w:val="2"/>
        </w:numPr>
        <w:ind w:left="357" w:hanging="357"/>
        <w:jc w:val="both"/>
        <w:rPr>
          <w:rFonts w:cs="Arial"/>
          <w:sz w:val="22"/>
          <w:szCs w:val="22"/>
          <w:lang w:val="en-GB"/>
        </w:rPr>
      </w:pPr>
      <w:r>
        <w:rPr>
          <w:rFonts w:cs="Arial"/>
          <w:sz w:val="22"/>
          <w:szCs w:val="22"/>
          <w:lang w:val="en-GB"/>
        </w:rPr>
        <w:t xml:space="preserve">The interim coordination of the PPWG </w:t>
      </w:r>
      <w:r w:rsidR="00F51748">
        <w:rPr>
          <w:rFonts w:cs="Arial"/>
          <w:sz w:val="22"/>
          <w:szCs w:val="22"/>
          <w:lang w:val="en-GB"/>
        </w:rPr>
        <w:t>by SEO/</w:t>
      </w:r>
      <w:proofErr w:type="spellStart"/>
      <w:r w:rsidR="00F51748">
        <w:rPr>
          <w:rFonts w:cs="Arial"/>
          <w:sz w:val="22"/>
          <w:szCs w:val="22"/>
          <w:lang w:val="en-GB"/>
        </w:rPr>
        <w:t>BirdLife</w:t>
      </w:r>
      <w:proofErr w:type="spellEnd"/>
      <w:r w:rsidR="00F51748">
        <w:rPr>
          <w:rFonts w:cs="Arial"/>
          <w:sz w:val="22"/>
          <w:szCs w:val="22"/>
          <w:lang w:val="en-GB"/>
        </w:rPr>
        <w:t xml:space="preserve"> Spain is clearly</w:t>
      </w:r>
      <w:r>
        <w:rPr>
          <w:rFonts w:cs="Arial"/>
          <w:sz w:val="22"/>
          <w:szCs w:val="22"/>
          <w:lang w:val="en-GB"/>
        </w:rPr>
        <w:t xml:space="preserve"> li</w:t>
      </w:r>
      <w:r w:rsidR="00F51748">
        <w:rPr>
          <w:rFonts w:cs="Arial"/>
          <w:sz w:val="22"/>
          <w:szCs w:val="22"/>
          <w:lang w:val="en-GB"/>
        </w:rPr>
        <w:t>mited to the period until COP12</w:t>
      </w:r>
      <w:r>
        <w:rPr>
          <w:rFonts w:cs="Arial"/>
          <w:sz w:val="22"/>
          <w:szCs w:val="22"/>
          <w:lang w:val="en-GB"/>
        </w:rPr>
        <w:t xml:space="preserve">. </w:t>
      </w:r>
      <w:r w:rsidR="005335BD">
        <w:rPr>
          <w:rFonts w:cs="Arial"/>
          <w:sz w:val="22"/>
          <w:szCs w:val="22"/>
          <w:lang w:val="en-GB"/>
        </w:rPr>
        <w:t>Considering the high impact o</w:t>
      </w:r>
      <w:r w:rsidR="00F51748">
        <w:rPr>
          <w:rFonts w:cs="Arial"/>
          <w:sz w:val="22"/>
          <w:szCs w:val="22"/>
          <w:lang w:val="en-GB"/>
        </w:rPr>
        <w:t>f poisoning on</w:t>
      </w:r>
      <w:r w:rsidR="00E315E1">
        <w:rPr>
          <w:rFonts w:cs="Arial"/>
          <w:sz w:val="22"/>
          <w:szCs w:val="22"/>
          <w:lang w:val="en-GB"/>
        </w:rPr>
        <w:t xml:space="preserve"> migratory birds</w:t>
      </w:r>
      <w:r w:rsidR="005457DB">
        <w:rPr>
          <w:rFonts w:cs="Arial"/>
          <w:sz w:val="22"/>
          <w:szCs w:val="22"/>
          <w:lang w:val="en-GB"/>
        </w:rPr>
        <w:t>, particularly with regard to specific poisoning sources and vulnerable bird taxa, e.g. birds of prey,</w:t>
      </w:r>
      <w:r w:rsidR="00E315E1">
        <w:rPr>
          <w:rFonts w:cs="Arial"/>
          <w:sz w:val="22"/>
          <w:szCs w:val="22"/>
          <w:lang w:val="en-GB"/>
        </w:rPr>
        <w:t xml:space="preserve"> and the </w:t>
      </w:r>
      <w:r w:rsidR="0014156C">
        <w:rPr>
          <w:rFonts w:cs="Arial"/>
          <w:sz w:val="22"/>
          <w:szCs w:val="22"/>
          <w:lang w:val="en-GB"/>
        </w:rPr>
        <w:t xml:space="preserve">limited </w:t>
      </w:r>
      <w:r w:rsidR="00E315E1">
        <w:rPr>
          <w:rFonts w:cs="Arial"/>
          <w:sz w:val="22"/>
          <w:szCs w:val="22"/>
          <w:lang w:val="en-GB"/>
        </w:rPr>
        <w:t>p</w:t>
      </w:r>
      <w:r w:rsidR="00185E1B">
        <w:rPr>
          <w:rFonts w:cs="Arial"/>
          <w:sz w:val="22"/>
          <w:szCs w:val="22"/>
          <w:lang w:val="en-GB"/>
        </w:rPr>
        <w:t>rogress of the implementation of</w:t>
      </w:r>
      <w:r w:rsidR="00E315E1">
        <w:rPr>
          <w:rFonts w:cs="Arial"/>
          <w:sz w:val="22"/>
          <w:szCs w:val="22"/>
          <w:lang w:val="en-GB"/>
        </w:rPr>
        <w:t xml:space="preserve"> Resolution 11.15 and </w:t>
      </w:r>
      <w:r w:rsidR="00F51748">
        <w:rPr>
          <w:rFonts w:cs="Arial"/>
          <w:sz w:val="22"/>
          <w:szCs w:val="22"/>
          <w:lang w:val="en-GB"/>
        </w:rPr>
        <w:t xml:space="preserve">the </w:t>
      </w:r>
      <w:r w:rsidR="00E315E1">
        <w:rPr>
          <w:rFonts w:cs="Arial"/>
          <w:sz w:val="22"/>
          <w:szCs w:val="22"/>
          <w:lang w:val="en-GB"/>
        </w:rPr>
        <w:t xml:space="preserve">Guidelines, </w:t>
      </w:r>
      <w:r w:rsidR="005335BD">
        <w:rPr>
          <w:rFonts w:cs="Arial"/>
          <w:sz w:val="22"/>
          <w:szCs w:val="22"/>
          <w:lang w:val="en-GB"/>
        </w:rPr>
        <w:t>the promotion of synergies</w:t>
      </w:r>
      <w:r w:rsidR="005457DB">
        <w:rPr>
          <w:rFonts w:cs="Arial"/>
          <w:sz w:val="22"/>
          <w:szCs w:val="22"/>
          <w:lang w:val="en-GB"/>
        </w:rPr>
        <w:t xml:space="preserve"> between the PPWG and VWG </w:t>
      </w:r>
      <w:r w:rsidR="005335BD">
        <w:rPr>
          <w:rFonts w:cs="Arial"/>
          <w:sz w:val="22"/>
          <w:szCs w:val="22"/>
          <w:lang w:val="en-GB"/>
        </w:rPr>
        <w:t xml:space="preserve">will be </w:t>
      </w:r>
      <w:r w:rsidR="00E315E1">
        <w:rPr>
          <w:rFonts w:cs="Arial"/>
          <w:sz w:val="22"/>
          <w:szCs w:val="22"/>
          <w:lang w:val="en-GB"/>
        </w:rPr>
        <w:t xml:space="preserve">very </w:t>
      </w:r>
      <w:r w:rsidR="005335BD">
        <w:rPr>
          <w:rFonts w:cs="Arial"/>
          <w:sz w:val="22"/>
          <w:szCs w:val="22"/>
          <w:lang w:val="en-GB"/>
        </w:rPr>
        <w:t xml:space="preserve">important for </w:t>
      </w:r>
      <w:r w:rsidR="00777F31">
        <w:rPr>
          <w:rFonts w:cs="Arial"/>
          <w:sz w:val="22"/>
          <w:szCs w:val="22"/>
          <w:lang w:val="en-GB"/>
        </w:rPr>
        <w:t xml:space="preserve">implementing the PPWG’s POW and </w:t>
      </w:r>
      <w:r w:rsidR="005335BD">
        <w:rPr>
          <w:rFonts w:cs="Arial"/>
          <w:sz w:val="22"/>
          <w:szCs w:val="22"/>
          <w:lang w:val="en-GB"/>
        </w:rPr>
        <w:t>achieving the goals of</w:t>
      </w:r>
      <w:r w:rsidR="00777F31">
        <w:rPr>
          <w:rFonts w:cs="Arial"/>
          <w:sz w:val="22"/>
          <w:szCs w:val="22"/>
          <w:lang w:val="en-GB"/>
        </w:rPr>
        <w:t xml:space="preserve"> the proposed Vulture </w:t>
      </w:r>
      <w:proofErr w:type="spellStart"/>
      <w:r w:rsidR="00777F31">
        <w:rPr>
          <w:rFonts w:cs="Arial"/>
          <w:sz w:val="22"/>
          <w:szCs w:val="22"/>
          <w:lang w:val="en-GB"/>
        </w:rPr>
        <w:t>MsAP</w:t>
      </w:r>
      <w:proofErr w:type="spellEnd"/>
      <w:r w:rsidR="005457DB">
        <w:rPr>
          <w:rFonts w:cs="Arial"/>
          <w:sz w:val="22"/>
          <w:szCs w:val="22"/>
          <w:lang w:val="en-GB"/>
        </w:rPr>
        <w:t xml:space="preserve">. Being aware that the target-oriented activity of the </w:t>
      </w:r>
      <w:r w:rsidR="00374425">
        <w:rPr>
          <w:rFonts w:cs="Arial"/>
          <w:sz w:val="22"/>
          <w:szCs w:val="22"/>
          <w:lang w:val="en-GB"/>
        </w:rPr>
        <w:t>PPWG would be strongly supported</w:t>
      </w:r>
      <w:r w:rsidR="005457DB">
        <w:rPr>
          <w:rFonts w:cs="Arial"/>
          <w:sz w:val="22"/>
          <w:szCs w:val="22"/>
          <w:lang w:val="en-GB"/>
        </w:rPr>
        <w:t xml:space="preserve"> by a </w:t>
      </w:r>
      <w:r w:rsidR="00374425">
        <w:rPr>
          <w:rFonts w:cs="Arial"/>
          <w:sz w:val="22"/>
          <w:szCs w:val="22"/>
          <w:lang w:val="en-GB"/>
        </w:rPr>
        <w:t xml:space="preserve">qualified </w:t>
      </w:r>
      <w:r w:rsidR="005457DB">
        <w:rPr>
          <w:rFonts w:cs="Arial"/>
          <w:sz w:val="22"/>
          <w:szCs w:val="22"/>
          <w:lang w:val="en-GB"/>
        </w:rPr>
        <w:t xml:space="preserve">regular Coordinator, </w:t>
      </w:r>
      <w:r w:rsidR="00374425">
        <w:rPr>
          <w:rFonts w:cs="Arial"/>
          <w:sz w:val="22"/>
          <w:szCs w:val="22"/>
          <w:lang w:val="en-GB"/>
        </w:rPr>
        <w:t xml:space="preserve">availability of </w:t>
      </w:r>
      <w:r w:rsidR="005457DB">
        <w:rPr>
          <w:rFonts w:cs="Arial"/>
          <w:sz w:val="22"/>
          <w:szCs w:val="22"/>
          <w:lang w:val="en-GB"/>
        </w:rPr>
        <w:t>funding resources for this position</w:t>
      </w:r>
      <w:r w:rsidR="00374425">
        <w:rPr>
          <w:rFonts w:cs="Arial"/>
          <w:sz w:val="22"/>
          <w:szCs w:val="22"/>
          <w:lang w:val="en-GB"/>
        </w:rPr>
        <w:t xml:space="preserve"> would be a significant step for the efficient accomplishment of the POW, </w:t>
      </w:r>
      <w:r>
        <w:rPr>
          <w:rFonts w:cs="Arial"/>
          <w:sz w:val="22"/>
          <w:szCs w:val="22"/>
          <w:lang w:val="en-GB"/>
        </w:rPr>
        <w:t xml:space="preserve">generating higher </w:t>
      </w:r>
      <w:r>
        <w:rPr>
          <w:rFonts w:cs="Arial"/>
          <w:sz w:val="22"/>
          <w:szCs w:val="22"/>
          <w:lang w:val="en-GB"/>
        </w:rPr>
        <w:lastRenderedPageBreak/>
        <w:t>effectiveness in the national, regional and global implementation of both the Guidelines and the action</w:t>
      </w:r>
      <w:r w:rsidR="00F51748">
        <w:rPr>
          <w:rFonts w:cs="Arial"/>
          <w:sz w:val="22"/>
          <w:szCs w:val="22"/>
          <w:lang w:val="en-GB"/>
        </w:rPr>
        <w:t xml:space="preserve">s defined in the Vulture </w:t>
      </w:r>
      <w:proofErr w:type="spellStart"/>
      <w:r w:rsidR="00F51748">
        <w:rPr>
          <w:rFonts w:cs="Arial"/>
          <w:sz w:val="22"/>
          <w:szCs w:val="22"/>
          <w:lang w:val="en-GB"/>
        </w:rPr>
        <w:t>MsAP</w:t>
      </w:r>
      <w:proofErr w:type="spellEnd"/>
      <w:r w:rsidR="00F51748">
        <w:rPr>
          <w:rFonts w:cs="Arial"/>
          <w:sz w:val="22"/>
          <w:szCs w:val="22"/>
          <w:lang w:val="en-GB"/>
        </w:rPr>
        <w:t>.</w:t>
      </w:r>
    </w:p>
    <w:p w14:paraId="0CA95656" w14:textId="58EEBFB0" w:rsidR="00446B38" w:rsidRDefault="00446B38" w:rsidP="008575E5">
      <w:pPr>
        <w:jc w:val="both"/>
        <w:rPr>
          <w:rFonts w:cs="Arial"/>
          <w:sz w:val="22"/>
          <w:szCs w:val="22"/>
          <w:lang w:val="en-GB"/>
        </w:rPr>
      </w:pPr>
    </w:p>
    <w:p w14:paraId="45F33969" w14:textId="4E051A6E" w:rsidR="00FF57B0" w:rsidRPr="00FF57B0" w:rsidRDefault="00446B38" w:rsidP="00FF57B0">
      <w:pPr>
        <w:pStyle w:val="ListParagraph"/>
        <w:numPr>
          <w:ilvl w:val="0"/>
          <w:numId w:val="2"/>
        </w:numPr>
        <w:jc w:val="both"/>
        <w:rPr>
          <w:rFonts w:cs="Arial"/>
          <w:sz w:val="22"/>
          <w:szCs w:val="22"/>
          <w:lang w:val="en-GB"/>
        </w:rPr>
      </w:pPr>
      <w:r>
        <w:rPr>
          <w:rFonts w:cs="Arial"/>
          <w:sz w:val="22"/>
          <w:szCs w:val="22"/>
          <w:lang w:val="en-GB"/>
        </w:rPr>
        <w:t>The strong initiative for the establishment of the Lead Task Force</w:t>
      </w:r>
      <w:r w:rsidR="00680EC9">
        <w:rPr>
          <w:rFonts w:cs="Arial"/>
          <w:sz w:val="22"/>
          <w:szCs w:val="22"/>
          <w:lang w:val="en-GB"/>
        </w:rPr>
        <w:t xml:space="preserve"> demands efficient</w:t>
      </w:r>
      <w:r>
        <w:rPr>
          <w:rFonts w:cs="Arial"/>
          <w:sz w:val="22"/>
          <w:szCs w:val="22"/>
          <w:lang w:val="en-GB"/>
        </w:rPr>
        <w:t xml:space="preserve"> </w:t>
      </w:r>
      <w:r w:rsidR="00680EC9">
        <w:rPr>
          <w:rFonts w:cs="Arial"/>
          <w:sz w:val="22"/>
          <w:szCs w:val="22"/>
          <w:lang w:val="en-GB"/>
        </w:rPr>
        <w:t>implementation of its</w:t>
      </w:r>
      <w:r>
        <w:rPr>
          <w:rFonts w:cs="Arial"/>
          <w:sz w:val="22"/>
          <w:szCs w:val="22"/>
          <w:lang w:val="en-GB"/>
        </w:rPr>
        <w:t xml:space="preserve"> </w:t>
      </w:r>
      <w:r w:rsidR="00680EC9">
        <w:rPr>
          <w:rFonts w:cs="Arial"/>
          <w:sz w:val="22"/>
          <w:szCs w:val="22"/>
          <w:lang w:val="en-GB"/>
        </w:rPr>
        <w:t xml:space="preserve">proposed </w:t>
      </w:r>
      <w:r>
        <w:rPr>
          <w:rFonts w:cs="Arial"/>
          <w:sz w:val="22"/>
          <w:szCs w:val="22"/>
          <w:lang w:val="en-GB"/>
        </w:rPr>
        <w:t>actions</w:t>
      </w:r>
      <w:r w:rsidR="00680EC9">
        <w:rPr>
          <w:rFonts w:cs="Arial"/>
          <w:sz w:val="22"/>
          <w:szCs w:val="22"/>
          <w:lang w:val="en-GB"/>
        </w:rPr>
        <w:t xml:space="preserve"> in the frame</w:t>
      </w:r>
      <w:r w:rsidR="0014156C">
        <w:rPr>
          <w:rFonts w:cs="Arial"/>
          <w:sz w:val="22"/>
          <w:szCs w:val="22"/>
          <w:lang w:val="en-GB"/>
        </w:rPr>
        <w:t>work</w:t>
      </w:r>
      <w:r w:rsidR="00680EC9">
        <w:rPr>
          <w:rFonts w:cs="Arial"/>
          <w:sz w:val="22"/>
          <w:szCs w:val="22"/>
          <w:lang w:val="en-GB"/>
        </w:rPr>
        <w:t xml:space="preserve"> of the POW of the PPWG, including the necessary negotiations between various strongly involved stakeholders, which can be only achieved by </w:t>
      </w:r>
      <w:r>
        <w:rPr>
          <w:rFonts w:cs="Arial"/>
          <w:sz w:val="22"/>
          <w:szCs w:val="22"/>
          <w:lang w:val="en-GB"/>
        </w:rPr>
        <w:t>regular coordination</w:t>
      </w:r>
      <w:r w:rsidR="00680EC9">
        <w:rPr>
          <w:rFonts w:cs="Arial"/>
          <w:sz w:val="22"/>
          <w:szCs w:val="22"/>
          <w:lang w:val="en-GB"/>
        </w:rPr>
        <w:t xml:space="preserve">. </w:t>
      </w:r>
      <w:r w:rsidR="0014156C">
        <w:rPr>
          <w:rFonts w:cs="Arial"/>
          <w:sz w:val="22"/>
          <w:szCs w:val="22"/>
          <w:lang w:val="en-GB"/>
        </w:rPr>
        <w:t xml:space="preserve">As a </w:t>
      </w:r>
      <w:r w:rsidR="00680EC9">
        <w:rPr>
          <w:rFonts w:cs="Arial"/>
          <w:sz w:val="22"/>
          <w:szCs w:val="22"/>
          <w:lang w:val="en-GB"/>
        </w:rPr>
        <w:t xml:space="preserve">consequence, funding resources for a Coordinator of the </w:t>
      </w:r>
      <w:r w:rsidR="00A428A7">
        <w:rPr>
          <w:rFonts w:cs="Arial"/>
          <w:sz w:val="22"/>
          <w:szCs w:val="22"/>
          <w:lang w:val="en-GB"/>
        </w:rPr>
        <w:t xml:space="preserve">PPWG, who will </w:t>
      </w:r>
      <w:r w:rsidR="000A78C8">
        <w:rPr>
          <w:rFonts w:cs="Arial"/>
          <w:sz w:val="22"/>
          <w:szCs w:val="22"/>
          <w:lang w:val="en-GB"/>
        </w:rPr>
        <w:t>also</w:t>
      </w:r>
      <w:r w:rsidR="00A428A7">
        <w:rPr>
          <w:rFonts w:cs="Arial"/>
          <w:sz w:val="22"/>
          <w:szCs w:val="22"/>
          <w:lang w:val="en-GB"/>
        </w:rPr>
        <w:t xml:space="preserve"> cover the coordination of the </w:t>
      </w:r>
      <w:r w:rsidR="00680EC9">
        <w:rPr>
          <w:rFonts w:cs="Arial"/>
          <w:sz w:val="22"/>
          <w:szCs w:val="22"/>
          <w:lang w:val="en-GB"/>
        </w:rPr>
        <w:t>Lead Task Force</w:t>
      </w:r>
      <w:r w:rsidR="00A428A7">
        <w:rPr>
          <w:rFonts w:cs="Arial"/>
          <w:sz w:val="22"/>
          <w:szCs w:val="22"/>
          <w:lang w:val="en-GB"/>
        </w:rPr>
        <w:t>,</w:t>
      </w:r>
      <w:r w:rsidR="00680EC9">
        <w:rPr>
          <w:rFonts w:cs="Arial"/>
          <w:sz w:val="22"/>
          <w:szCs w:val="22"/>
          <w:lang w:val="en-GB"/>
        </w:rPr>
        <w:t xml:space="preserve"> would be an important factor </w:t>
      </w:r>
      <w:r w:rsidR="0014156C">
        <w:rPr>
          <w:rFonts w:cs="Arial"/>
          <w:sz w:val="22"/>
          <w:szCs w:val="22"/>
          <w:lang w:val="en-GB"/>
        </w:rPr>
        <w:t>enabling</w:t>
      </w:r>
      <w:r w:rsidR="0024379F" w:rsidRPr="0024379F">
        <w:rPr>
          <w:rFonts w:cs="Arial"/>
          <w:sz w:val="22"/>
          <w:szCs w:val="22"/>
          <w:lang w:val="en-GB"/>
        </w:rPr>
        <w:t xml:space="preserve"> the Task Force </w:t>
      </w:r>
      <w:r w:rsidR="0014156C">
        <w:rPr>
          <w:rFonts w:cs="Arial"/>
          <w:sz w:val="22"/>
          <w:szCs w:val="22"/>
          <w:lang w:val="en-GB"/>
        </w:rPr>
        <w:t>to fulfil</w:t>
      </w:r>
      <w:r w:rsidR="0024379F" w:rsidRPr="0024379F">
        <w:rPr>
          <w:rFonts w:cs="Arial"/>
          <w:sz w:val="22"/>
          <w:szCs w:val="22"/>
          <w:lang w:val="en-GB"/>
        </w:rPr>
        <w:t xml:space="preserve"> its proposed </w:t>
      </w:r>
      <w:r w:rsidR="0024379F" w:rsidRPr="00FF57B0">
        <w:rPr>
          <w:rFonts w:cs="Arial"/>
          <w:sz w:val="22"/>
          <w:szCs w:val="22"/>
          <w:lang w:val="en-GB"/>
        </w:rPr>
        <w:t>TOR.</w:t>
      </w:r>
    </w:p>
    <w:p w14:paraId="3B2A2A94" w14:textId="1C487C56" w:rsidR="00FF57B0" w:rsidRPr="00FF57B0" w:rsidRDefault="00FF57B0" w:rsidP="00FF57B0">
      <w:pPr>
        <w:jc w:val="both"/>
        <w:rPr>
          <w:rFonts w:cs="Arial"/>
          <w:sz w:val="22"/>
          <w:szCs w:val="22"/>
          <w:lang w:val="en-GB"/>
        </w:rPr>
      </w:pPr>
    </w:p>
    <w:p w14:paraId="23D6B60D" w14:textId="6E44A4E0" w:rsidR="00FF57B0" w:rsidRPr="00FF57B0" w:rsidRDefault="00FF57B0" w:rsidP="00FF57B0">
      <w:pPr>
        <w:jc w:val="both"/>
        <w:rPr>
          <w:rFonts w:cs="Arial"/>
          <w:color w:val="000000"/>
          <w:sz w:val="22"/>
          <w:szCs w:val="22"/>
          <w:u w:val="single"/>
        </w:rPr>
      </w:pPr>
      <w:r w:rsidRPr="00FF57B0">
        <w:rPr>
          <w:rFonts w:cs="Arial"/>
          <w:color w:val="000000"/>
          <w:sz w:val="22"/>
          <w:szCs w:val="22"/>
          <w:u w:val="single"/>
        </w:rPr>
        <w:t xml:space="preserve">Resolution </w:t>
      </w:r>
      <w:r>
        <w:rPr>
          <w:rFonts w:cs="Arial"/>
          <w:color w:val="000000"/>
          <w:sz w:val="22"/>
          <w:szCs w:val="22"/>
          <w:u w:val="single"/>
        </w:rPr>
        <w:t>11.15</w:t>
      </w:r>
    </w:p>
    <w:p w14:paraId="49124F9F" w14:textId="77777777" w:rsidR="00FF57B0" w:rsidRPr="00FF57B0" w:rsidRDefault="00FF57B0" w:rsidP="00FF57B0">
      <w:pPr>
        <w:jc w:val="both"/>
        <w:rPr>
          <w:rFonts w:cs="Arial"/>
          <w:sz w:val="22"/>
          <w:szCs w:val="22"/>
          <w:lang w:val="en-GB"/>
        </w:rPr>
      </w:pPr>
    </w:p>
    <w:p w14:paraId="6AF56F87" w14:textId="1E2106E4" w:rsidR="00FF57B0" w:rsidRPr="00FF57B0" w:rsidRDefault="00FF57B0" w:rsidP="00FF57B0">
      <w:pPr>
        <w:pStyle w:val="ListParagraph"/>
        <w:numPr>
          <w:ilvl w:val="0"/>
          <w:numId w:val="2"/>
        </w:numPr>
        <w:jc w:val="both"/>
        <w:rPr>
          <w:rFonts w:cs="Arial"/>
          <w:sz w:val="22"/>
          <w:szCs w:val="22"/>
          <w:lang w:val="en-GB"/>
        </w:rPr>
      </w:pPr>
      <w:r w:rsidRPr="00FF57B0">
        <w:rPr>
          <w:rFonts w:cs="Arial"/>
          <w:color w:val="000000"/>
          <w:sz w:val="22"/>
          <w:szCs w:val="22"/>
        </w:rPr>
        <w:t>In order to incorporate recent developments and suggestions made by the Preventing Poisoning Working Group, new text has been inserted in Resolution 11.15.</w:t>
      </w:r>
    </w:p>
    <w:p w14:paraId="6877EB3F" w14:textId="77777777" w:rsidR="007910DD" w:rsidRPr="0024379F" w:rsidRDefault="007910DD" w:rsidP="008575E5">
      <w:pPr>
        <w:jc w:val="both"/>
        <w:rPr>
          <w:rFonts w:cs="Arial"/>
          <w:sz w:val="22"/>
          <w:szCs w:val="22"/>
          <w:lang w:val="en-GB"/>
        </w:rPr>
      </w:pPr>
    </w:p>
    <w:p w14:paraId="5B88BD35" w14:textId="77777777" w:rsidR="007910DD" w:rsidRPr="0024379F" w:rsidRDefault="0090059C" w:rsidP="008575E5">
      <w:pPr>
        <w:jc w:val="both"/>
        <w:rPr>
          <w:rFonts w:cs="Arial"/>
          <w:sz w:val="22"/>
          <w:szCs w:val="22"/>
          <w:lang w:val="en-GB"/>
        </w:rPr>
      </w:pPr>
      <w:r w:rsidRPr="0024379F">
        <w:rPr>
          <w:rFonts w:cs="Arial"/>
          <w:sz w:val="22"/>
          <w:szCs w:val="22"/>
          <w:u w:val="single"/>
          <w:lang w:val="en-GB"/>
        </w:rPr>
        <w:t>Recommended actions</w:t>
      </w:r>
    </w:p>
    <w:p w14:paraId="27CF749F" w14:textId="77777777" w:rsidR="007910DD" w:rsidRPr="0024379F" w:rsidRDefault="007910DD" w:rsidP="008575E5">
      <w:pPr>
        <w:jc w:val="both"/>
        <w:rPr>
          <w:rFonts w:cs="Arial"/>
          <w:sz w:val="22"/>
          <w:szCs w:val="22"/>
          <w:lang w:val="en-GB"/>
        </w:rPr>
      </w:pPr>
    </w:p>
    <w:p w14:paraId="5CB9AD7C" w14:textId="77777777" w:rsidR="007910DD" w:rsidRPr="0024379F" w:rsidRDefault="007910DD" w:rsidP="008575E5">
      <w:pPr>
        <w:numPr>
          <w:ilvl w:val="0"/>
          <w:numId w:val="2"/>
        </w:numPr>
        <w:jc w:val="both"/>
        <w:rPr>
          <w:rFonts w:cs="Arial"/>
          <w:sz w:val="22"/>
          <w:szCs w:val="22"/>
          <w:lang w:val="en-GB"/>
        </w:rPr>
      </w:pPr>
      <w:r w:rsidRPr="0024379F">
        <w:rPr>
          <w:rFonts w:cs="Arial"/>
          <w:sz w:val="22"/>
          <w:szCs w:val="22"/>
          <w:lang w:val="en-GB" w:eastAsia="en-GB"/>
        </w:rPr>
        <w:t xml:space="preserve">The Conference of the Parties is </w:t>
      </w:r>
      <w:r w:rsidR="00691001" w:rsidRPr="0024379F">
        <w:rPr>
          <w:rFonts w:cs="Arial"/>
          <w:sz w:val="22"/>
          <w:szCs w:val="22"/>
          <w:lang w:val="en-GB" w:eastAsia="en-GB"/>
        </w:rPr>
        <w:t>recommended</w:t>
      </w:r>
      <w:r w:rsidRPr="0024379F">
        <w:rPr>
          <w:rFonts w:cs="Arial"/>
          <w:sz w:val="22"/>
          <w:szCs w:val="22"/>
          <w:lang w:val="en-GB" w:eastAsia="en-GB"/>
        </w:rPr>
        <w:t xml:space="preserve"> to</w:t>
      </w:r>
      <w:r w:rsidRPr="0024379F">
        <w:rPr>
          <w:rFonts w:cs="Arial"/>
          <w:sz w:val="22"/>
          <w:szCs w:val="22"/>
          <w:lang w:val="en-GB"/>
        </w:rPr>
        <w:t>:</w:t>
      </w:r>
    </w:p>
    <w:p w14:paraId="15CDA1E1" w14:textId="47E92D99" w:rsidR="007910DD" w:rsidRPr="00BA11E7" w:rsidRDefault="007910DD" w:rsidP="008575E5">
      <w:pPr>
        <w:jc w:val="both"/>
        <w:rPr>
          <w:rFonts w:cs="Arial"/>
          <w:sz w:val="22"/>
          <w:szCs w:val="22"/>
          <w:lang w:val="en-GB"/>
        </w:rPr>
      </w:pPr>
    </w:p>
    <w:p w14:paraId="2D65BB98" w14:textId="60290BD2" w:rsidR="007910DD" w:rsidRDefault="007910DD" w:rsidP="008575E5">
      <w:pPr>
        <w:widowControl/>
        <w:numPr>
          <w:ilvl w:val="0"/>
          <w:numId w:val="3"/>
        </w:numPr>
        <w:autoSpaceDE/>
        <w:adjustRightInd/>
        <w:contextualSpacing/>
        <w:jc w:val="both"/>
        <w:rPr>
          <w:rFonts w:cs="Arial"/>
          <w:sz w:val="22"/>
          <w:szCs w:val="22"/>
          <w:lang w:val="en-GB"/>
        </w:rPr>
      </w:pPr>
      <w:r w:rsidRPr="0024379F">
        <w:rPr>
          <w:rFonts w:cs="Arial"/>
          <w:sz w:val="22"/>
          <w:szCs w:val="22"/>
          <w:lang w:val="en-GB"/>
        </w:rPr>
        <w:t>adopt</w:t>
      </w:r>
      <w:r w:rsidR="00D96890">
        <w:rPr>
          <w:rFonts w:cs="Arial"/>
          <w:sz w:val="22"/>
          <w:szCs w:val="22"/>
          <w:lang w:val="en-GB"/>
        </w:rPr>
        <w:t xml:space="preserve"> </w:t>
      </w:r>
      <w:r w:rsidR="0019248C">
        <w:rPr>
          <w:rFonts w:cs="Arial"/>
          <w:sz w:val="22"/>
          <w:szCs w:val="22"/>
          <w:lang w:val="en-GB"/>
        </w:rPr>
        <w:t>the amendments to</w:t>
      </w:r>
      <w:r w:rsidRPr="0024379F">
        <w:rPr>
          <w:rFonts w:cs="Arial"/>
          <w:sz w:val="22"/>
          <w:szCs w:val="22"/>
          <w:lang w:val="en-GB"/>
        </w:rPr>
        <w:t xml:space="preserve"> Resolution</w:t>
      </w:r>
      <w:r w:rsidR="00BA11E7">
        <w:rPr>
          <w:rFonts w:cs="Arial"/>
          <w:sz w:val="22"/>
          <w:szCs w:val="22"/>
          <w:lang w:val="en-GB"/>
        </w:rPr>
        <w:t xml:space="preserve"> 11.15</w:t>
      </w:r>
      <w:r w:rsidR="009F6DEE">
        <w:rPr>
          <w:rFonts w:cs="Arial"/>
          <w:sz w:val="22"/>
          <w:szCs w:val="22"/>
          <w:lang w:val="en-GB"/>
        </w:rPr>
        <w:t xml:space="preserve"> </w:t>
      </w:r>
      <w:r w:rsidR="0024379F">
        <w:rPr>
          <w:rFonts w:cs="Arial"/>
          <w:sz w:val="22"/>
          <w:szCs w:val="22"/>
          <w:lang w:val="en-GB"/>
        </w:rPr>
        <w:t xml:space="preserve">contained in Annex 1 </w:t>
      </w:r>
      <w:r w:rsidRPr="0024379F">
        <w:rPr>
          <w:rFonts w:cs="Arial"/>
          <w:sz w:val="22"/>
          <w:szCs w:val="22"/>
          <w:lang w:val="en-GB"/>
        </w:rPr>
        <w:t>of this document;</w:t>
      </w:r>
    </w:p>
    <w:p w14:paraId="2D1B96E2" w14:textId="77777777" w:rsidR="00BA11E7" w:rsidRDefault="00BA11E7" w:rsidP="008575E5">
      <w:pPr>
        <w:pStyle w:val="ListParagraph"/>
        <w:jc w:val="both"/>
        <w:rPr>
          <w:rFonts w:cs="Arial"/>
          <w:sz w:val="22"/>
          <w:szCs w:val="22"/>
          <w:lang w:val="en-GB"/>
        </w:rPr>
      </w:pPr>
    </w:p>
    <w:p w14:paraId="06983DA4" w14:textId="113AE222" w:rsidR="00BA11E7" w:rsidRPr="0024379F" w:rsidRDefault="00BA11E7" w:rsidP="008575E5">
      <w:pPr>
        <w:widowControl/>
        <w:numPr>
          <w:ilvl w:val="0"/>
          <w:numId w:val="3"/>
        </w:numPr>
        <w:autoSpaceDE/>
        <w:adjustRightInd/>
        <w:contextualSpacing/>
        <w:jc w:val="both"/>
        <w:rPr>
          <w:rFonts w:cs="Arial"/>
          <w:sz w:val="22"/>
          <w:szCs w:val="22"/>
          <w:lang w:val="en-GB"/>
        </w:rPr>
      </w:pPr>
      <w:r>
        <w:rPr>
          <w:rFonts w:cs="Arial"/>
          <w:sz w:val="22"/>
          <w:szCs w:val="22"/>
          <w:lang w:val="en-GB"/>
        </w:rPr>
        <w:t>adopt the draft Decisions</w:t>
      </w:r>
      <w:r w:rsidRPr="0024379F">
        <w:rPr>
          <w:rFonts w:cs="Arial"/>
          <w:sz w:val="22"/>
          <w:szCs w:val="22"/>
          <w:lang w:val="en-GB"/>
        </w:rPr>
        <w:t xml:space="preserve"> </w:t>
      </w:r>
      <w:r>
        <w:rPr>
          <w:rFonts w:cs="Arial"/>
          <w:sz w:val="22"/>
          <w:szCs w:val="22"/>
          <w:lang w:val="en-GB"/>
        </w:rPr>
        <w:t xml:space="preserve">contained in Annex 2 </w:t>
      </w:r>
      <w:r w:rsidRPr="0024379F">
        <w:rPr>
          <w:rFonts w:cs="Arial"/>
          <w:sz w:val="22"/>
          <w:szCs w:val="22"/>
          <w:lang w:val="en-GB"/>
        </w:rPr>
        <w:t>of this document</w:t>
      </w:r>
      <w:r w:rsidR="00F51748">
        <w:rPr>
          <w:rFonts w:cs="Arial"/>
          <w:sz w:val="22"/>
          <w:szCs w:val="22"/>
          <w:lang w:val="en-GB"/>
        </w:rPr>
        <w:t>;</w:t>
      </w:r>
    </w:p>
    <w:p w14:paraId="61846937" w14:textId="77777777" w:rsidR="0024379F" w:rsidRDefault="0024379F" w:rsidP="008575E5">
      <w:pPr>
        <w:pStyle w:val="ListParagraph"/>
        <w:jc w:val="both"/>
        <w:rPr>
          <w:rFonts w:cs="Arial"/>
          <w:sz w:val="22"/>
          <w:szCs w:val="22"/>
          <w:lang w:val="en-GB"/>
        </w:rPr>
      </w:pPr>
    </w:p>
    <w:p w14:paraId="2B570647" w14:textId="152AA5E7" w:rsidR="00F51748" w:rsidRDefault="0024379F" w:rsidP="008575E5">
      <w:pPr>
        <w:widowControl/>
        <w:numPr>
          <w:ilvl w:val="0"/>
          <w:numId w:val="3"/>
        </w:numPr>
        <w:autoSpaceDE/>
        <w:adjustRightInd/>
        <w:contextualSpacing/>
        <w:jc w:val="both"/>
        <w:rPr>
          <w:rFonts w:cs="Arial"/>
          <w:sz w:val="22"/>
          <w:szCs w:val="22"/>
          <w:lang w:val="en-GB"/>
        </w:rPr>
      </w:pPr>
      <w:r>
        <w:rPr>
          <w:rFonts w:cs="Arial"/>
          <w:sz w:val="22"/>
          <w:szCs w:val="22"/>
          <w:lang w:val="en-GB"/>
        </w:rPr>
        <w:t xml:space="preserve">adopt the Terms of Reference of the Lead </w:t>
      </w:r>
      <w:r w:rsidR="00BA11E7">
        <w:rPr>
          <w:rFonts w:cs="Arial"/>
          <w:sz w:val="22"/>
          <w:szCs w:val="22"/>
          <w:lang w:val="en-GB"/>
        </w:rPr>
        <w:t>Ta</w:t>
      </w:r>
      <w:r w:rsidR="00F51748">
        <w:rPr>
          <w:rFonts w:cs="Arial"/>
          <w:sz w:val="22"/>
          <w:szCs w:val="22"/>
          <w:lang w:val="en-GB"/>
        </w:rPr>
        <w:t>sk Force</w:t>
      </w:r>
      <w:r w:rsidR="00A21145">
        <w:rPr>
          <w:rFonts w:cs="Arial"/>
          <w:sz w:val="22"/>
          <w:szCs w:val="22"/>
          <w:lang w:val="en-GB"/>
        </w:rPr>
        <w:t xml:space="preserve"> contained in Annex 3 of this document</w:t>
      </w:r>
      <w:r w:rsidR="0019248C">
        <w:rPr>
          <w:rFonts w:cs="Arial"/>
          <w:sz w:val="22"/>
          <w:szCs w:val="22"/>
          <w:lang w:val="en-GB"/>
        </w:rPr>
        <w:t>;</w:t>
      </w:r>
    </w:p>
    <w:p w14:paraId="7CD61FD0" w14:textId="77777777" w:rsidR="007C5459" w:rsidRDefault="007C5459" w:rsidP="007C5459">
      <w:pPr>
        <w:pStyle w:val="ListParagraph"/>
        <w:rPr>
          <w:rFonts w:cs="Arial"/>
          <w:sz w:val="22"/>
          <w:szCs w:val="22"/>
          <w:lang w:val="en-GB"/>
        </w:rPr>
      </w:pPr>
    </w:p>
    <w:p w14:paraId="3D01C6E8" w14:textId="733E666D" w:rsidR="007C5459" w:rsidRDefault="007C5459" w:rsidP="007C5459">
      <w:pPr>
        <w:widowControl/>
        <w:numPr>
          <w:ilvl w:val="0"/>
          <w:numId w:val="3"/>
        </w:numPr>
        <w:autoSpaceDE/>
        <w:adjustRightInd/>
        <w:contextualSpacing/>
        <w:jc w:val="both"/>
        <w:rPr>
          <w:rFonts w:cs="Arial"/>
          <w:sz w:val="22"/>
          <w:szCs w:val="22"/>
          <w:lang w:val="en-GB"/>
        </w:rPr>
      </w:pPr>
      <w:r>
        <w:rPr>
          <w:rFonts w:cs="Arial"/>
          <w:sz w:val="22"/>
          <w:szCs w:val="22"/>
          <w:lang w:val="en-GB"/>
        </w:rPr>
        <w:t>repeal Resolution 10.</w:t>
      </w:r>
      <w:r w:rsidR="00B25F39">
        <w:rPr>
          <w:rFonts w:cs="Arial"/>
          <w:sz w:val="22"/>
          <w:szCs w:val="22"/>
          <w:lang w:val="en-GB"/>
        </w:rPr>
        <w:t>2</w:t>
      </w:r>
      <w:r>
        <w:rPr>
          <w:rFonts w:cs="Arial"/>
          <w:sz w:val="22"/>
          <w:szCs w:val="22"/>
          <w:lang w:val="en-GB"/>
        </w:rPr>
        <w:t>6.</w:t>
      </w:r>
    </w:p>
    <w:p w14:paraId="0ACB56D1" w14:textId="77777777" w:rsidR="007C5459" w:rsidRDefault="007C5459" w:rsidP="007C5459">
      <w:pPr>
        <w:widowControl/>
        <w:autoSpaceDE/>
        <w:adjustRightInd/>
        <w:ind w:left="1440"/>
        <w:contextualSpacing/>
        <w:jc w:val="both"/>
        <w:rPr>
          <w:rFonts w:cs="Arial"/>
          <w:sz w:val="22"/>
          <w:szCs w:val="22"/>
          <w:lang w:val="en-GB"/>
        </w:rPr>
      </w:pPr>
    </w:p>
    <w:p w14:paraId="69EEF151" w14:textId="77777777" w:rsidR="00F51748" w:rsidRDefault="00F51748" w:rsidP="00F51748">
      <w:pPr>
        <w:pStyle w:val="ListParagraph"/>
        <w:rPr>
          <w:rFonts w:cs="Arial"/>
          <w:sz w:val="22"/>
          <w:szCs w:val="22"/>
          <w:lang w:val="en-GB"/>
        </w:rPr>
      </w:pPr>
    </w:p>
    <w:p w14:paraId="600E3C73" w14:textId="77777777" w:rsidR="00375362" w:rsidRDefault="00375362" w:rsidP="00375362">
      <w:pPr>
        <w:pStyle w:val="ListParagraph"/>
        <w:rPr>
          <w:rFonts w:cs="Arial"/>
          <w:sz w:val="22"/>
          <w:szCs w:val="22"/>
          <w:lang w:val="en-GB"/>
        </w:rPr>
      </w:pPr>
    </w:p>
    <w:p w14:paraId="1C10A4B9" w14:textId="23A7A531" w:rsidR="00375362" w:rsidRDefault="00375362" w:rsidP="00375362">
      <w:pPr>
        <w:widowControl/>
        <w:autoSpaceDE/>
        <w:adjustRightInd/>
        <w:contextualSpacing/>
        <w:jc w:val="both"/>
        <w:rPr>
          <w:rFonts w:cs="Arial"/>
          <w:sz w:val="22"/>
          <w:szCs w:val="22"/>
          <w:lang w:val="en-GB"/>
        </w:rPr>
      </w:pPr>
    </w:p>
    <w:p w14:paraId="71791B38" w14:textId="2746E49A" w:rsidR="00375362" w:rsidRDefault="00375362" w:rsidP="00375362">
      <w:pPr>
        <w:widowControl/>
        <w:autoSpaceDE/>
        <w:adjustRightInd/>
        <w:contextualSpacing/>
        <w:jc w:val="both"/>
        <w:rPr>
          <w:rFonts w:cs="Arial"/>
          <w:sz w:val="22"/>
          <w:szCs w:val="22"/>
          <w:lang w:val="en-GB"/>
        </w:rPr>
      </w:pPr>
    </w:p>
    <w:p w14:paraId="519A5C9A" w14:textId="77777777" w:rsidR="00375362" w:rsidRDefault="00375362" w:rsidP="00375362">
      <w:pPr>
        <w:widowControl/>
        <w:autoSpaceDE/>
        <w:adjustRightInd/>
        <w:contextualSpacing/>
        <w:jc w:val="both"/>
        <w:rPr>
          <w:rFonts w:cs="Arial"/>
          <w:sz w:val="22"/>
          <w:szCs w:val="22"/>
          <w:lang w:val="en-GB"/>
        </w:rPr>
      </w:pPr>
    </w:p>
    <w:p w14:paraId="769FCFBB" w14:textId="79995B31" w:rsidR="00375362" w:rsidRDefault="00375362" w:rsidP="00375362">
      <w:pPr>
        <w:widowControl/>
        <w:autoSpaceDE/>
        <w:adjustRightInd/>
        <w:contextualSpacing/>
        <w:jc w:val="both"/>
        <w:rPr>
          <w:rFonts w:cs="Arial"/>
          <w:sz w:val="22"/>
          <w:szCs w:val="22"/>
          <w:lang w:val="en-GB"/>
        </w:rPr>
      </w:pPr>
    </w:p>
    <w:p w14:paraId="0B4C5FBD" w14:textId="77777777" w:rsidR="00375362" w:rsidRPr="00094BFC" w:rsidRDefault="00375362" w:rsidP="00375362">
      <w:pPr>
        <w:widowControl/>
        <w:autoSpaceDE/>
        <w:adjustRightInd/>
        <w:contextualSpacing/>
        <w:jc w:val="both"/>
        <w:rPr>
          <w:rFonts w:cs="Arial"/>
          <w:sz w:val="22"/>
          <w:szCs w:val="22"/>
          <w:lang w:val="en-GB"/>
        </w:rPr>
      </w:pPr>
    </w:p>
    <w:p w14:paraId="650574BC" w14:textId="77777777" w:rsidR="004742EC" w:rsidRDefault="004742EC" w:rsidP="00094BFC">
      <w:pPr>
        <w:widowControl/>
        <w:autoSpaceDE/>
        <w:adjustRightInd/>
        <w:contextualSpacing/>
        <w:jc w:val="both"/>
        <w:rPr>
          <w:rFonts w:cs="Arial"/>
          <w:sz w:val="22"/>
          <w:szCs w:val="22"/>
          <w:lang w:val="en-GB"/>
        </w:rPr>
        <w:sectPr w:rsidR="004742EC" w:rsidSect="0052082F">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595348F2" w14:textId="30FDBD02" w:rsidR="007910DD" w:rsidRPr="00372228" w:rsidRDefault="00372228" w:rsidP="00812023">
      <w:pPr>
        <w:widowControl/>
        <w:autoSpaceDE/>
        <w:adjustRightInd/>
        <w:jc w:val="right"/>
        <w:rPr>
          <w:rFonts w:cs="Arial"/>
          <w:b/>
          <w:bCs/>
          <w:caps/>
          <w:sz w:val="22"/>
          <w:szCs w:val="22"/>
          <w:lang w:val="en-GB"/>
        </w:rPr>
      </w:pPr>
      <w:r w:rsidRPr="00372228">
        <w:rPr>
          <w:rFonts w:cs="Arial"/>
          <w:b/>
          <w:caps/>
          <w:sz w:val="22"/>
          <w:szCs w:val="22"/>
          <w:lang w:val="en-GB"/>
        </w:rPr>
        <w:lastRenderedPageBreak/>
        <w:t>Annex 1</w:t>
      </w:r>
    </w:p>
    <w:p w14:paraId="6B2262D3" w14:textId="77777777" w:rsidR="007910DD" w:rsidRPr="00372228" w:rsidRDefault="007910DD" w:rsidP="007910DD">
      <w:pPr>
        <w:rPr>
          <w:rFonts w:cs="Arial"/>
          <w:sz w:val="22"/>
          <w:szCs w:val="22"/>
          <w:lang w:val="en-GB"/>
        </w:rPr>
      </w:pPr>
    </w:p>
    <w:p w14:paraId="21361C9C" w14:textId="222AAB36" w:rsidR="007910DD" w:rsidRPr="00372228" w:rsidRDefault="007910DD" w:rsidP="007910DD">
      <w:pPr>
        <w:jc w:val="center"/>
        <w:rPr>
          <w:rFonts w:cs="Arial"/>
          <w:sz w:val="22"/>
          <w:szCs w:val="22"/>
          <w:lang w:val="en-GB"/>
        </w:rPr>
      </w:pPr>
      <w:r w:rsidRPr="00904433">
        <w:rPr>
          <w:rFonts w:cs="Arial"/>
          <w:sz w:val="22"/>
          <w:szCs w:val="22"/>
          <w:lang w:val="en-GB"/>
        </w:rPr>
        <w:t>RESOLUTION</w:t>
      </w:r>
      <w:r w:rsidR="00225A14" w:rsidRPr="00904433">
        <w:rPr>
          <w:rFonts w:cs="Arial"/>
          <w:sz w:val="22"/>
          <w:szCs w:val="22"/>
          <w:lang w:val="en-GB"/>
        </w:rPr>
        <w:t xml:space="preserve"> 11.15 (Rev.COP12)</w:t>
      </w:r>
    </w:p>
    <w:p w14:paraId="33F44C23" w14:textId="77777777" w:rsidR="007910DD" w:rsidRPr="00372228" w:rsidRDefault="007910DD" w:rsidP="007910DD">
      <w:pPr>
        <w:jc w:val="center"/>
        <w:rPr>
          <w:rFonts w:cs="Arial"/>
          <w:sz w:val="22"/>
          <w:szCs w:val="22"/>
          <w:lang w:val="en-GB"/>
        </w:rPr>
      </w:pPr>
    </w:p>
    <w:p w14:paraId="3E19AEC9" w14:textId="6574679E" w:rsidR="007910DD" w:rsidRDefault="00372228"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372228">
        <w:rPr>
          <w:rFonts w:cs="Arial"/>
          <w:b/>
          <w:caps/>
          <w:sz w:val="22"/>
          <w:szCs w:val="22"/>
          <w:lang w:val="en-GB"/>
        </w:rPr>
        <w:t>PREVENTING POISONING OF MIGRATORY BIRDS</w:t>
      </w:r>
    </w:p>
    <w:p w14:paraId="3DB80B90" w14:textId="232BA4A1" w:rsidR="00FF57B0" w:rsidRDefault="00FF57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5C576C4F" w14:textId="77777777" w:rsidR="00FF57B0" w:rsidRDefault="00FF57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790910EE" w14:textId="3AFBEC74" w:rsidR="00FF57B0" w:rsidRPr="00372228" w:rsidRDefault="00FF57B0" w:rsidP="00FF57B0">
      <w:pPr>
        <w:pBdr>
          <w:top w:val="single" w:sz="6" w:space="0" w:color="FFFFFF"/>
          <w:left w:val="single" w:sz="6" w:space="0" w:color="FFFFFF"/>
          <w:bottom w:val="single" w:sz="6" w:space="0" w:color="FFFFFF"/>
          <w:right w:val="single" w:sz="6" w:space="0" w:color="FFFFFF"/>
        </w:pBdr>
        <w:jc w:val="both"/>
        <w:outlineLvl w:val="1"/>
        <w:rPr>
          <w:rFonts w:cs="Arial"/>
          <w:b/>
          <w:caps/>
          <w:sz w:val="22"/>
          <w:szCs w:val="22"/>
          <w:lang w:val="en-GB"/>
        </w:rPr>
      </w:pPr>
      <w:r w:rsidRPr="00FF57B0">
        <w:rPr>
          <w:rFonts w:cs="Arial"/>
          <w:i/>
          <w:iCs/>
          <w:color w:val="000000"/>
          <w:sz w:val="22"/>
          <w:szCs w:val="22"/>
        </w:rPr>
        <w:t xml:space="preserve">NB: Proposed new text to the resolution is </w:t>
      </w:r>
      <w:r w:rsidRPr="00FF57B0">
        <w:rPr>
          <w:rFonts w:cs="Arial"/>
          <w:i/>
          <w:iCs/>
          <w:color w:val="000000"/>
          <w:sz w:val="22"/>
          <w:szCs w:val="22"/>
          <w:u w:val="single"/>
        </w:rPr>
        <w:t>underlined</w:t>
      </w:r>
      <w:r w:rsidRPr="00FF57B0">
        <w:rPr>
          <w:rFonts w:cs="Arial"/>
          <w:i/>
          <w:iCs/>
          <w:color w:val="000000"/>
          <w:sz w:val="22"/>
          <w:szCs w:val="22"/>
        </w:rPr>
        <w:t xml:space="preserve">. Text to be deleted is </w:t>
      </w:r>
      <w:r w:rsidRPr="00FF57B0">
        <w:rPr>
          <w:rFonts w:cs="Arial"/>
          <w:i/>
          <w:strike/>
          <w:sz w:val="22"/>
          <w:szCs w:val="22"/>
        </w:rPr>
        <w:t>crossed out</w:t>
      </w:r>
      <w:r w:rsidRPr="00FF57B0">
        <w:rPr>
          <w:rFonts w:cs="Arial"/>
          <w:i/>
          <w:iCs/>
          <w:color w:val="000000"/>
          <w:sz w:val="22"/>
          <w:szCs w:val="22"/>
        </w:rPr>
        <w:t>.</w:t>
      </w:r>
    </w:p>
    <w:p w14:paraId="64BA70F8" w14:textId="77777777" w:rsidR="00CC4D32" w:rsidRDefault="00CC4D32" w:rsidP="00372228">
      <w:pPr>
        <w:widowControl/>
        <w:autoSpaceDE/>
        <w:autoSpaceDN/>
        <w:adjustRightInd/>
        <w:ind w:right="12"/>
        <w:jc w:val="right"/>
        <w:rPr>
          <w:rFonts w:cs="Arial"/>
          <w:sz w:val="22"/>
          <w:szCs w:val="22"/>
          <w:lang w:val="en-GB"/>
        </w:rPr>
      </w:pPr>
    </w:p>
    <w:p w14:paraId="5DFDBEFC" w14:textId="4870ABA3" w:rsidR="00372228" w:rsidRPr="00372228" w:rsidRDefault="00372228" w:rsidP="00CC4D32">
      <w:pPr>
        <w:widowControl/>
        <w:tabs>
          <w:tab w:val="left" w:pos="426"/>
        </w:tabs>
        <w:autoSpaceDE/>
        <w:autoSpaceDN/>
        <w:adjustRightInd/>
        <w:jc w:val="both"/>
        <w:rPr>
          <w:rFonts w:cs="Arial"/>
          <w:sz w:val="22"/>
          <w:szCs w:val="22"/>
        </w:rPr>
      </w:pPr>
      <w:r w:rsidRPr="00CC4D32">
        <w:rPr>
          <w:rFonts w:cs="Arial"/>
          <w:i/>
          <w:color w:val="000000"/>
          <w:sz w:val="22"/>
          <w:szCs w:val="22"/>
        </w:rPr>
        <w:t>Recogni</w:t>
      </w:r>
      <w:r w:rsidR="0014156C" w:rsidRPr="00CC4D32">
        <w:rPr>
          <w:rFonts w:cs="Arial"/>
          <w:i/>
          <w:color w:val="000000"/>
          <w:sz w:val="22"/>
          <w:szCs w:val="22"/>
        </w:rPr>
        <w:t>z</w:t>
      </w:r>
      <w:r w:rsidRPr="00CC4D32">
        <w:rPr>
          <w:rFonts w:cs="Arial"/>
          <w:i/>
          <w:color w:val="000000"/>
          <w:sz w:val="22"/>
          <w:szCs w:val="22"/>
        </w:rPr>
        <w:t>ing</w:t>
      </w:r>
      <w:r w:rsidRPr="00372228">
        <w:rPr>
          <w:rFonts w:cs="Arial"/>
          <w:sz w:val="22"/>
          <w:szCs w:val="22"/>
        </w:rPr>
        <w:t xml:space="preserve"> that Article III (4)(b) of the Convention requires Parties that are Range States of migratory species listed in Appendix I to </w:t>
      </w:r>
      <w:proofErr w:type="spellStart"/>
      <w:r w:rsidRPr="00372228">
        <w:rPr>
          <w:rFonts w:cs="Arial"/>
          <w:sz w:val="22"/>
          <w:szCs w:val="22"/>
        </w:rPr>
        <w:t>endeavour</w:t>
      </w:r>
      <w:proofErr w:type="spellEnd"/>
      <w:r w:rsidRPr="00372228">
        <w:rPr>
          <w:rFonts w:cs="Arial"/>
          <w:sz w:val="22"/>
          <w:szCs w:val="22"/>
        </w:rPr>
        <w:t xml:space="preserve"> “</w:t>
      </w:r>
      <w:r w:rsidRPr="00372228">
        <w:rPr>
          <w:rFonts w:cs="Arial"/>
          <w:i/>
          <w:sz w:val="22"/>
          <w:szCs w:val="22"/>
        </w:rPr>
        <w:t>to prevent, remove, compensate for or minimize, as appropriate, the adverse effects of activities or obstacles that seriously impede or prevent the migration of the species</w:t>
      </w:r>
      <w:r w:rsidRPr="00372228">
        <w:rPr>
          <w:rFonts w:cs="Arial"/>
          <w:sz w:val="22"/>
          <w:szCs w:val="22"/>
        </w:rPr>
        <w:t>”</w:t>
      </w:r>
      <w:r w:rsidR="00AF20C2">
        <w:rPr>
          <w:rFonts w:cs="Arial"/>
          <w:sz w:val="22"/>
          <w:szCs w:val="22"/>
        </w:rPr>
        <w:t>,</w:t>
      </w:r>
      <w:r w:rsidRPr="00372228">
        <w:rPr>
          <w:rFonts w:cs="Arial"/>
          <w:sz w:val="22"/>
          <w:szCs w:val="22"/>
        </w:rPr>
        <w:t xml:space="preserve"> </w:t>
      </w:r>
    </w:p>
    <w:p w14:paraId="6A94A196" w14:textId="77777777" w:rsidR="00372228" w:rsidRPr="00372228" w:rsidRDefault="00372228" w:rsidP="00372228">
      <w:pPr>
        <w:widowControl/>
        <w:autoSpaceDE/>
        <w:autoSpaceDN/>
        <w:adjustRightInd/>
        <w:rPr>
          <w:rFonts w:cs="Arial"/>
          <w:sz w:val="22"/>
          <w:szCs w:val="22"/>
        </w:rPr>
      </w:pPr>
      <w:r w:rsidRPr="00372228">
        <w:rPr>
          <w:rFonts w:cs="Arial"/>
          <w:i/>
          <w:sz w:val="22"/>
          <w:szCs w:val="22"/>
        </w:rPr>
        <w:t xml:space="preserve"> </w:t>
      </w:r>
    </w:p>
    <w:p w14:paraId="6307E1BD" w14:textId="19B4172D" w:rsidR="00372228" w:rsidRPr="00372228" w:rsidRDefault="00372228" w:rsidP="00CC4D32">
      <w:pPr>
        <w:widowControl/>
        <w:autoSpaceDE/>
        <w:autoSpaceDN/>
        <w:adjustRightInd/>
        <w:ind w:left="-15" w:right="-6" w:firstLine="15"/>
        <w:jc w:val="both"/>
        <w:rPr>
          <w:rFonts w:cs="Arial"/>
          <w:color w:val="000000"/>
          <w:sz w:val="22"/>
          <w:szCs w:val="22"/>
        </w:rPr>
      </w:pPr>
      <w:r w:rsidRPr="00372228">
        <w:rPr>
          <w:rFonts w:cs="Arial"/>
          <w:i/>
          <w:color w:val="000000"/>
          <w:sz w:val="22"/>
          <w:szCs w:val="22"/>
        </w:rPr>
        <w:t>Recogni</w:t>
      </w:r>
      <w:r w:rsidR="0014156C">
        <w:rPr>
          <w:rFonts w:cs="Arial"/>
          <w:i/>
          <w:color w:val="000000"/>
          <w:sz w:val="22"/>
          <w:szCs w:val="22"/>
        </w:rPr>
        <w:t>z</w:t>
      </w:r>
      <w:r w:rsidRPr="00372228">
        <w:rPr>
          <w:rFonts w:cs="Arial"/>
          <w:i/>
          <w:color w:val="000000"/>
          <w:sz w:val="22"/>
          <w:szCs w:val="22"/>
        </w:rPr>
        <w:t xml:space="preserve">ing </w:t>
      </w:r>
      <w:r w:rsidRPr="00372228">
        <w:rPr>
          <w:rFonts w:cs="Arial"/>
          <w:color w:val="000000"/>
          <w:sz w:val="22"/>
          <w:szCs w:val="22"/>
        </w:rPr>
        <w:t xml:space="preserve">that Article III (4)(c) of the Convention requires such Parties to </w:t>
      </w:r>
      <w:proofErr w:type="spellStart"/>
      <w:r w:rsidRPr="00372228">
        <w:rPr>
          <w:rFonts w:cs="Arial"/>
          <w:color w:val="000000"/>
          <w:sz w:val="22"/>
          <w:szCs w:val="22"/>
        </w:rPr>
        <w:t>endeavour</w:t>
      </w:r>
      <w:proofErr w:type="spellEnd"/>
      <w:r w:rsidRPr="00372228">
        <w:rPr>
          <w:rFonts w:cs="Arial"/>
          <w:color w:val="000000"/>
          <w:sz w:val="22"/>
          <w:szCs w:val="22"/>
        </w:rPr>
        <w:t>, “</w:t>
      </w:r>
      <w:r w:rsidRPr="00372228">
        <w:rPr>
          <w:rFonts w:cs="Arial"/>
          <w:i/>
          <w:color w:val="000000"/>
          <w:sz w:val="22"/>
          <w:szCs w:val="22"/>
        </w:rPr>
        <w:t>to the extent feasible and appropriate, to prevent, reduce or control factors that are endangering or are likely to further endanger such species</w:t>
      </w:r>
      <w:r w:rsidRPr="00372228">
        <w:rPr>
          <w:rFonts w:cs="Arial"/>
          <w:color w:val="000000"/>
          <w:sz w:val="22"/>
          <w:szCs w:val="22"/>
        </w:rPr>
        <w:t>”</w:t>
      </w:r>
      <w:r w:rsidR="00AF20C2">
        <w:rPr>
          <w:rFonts w:cs="Arial"/>
          <w:color w:val="000000"/>
          <w:sz w:val="22"/>
          <w:szCs w:val="22"/>
        </w:rPr>
        <w:t>,</w:t>
      </w:r>
      <w:r w:rsidRPr="00372228">
        <w:rPr>
          <w:rFonts w:cs="Arial"/>
          <w:color w:val="000000"/>
          <w:sz w:val="22"/>
          <w:szCs w:val="22"/>
        </w:rPr>
        <w:t xml:space="preserve"> </w:t>
      </w:r>
    </w:p>
    <w:p w14:paraId="406BFF3B" w14:textId="77777777" w:rsidR="00372228" w:rsidRPr="00372228" w:rsidRDefault="00372228" w:rsidP="00372228">
      <w:pPr>
        <w:widowControl/>
        <w:autoSpaceDE/>
        <w:autoSpaceDN/>
        <w:adjustRightInd/>
        <w:rPr>
          <w:rFonts w:cs="Arial"/>
          <w:color w:val="000000"/>
          <w:sz w:val="22"/>
          <w:szCs w:val="22"/>
        </w:rPr>
      </w:pPr>
      <w:r w:rsidRPr="00372228">
        <w:rPr>
          <w:rFonts w:cs="Arial"/>
          <w:i/>
          <w:color w:val="000000"/>
          <w:sz w:val="22"/>
          <w:szCs w:val="22"/>
        </w:rPr>
        <w:t xml:space="preserve"> </w:t>
      </w:r>
    </w:p>
    <w:p w14:paraId="0A2B3FAC" w14:textId="2A7F0D50"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Concerned</w:t>
      </w:r>
      <w:r w:rsidRPr="00372228">
        <w:rPr>
          <w:rFonts w:cs="Arial"/>
          <w:color w:val="000000"/>
          <w:sz w:val="22"/>
          <w:szCs w:val="22"/>
        </w:rPr>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w:t>
      </w:r>
      <w:proofErr w:type="spellStart"/>
      <w:r w:rsidRPr="00372228">
        <w:rPr>
          <w:rFonts w:cs="Arial"/>
          <w:color w:val="000000"/>
          <w:sz w:val="22"/>
          <w:szCs w:val="22"/>
        </w:rPr>
        <w:t>unfavourable</w:t>
      </w:r>
      <w:proofErr w:type="spellEnd"/>
      <w:r w:rsidRPr="00372228">
        <w:rPr>
          <w:rFonts w:cs="Arial"/>
          <w:color w:val="000000"/>
          <w:sz w:val="22"/>
          <w:szCs w:val="22"/>
        </w:rPr>
        <w:t xml:space="preserve"> conservation status</w:t>
      </w:r>
      <w:r w:rsidR="00AF20C2">
        <w:rPr>
          <w:rFonts w:cs="Arial"/>
          <w:color w:val="000000"/>
          <w:sz w:val="22"/>
          <w:szCs w:val="22"/>
        </w:rPr>
        <w:t>,</w:t>
      </w:r>
      <w:r w:rsidRPr="00372228">
        <w:rPr>
          <w:rFonts w:cs="Arial"/>
          <w:color w:val="000000"/>
          <w:sz w:val="22"/>
          <w:szCs w:val="22"/>
        </w:rPr>
        <w:t xml:space="preserve"> </w:t>
      </w:r>
    </w:p>
    <w:p w14:paraId="383656AB"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17A7A5E8" w14:textId="69B5DD57"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Highlighting</w:t>
      </w:r>
      <w:r w:rsidRPr="00372228">
        <w:rPr>
          <w:rFonts w:cs="Arial"/>
          <w:color w:val="000000"/>
          <w:sz w:val="22"/>
          <w:szCs w:val="22"/>
        </w:rPr>
        <w:t xml:space="preserve"> the need to provide practical guidance on preventing, reducing or controlling</w:t>
      </w:r>
      <w:r w:rsidRPr="00372228">
        <w:rPr>
          <w:rFonts w:cs="Arial"/>
          <w:color w:val="00B0F0"/>
          <w:sz w:val="22"/>
          <w:szCs w:val="22"/>
        </w:rPr>
        <w:t xml:space="preserve"> </w:t>
      </w:r>
      <w:r w:rsidRPr="00372228">
        <w:rPr>
          <w:rFonts w:cs="Arial"/>
          <w:color w:val="000000"/>
          <w:sz w:val="22"/>
          <w:szCs w:val="22"/>
        </w:rPr>
        <w:t>poisoning from, inter alia, agriculture pesticides, poison bait, veterinary pharmaceutical treatments and use of lead for hunting and fishing</w:t>
      </w:r>
      <w:r w:rsidR="00E57159">
        <w:rPr>
          <w:rFonts w:cs="Arial"/>
          <w:color w:val="000000"/>
          <w:sz w:val="22"/>
          <w:szCs w:val="22"/>
        </w:rPr>
        <w:t xml:space="preserve">, </w:t>
      </w:r>
      <w:r w:rsidR="00E57159" w:rsidRPr="00E57159">
        <w:rPr>
          <w:rFonts w:cs="Arial"/>
          <w:color w:val="000000"/>
          <w:sz w:val="22"/>
          <w:szCs w:val="22"/>
          <w:u w:val="single"/>
        </w:rPr>
        <w:t>and potential synergistic effects of different poison</w:t>
      </w:r>
      <w:r w:rsidR="004043B5">
        <w:rPr>
          <w:rFonts w:cs="Arial"/>
          <w:color w:val="000000"/>
          <w:sz w:val="22"/>
          <w:szCs w:val="22"/>
          <w:u w:val="single"/>
        </w:rPr>
        <w:t xml:space="preserve">s through ingestion from various </w:t>
      </w:r>
      <w:r w:rsidR="00E57159" w:rsidRPr="00E57159">
        <w:rPr>
          <w:rFonts w:cs="Arial"/>
          <w:color w:val="000000"/>
          <w:sz w:val="22"/>
          <w:szCs w:val="22"/>
          <w:u w:val="single"/>
        </w:rPr>
        <w:t xml:space="preserve">food sources </w:t>
      </w:r>
      <w:r w:rsidR="004043B5">
        <w:rPr>
          <w:rFonts w:cs="Arial"/>
          <w:color w:val="000000"/>
          <w:sz w:val="22"/>
          <w:szCs w:val="22"/>
          <w:u w:val="single"/>
        </w:rPr>
        <w:t>such as</w:t>
      </w:r>
      <w:r w:rsidR="004043B5" w:rsidRPr="00E57159">
        <w:rPr>
          <w:rFonts w:cs="Arial"/>
          <w:color w:val="000000"/>
          <w:sz w:val="22"/>
          <w:szCs w:val="22"/>
          <w:u w:val="single"/>
        </w:rPr>
        <w:t xml:space="preserve"> </w:t>
      </w:r>
      <w:r w:rsidR="00E57159" w:rsidRPr="00E57159">
        <w:rPr>
          <w:rFonts w:cs="Arial"/>
          <w:color w:val="000000"/>
          <w:sz w:val="22"/>
          <w:szCs w:val="22"/>
          <w:u w:val="single"/>
        </w:rPr>
        <w:t>prey species</w:t>
      </w:r>
      <w:r w:rsidR="00AF20C2">
        <w:rPr>
          <w:rFonts w:cs="Arial"/>
          <w:color w:val="000000"/>
          <w:sz w:val="22"/>
          <w:szCs w:val="22"/>
        </w:rPr>
        <w:t>,</w:t>
      </w:r>
      <w:r w:rsidRPr="00372228">
        <w:rPr>
          <w:rFonts w:cs="Arial"/>
          <w:color w:val="000000"/>
          <w:sz w:val="22"/>
          <w:szCs w:val="22"/>
        </w:rPr>
        <w:t xml:space="preserve"> </w:t>
      </w:r>
    </w:p>
    <w:p w14:paraId="15946936"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7994EB5F" w14:textId="2D4603A8"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Aware</w:t>
      </w:r>
      <w:r w:rsidRPr="00372228">
        <w:rPr>
          <w:rFonts w:cs="Arial"/>
          <w:color w:val="000000"/>
          <w:sz w:val="22"/>
          <w:szCs w:val="22"/>
        </w:rPr>
        <w:t xml:space="preserve"> that international measures and concerted actions to address migratory bird poisoning are urgently needed and should involve CMS Parties, Range States, international and national organizations, the private sector and relevant stakeholders</w:t>
      </w:r>
      <w:r w:rsidR="00AF20C2">
        <w:rPr>
          <w:rFonts w:cs="Arial"/>
          <w:color w:val="000000"/>
          <w:sz w:val="22"/>
          <w:szCs w:val="22"/>
        </w:rPr>
        <w:t>,</w:t>
      </w:r>
      <w:r w:rsidRPr="00372228">
        <w:rPr>
          <w:rFonts w:cs="Arial"/>
          <w:color w:val="000000"/>
          <w:sz w:val="22"/>
          <w:szCs w:val="22"/>
        </w:rPr>
        <w:t xml:space="preserve"> </w:t>
      </w:r>
    </w:p>
    <w:p w14:paraId="61168289"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379AB8AE" w14:textId="4658A8DB"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Further aware</w:t>
      </w:r>
      <w:r w:rsidRPr="00372228">
        <w:rPr>
          <w:rFonts w:cs="Arial"/>
          <w:color w:val="000000"/>
          <w:sz w:val="22"/>
          <w:szCs w:val="22"/>
        </w:rPr>
        <w:t xml:space="preserve"> of the important role of industries involved in the manufacture of substances which can result in the poisoning of migratory birds; organi</w:t>
      </w:r>
      <w:r w:rsidR="0014156C">
        <w:rPr>
          <w:rFonts w:cs="Arial"/>
          <w:color w:val="000000"/>
          <w:sz w:val="22"/>
          <w:szCs w:val="22"/>
        </w:rPr>
        <w:t>z</w:t>
      </w:r>
      <w:r w:rsidRPr="00372228">
        <w:rPr>
          <w:rFonts w:cs="Arial"/>
          <w:color w:val="000000"/>
          <w:sz w:val="22"/>
          <w:szCs w:val="22"/>
        </w:rPr>
        <w:t>ations involved in their sale and distribution; and representational bodies of those whose use of such substances can result in migratory bird mortality or morbidity</w:t>
      </w:r>
      <w:r w:rsidR="00AF20C2">
        <w:rPr>
          <w:rFonts w:cs="Arial"/>
          <w:color w:val="000000"/>
          <w:sz w:val="22"/>
          <w:szCs w:val="22"/>
        </w:rPr>
        <w:t>,</w:t>
      </w:r>
      <w:r w:rsidRPr="00372228">
        <w:rPr>
          <w:rFonts w:cs="Arial"/>
          <w:color w:val="000000"/>
          <w:sz w:val="22"/>
          <w:szCs w:val="22"/>
        </w:rPr>
        <w:t xml:space="preserve"> </w:t>
      </w:r>
    </w:p>
    <w:p w14:paraId="45ABCF2A"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2F506853" w14:textId="04B01DB1" w:rsidR="009C0EB6" w:rsidRPr="004B6240" w:rsidRDefault="00372228" w:rsidP="00CC4D32">
      <w:pPr>
        <w:widowControl/>
        <w:autoSpaceDE/>
        <w:autoSpaceDN/>
        <w:adjustRightInd/>
        <w:ind w:left="-15" w:firstLine="15"/>
        <w:jc w:val="both"/>
        <w:rPr>
          <w:rFonts w:cs="Arial"/>
          <w:color w:val="000000"/>
          <w:sz w:val="22"/>
          <w:szCs w:val="22"/>
        </w:rPr>
      </w:pPr>
      <w:r w:rsidRPr="004B6240">
        <w:rPr>
          <w:rFonts w:cs="Arial"/>
          <w:i/>
          <w:color w:val="000000"/>
          <w:sz w:val="22"/>
          <w:szCs w:val="22"/>
        </w:rPr>
        <w:t>Recalling</w:t>
      </w:r>
      <w:r w:rsidRPr="004B6240">
        <w:rPr>
          <w:rFonts w:cs="Arial"/>
          <w:color w:val="000000"/>
          <w:sz w:val="22"/>
          <w:szCs w:val="22"/>
        </w:rPr>
        <w:t xml:space="preserve"> Resolution 10.26 on minimizing the risk of poisoning to migratory birds, which called on the Scientific Council and the Secretariat to establish an intersessional working group, the Preventing Poisoning Working Group, to undertake a detailed assessment of the severity and scope of poisoning for migratory birds; significant knowledge gaps; and where sufficient knowledge exists to recommend suitable responses to address the problems potentially including areas where enhanced legislation may be required, features of effective regulatory regimes, and understanding socio-economic drivers of poisoning</w:t>
      </w:r>
      <w:r w:rsidR="00AF20C2">
        <w:rPr>
          <w:rFonts w:cs="Arial"/>
          <w:color w:val="000000"/>
          <w:sz w:val="22"/>
          <w:szCs w:val="22"/>
        </w:rPr>
        <w:t>,</w:t>
      </w:r>
    </w:p>
    <w:p w14:paraId="1616FF96" w14:textId="5862E679" w:rsidR="009C0EB6" w:rsidRPr="009C0EB6" w:rsidRDefault="009C0EB6" w:rsidP="009C0EB6">
      <w:pPr>
        <w:widowControl/>
        <w:autoSpaceDE/>
        <w:autoSpaceDN/>
        <w:adjustRightInd/>
        <w:rPr>
          <w:rFonts w:cs="Arial"/>
          <w:color w:val="000000"/>
          <w:sz w:val="22"/>
          <w:szCs w:val="22"/>
        </w:rPr>
      </w:pPr>
      <w:r>
        <w:rPr>
          <w:rFonts w:cs="Arial"/>
          <w:color w:val="000000"/>
          <w:sz w:val="22"/>
          <w:szCs w:val="22"/>
        </w:rPr>
        <w:t xml:space="preserve"> </w:t>
      </w:r>
    </w:p>
    <w:p w14:paraId="6B3763EF" w14:textId="20FACB7B"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Acknowledging</w:t>
      </w:r>
      <w:r w:rsidRPr="00372228">
        <w:rPr>
          <w:rFonts w:cs="Arial"/>
          <w:color w:val="000000"/>
          <w:sz w:val="22"/>
          <w:szCs w:val="22"/>
        </w:rPr>
        <w:t xml:space="preserve"> the positive actions undertaken by some Parties to the Agreement on the Conservation of African-Eurasian Migratory </w:t>
      </w:r>
      <w:proofErr w:type="spellStart"/>
      <w:r w:rsidRPr="00372228">
        <w:rPr>
          <w:rFonts w:cs="Arial"/>
          <w:color w:val="000000"/>
          <w:sz w:val="22"/>
          <w:szCs w:val="22"/>
        </w:rPr>
        <w:t>Waterbirds</w:t>
      </w:r>
      <w:proofErr w:type="spellEnd"/>
      <w:r w:rsidRPr="00372228">
        <w:rPr>
          <w:rFonts w:cs="Arial"/>
          <w:color w:val="000000"/>
          <w:sz w:val="22"/>
          <w:szCs w:val="22"/>
        </w:rPr>
        <w:t xml:space="preserve"> (AEWA) to phase out the use of lead shot for hunting in wetlands</w:t>
      </w:r>
      <w:r w:rsidR="00AF20C2">
        <w:rPr>
          <w:rFonts w:cs="Arial"/>
          <w:color w:val="000000"/>
          <w:sz w:val="22"/>
          <w:szCs w:val="22"/>
        </w:rPr>
        <w:t>,</w:t>
      </w:r>
      <w:r w:rsidRPr="00372228">
        <w:rPr>
          <w:rFonts w:cs="Arial"/>
          <w:color w:val="000000"/>
          <w:sz w:val="22"/>
          <w:szCs w:val="22"/>
        </w:rPr>
        <w:t xml:space="preserve"> </w:t>
      </w:r>
    </w:p>
    <w:p w14:paraId="4701B452"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276F883B" w14:textId="123C1178" w:rsid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Further recalling</w:t>
      </w:r>
      <w:r w:rsidRPr="00372228">
        <w:rPr>
          <w:rFonts w:cs="Arial"/>
          <w:color w:val="000000"/>
          <w:sz w:val="22"/>
          <w:szCs w:val="22"/>
        </w:rPr>
        <w:t xml:space="preserve"> that the Memorandum of Understanding on the Conservation of Migratory Birds of Prey in Africa and Eurasia highlights the many African-Eurasian migratory raptors with an </w:t>
      </w:r>
      <w:proofErr w:type="spellStart"/>
      <w:r w:rsidRPr="00372228">
        <w:rPr>
          <w:rFonts w:cs="Arial"/>
          <w:color w:val="000000"/>
          <w:sz w:val="22"/>
          <w:szCs w:val="22"/>
        </w:rPr>
        <w:t>unfavourable</w:t>
      </w:r>
      <w:proofErr w:type="spellEnd"/>
      <w:r w:rsidRPr="00372228">
        <w:rPr>
          <w:rFonts w:cs="Arial"/>
          <w:color w:val="000000"/>
          <w:sz w:val="22"/>
          <w:szCs w:val="22"/>
        </w:rPr>
        <w:t xml:space="preserve"> conservation status at a regional and/or global </w:t>
      </w:r>
      <w:r w:rsidR="00CD3799">
        <w:rPr>
          <w:rFonts w:cs="Arial"/>
          <w:color w:val="000000"/>
          <w:sz w:val="22"/>
          <w:szCs w:val="22"/>
        </w:rPr>
        <w:t>level as a result of poisoning</w:t>
      </w:r>
      <w:r w:rsidR="00AF20C2">
        <w:rPr>
          <w:rFonts w:cs="Arial"/>
          <w:color w:val="000000"/>
          <w:sz w:val="22"/>
          <w:szCs w:val="22"/>
        </w:rPr>
        <w:t>,</w:t>
      </w:r>
    </w:p>
    <w:p w14:paraId="3891DFC9" w14:textId="18A81096" w:rsidR="00CD3799" w:rsidRDefault="00CD3799" w:rsidP="00372228">
      <w:pPr>
        <w:widowControl/>
        <w:autoSpaceDE/>
        <w:autoSpaceDN/>
        <w:adjustRightInd/>
        <w:ind w:left="-15" w:firstLine="720"/>
        <w:jc w:val="both"/>
        <w:rPr>
          <w:rFonts w:cs="Arial"/>
          <w:color w:val="000000"/>
          <w:sz w:val="22"/>
          <w:szCs w:val="22"/>
        </w:rPr>
      </w:pPr>
    </w:p>
    <w:p w14:paraId="029108FD" w14:textId="31698320" w:rsidR="00CD3799" w:rsidRPr="00225F65" w:rsidRDefault="00CD3799" w:rsidP="00CC4D32">
      <w:pPr>
        <w:widowControl/>
        <w:autoSpaceDE/>
        <w:autoSpaceDN/>
        <w:adjustRightInd/>
        <w:ind w:left="-15" w:firstLine="15"/>
        <w:jc w:val="both"/>
        <w:rPr>
          <w:rFonts w:cs="Arial"/>
          <w:color w:val="000000"/>
          <w:sz w:val="22"/>
          <w:szCs w:val="22"/>
          <w:u w:val="single"/>
        </w:rPr>
      </w:pPr>
      <w:r w:rsidRPr="00225F65">
        <w:rPr>
          <w:rFonts w:cs="Arial"/>
          <w:i/>
          <w:color w:val="000000"/>
          <w:sz w:val="22"/>
          <w:szCs w:val="22"/>
          <w:u w:val="single"/>
        </w:rPr>
        <w:t>Acknowledging</w:t>
      </w:r>
      <w:r w:rsidRPr="00225F65">
        <w:rPr>
          <w:rFonts w:cs="Arial"/>
          <w:color w:val="000000"/>
          <w:sz w:val="22"/>
          <w:szCs w:val="22"/>
          <w:u w:val="single"/>
        </w:rPr>
        <w:t xml:space="preserve"> the </w:t>
      </w:r>
      <w:r w:rsidR="00413651">
        <w:rPr>
          <w:rFonts w:cs="Arial"/>
          <w:color w:val="000000"/>
          <w:sz w:val="22"/>
          <w:szCs w:val="22"/>
          <w:u w:val="single"/>
        </w:rPr>
        <w:t xml:space="preserve">work of the Vulture Working Group and the </w:t>
      </w:r>
      <w:r w:rsidRPr="00225F65">
        <w:rPr>
          <w:rFonts w:cs="Arial"/>
          <w:color w:val="000000"/>
          <w:sz w:val="22"/>
          <w:szCs w:val="22"/>
          <w:u w:val="single"/>
        </w:rPr>
        <w:t xml:space="preserve">development of </w:t>
      </w:r>
      <w:r w:rsidRPr="00225F65">
        <w:rPr>
          <w:rFonts w:cs="Arial"/>
          <w:sz w:val="22"/>
          <w:szCs w:val="22"/>
          <w:u w:val="single"/>
        </w:rPr>
        <w:t xml:space="preserve">the CMS </w:t>
      </w:r>
      <w:r w:rsidRPr="00225F65">
        <w:rPr>
          <w:rFonts w:cs="Arial"/>
          <w:sz w:val="22"/>
          <w:szCs w:val="22"/>
          <w:u w:val="single"/>
          <w:lang w:val="en-GB"/>
        </w:rPr>
        <w:t xml:space="preserve">Multi-species Action Plan to Conserve African-Eurasian Vultures (Vulture </w:t>
      </w:r>
      <w:proofErr w:type="spellStart"/>
      <w:r w:rsidRPr="00225F65">
        <w:rPr>
          <w:rFonts w:cs="Arial"/>
          <w:sz w:val="22"/>
          <w:szCs w:val="22"/>
          <w:u w:val="single"/>
          <w:lang w:val="en-GB"/>
        </w:rPr>
        <w:t>MsAP</w:t>
      </w:r>
      <w:proofErr w:type="spellEnd"/>
      <w:r w:rsidRPr="00225F65">
        <w:rPr>
          <w:rFonts w:cs="Arial"/>
          <w:sz w:val="22"/>
          <w:szCs w:val="22"/>
          <w:u w:val="single"/>
          <w:lang w:val="en-GB"/>
        </w:rPr>
        <w:t>)</w:t>
      </w:r>
      <w:r w:rsidR="00225F65" w:rsidRPr="00225F65">
        <w:rPr>
          <w:rFonts w:cs="Arial"/>
          <w:sz w:val="22"/>
          <w:szCs w:val="22"/>
          <w:u w:val="single"/>
          <w:lang w:val="en-GB"/>
        </w:rPr>
        <w:t xml:space="preserve">, which </w:t>
      </w:r>
      <w:r w:rsidR="00225F65" w:rsidRPr="00225F65">
        <w:rPr>
          <w:rFonts w:cs="Arial"/>
          <w:sz w:val="22"/>
          <w:szCs w:val="22"/>
          <w:u w:val="single"/>
        </w:rPr>
        <w:t xml:space="preserve">aims to provide a comprehensive strategic conservation Action Plan covering the geographic ranges of all 15 migratory Old World vultures and to promote concerted, collaborative and coordinated </w:t>
      </w:r>
      <w:r w:rsidR="00225F65" w:rsidRPr="00225F65">
        <w:rPr>
          <w:rFonts w:cs="Arial"/>
          <w:sz w:val="22"/>
          <w:szCs w:val="22"/>
          <w:u w:val="single"/>
        </w:rPr>
        <w:lastRenderedPageBreak/>
        <w:t xml:space="preserve">international actions towards the recovery of these populations to </w:t>
      </w:r>
      <w:r w:rsidR="00B25F39">
        <w:rPr>
          <w:rFonts w:cs="Arial"/>
          <w:sz w:val="22"/>
          <w:szCs w:val="22"/>
          <w:u w:val="single"/>
        </w:rPr>
        <w:t xml:space="preserve">a </w:t>
      </w:r>
      <w:proofErr w:type="spellStart"/>
      <w:r w:rsidR="00B25F39">
        <w:rPr>
          <w:rFonts w:cs="Arial"/>
          <w:sz w:val="22"/>
          <w:szCs w:val="22"/>
          <w:u w:val="single"/>
        </w:rPr>
        <w:t>favourable</w:t>
      </w:r>
      <w:proofErr w:type="spellEnd"/>
      <w:r w:rsidR="00B25F39">
        <w:rPr>
          <w:rFonts w:cs="Arial"/>
          <w:sz w:val="22"/>
          <w:szCs w:val="22"/>
          <w:u w:val="single"/>
        </w:rPr>
        <w:t xml:space="preserve"> conservation status</w:t>
      </w:r>
      <w:r w:rsidR="00225F65" w:rsidRPr="00225F65">
        <w:rPr>
          <w:rFonts w:cs="Arial"/>
          <w:sz w:val="22"/>
          <w:szCs w:val="22"/>
          <w:u w:val="single"/>
        </w:rPr>
        <w:t xml:space="preserve"> by 2029</w:t>
      </w:r>
      <w:r w:rsidR="00AF20C2">
        <w:rPr>
          <w:rFonts w:cs="Arial"/>
          <w:sz w:val="22"/>
          <w:szCs w:val="22"/>
          <w:u w:val="single"/>
          <w:lang w:val="en-GB"/>
        </w:rPr>
        <w:t>,</w:t>
      </w:r>
      <w:r w:rsidRPr="00225F65">
        <w:rPr>
          <w:rFonts w:cs="Arial"/>
          <w:sz w:val="22"/>
          <w:szCs w:val="22"/>
          <w:u w:val="single"/>
          <w:lang w:val="en-GB"/>
        </w:rPr>
        <w:t xml:space="preserve"> </w:t>
      </w:r>
    </w:p>
    <w:p w14:paraId="7CC9FC1F"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6BDA3668" w14:textId="7D157E90"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Noting</w:t>
      </w:r>
      <w:r w:rsidRPr="00372228">
        <w:rPr>
          <w:rFonts w:cs="Arial"/>
          <w:color w:val="000000"/>
          <w:sz w:val="22"/>
          <w:szCs w:val="22"/>
        </w:rPr>
        <w:t xml:space="preserve">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w:t>
      </w:r>
      <w:r w:rsidR="00AF20C2">
        <w:rPr>
          <w:rFonts w:cs="Arial"/>
          <w:color w:val="000000"/>
          <w:sz w:val="22"/>
          <w:szCs w:val="22"/>
        </w:rPr>
        <w:t>,</w:t>
      </w:r>
      <w:r w:rsidRPr="00372228">
        <w:rPr>
          <w:rFonts w:cs="Arial"/>
          <w:color w:val="000000"/>
          <w:sz w:val="22"/>
          <w:szCs w:val="22"/>
        </w:rPr>
        <w:t xml:space="preserve"> </w:t>
      </w:r>
    </w:p>
    <w:p w14:paraId="2D662B71"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439D6B09" w14:textId="4569E8AE"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Noting with satisfaction</w:t>
      </w:r>
      <w:r w:rsidRPr="00372228">
        <w:rPr>
          <w:rFonts w:cs="Arial"/>
          <w:color w:val="000000"/>
          <w:sz w:val="22"/>
          <w:szCs w:val="22"/>
        </w:rPr>
        <w:t xml:space="preserve"> Recommendation 164 (2013), adopted by the Standing Committee to the Convention on the Conservation of European Wildlife and Natural Habitats (Bern Convention), which raises concern regarding the widespread use of poisons to kill protected species, and calls for a strengthened cooperation to enhance national and international actions to eliminate this damaging practice</w:t>
      </w:r>
      <w:r w:rsidR="00AF20C2">
        <w:rPr>
          <w:rFonts w:cs="Arial"/>
          <w:color w:val="000000"/>
          <w:sz w:val="22"/>
          <w:szCs w:val="22"/>
        </w:rPr>
        <w:t>,</w:t>
      </w:r>
      <w:r w:rsidRPr="00372228">
        <w:rPr>
          <w:rFonts w:cs="Arial"/>
          <w:color w:val="000000"/>
          <w:sz w:val="22"/>
          <w:szCs w:val="22"/>
        </w:rPr>
        <w:t xml:space="preserve"> </w:t>
      </w:r>
    </w:p>
    <w:p w14:paraId="09202212"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30C7D24C" w14:textId="6A0CCDFA" w:rsid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Recalling</w:t>
      </w:r>
      <w:r w:rsidRPr="00372228">
        <w:rPr>
          <w:rFonts w:cs="Arial"/>
          <w:color w:val="000000"/>
          <w:sz w:val="22"/>
          <w:szCs w:val="22"/>
        </w:rPr>
        <w:t xml:space="preserve"> the </w:t>
      </w:r>
      <w:proofErr w:type="spellStart"/>
      <w:r w:rsidRPr="00372228">
        <w:rPr>
          <w:rFonts w:cs="Arial"/>
          <w:color w:val="000000"/>
          <w:sz w:val="22"/>
          <w:szCs w:val="22"/>
        </w:rPr>
        <w:t>Ramsar</w:t>
      </w:r>
      <w:proofErr w:type="spellEnd"/>
      <w:r w:rsidRPr="00372228">
        <w:rPr>
          <w:rFonts w:cs="Arial"/>
          <w:color w:val="000000"/>
          <w:sz w:val="22"/>
          <w:szCs w:val="22"/>
        </w:rPr>
        <w:t xml:space="preserve"> Convention’s Resolution XI.12 on ecosystem approaches to wetlands and health which recognizes the interactions between disease - including poisoning - in wildlife, human and domestic animals, which stressed the urgent need to ensure that policy responses are better integrated in a ‘One Health’ approach across these sectors for most effective outcomes</w:t>
      </w:r>
      <w:r w:rsidR="00AF20C2">
        <w:rPr>
          <w:rFonts w:cs="Arial"/>
          <w:color w:val="000000"/>
          <w:sz w:val="22"/>
          <w:szCs w:val="22"/>
        </w:rPr>
        <w:t>,</w:t>
      </w:r>
      <w:r w:rsidRPr="00372228">
        <w:rPr>
          <w:rFonts w:cs="Arial"/>
          <w:color w:val="000000"/>
          <w:sz w:val="22"/>
          <w:szCs w:val="22"/>
        </w:rPr>
        <w:t xml:space="preserve"> </w:t>
      </w:r>
    </w:p>
    <w:p w14:paraId="73A5E8BD" w14:textId="0F41FDE8" w:rsidR="009F5581" w:rsidRDefault="009F5581" w:rsidP="00372228">
      <w:pPr>
        <w:widowControl/>
        <w:autoSpaceDE/>
        <w:autoSpaceDN/>
        <w:adjustRightInd/>
        <w:ind w:left="-15" w:firstLine="720"/>
        <w:jc w:val="both"/>
        <w:rPr>
          <w:rFonts w:cs="Arial"/>
          <w:color w:val="000000"/>
          <w:sz w:val="22"/>
          <w:szCs w:val="22"/>
        </w:rPr>
      </w:pPr>
    </w:p>
    <w:p w14:paraId="67BC104F" w14:textId="1FDD1AD7" w:rsidR="00312172" w:rsidRDefault="009F5581" w:rsidP="00CC4D32">
      <w:pPr>
        <w:widowControl/>
        <w:autoSpaceDE/>
        <w:autoSpaceDN/>
        <w:adjustRightInd/>
        <w:ind w:left="-15" w:firstLine="15"/>
        <w:jc w:val="both"/>
        <w:rPr>
          <w:rFonts w:cs="Arial"/>
          <w:color w:val="000000"/>
          <w:sz w:val="22"/>
          <w:szCs w:val="22"/>
          <w:u w:val="single"/>
        </w:rPr>
      </w:pPr>
      <w:r w:rsidRPr="00947EE4">
        <w:rPr>
          <w:rFonts w:cs="Arial"/>
          <w:i/>
          <w:color w:val="000000"/>
          <w:sz w:val="22"/>
          <w:szCs w:val="22"/>
          <w:u w:val="single"/>
        </w:rPr>
        <w:t>Recalling</w:t>
      </w:r>
      <w:r w:rsidRPr="00947EE4">
        <w:rPr>
          <w:rFonts w:cs="Arial"/>
          <w:color w:val="000000"/>
          <w:sz w:val="22"/>
          <w:szCs w:val="22"/>
          <w:u w:val="single"/>
        </w:rPr>
        <w:t xml:space="preserve"> the Resolutions of the </w:t>
      </w:r>
      <w:r w:rsidR="00094BFC">
        <w:rPr>
          <w:rFonts w:cs="Arial"/>
          <w:color w:val="000000"/>
          <w:sz w:val="22"/>
          <w:szCs w:val="22"/>
          <w:u w:val="single"/>
        </w:rPr>
        <w:t>International Union for Conservation of Nature (</w:t>
      </w:r>
      <w:r w:rsidRPr="00947EE4">
        <w:rPr>
          <w:rFonts w:cs="Arial"/>
          <w:color w:val="000000"/>
          <w:sz w:val="22"/>
          <w:szCs w:val="22"/>
          <w:u w:val="single"/>
        </w:rPr>
        <w:t>IUCN</w:t>
      </w:r>
      <w:r w:rsidR="00094BFC">
        <w:rPr>
          <w:rFonts w:cs="Arial"/>
          <w:color w:val="000000"/>
          <w:sz w:val="22"/>
          <w:szCs w:val="22"/>
          <w:u w:val="single"/>
        </w:rPr>
        <w:t>)</w:t>
      </w:r>
      <w:r w:rsidRPr="00947EE4">
        <w:rPr>
          <w:rFonts w:cs="Arial"/>
          <w:color w:val="000000"/>
          <w:sz w:val="22"/>
          <w:szCs w:val="22"/>
          <w:u w:val="single"/>
        </w:rPr>
        <w:t xml:space="preserve"> World Conservation Congress WCC</w:t>
      </w:r>
      <w:r w:rsidR="00947EE4" w:rsidRPr="00947EE4">
        <w:rPr>
          <w:rFonts w:cs="Arial"/>
          <w:color w:val="000000"/>
          <w:sz w:val="22"/>
          <w:szCs w:val="22"/>
          <w:u w:val="single"/>
        </w:rPr>
        <w:t>-</w:t>
      </w:r>
      <w:r w:rsidRPr="00947EE4">
        <w:rPr>
          <w:rFonts w:cs="Arial"/>
          <w:color w:val="000000"/>
          <w:sz w:val="22"/>
          <w:szCs w:val="22"/>
          <w:u w:val="single"/>
        </w:rPr>
        <w:t>2016</w:t>
      </w:r>
      <w:r w:rsidR="00947EE4" w:rsidRPr="00947EE4">
        <w:rPr>
          <w:rFonts w:cs="Arial"/>
          <w:color w:val="000000"/>
          <w:sz w:val="22"/>
          <w:szCs w:val="22"/>
          <w:u w:val="single"/>
        </w:rPr>
        <w:t>-Res-014 on c</w:t>
      </w:r>
      <w:r w:rsidRPr="00947EE4">
        <w:rPr>
          <w:rFonts w:cs="Arial"/>
          <w:color w:val="000000"/>
          <w:sz w:val="22"/>
          <w:szCs w:val="22"/>
          <w:u w:val="single"/>
        </w:rPr>
        <w:t>ombatting the</w:t>
      </w:r>
      <w:r w:rsidR="00947EE4" w:rsidRPr="00947EE4">
        <w:rPr>
          <w:rFonts w:cs="Arial"/>
          <w:color w:val="000000"/>
          <w:sz w:val="22"/>
          <w:szCs w:val="22"/>
          <w:u w:val="single"/>
        </w:rPr>
        <w:t xml:space="preserve"> illegal poisoning of wildlife, WCC-2016-Res-022 on conservation measures for vultures, including banning the use of veterinary diclofenac, and WCC-2016-Res-082 on a path forward to address concerns over the use of lead ammunition in hunting</w:t>
      </w:r>
      <w:r w:rsidR="00AF20C2">
        <w:rPr>
          <w:rFonts w:cs="Arial"/>
          <w:color w:val="000000"/>
          <w:sz w:val="22"/>
          <w:szCs w:val="22"/>
          <w:u w:val="single"/>
        </w:rPr>
        <w:t>,</w:t>
      </w:r>
      <w:r w:rsidR="00C95A17">
        <w:rPr>
          <w:rFonts w:cs="Arial"/>
          <w:color w:val="000000"/>
          <w:sz w:val="22"/>
          <w:szCs w:val="22"/>
          <w:u w:val="single"/>
        </w:rPr>
        <w:t xml:space="preserve"> </w:t>
      </w:r>
    </w:p>
    <w:p w14:paraId="35D4426C" w14:textId="77777777" w:rsidR="00312172" w:rsidRDefault="00312172" w:rsidP="00372228">
      <w:pPr>
        <w:widowControl/>
        <w:autoSpaceDE/>
        <w:autoSpaceDN/>
        <w:adjustRightInd/>
        <w:ind w:left="-15" w:firstLine="720"/>
        <w:jc w:val="both"/>
        <w:rPr>
          <w:rFonts w:cs="Arial"/>
          <w:i/>
          <w:color w:val="000000"/>
          <w:sz w:val="22"/>
          <w:szCs w:val="22"/>
          <w:u w:val="single"/>
        </w:rPr>
      </w:pPr>
    </w:p>
    <w:p w14:paraId="71B66D1E" w14:textId="318F383C" w:rsidR="009F5581" w:rsidRPr="00947EE4" w:rsidRDefault="00312172" w:rsidP="00CC4D32">
      <w:pPr>
        <w:widowControl/>
        <w:autoSpaceDE/>
        <w:autoSpaceDN/>
        <w:adjustRightInd/>
        <w:ind w:left="-15" w:firstLine="15"/>
        <w:jc w:val="both"/>
        <w:rPr>
          <w:rFonts w:cs="Arial"/>
          <w:color w:val="000000"/>
          <w:sz w:val="22"/>
          <w:szCs w:val="22"/>
          <w:u w:val="single"/>
        </w:rPr>
      </w:pPr>
      <w:r>
        <w:rPr>
          <w:rFonts w:cs="Arial"/>
          <w:i/>
          <w:color w:val="000000"/>
          <w:sz w:val="22"/>
          <w:szCs w:val="22"/>
          <w:u w:val="single"/>
        </w:rPr>
        <w:t>N</w:t>
      </w:r>
      <w:r w:rsidR="00C95A17" w:rsidRPr="00312172">
        <w:rPr>
          <w:rFonts w:cs="Arial"/>
          <w:i/>
          <w:color w:val="000000"/>
          <w:sz w:val="22"/>
          <w:szCs w:val="22"/>
          <w:u w:val="single"/>
        </w:rPr>
        <w:t>oting</w:t>
      </w:r>
      <w:r w:rsidR="00C95A17">
        <w:rPr>
          <w:rFonts w:cs="Arial"/>
          <w:color w:val="000000"/>
          <w:sz w:val="22"/>
          <w:szCs w:val="22"/>
          <w:u w:val="single"/>
        </w:rPr>
        <w:t xml:space="preserve"> that </w:t>
      </w:r>
      <w:r>
        <w:rPr>
          <w:rFonts w:cs="Arial"/>
          <w:color w:val="000000"/>
          <w:sz w:val="22"/>
          <w:szCs w:val="22"/>
          <w:u w:val="single"/>
        </w:rPr>
        <w:t xml:space="preserve">poisoning is a problem affecting other taxa than birds as well, and </w:t>
      </w:r>
      <w:r w:rsidRPr="00312172">
        <w:rPr>
          <w:rFonts w:cs="Arial"/>
          <w:i/>
          <w:color w:val="000000"/>
          <w:sz w:val="22"/>
          <w:szCs w:val="22"/>
          <w:u w:val="single"/>
        </w:rPr>
        <w:t>highlighting</w:t>
      </w:r>
      <w:r>
        <w:rPr>
          <w:rFonts w:cs="Arial"/>
          <w:color w:val="000000"/>
          <w:sz w:val="22"/>
          <w:szCs w:val="22"/>
          <w:u w:val="single"/>
        </w:rPr>
        <w:t xml:space="preserve"> the importance of </w:t>
      </w:r>
      <w:r w:rsidR="00094BFC">
        <w:rPr>
          <w:rFonts w:cs="Arial"/>
          <w:color w:val="000000"/>
          <w:sz w:val="22"/>
          <w:szCs w:val="22"/>
          <w:u w:val="single"/>
        </w:rPr>
        <w:t xml:space="preserve">a </w:t>
      </w:r>
      <w:r>
        <w:rPr>
          <w:rFonts w:cs="Arial"/>
          <w:color w:val="000000"/>
          <w:sz w:val="22"/>
          <w:szCs w:val="22"/>
          <w:u w:val="single"/>
        </w:rPr>
        <w:t xml:space="preserve">global analysis </w:t>
      </w:r>
      <w:r w:rsidR="0014156C">
        <w:rPr>
          <w:rFonts w:cs="Arial"/>
          <w:color w:val="000000"/>
          <w:sz w:val="22"/>
          <w:szCs w:val="22"/>
          <w:u w:val="single"/>
        </w:rPr>
        <w:t xml:space="preserve">of </w:t>
      </w:r>
      <w:r>
        <w:rPr>
          <w:rFonts w:cs="Arial"/>
          <w:color w:val="000000"/>
          <w:sz w:val="22"/>
          <w:szCs w:val="22"/>
          <w:u w:val="single"/>
        </w:rPr>
        <w:t>the impact of this cause of mortality for wildlife</w:t>
      </w:r>
      <w:r w:rsidR="00AF20C2">
        <w:rPr>
          <w:rFonts w:cs="Arial"/>
          <w:color w:val="000000"/>
          <w:sz w:val="22"/>
          <w:szCs w:val="22"/>
          <w:u w:val="single"/>
        </w:rPr>
        <w:t>,</w:t>
      </w:r>
    </w:p>
    <w:p w14:paraId="7CDB8B91"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0D863157" w14:textId="46F3473C" w:rsidR="00372228" w:rsidRPr="00372228" w:rsidRDefault="00372228" w:rsidP="00CC4D32">
      <w:pPr>
        <w:widowControl/>
        <w:autoSpaceDE/>
        <w:autoSpaceDN/>
        <w:adjustRightInd/>
        <w:ind w:left="-15" w:firstLine="15"/>
        <w:jc w:val="both"/>
        <w:rPr>
          <w:rFonts w:cs="Arial"/>
          <w:color w:val="000000"/>
          <w:sz w:val="22"/>
          <w:szCs w:val="22"/>
        </w:rPr>
      </w:pPr>
      <w:r w:rsidRPr="00372228">
        <w:rPr>
          <w:rFonts w:cs="Arial"/>
          <w:i/>
          <w:color w:val="000000"/>
          <w:sz w:val="22"/>
          <w:szCs w:val="22"/>
        </w:rPr>
        <w:t>Recognizing</w:t>
      </w:r>
      <w:r w:rsidRPr="00372228">
        <w:rPr>
          <w:rFonts w:cs="Arial"/>
          <w:color w:val="000000"/>
          <w:sz w:val="22"/>
          <w:szCs w:val="22"/>
        </w:rPr>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be, nonetheless, sustainably implemented with benefits to the provision of wider ecosystem services</w:t>
      </w:r>
      <w:r w:rsidR="00AF20C2">
        <w:rPr>
          <w:rFonts w:cs="Arial"/>
          <w:color w:val="000000"/>
          <w:sz w:val="22"/>
          <w:szCs w:val="22"/>
        </w:rPr>
        <w:t>,</w:t>
      </w:r>
      <w:r w:rsidRPr="00372228">
        <w:rPr>
          <w:rFonts w:cs="Arial"/>
          <w:color w:val="000000"/>
          <w:sz w:val="22"/>
          <w:szCs w:val="22"/>
        </w:rPr>
        <w:t xml:space="preserve"> </w:t>
      </w:r>
    </w:p>
    <w:p w14:paraId="701F8D3A" w14:textId="77777777" w:rsidR="00372228" w:rsidRPr="00372228" w:rsidRDefault="00372228" w:rsidP="009F5581">
      <w:pPr>
        <w:widowControl/>
        <w:autoSpaceDE/>
        <w:autoSpaceDN/>
        <w:adjustRightInd/>
        <w:jc w:val="both"/>
        <w:rPr>
          <w:rFonts w:cs="Arial"/>
          <w:color w:val="000000"/>
          <w:sz w:val="22"/>
          <w:szCs w:val="22"/>
        </w:rPr>
      </w:pPr>
      <w:r w:rsidRPr="00372228">
        <w:rPr>
          <w:rFonts w:cs="Arial"/>
          <w:color w:val="000000"/>
          <w:sz w:val="22"/>
          <w:szCs w:val="22"/>
        </w:rPr>
        <w:t xml:space="preserve"> </w:t>
      </w:r>
    </w:p>
    <w:p w14:paraId="0C2CB98D" w14:textId="2A77AE61" w:rsidR="001E5A93" w:rsidRPr="00FF1FB5" w:rsidRDefault="006C2982" w:rsidP="00CC4D32">
      <w:pPr>
        <w:widowControl/>
        <w:autoSpaceDE/>
        <w:autoSpaceDN/>
        <w:adjustRightInd/>
        <w:jc w:val="both"/>
        <w:rPr>
          <w:rFonts w:cs="Arial"/>
          <w:bCs/>
          <w:color w:val="000000"/>
          <w:sz w:val="22"/>
          <w:szCs w:val="22"/>
          <w:u w:val="single"/>
        </w:rPr>
      </w:pPr>
      <w:r w:rsidRPr="00FF1FB5">
        <w:rPr>
          <w:rFonts w:cs="Arial"/>
          <w:i/>
          <w:color w:val="000000"/>
          <w:sz w:val="22"/>
          <w:szCs w:val="22"/>
          <w:u w:val="single"/>
        </w:rPr>
        <w:t>Not</w:t>
      </w:r>
      <w:r w:rsidR="001E5A93" w:rsidRPr="00FF1FB5">
        <w:rPr>
          <w:rFonts w:cs="Arial"/>
          <w:i/>
          <w:color w:val="000000"/>
          <w:sz w:val="22"/>
          <w:szCs w:val="22"/>
          <w:u w:val="single"/>
        </w:rPr>
        <w:t>ing</w:t>
      </w:r>
      <w:r w:rsidR="001E5A93" w:rsidRPr="00FF1FB5">
        <w:rPr>
          <w:rFonts w:cs="Arial"/>
          <w:color w:val="000000"/>
          <w:sz w:val="22"/>
          <w:szCs w:val="22"/>
          <w:u w:val="single"/>
        </w:rPr>
        <w:t xml:space="preserve"> the </w:t>
      </w:r>
      <w:r w:rsidR="001E5A93" w:rsidRPr="00FF1FB5">
        <w:rPr>
          <w:rFonts w:cs="Arial"/>
          <w:bCs/>
          <w:color w:val="000000"/>
          <w:sz w:val="22"/>
          <w:szCs w:val="22"/>
          <w:u w:val="single"/>
        </w:rPr>
        <w:t xml:space="preserve">Report of the Special Rapporteur on the right to food transmitted to the Human Rights Council of the UN General Assembly (A/HRC/34/48), which highlights the adverse impacts </w:t>
      </w:r>
      <w:r w:rsidRPr="00FF1FB5">
        <w:rPr>
          <w:rFonts w:cs="Arial"/>
          <w:bCs/>
          <w:color w:val="000000"/>
          <w:sz w:val="22"/>
          <w:szCs w:val="22"/>
          <w:u w:val="single"/>
        </w:rPr>
        <w:t>of pesticides used in agriculture on human rights, the negative consequences of pesticide practices</w:t>
      </w:r>
      <w:r w:rsidR="00FF1FB5" w:rsidRPr="00FF1FB5">
        <w:rPr>
          <w:rFonts w:cs="Arial"/>
          <w:bCs/>
          <w:color w:val="000000"/>
          <w:sz w:val="22"/>
          <w:szCs w:val="22"/>
          <w:u w:val="single"/>
        </w:rPr>
        <w:t xml:space="preserve"> on human health,</w:t>
      </w:r>
      <w:r w:rsidRPr="00FF1FB5">
        <w:rPr>
          <w:rFonts w:cs="Arial"/>
          <w:bCs/>
          <w:color w:val="000000"/>
          <w:sz w:val="22"/>
          <w:szCs w:val="22"/>
          <w:u w:val="single"/>
        </w:rPr>
        <w:t xml:space="preserve"> </w:t>
      </w:r>
      <w:r w:rsidR="00FF1FB5" w:rsidRPr="00FF1FB5">
        <w:rPr>
          <w:rFonts w:cs="Arial"/>
          <w:bCs/>
          <w:color w:val="000000"/>
          <w:sz w:val="22"/>
          <w:szCs w:val="22"/>
          <w:u w:val="single"/>
        </w:rPr>
        <w:t>environment and society, which we</w:t>
      </w:r>
      <w:r w:rsidRPr="00FF1FB5">
        <w:rPr>
          <w:rFonts w:cs="Arial"/>
          <w:bCs/>
          <w:color w:val="000000"/>
          <w:sz w:val="22"/>
          <w:szCs w:val="22"/>
          <w:u w:val="single"/>
        </w:rPr>
        <w:t>re underreported and monitored in the shadow of a prevailing and narrow focus on “food security”</w:t>
      </w:r>
      <w:r w:rsidR="00FF1FB5" w:rsidRPr="00FF1FB5">
        <w:rPr>
          <w:rFonts w:cs="Arial"/>
          <w:bCs/>
          <w:color w:val="000000"/>
          <w:sz w:val="22"/>
          <w:szCs w:val="22"/>
          <w:u w:val="single"/>
        </w:rPr>
        <w:t>;</w:t>
      </w:r>
      <w:r w:rsidRPr="00FF1FB5">
        <w:rPr>
          <w:rFonts w:cs="Arial"/>
          <w:bCs/>
          <w:color w:val="000000"/>
          <w:sz w:val="22"/>
          <w:szCs w:val="22"/>
          <w:u w:val="single"/>
        </w:rPr>
        <w:t xml:space="preserve"> and its </w:t>
      </w:r>
      <w:r w:rsidR="00FF1FB5" w:rsidRPr="00FF1FB5">
        <w:rPr>
          <w:rFonts w:cs="Arial"/>
          <w:bCs/>
          <w:color w:val="000000"/>
          <w:sz w:val="22"/>
          <w:szCs w:val="22"/>
          <w:u w:val="single"/>
        </w:rPr>
        <w:t>recommendations on the regulation of hazardous pesticides and promotion of agroecology as an alternative to the extensive use of pesticides</w:t>
      </w:r>
      <w:r w:rsidR="00AF20C2">
        <w:rPr>
          <w:rFonts w:cs="Arial"/>
          <w:bCs/>
          <w:color w:val="000000"/>
          <w:sz w:val="22"/>
          <w:szCs w:val="22"/>
          <w:u w:val="single"/>
        </w:rPr>
        <w:t>,</w:t>
      </w:r>
    </w:p>
    <w:p w14:paraId="3F33770D" w14:textId="77777777" w:rsidR="001E5A93" w:rsidRDefault="001E5A93" w:rsidP="009F5581">
      <w:pPr>
        <w:widowControl/>
        <w:autoSpaceDE/>
        <w:autoSpaceDN/>
        <w:adjustRightInd/>
        <w:ind w:firstLine="720"/>
        <w:jc w:val="both"/>
        <w:rPr>
          <w:rFonts w:cs="Arial"/>
          <w:i/>
          <w:color w:val="000000"/>
          <w:sz w:val="22"/>
          <w:szCs w:val="22"/>
        </w:rPr>
      </w:pPr>
    </w:p>
    <w:p w14:paraId="0579D3DF" w14:textId="5752BB94" w:rsidR="00372228" w:rsidRPr="00372228" w:rsidRDefault="00372228" w:rsidP="00502657">
      <w:pPr>
        <w:widowControl/>
        <w:autoSpaceDE/>
        <w:autoSpaceDN/>
        <w:adjustRightInd/>
        <w:jc w:val="both"/>
        <w:rPr>
          <w:rFonts w:cs="Arial"/>
          <w:color w:val="000000"/>
          <w:sz w:val="22"/>
          <w:szCs w:val="22"/>
        </w:rPr>
      </w:pPr>
      <w:r w:rsidRPr="00372228">
        <w:rPr>
          <w:rFonts w:cs="Arial"/>
          <w:i/>
          <w:color w:val="000000"/>
          <w:sz w:val="22"/>
          <w:szCs w:val="22"/>
        </w:rPr>
        <w:t>Recognizing</w:t>
      </w:r>
      <w:r w:rsidRPr="00372228">
        <w:rPr>
          <w:rFonts w:cs="Arial"/>
          <w:color w:val="000000"/>
          <w:sz w:val="22"/>
          <w:szCs w:val="22"/>
        </w:rPr>
        <w:t xml:space="preserve"> that under strictly supervised conditions and on a selective basis, the legal and regulated use of poison baits can have important conservation benefits through the control of alien invasive species</w:t>
      </w:r>
      <w:r w:rsidR="00AF20C2">
        <w:rPr>
          <w:rFonts w:cs="Arial"/>
          <w:color w:val="000000"/>
          <w:sz w:val="22"/>
          <w:szCs w:val="22"/>
        </w:rPr>
        <w:t>,</w:t>
      </w:r>
      <w:r w:rsidRPr="00372228">
        <w:rPr>
          <w:rFonts w:cs="Arial"/>
          <w:color w:val="000000"/>
          <w:sz w:val="22"/>
          <w:szCs w:val="22"/>
        </w:rPr>
        <w:t xml:space="preserve"> </w:t>
      </w:r>
    </w:p>
    <w:p w14:paraId="2DC1D7C5"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007F7E88" w14:textId="0F1D3A00" w:rsidR="00372228" w:rsidRPr="00372228" w:rsidRDefault="00372228" w:rsidP="00502657">
      <w:pPr>
        <w:widowControl/>
        <w:autoSpaceDE/>
        <w:autoSpaceDN/>
        <w:adjustRightInd/>
        <w:ind w:left="-15" w:firstLine="15"/>
        <w:jc w:val="both"/>
        <w:rPr>
          <w:rFonts w:cs="Arial"/>
          <w:color w:val="000000"/>
          <w:sz w:val="22"/>
          <w:szCs w:val="22"/>
        </w:rPr>
      </w:pPr>
      <w:r w:rsidRPr="00372228">
        <w:rPr>
          <w:rFonts w:cs="Arial"/>
          <w:i/>
          <w:color w:val="000000"/>
          <w:sz w:val="22"/>
          <w:szCs w:val="22"/>
        </w:rPr>
        <w:t xml:space="preserve">Concerned </w:t>
      </w:r>
      <w:r w:rsidRPr="00372228">
        <w:rPr>
          <w:rFonts w:cs="Arial"/>
          <w:color w:val="000000"/>
          <w:sz w:val="22"/>
          <w:szCs w:val="22"/>
        </w:rPr>
        <w:t xml:space="preserve">that there is a serious geographical bias in relevant research and knowledge, and </w:t>
      </w:r>
      <w:r w:rsidRPr="00372228">
        <w:rPr>
          <w:rFonts w:cs="Arial"/>
          <w:i/>
          <w:color w:val="000000"/>
          <w:sz w:val="22"/>
          <w:szCs w:val="22"/>
        </w:rPr>
        <w:t>emphasizing</w:t>
      </w:r>
      <w:r w:rsidRPr="00372228">
        <w:rPr>
          <w:rFonts w:cs="Arial"/>
          <w:color w:val="000000"/>
          <w:sz w:val="22"/>
          <w:szCs w:val="22"/>
        </w:rPr>
        <w:t xml:space="preserve"> that further research on and monitoring of migratory birds and sources of poisoning are urgently required for some poisoning sources, and that studies should be designed so as to better assist in formulating and monitoring policy</w:t>
      </w:r>
      <w:r w:rsidR="00AF20C2">
        <w:rPr>
          <w:rFonts w:cs="Arial"/>
          <w:color w:val="000000"/>
          <w:sz w:val="22"/>
          <w:szCs w:val="22"/>
        </w:rPr>
        <w:t>,</w:t>
      </w:r>
      <w:r w:rsidRPr="00372228">
        <w:rPr>
          <w:rFonts w:cs="Arial"/>
          <w:color w:val="000000"/>
          <w:sz w:val="22"/>
          <w:szCs w:val="22"/>
        </w:rPr>
        <w:t xml:space="preserve"> </w:t>
      </w:r>
    </w:p>
    <w:p w14:paraId="3625D257"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64033084" w14:textId="7801A43E" w:rsidR="00372228" w:rsidRPr="00372228" w:rsidRDefault="00372228" w:rsidP="00502657">
      <w:pPr>
        <w:widowControl/>
        <w:autoSpaceDE/>
        <w:autoSpaceDN/>
        <w:adjustRightInd/>
        <w:ind w:left="-15" w:firstLine="15"/>
        <w:jc w:val="both"/>
        <w:rPr>
          <w:rFonts w:cs="Arial"/>
          <w:color w:val="000000"/>
          <w:sz w:val="22"/>
          <w:szCs w:val="22"/>
        </w:rPr>
      </w:pPr>
      <w:r w:rsidRPr="00372228">
        <w:rPr>
          <w:rFonts w:cs="Arial"/>
          <w:i/>
          <w:color w:val="000000"/>
          <w:sz w:val="22"/>
          <w:szCs w:val="22"/>
        </w:rPr>
        <w:t>Acknowledging</w:t>
      </w:r>
      <w:r w:rsidRPr="00372228">
        <w:rPr>
          <w:rFonts w:cs="Arial"/>
          <w:color w:val="000000"/>
          <w:sz w:val="22"/>
          <w:szCs w:val="22"/>
        </w:rPr>
        <w:t xml:space="preserve"> that a number of Parties are already applying relevant policies, for example, removal of certain toxic agricultural insecticides from the market, implementing </w:t>
      </w:r>
      <w:proofErr w:type="spellStart"/>
      <w:r w:rsidRPr="00372228">
        <w:rPr>
          <w:rFonts w:cs="Arial"/>
          <w:color w:val="000000"/>
          <w:sz w:val="22"/>
          <w:szCs w:val="22"/>
        </w:rPr>
        <w:t>programmes</w:t>
      </w:r>
      <w:proofErr w:type="spellEnd"/>
      <w:r w:rsidRPr="00372228">
        <w:rPr>
          <w:rFonts w:cs="Arial"/>
          <w:color w:val="000000"/>
          <w:sz w:val="22"/>
          <w:szCs w:val="22"/>
        </w:rPr>
        <w:t xml:space="preserve"> of Integrated Pest Management, and promoting the use of non-toxic ammunition for hunting, and</w:t>
      </w:r>
      <w:r w:rsidRPr="00372228">
        <w:rPr>
          <w:rFonts w:cs="Arial"/>
          <w:i/>
          <w:color w:val="000000"/>
          <w:sz w:val="22"/>
          <w:szCs w:val="22"/>
        </w:rPr>
        <w:t xml:space="preserve"> commending</w:t>
      </w:r>
      <w:r w:rsidRPr="00372228">
        <w:rPr>
          <w:rFonts w:cs="Arial"/>
          <w:color w:val="000000"/>
          <w:sz w:val="22"/>
          <w:szCs w:val="22"/>
        </w:rPr>
        <w:t xml:space="preserve"> those Parties for such actions</w:t>
      </w:r>
      <w:r w:rsidR="00AF20C2">
        <w:rPr>
          <w:rFonts w:cs="Arial"/>
          <w:color w:val="000000"/>
          <w:sz w:val="22"/>
          <w:szCs w:val="22"/>
        </w:rPr>
        <w:t>,</w:t>
      </w:r>
      <w:r w:rsidRPr="00372228">
        <w:rPr>
          <w:rFonts w:cs="Arial"/>
          <w:color w:val="000000"/>
          <w:sz w:val="22"/>
          <w:szCs w:val="22"/>
        </w:rPr>
        <w:t xml:space="preserve"> </w:t>
      </w:r>
    </w:p>
    <w:p w14:paraId="6969263F"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01ED271E" w14:textId="7B34128C" w:rsidR="00372228" w:rsidRPr="00372228" w:rsidRDefault="00372228" w:rsidP="00502657">
      <w:pPr>
        <w:widowControl/>
        <w:autoSpaceDE/>
        <w:autoSpaceDN/>
        <w:adjustRightInd/>
        <w:ind w:left="-15" w:firstLine="15"/>
        <w:jc w:val="both"/>
        <w:rPr>
          <w:rFonts w:cs="Arial"/>
          <w:color w:val="000000"/>
          <w:sz w:val="22"/>
          <w:szCs w:val="22"/>
        </w:rPr>
      </w:pPr>
      <w:r w:rsidRPr="00372228">
        <w:rPr>
          <w:rFonts w:cs="Arial"/>
          <w:i/>
          <w:color w:val="000000"/>
          <w:sz w:val="22"/>
          <w:szCs w:val="22"/>
        </w:rPr>
        <w:lastRenderedPageBreak/>
        <w:t xml:space="preserve">Noting </w:t>
      </w:r>
      <w:r w:rsidRPr="00372228">
        <w:rPr>
          <w:rFonts w:cs="Arial"/>
          <w:color w:val="000000"/>
          <w:sz w:val="22"/>
          <w:szCs w:val="22"/>
        </w:rPr>
        <w:t xml:space="preserve">the UNDP/GEF 'Migratory Soaring Birds Project' implemented by </w:t>
      </w:r>
      <w:proofErr w:type="spellStart"/>
      <w:r w:rsidRPr="00372228">
        <w:rPr>
          <w:rFonts w:cs="Arial"/>
          <w:color w:val="000000"/>
          <w:sz w:val="22"/>
          <w:szCs w:val="22"/>
        </w:rPr>
        <w:t>BirdLife</w:t>
      </w:r>
      <w:proofErr w:type="spellEnd"/>
      <w:r w:rsidRPr="00372228">
        <w:rPr>
          <w:rFonts w:cs="Arial"/>
          <w:color w:val="000000"/>
          <w:sz w:val="22"/>
          <w:szCs w:val="22"/>
        </w:rPr>
        <w:t xml:space="preserve"> International, </w:t>
      </w:r>
      <w:r w:rsidR="008575E5">
        <w:rPr>
          <w:rFonts w:cs="Arial"/>
          <w:color w:val="000000"/>
          <w:sz w:val="22"/>
          <w:szCs w:val="22"/>
          <w:u w:val="single"/>
        </w:rPr>
        <w:t>and its document “</w:t>
      </w:r>
      <w:r w:rsidR="00333AD3" w:rsidRPr="00333AD3">
        <w:rPr>
          <w:rFonts w:cs="Arial"/>
          <w:color w:val="000000"/>
          <w:sz w:val="22"/>
          <w:szCs w:val="22"/>
          <w:u w:val="single"/>
        </w:rPr>
        <w:t>Preventing the Risk to Migratory Birds from Poisoning by Agricultural Chemicals: Guidance for Countries on</w:t>
      </w:r>
      <w:r w:rsidR="008575E5">
        <w:rPr>
          <w:rFonts w:cs="Arial"/>
          <w:color w:val="000000"/>
          <w:sz w:val="22"/>
          <w:szCs w:val="22"/>
          <w:u w:val="single"/>
        </w:rPr>
        <w:t xml:space="preserve"> the Rift Valley/Red Sea Flyway”</w:t>
      </w:r>
      <w:r w:rsidR="00333AD3" w:rsidRPr="00333AD3">
        <w:rPr>
          <w:rFonts w:cs="Arial"/>
          <w:color w:val="000000"/>
          <w:sz w:val="22"/>
          <w:szCs w:val="22"/>
          <w:u w:val="single"/>
        </w:rPr>
        <w:t>,</w:t>
      </w:r>
      <w:r w:rsidR="00333AD3" w:rsidRPr="00333AD3">
        <w:rPr>
          <w:rFonts w:cs="Arial"/>
          <w:color w:val="000000"/>
          <w:sz w:val="22"/>
          <w:szCs w:val="22"/>
        </w:rPr>
        <w:t xml:space="preserve"> </w:t>
      </w:r>
      <w:r w:rsidRPr="00372228">
        <w:rPr>
          <w:rFonts w:cs="Arial"/>
          <w:color w:val="000000"/>
          <w:sz w:val="22"/>
          <w:szCs w:val="22"/>
        </w:rPr>
        <w:t xml:space="preserve">which aims to ensure that the conservation needs of migratory soaring birds are addressed by industry, including the agriculture sector, along the Red Sea/Rift Valley Flyway, and </w:t>
      </w:r>
      <w:r w:rsidRPr="00372228">
        <w:rPr>
          <w:rFonts w:cs="Arial"/>
          <w:i/>
          <w:color w:val="000000"/>
          <w:sz w:val="22"/>
          <w:szCs w:val="22"/>
        </w:rPr>
        <w:t>recognizing</w:t>
      </w:r>
      <w:r w:rsidRPr="00372228">
        <w:rPr>
          <w:rFonts w:cs="Arial"/>
          <w:color w:val="000000"/>
          <w:sz w:val="22"/>
          <w:szCs w:val="22"/>
        </w:rPr>
        <w:t xml:space="preserve"> the potential this project has to promote the implementation of this Resolution and associated Guidelines nationally and locally</w:t>
      </w:r>
      <w:r w:rsidR="00AF20C2">
        <w:rPr>
          <w:rFonts w:cs="Arial"/>
          <w:color w:val="000000"/>
          <w:sz w:val="22"/>
          <w:szCs w:val="22"/>
        </w:rPr>
        <w:t>,</w:t>
      </w:r>
      <w:r w:rsidRPr="00372228">
        <w:rPr>
          <w:rFonts w:cs="Arial"/>
          <w:color w:val="000000"/>
          <w:sz w:val="22"/>
          <w:szCs w:val="22"/>
        </w:rPr>
        <w:t xml:space="preserve"> </w:t>
      </w:r>
    </w:p>
    <w:p w14:paraId="0202506A" w14:textId="78CA7366" w:rsid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09BA0AF1" w14:textId="234F3897" w:rsidR="00045DB2" w:rsidRPr="00045DB2" w:rsidRDefault="00045DB2" w:rsidP="00502657">
      <w:pPr>
        <w:widowControl/>
        <w:autoSpaceDE/>
        <w:autoSpaceDN/>
        <w:adjustRightInd/>
        <w:ind w:left="-15" w:firstLine="15"/>
        <w:jc w:val="both"/>
        <w:rPr>
          <w:rFonts w:cs="Arial"/>
          <w:color w:val="000000"/>
          <w:sz w:val="22"/>
          <w:szCs w:val="22"/>
          <w:u w:val="single"/>
        </w:rPr>
      </w:pPr>
      <w:r w:rsidRPr="00A6659A">
        <w:rPr>
          <w:rFonts w:cs="Arial"/>
          <w:i/>
          <w:color w:val="000000"/>
          <w:sz w:val="22"/>
          <w:szCs w:val="22"/>
          <w:u w:val="single"/>
        </w:rPr>
        <w:t>Further noting</w:t>
      </w:r>
      <w:r w:rsidRPr="00045DB2">
        <w:rPr>
          <w:rFonts w:cs="Arial"/>
          <w:color w:val="000000"/>
          <w:sz w:val="22"/>
          <w:szCs w:val="22"/>
          <w:u w:val="single"/>
        </w:rPr>
        <w:t xml:space="preserve"> the European Action Plan to Prevent Risk from Poison-Baits of the ‘European Network on Environmental Crime’</w:t>
      </w:r>
      <w:r w:rsidR="00A70E28">
        <w:rPr>
          <w:rFonts w:cs="Arial"/>
          <w:color w:val="000000"/>
          <w:sz w:val="22"/>
          <w:szCs w:val="22"/>
          <w:u w:val="single"/>
        </w:rPr>
        <w:t xml:space="preserve"> (ENEC)</w:t>
      </w:r>
      <w:r w:rsidRPr="00045DB2">
        <w:rPr>
          <w:rFonts w:cs="Arial"/>
          <w:color w:val="000000"/>
          <w:sz w:val="22"/>
          <w:szCs w:val="22"/>
          <w:u w:val="single"/>
        </w:rPr>
        <w:t xml:space="preserve">, funded by the Criminal Justice Support </w:t>
      </w:r>
      <w:proofErr w:type="spellStart"/>
      <w:r w:rsidRPr="00045DB2">
        <w:rPr>
          <w:rFonts w:cs="Arial"/>
          <w:color w:val="000000"/>
          <w:sz w:val="22"/>
          <w:szCs w:val="22"/>
          <w:u w:val="single"/>
        </w:rPr>
        <w:t>Programme</w:t>
      </w:r>
      <w:proofErr w:type="spellEnd"/>
      <w:r w:rsidRPr="00045DB2">
        <w:rPr>
          <w:rFonts w:cs="Arial"/>
          <w:color w:val="000000"/>
          <w:sz w:val="22"/>
          <w:szCs w:val="22"/>
          <w:u w:val="single"/>
        </w:rPr>
        <w:t xml:space="preserve"> of the European Union to improve the implementation and application of the Directive 2008/99/EC on the protection of the envi</w:t>
      </w:r>
      <w:r w:rsidR="00A70E28">
        <w:rPr>
          <w:rFonts w:cs="Arial"/>
          <w:color w:val="000000"/>
          <w:sz w:val="22"/>
          <w:szCs w:val="22"/>
          <w:u w:val="single"/>
        </w:rPr>
        <w:t>ronment through criminal law</w:t>
      </w:r>
      <w:r w:rsidR="00AF20C2">
        <w:rPr>
          <w:rFonts w:cs="Arial"/>
          <w:color w:val="000000"/>
          <w:sz w:val="22"/>
          <w:szCs w:val="22"/>
          <w:u w:val="single"/>
        </w:rPr>
        <w:t>,</w:t>
      </w:r>
      <w:r w:rsidR="0014156C">
        <w:rPr>
          <w:rFonts w:cs="Arial"/>
          <w:color w:val="000000"/>
          <w:sz w:val="22"/>
          <w:szCs w:val="22"/>
          <w:u w:val="single"/>
        </w:rPr>
        <w:t xml:space="preserve"> and</w:t>
      </w:r>
    </w:p>
    <w:p w14:paraId="73F8A3B5" w14:textId="77777777" w:rsidR="00045DB2" w:rsidRPr="00372228" w:rsidRDefault="00045DB2" w:rsidP="00372228">
      <w:pPr>
        <w:widowControl/>
        <w:autoSpaceDE/>
        <w:autoSpaceDN/>
        <w:adjustRightInd/>
        <w:rPr>
          <w:rFonts w:cs="Arial"/>
          <w:color w:val="000000"/>
          <w:sz w:val="22"/>
          <w:szCs w:val="22"/>
        </w:rPr>
      </w:pPr>
    </w:p>
    <w:p w14:paraId="2DD3B3ED" w14:textId="3A42BCF7" w:rsidR="00372228" w:rsidRPr="00372228" w:rsidRDefault="00372228" w:rsidP="00502657">
      <w:pPr>
        <w:widowControl/>
        <w:autoSpaceDE/>
        <w:autoSpaceDN/>
        <w:adjustRightInd/>
        <w:ind w:left="-15" w:firstLine="15"/>
        <w:jc w:val="both"/>
        <w:rPr>
          <w:rFonts w:cs="Arial"/>
          <w:color w:val="000000"/>
          <w:sz w:val="22"/>
          <w:szCs w:val="22"/>
        </w:rPr>
      </w:pPr>
      <w:r w:rsidRPr="00372228">
        <w:rPr>
          <w:rFonts w:cs="Arial"/>
          <w:i/>
          <w:color w:val="000000"/>
          <w:sz w:val="22"/>
          <w:szCs w:val="22"/>
        </w:rPr>
        <w:t>Stressing</w:t>
      </w:r>
      <w:r w:rsidRPr="00372228">
        <w:rPr>
          <w:rFonts w:cs="Arial"/>
          <w:color w:val="000000"/>
          <w:sz w:val="22"/>
          <w:szCs w:val="22"/>
        </w:rPr>
        <w:t xml:space="preserve"> that capacity building at national and regional level is of fundamental importance for the effective implementation of this Resolution</w:t>
      </w:r>
      <w:r w:rsidR="00AF20C2">
        <w:rPr>
          <w:rFonts w:cs="Arial"/>
          <w:color w:val="000000"/>
          <w:sz w:val="22"/>
          <w:szCs w:val="22"/>
        </w:rPr>
        <w:t>,</w:t>
      </w:r>
      <w:r w:rsidRPr="00372228">
        <w:rPr>
          <w:rFonts w:cs="Arial"/>
          <w:color w:val="000000"/>
          <w:sz w:val="22"/>
          <w:szCs w:val="22"/>
        </w:rPr>
        <w:t xml:space="preserve"> </w:t>
      </w:r>
    </w:p>
    <w:p w14:paraId="2DAA452A"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1FA7CE6F" w14:textId="77777777" w:rsidR="003967C6" w:rsidRDefault="00372228" w:rsidP="00502657">
      <w:pPr>
        <w:widowControl/>
        <w:autoSpaceDE/>
        <w:autoSpaceDN/>
        <w:adjustRightInd/>
        <w:ind w:left="-15" w:firstLine="15"/>
        <w:jc w:val="both"/>
        <w:rPr>
          <w:rFonts w:cs="Arial"/>
          <w:color w:val="000000"/>
          <w:sz w:val="22"/>
          <w:szCs w:val="22"/>
        </w:rPr>
      </w:pPr>
      <w:r w:rsidRPr="00BD2DD1">
        <w:rPr>
          <w:rFonts w:cs="Arial"/>
          <w:i/>
          <w:strike/>
          <w:color w:val="000000"/>
          <w:sz w:val="22"/>
          <w:szCs w:val="22"/>
        </w:rPr>
        <w:t>Acknowledging</w:t>
      </w:r>
      <w:r w:rsidRPr="00BD2DD1">
        <w:rPr>
          <w:rFonts w:cs="Arial"/>
          <w:strike/>
          <w:color w:val="000000"/>
          <w:sz w:val="22"/>
          <w:szCs w:val="22"/>
        </w:rPr>
        <w:t xml:space="preserve"> with thanks the Government of Tunisia for hosting the workshop held in Tunis from 27-31 May 2013 to assess the severity of poisoning and to discuss guidelines, and the generous financial support provided by the Government of Switzerland and the European Science Foundation towards the organization of this workshop;</w:t>
      </w:r>
      <w:r w:rsidRPr="005713B1">
        <w:rPr>
          <w:rFonts w:cs="Arial"/>
          <w:strike/>
          <w:color w:val="000000"/>
          <w:sz w:val="22"/>
          <w:szCs w:val="22"/>
        </w:rPr>
        <w:t xml:space="preserve"> and</w:t>
      </w:r>
    </w:p>
    <w:p w14:paraId="50AEAB13" w14:textId="6D5B14D5" w:rsidR="00372228" w:rsidRPr="00372228" w:rsidRDefault="00372228" w:rsidP="00372228">
      <w:pPr>
        <w:widowControl/>
        <w:autoSpaceDE/>
        <w:autoSpaceDN/>
        <w:adjustRightInd/>
        <w:rPr>
          <w:rFonts w:cs="Arial"/>
          <w:color w:val="000000"/>
          <w:sz w:val="22"/>
          <w:szCs w:val="22"/>
        </w:rPr>
      </w:pPr>
    </w:p>
    <w:p w14:paraId="6F51710C" w14:textId="57E5E585" w:rsidR="007910DD" w:rsidRPr="005713B1" w:rsidRDefault="00372228" w:rsidP="00502657">
      <w:pPr>
        <w:ind w:left="-14" w:firstLine="14"/>
        <w:jc w:val="both"/>
        <w:rPr>
          <w:rFonts w:cs="Arial"/>
          <w:i/>
          <w:strike/>
          <w:sz w:val="22"/>
          <w:szCs w:val="22"/>
          <w:lang w:val="en-GB"/>
        </w:rPr>
      </w:pPr>
      <w:r w:rsidRPr="005713B1">
        <w:rPr>
          <w:rFonts w:cs="Arial"/>
          <w:i/>
          <w:strike/>
          <w:color w:val="000000"/>
          <w:sz w:val="22"/>
          <w:szCs w:val="22"/>
        </w:rPr>
        <w:t>Taking note</w:t>
      </w:r>
      <w:r w:rsidRPr="005713B1">
        <w:rPr>
          <w:rFonts w:cs="Arial"/>
          <w:strike/>
          <w:color w:val="000000"/>
          <w:sz w:val="22"/>
          <w:szCs w:val="22"/>
        </w:rPr>
        <w:t xml:space="preserve"> of the “Review of the ecological effects of poisoning on migratory birds” (UNEP/CMS/COP11/Inf.34) and </w:t>
      </w:r>
      <w:r w:rsidRPr="005713B1">
        <w:rPr>
          <w:rFonts w:cs="Arial"/>
          <w:i/>
          <w:strike/>
          <w:color w:val="000000"/>
          <w:sz w:val="22"/>
          <w:szCs w:val="22"/>
        </w:rPr>
        <w:t xml:space="preserve">thanking </w:t>
      </w:r>
      <w:r w:rsidRPr="005713B1">
        <w:rPr>
          <w:rFonts w:cs="Arial"/>
          <w:strike/>
          <w:color w:val="000000"/>
          <w:sz w:val="22"/>
          <w:szCs w:val="22"/>
        </w:rPr>
        <w:t xml:space="preserve">the Preventing Poisoning Working Group members, the Coordinator and the CMS Secretariat for their contributions to the production of this </w:t>
      </w:r>
      <w:r w:rsidRPr="005713B1">
        <w:rPr>
          <w:rFonts w:cs="Arial"/>
          <w:strike/>
          <w:sz w:val="22"/>
          <w:szCs w:val="22"/>
        </w:rPr>
        <w:t>document;</w:t>
      </w:r>
    </w:p>
    <w:p w14:paraId="226AC602" w14:textId="77777777" w:rsidR="007910DD" w:rsidRPr="00372228" w:rsidRDefault="007910DD" w:rsidP="00372228">
      <w:pPr>
        <w:jc w:val="both"/>
        <w:rPr>
          <w:rFonts w:cs="Arial"/>
          <w:sz w:val="22"/>
          <w:szCs w:val="22"/>
          <w:lang w:val="en-GB"/>
        </w:rPr>
      </w:pPr>
    </w:p>
    <w:p w14:paraId="753AFCE3" w14:textId="77777777" w:rsidR="007910DD" w:rsidRPr="00372228" w:rsidRDefault="007910DD" w:rsidP="00372228">
      <w:pPr>
        <w:jc w:val="both"/>
        <w:rPr>
          <w:rFonts w:cs="Arial"/>
          <w:sz w:val="22"/>
          <w:szCs w:val="22"/>
          <w:lang w:val="en-GB"/>
        </w:rPr>
      </w:pPr>
    </w:p>
    <w:p w14:paraId="73047936" w14:textId="77777777" w:rsidR="007910DD" w:rsidRPr="00372228" w:rsidRDefault="007910DD" w:rsidP="00372228">
      <w:pPr>
        <w:jc w:val="center"/>
        <w:rPr>
          <w:rFonts w:cs="Arial"/>
          <w:i/>
          <w:sz w:val="22"/>
          <w:szCs w:val="22"/>
          <w:lang w:val="en-GB"/>
        </w:rPr>
      </w:pPr>
      <w:r w:rsidRPr="00372228">
        <w:rPr>
          <w:rFonts w:cs="Arial"/>
          <w:i/>
          <w:sz w:val="22"/>
          <w:szCs w:val="22"/>
          <w:lang w:val="en-GB"/>
        </w:rPr>
        <w:t>The Conference of the Parties to the</w:t>
      </w:r>
    </w:p>
    <w:p w14:paraId="0DAB0A6D" w14:textId="77777777" w:rsidR="007910DD" w:rsidRPr="00372228" w:rsidRDefault="007910DD" w:rsidP="00372228">
      <w:pPr>
        <w:jc w:val="center"/>
        <w:rPr>
          <w:rFonts w:cs="Arial"/>
          <w:i/>
          <w:sz w:val="22"/>
          <w:szCs w:val="22"/>
          <w:lang w:val="en-GB"/>
        </w:rPr>
      </w:pPr>
      <w:r w:rsidRPr="00372228">
        <w:rPr>
          <w:rFonts w:cs="Arial"/>
          <w:i/>
          <w:sz w:val="22"/>
          <w:szCs w:val="22"/>
          <w:lang w:val="en-GB"/>
        </w:rPr>
        <w:t>Convention on the Conservation of Migratory Species of Wild Animals</w:t>
      </w:r>
    </w:p>
    <w:p w14:paraId="75BBAA2C" w14:textId="77777777" w:rsidR="007910DD" w:rsidRPr="00372228" w:rsidRDefault="007910DD" w:rsidP="00372228">
      <w:pPr>
        <w:jc w:val="both"/>
        <w:rPr>
          <w:rFonts w:cs="Arial"/>
          <w:sz w:val="22"/>
          <w:szCs w:val="22"/>
          <w:lang w:val="en-GB"/>
        </w:rPr>
      </w:pPr>
    </w:p>
    <w:p w14:paraId="7AF6022B" w14:textId="58CBABB6" w:rsidR="005E6914" w:rsidRPr="00502657" w:rsidRDefault="00372228" w:rsidP="00502657">
      <w:pPr>
        <w:pStyle w:val="ListParagraph"/>
        <w:widowControl/>
        <w:numPr>
          <w:ilvl w:val="0"/>
          <w:numId w:val="21"/>
        </w:numPr>
        <w:autoSpaceDE/>
        <w:autoSpaceDN/>
        <w:adjustRightInd/>
        <w:ind w:right="4"/>
        <w:jc w:val="both"/>
        <w:rPr>
          <w:rFonts w:cs="Arial"/>
          <w:i/>
          <w:sz w:val="22"/>
          <w:szCs w:val="22"/>
          <w:u w:val="single"/>
        </w:rPr>
      </w:pPr>
      <w:r w:rsidRPr="00502657">
        <w:rPr>
          <w:rFonts w:cs="Arial"/>
          <w:i/>
          <w:sz w:val="21"/>
          <w:szCs w:val="21"/>
          <w:lang w:val="en-GB"/>
        </w:rPr>
        <w:t>Adopt</w:t>
      </w:r>
      <w:proofErr w:type="spellStart"/>
      <w:r w:rsidRPr="00502657">
        <w:rPr>
          <w:rFonts w:cs="Arial"/>
          <w:i/>
          <w:sz w:val="22"/>
          <w:szCs w:val="22"/>
        </w:rPr>
        <w:t>s</w:t>
      </w:r>
      <w:proofErr w:type="spellEnd"/>
      <w:r w:rsidRPr="00502657">
        <w:rPr>
          <w:rFonts w:cs="Arial"/>
          <w:sz w:val="22"/>
          <w:szCs w:val="22"/>
        </w:rPr>
        <w:t xml:space="preserve"> the “Guidelines to Prevent the Risk of Poisoning to Migratory Birds” (the Guidelines) Annex 2 to document UNEP/CMS/COP11/Doc.23.1.2, agreeing that it is for each Party to determine whether or how to implement </w:t>
      </w:r>
      <w:r w:rsidRPr="00502657">
        <w:rPr>
          <w:rFonts w:cs="Arial"/>
          <w:color w:val="000000"/>
          <w:sz w:val="22"/>
          <w:szCs w:val="22"/>
        </w:rPr>
        <w:t>the recommended actions, considering the extent and type of poisoning risk, whilst having regard to their international obligations and commitments, including those under the Convention;</w:t>
      </w:r>
    </w:p>
    <w:p w14:paraId="32C4DF7B" w14:textId="3F535523" w:rsidR="00372228" w:rsidRPr="005E6914" w:rsidRDefault="00372228" w:rsidP="005E6914">
      <w:pPr>
        <w:widowControl/>
        <w:autoSpaceDE/>
        <w:autoSpaceDN/>
        <w:adjustRightInd/>
        <w:ind w:left="10" w:right="4"/>
        <w:jc w:val="both"/>
        <w:rPr>
          <w:rFonts w:cs="Arial"/>
          <w:i/>
          <w:sz w:val="22"/>
          <w:szCs w:val="22"/>
          <w:u w:val="single"/>
        </w:rPr>
      </w:pPr>
      <w:r w:rsidRPr="005E6914">
        <w:rPr>
          <w:rFonts w:cs="Arial"/>
          <w:i/>
          <w:sz w:val="22"/>
          <w:szCs w:val="22"/>
          <w:u w:val="single"/>
        </w:rPr>
        <w:t xml:space="preserve"> </w:t>
      </w:r>
    </w:p>
    <w:p w14:paraId="5D77A064" w14:textId="26D3C7FB" w:rsidR="005D6E4C" w:rsidRPr="00574811" w:rsidRDefault="00936D48" w:rsidP="00502657">
      <w:pPr>
        <w:widowControl/>
        <w:autoSpaceDE/>
        <w:autoSpaceDN/>
        <w:adjustRightInd/>
        <w:ind w:left="426" w:right="4" w:hanging="416"/>
        <w:jc w:val="both"/>
        <w:rPr>
          <w:rFonts w:cs="Arial"/>
          <w:color w:val="000000"/>
          <w:sz w:val="22"/>
          <w:szCs w:val="22"/>
          <w:u w:val="single"/>
        </w:rPr>
      </w:pPr>
      <w:r w:rsidRPr="00936D48">
        <w:rPr>
          <w:rFonts w:cs="Arial"/>
          <w:sz w:val="22"/>
          <w:szCs w:val="22"/>
          <w:u w:val="single"/>
        </w:rPr>
        <w:t xml:space="preserve">1. </w:t>
      </w:r>
      <w:proofErr w:type="spellStart"/>
      <w:r w:rsidRPr="00936D48">
        <w:rPr>
          <w:rFonts w:cs="Arial"/>
          <w:sz w:val="22"/>
          <w:szCs w:val="22"/>
          <w:u w:val="single"/>
        </w:rPr>
        <w:t>bis</w:t>
      </w:r>
      <w:proofErr w:type="spellEnd"/>
      <w:r w:rsidR="00502657">
        <w:rPr>
          <w:rFonts w:cs="Arial"/>
          <w:sz w:val="22"/>
          <w:szCs w:val="22"/>
          <w:u w:val="single"/>
        </w:rPr>
        <w:t xml:space="preserve"> </w:t>
      </w:r>
      <w:r w:rsidR="005D6E4C" w:rsidRPr="00574811">
        <w:rPr>
          <w:rFonts w:cs="Arial"/>
          <w:i/>
          <w:sz w:val="22"/>
          <w:szCs w:val="22"/>
          <w:u w:val="single"/>
        </w:rPr>
        <w:t xml:space="preserve">Adopts </w:t>
      </w:r>
      <w:r w:rsidR="00687FA6" w:rsidRPr="00687FA6">
        <w:rPr>
          <w:rFonts w:cs="Arial"/>
          <w:sz w:val="22"/>
          <w:szCs w:val="22"/>
          <w:u w:val="single"/>
        </w:rPr>
        <w:t xml:space="preserve">the Terms of Reference (TOR) </w:t>
      </w:r>
      <w:r w:rsidR="00C77DFD">
        <w:rPr>
          <w:rFonts w:cs="Arial"/>
          <w:sz w:val="22"/>
          <w:szCs w:val="22"/>
          <w:u w:val="single"/>
        </w:rPr>
        <w:t xml:space="preserve">of the Lead Task Force included </w:t>
      </w:r>
      <w:r w:rsidR="00687FA6">
        <w:rPr>
          <w:rFonts w:cs="Arial"/>
          <w:sz w:val="22"/>
          <w:szCs w:val="22"/>
          <w:u w:val="single"/>
        </w:rPr>
        <w:t>in Annex 3</w:t>
      </w:r>
      <w:r w:rsidR="00A9745F">
        <w:rPr>
          <w:rFonts w:cs="Arial"/>
          <w:sz w:val="22"/>
          <w:szCs w:val="22"/>
          <w:u w:val="single"/>
        </w:rPr>
        <w:t xml:space="preserve"> of this Resolution</w:t>
      </w:r>
      <w:r w:rsidR="00502375">
        <w:rPr>
          <w:rFonts w:cs="Arial"/>
          <w:sz w:val="22"/>
          <w:szCs w:val="22"/>
          <w:u w:val="single"/>
        </w:rPr>
        <w:t>,</w:t>
      </w:r>
      <w:r w:rsidR="00687FA6">
        <w:rPr>
          <w:rFonts w:cs="Arial"/>
          <w:sz w:val="22"/>
          <w:szCs w:val="22"/>
          <w:u w:val="single"/>
        </w:rPr>
        <w:t xml:space="preserve"> and </w:t>
      </w:r>
      <w:r w:rsidR="00C77DFD">
        <w:rPr>
          <w:rFonts w:cs="Arial"/>
          <w:i/>
          <w:sz w:val="22"/>
          <w:szCs w:val="22"/>
          <w:u w:val="single"/>
        </w:rPr>
        <w:t xml:space="preserve">takes note </w:t>
      </w:r>
      <w:r w:rsidR="00C77DFD">
        <w:rPr>
          <w:rFonts w:cs="Arial"/>
          <w:sz w:val="22"/>
          <w:szCs w:val="22"/>
          <w:u w:val="single"/>
        </w:rPr>
        <w:t>of</w:t>
      </w:r>
      <w:r w:rsidR="00687FA6">
        <w:rPr>
          <w:rFonts w:cs="Arial"/>
          <w:sz w:val="22"/>
          <w:szCs w:val="22"/>
          <w:u w:val="single"/>
        </w:rPr>
        <w:t xml:space="preserve"> </w:t>
      </w:r>
      <w:r w:rsidR="00B94245">
        <w:rPr>
          <w:rFonts w:cs="Arial"/>
          <w:sz w:val="22"/>
          <w:szCs w:val="22"/>
          <w:u w:val="single"/>
        </w:rPr>
        <w:t>the Report of it the 2</w:t>
      </w:r>
      <w:r w:rsidR="00B94245" w:rsidRPr="002F364A">
        <w:rPr>
          <w:rFonts w:cs="Arial"/>
          <w:sz w:val="22"/>
          <w:szCs w:val="22"/>
          <w:u w:val="single"/>
          <w:vertAlign w:val="superscript"/>
        </w:rPr>
        <w:t>nd</w:t>
      </w:r>
      <w:r w:rsidR="00B94245">
        <w:rPr>
          <w:rFonts w:cs="Arial"/>
          <w:sz w:val="22"/>
          <w:szCs w:val="22"/>
          <w:u w:val="single"/>
        </w:rPr>
        <w:t xml:space="preserve"> Meeting </w:t>
      </w:r>
      <w:r w:rsidR="00B94245" w:rsidRPr="00574811">
        <w:rPr>
          <w:rFonts w:cs="Arial"/>
          <w:sz w:val="22"/>
          <w:szCs w:val="22"/>
          <w:u w:val="single"/>
        </w:rPr>
        <w:t xml:space="preserve">of the Preventing Poisoning </w:t>
      </w:r>
      <w:r w:rsidR="00B94245">
        <w:rPr>
          <w:rFonts w:cs="Arial"/>
          <w:sz w:val="22"/>
          <w:szCs w:val="22"/>
          <w:u w:val="single"/>
        </w:rPr>
        <w:t>Working Group (UNEP/CMS/COP12/Inf.8)</w:t>
      </w:r>
      <w:r w:rsidR="00B94245" w:rsidRPr="00687FA6">
        <w:rPr>
          <w:rFonts w:cs="Arial"/>
          <w:sz w:val="22"/>
          <w:szCs w:val="22"/>
          <w:u w:val="single"/>
        </w:rPr>
        <w:t xml:space="preserve"> </w:t>
      </w:r>
      <w:r w:rsidR="00B94245">
        <w:rPr>
          <w:rFonts w:cs="Arial"/>
          <w:sz w:val="22"/>
          <w:szCs w:val="22"/>
          <w:u w:val="single"/>
        </w:rPr>
        <w:t>and its</w:t>
      </w:r>
      <w:r w:rsidR="005D6E4C" w:rsidRPr="00687FA6">
        <w:rPr>
          <w:rFonts w:cs="Arial"/>
          <w:sz w:val="22"/>
          <w:szCs w:val="22"/>
          <w:u w:val="single"/>
        </w:rPr>
        <w:t xml:space="preserve"> </w:t>
      </w:r>
      <w:proofErr w:type="spellStart"/>
      <w:r w:rsidR="005D6E4C" w:rsidRPr="00687FA6">
        <w:rPr>
          <w:rFonts w:cs="Arial"/>
          <w:sz w:val="22"/>
          <w:szCs w:val="22"/>
          <w:u w:val="single"/>
        </w:rPr>
        <w:t>Programme</w:t>
      </w:r>
      <w:proofErr w:type="spellEnd"/>
      <w:r w:rsidR="005D6E4C" w:rsidRPr="00574811">
        <w:rPr>
          <w:rFonts w:cs="Arial"/>
          <w:sz w:val="22"/>
          <w:szCs w:val="22"/>
          <w:u w:val="single"/>
        </w:rPr>
        <w:t xml:space="preserve"> of Work </w:t>
      </w:r>
      <w:r w:rsidR="00574811" w:rsidRPr="00574811">
        <w:rPr>
          <w:rFonts w:cs="Arial"/>
          <w:sz w:val="22"/>
          <w:szCs w:val="22"/>
          <w:u w:val="single"/>
        </w:rPr>
        <w:t>(POW</w:t>
      </w:r>
      <w:r w:rsidR="00B94245">
        <w:rPr>
          <w:rFonts w:cs="Arial"/>
          <w:sz w:val="22"/>
          <w:szCs w:val="22"/>
          <w:u w:val="single"/>
        </w:rPr>
        <w:t>; UNEP/CMS/COP12/Inf.9</w:t>
      </w:r>
      <w:r w:rsidR="0013767B">
        <w:rPr>
          <w:rFonts w:cs="Arial"/>
          <w:sz w:val="22"/>
          <w:szCs w:val="22"/>
          <w:u w:val="single"/>
        </w:rPr>
        <w:t>)</w:t>
      </w:r>
      <w:r w:rsidR="00A23F42">
        <w:rPr>
          <w:rFonts w:cs="Arial"/>
          <w:sz w:val="22"/>
          <w:szCs w:val="22"/>
          <w:u w:val="single"/>
        </w:rPr>
        <w:t>;</w:t>
      </w:r>
    </w:p>
    <w:p w14:paraId="45BE3B1D" w14:textId="77777777" w:rsidR="00372228" w:rsidRPr="005D6E4C" w:rsidRDefault="00372228" w:rsidP="00372228">
      <w:pPr>
        <w:widowControl/>
        <w:autoSpaceDE/>
        <w:autoSpaceDN/>
        <w:adjustRightInd/>
        <w:rPr>
          <w:rFonts w:cs="Arial"/>
          <w:color w:val="000000"/>
          <w:sz w:val="22"/>
          <w:szCs w:val="22"/>
        </w:rPr>
      </w:pPr>
      <w:r w:rsidRPr="005D6E4C">
        <w:rPr>
          <w:rFonts w:cs="Arial"/>
          <w:color w:val="000000"/>
          <w:sz w:val="22"/>
          <w:szCs w:val="22"/>
        </w:rPr>
        <w:t xml:space="preserve"> </w:t>
      </w:r>
    </w:p>
    <w:p w14:paraId="2DEEA1AD" w14:textId="7B75F867"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Urges</w:t>
      </w:r>
      <w:r w:rsidRPr="00372228">
        <w:rPr>
          <w:rFonts w:cs="Arial"/>
          <w:color w:val="000000"/>
          <w:sz w:val="22"/>
          <w:szCs w:val="22"/>
        </w:rPr>
        <w:t xml:space="preserve"> Parties and </w:t>
      </w:r>
      <w:r w:rsidRPr="00372228">
        <w:rPr>
          <w:rFonts w:cs="Arial"/>
          <w:i/>
          <w:color w:val="000000"/>
          <w:sz w:val="22"/>
          <w:szCs w:val="22"/>
        </w:rPr>
        <w:t>encourages</w:t>
      </w:r>
      <w:r w:rsidRPr="00372228">
        <w:rPr>
          <w:rFonts w:cs="Arial"/>
          <w:color w:val="000000"/>
          <w:sz w:val="22"/>
          <w:szCs w:val="22"/>
        </w:rPr>
        <w:t xml:space="preserve"> non-Parties to disseminate and implement the</w:t>
      </w:r>
      <w:r w:rsidRPr="005713B1">
        <w:rPr>
          <w:rFonts w:cs="Arial"/>
          <w:strike/>
          <w:color w:val="000000"/>
          <w:sz w:val="22"/>
          <w:szCs w:val="22"/>
        </w:rPr>
        <w:t>se</w:t>
      </w:r>
      <w:r w:rsidRPr="00372228">
        <w:rPr>
          <w:rFonts w:cs="Arial"/>
          <w:color w:val="000000"/>
          <w:sz w:val="22"/>
          <w:szCs w:val="22"/>
        </w:rPr>
        <w:t xml:space="preserve"> </w:t>
      </w:r>
      <w:r w:rsidR="00A95697">
        <w:rPr>
          <w:rFonts w:cs="Arial"/>
          <w:color w:val="000000"/>
          <w:sz w:val="22"/>
          <w:szCs w:val="22"/>
        </w:rPr>
        <w:t>“</w:t>
      </w:r>
      <w:r w:rsidRPr="00372228">
        <w:rPr>
          <w:rFonts w:cs="Arial"/>
          <w:color w:val="000000"/>
          <w:sz w:val="22"/>
          <w:szCs w:val="22"/>
        </w:rPr>
        <w:t>Guidelines</w:t>
      </w:r>
      <w:r w:rsidR="00A95697" w:rsidRPr="008627EF">
        <w:rPr>
          <w:rFonts w:cs="Arial"/>
          <w:sz w:val="22"/>
          <w:szCs w:val="22"/>
          <w:lang w:val="en"/>
        </w:rPr>
        <w:t xml:space="preserve"> </w:t>
      </w:r>
      <w:r w:rsidR="00A95697">
        <w:rPr>
          <w:rFonts w:cs="Arial"/>
          <w:sz w:val="22"/>
          <w:szCs w:val="22"/>
          <w:lang w:val="en"/>
        </w:rPr>
        <w:t xml:space="preserve">to </w:t>
      </w:r>
      <w:r w:rsidR="00A95697" w:rsidRPr="000216DD">
        <w:rPr>
          <w:rFonts w:cs="Arial"/>
          <w:bCs/>
          <w:sz w:val="22"/>
          <w:szCs w:val="22"/>
          <w:lang w:val="en"/>
        </w:rPr>
        <w:t>Prevent the Risk of Poisoning to Migratory Birds</w:t>
      </w:r>
      <w:r w:rsidR="00A95697">
        <w:rPr>
          <w:rFonts w:cs="Arial"/>
          <w:bCs/>
          <w:sz w:val="22"/>
          <w:szCs w:val="22"/>
          <w:lang w:val="en"/>
        </w:rPr>
        <w:t>”</w:t>
      </w:r>
      <w:r w:rsidRPr="00372228">
        <w:rPr>
          <w:rFonts w:cs="Arial"/>
          <w:color w:val="000000"/>
          <w:sz w:val="22"/>
          <w:szCs w:val="22"/>
        </w:rPr>
        <w:t xml:space="preserve">, as appropriate, across all flyways, where necessary translating the Guidelines into different languages for their wider dissemination and use; </w:t>
      </w:r>
    </w:p>
    <w:p w14:paraId="36BD3108"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130EC8D1" w14:textId="77777777"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Encourages</w:t>
      </w:r>
      <w:r w:rsidRPr="00372228">
        <w:rPr>
          <w:rFonts w:cs="Arial"/>
          <w:color w:val="000000"/>
          <w:sz w:val="22"/>
          <w:szCs w:val="22"/>
        </w:rPr>
        <w:t xml:space="preserve"> CMS Parties and </w:t>
      </w:r>
      <w:r w:rsidRPr="00372228">
        <w:rPr>
          <w:rFonts w:cs="Arial"/>
          <w:i/>
          <w:color w:val="000000"/>
          <w:sz w:val="22"/>
          <w:szCs w:val="22"/>
        </w:rPr>
        <w:t xml:space="preserve">invites </w:t>
      </w:r>
      <w:r w:rsidRPr="00372228">
        <w:rPr>
          <w:rFonts w:cs="Arial"/>
          <w:color w:val="000000"/>
          <w:sz w:val="22"/>
          <w:szCs w:val="22"/>
        </w:rPr>
        <w:t xml:space="preserve">Parties and Signatories of CMS Family instruments to identify within flyways, those geographical areas where poisoning is causing significant migratory bird mortality or morbidity, and address these as a matter of priority applying the Guidelines as appropriate; </w:t>
      </w:r>
    </w:p>
    <w:p w14:paraId="393AA349"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19970B8D" w14:textId="777DBDF5"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 xml:space="preserve">Urges </w:t>
      </w:r>
      <w:r w:rsidRPr="00372228">
        <w:rPr>
          <w:rFonts w:cs="Arial"/>
          <w:color w:val="000000"/>
          <w:sz w:val="22"/>
          <w:szCs w:val="22"/>
        </w:rPr>
        <w:t xml:space="preserve">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w:t>
      </w:r>
      <w:r w:rsidRPr="00A95697">
        <w:rPr>
          <w:rFonts w:cs="Arial"/>
          <w:strike/>
          <w:color w:val="000000"/>
          <w:sz w:val="22"/>
          <w:szCs w:val="22"/>
        </w:rPr>
        <w:t xml:space="preserve"> </w:t>
      </w:r>
      <w:r w:rsidRPr="00372228">
        <w:rPr>
          <w:rFonts w:cs="Arial"/>
          <w:color w:val="000000"/>
          <w:sz w:val="22"/>
          <w:szCs w:val="22"/>
        </w:rPr>
        <w:t xml:space="preserve">national strategies and sector implementation plans as necessary; </w:t>
      </w:r>
    </w:p>
    <w:p w14:paraId="52A2E681"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4E71CB3D" w14:textId="66869EBD"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lastRenderedPageBreak/>
        <w:t xml:space="preserve">Encourages </w:t>
      </w:r>
      <w:r w:rsidRPr="00372228">
        <w:rPr>
          <w:rFonts w:cs="Arial"/>
          <w:color w:val="000000"/>
          <w:sz w:val="22"/>
          <w:szCs w:val="22"/>
        </w:rPr>
        <w:t xml:space="preserve">CMS Parties to monitor and evaluate the impact of poisoning on migratory bird species regularly at national level, as well as the effectiveness of measures put in place to prevent, minimize, reduce, or control poisoning impacts, as appropriate; </w:t>
      </w:r>
    </w:p>
    <w:p w14:paraId="7E8EBDF8"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451AD8FE" w14:textId="67C8DAE1"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 xml:space="preserve">Calls on </w:t>
      </w:r>
      <w:r w:rsidRPr="00372228">
        <w:rPr>
          <w:rFonts w:cs="Arial"/>
          <w:color w:val="000000"/>
          <w:sz w:val="22"/>
          <w:szCs w:val="22"/>
        </w:rPr>
        <w:t>Parties and non-Parties, including inter-governmental organi</w:t>
      </w:r>
      <w:r w:rsidR="0014156C">
        <w:rPr>
          <w:rFonts w:cs="Arial"/>
          <w:color w:val="000000"/>
          <w:sz w:val="22"/>
          <w:szCs w:val="22"/>
        </w:rPr>
        <w:t>z</w:t>
      </w:r>
      <w:r w:rsidRPr="00372228">
        <w:rPr>
          <w:rFonts w:cs="Arial"/>
          <w:color w:val="000000"/>
          <w:sz w:val="22"/>
          <w:szCs w:val="22"/>
        </w:rPr>
        <w:t xml:space="preserve">ations and other relevant institutions to elaborate strategies to address poisoning or to include measures contained in this Resolution and in the Guidelines in their National Biodiversity Strategies and Action Plans (NBSAPs) or relevant legislation as appropriate to prevent, minimize, reduce or control the impact of poisoning on migratory bird species; </w:t>
      </w:r>
    </w:p>
    <w:p w14:paraId="32035287"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14B0976B" w14:textId="77777777" w:rsidR="007A2370"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Instructs</w:t>
      </w:r>
      <w:r w:rsidRPr="00372228">
        <w:rPr>
          <w:rFonts w:cs="Arial"/>
          <w:color w:val="000000"/>
          <w:sz w:val="22"/>
          <w:szCs w:val="22"/>
        </w:rPr>
        <w:t xml:space="preserve"> the Secretariat, in close cooperation with relevant CMS instruments, to liaise with the Bern Convention Secretariat and other relevant international organizations in order to update the Guidelines as necessary, and </w:t>
      </w:r>
      <w:r w:rsidRPr="00372228">
        <w:rPr>
          <w:rFonts w:cs="Arial"/>
          <w:i/>
          <w:color w:val="000000"/>
          <w:sz w:val="22"/>
          <w:szCs w:val="22"/>
        </w:rPr>
        <w:t>invites</w:t>
      </w:r>
      <w:r w:rsidRPr="00372228">
        <w:rPr>
          <w:rFonts w:cs="Arial"/>
          <w:color w:val="000000"/>
          <w:sz w:val="22"/>
          <w:szCs w:val="22"/>
        </w:rPr>
        <w:t xml:space="preserve"> Parties to contribute to the dissemination and updating of the Guidelines;</w:t>
      </w:r>
    </w:p>
    <w:p w14:paraId="3D365EB1" w14:textId="77777777" w:rsidR="007A2370" w:rsidRDefault="007A2370" w:rsidP="007A2370">
      <w:pPr>
        <w:pStyle w:val="ListParagraph"/>
        <w:rPr>
          <w:rFonts w:cs="Arial"/>
          <w:color w:val="000000"/>
          <w:sz w:val="22"/>
          <w:szCs w:val="22"/>
        </w:rPr>
      </w:pPr>
    </w:p>
    <w:p w14:paraId="4481DF1B" w14:textId="615062D7" w:rsidR="00372228" w:rsidRPr="005A338C" w:rsidRDefault="00502657" w:rsidP="00502657">
      <w:pPr>
        <w:widowControl/>
        <w:autoSpaceDE/>
        <w:autoSpaceDN/>
        <w:adjustRightInd/>
        <w:ind w:left="426" w:right="4" w:hanging="416"/>
        <w:jc w:val="both"/>
        <w:rPr>
          <w:rFonts w:cs="Arial"/>
          <w:color w:val="000000"/>
          <w:sz w:val="22"/>
          <w:szCs w:val="22"/>
          <w:u w:val="single"/>
        </w:rPr>
      </w:pPr>
      <w:r>
        <w:rPr>
          <w:rFonts w:cs="Arial"/>
          <w:color w:val="000000"/>
          <w:sz w:val="22"/>
          <w:szCs w:val="22"/>
          <w:u w:val="single"/>
        </w:rPr>
        <w:t xml:space="preserve">7. </w:t>
      </w:r>
      <w:proofErr w:type="spellStart"/>
      <w:r w:rsidR="00936D48" w:rsidRPr="00936D48">
        <w:rPr>
          <w:rFonts w:cs="Arial"/>
          <w:color w:val="000000"/>
          <w:sz w:val="22"/>
          <w:szCs w:val="22"/>
          <w:u w:val="single"/>
        </w:rPr>
        <w:t>bis</w:t>
      </w:r>
      <w:proofErr w:type="spellEnd"/>
      <w:r>
        <w:rPr>
          <w:rFonts w:cs="Arial"/>
          <w:color w:val="000000"/>
          <w:sz w:val="22"/>
          <w:szCs w:val="22"/>
          <w:u w:val="single"/>
        </w:rPr>
        <w:t xml:space="preserve"> </w:t>
      </w:r>
      <w:r w:rsidR="007A2370" w:rsidRPr="005A338C">
        <w:rPr>
          <w:rFonts w:cs="Arial"/>
          <w:i/>
          <w:color w:val="000000"/>
          <w:sz w:val="22"/>
          <w:szCs w:val="22"/>
          <w:u w:val="single"/>
        </w:rPr>
        <w:t>Invites</w:t>
      </w:r>
      <w:r w:rsidR="00A70E28">
        <w:rPr>
          <w:rFonts w:cs="Arial"/>
          <w:color w:val="000000"/>
          <w:sz w:val="22"/>
          <w:szCs w:val="22"/>
          <w:u w:val="single"/>
        </w:rPr>
        <w:t xml:space="preserve"> the IUCN</w:t>
      </w:r>
      <w:r w:rsidR="007A2370" w:rsidRPr="005A338C">
        <w:rPr>
          <w:rFonts w:cs="Arial"/>
          <w:color w:val="000000"/>
          <w:sz w:val="22"/>
          <w:szCs w:val="22"/>
          <w:u w:val="single"/>
        </w:rPr>
        <w:t xml:space="preserve"> </w:t>
      </w:r>
      <w:r w:rsidR="005A338C">
        <w:rPr>
          <w:rFonts w:cs="Arial"/>
          <w:color w:val="000000"/>
          <w:sz w:val="22"/>
          <w:szCs w:val="22"/>
          <w:u w:val="single"/>
        </w:rPr>
        <w:t xml:space="preserve">and its </w:t>
      </w:r>
      <w:r w:rsidR="00877911">
        <w:rPr>
          <w:rFonts w:cs="Arial"/>
          <w:color w:val="000000"/>
          <w:sz w:val="22"/>
          <w:szCs w:val="22"/>
          <w:u w:val="single"/>
        </w:rPr>
        <w:t xml:space="preserve">Species Survival Commission (SSC) </w:t>
      </w:r>
      <w:r w:rsidR="007A2370" w:rsidRPr="005A338C">
        <w:rPr>
          <w:rFonts w:cs="Arial"/>
          <w:color w:val="000000"/>
          <w:sz w:val="22"/>
          <w:szCs w:val="22"/>
          <w:u w:val="single"/>
        </w:rPr>
        <w:t>to cooperate actively with CMS and the PPWG</w:t>
      </w:r>
      <w:r w:rsidR="00372228" w:rsidRPr="005A338C">
        <w:rPr>
          <w:rFonts w:cs="Arial"/>
          <w:color w:val="000000"/>
          <w:sz w:val="22"/>
          <w:szCs w:val="22"/>
          <w:u w:val="single"/>
        </w:rPr>
        <w:t xml:space="preserve"> </w:t>
      </w:r>
      <w:r w:rsidR="005A338C" w:rsidRPr="005A338C">
        <w:rPr>
          <w:rFonts w:cs="Arial"/>
          <w:color w:val="000000"/>
          <w:sz w:val="22"/>
          <w:szCs w:val="22"/>
          <w:u w:val="single"/>
        </w:rPr>
        <w:t xml:space="preserve">on a global </w:t>
      </w:r>
      <w:r w:rsidR="00D94D78" w:rsidRPr="005A338C">
        <w:rPr>
          <w:rFonts w:cs="Arial"/>
          <w:color w:val="000000"/>
          <w:sz w:val="22"/>
          <w:szCs w:val="22"/>
          <w:u w:val="single"/>
        </w:rPr>
        <w:t>analys</w:t>
      </w:r>
      <w:r w:rsidR="00D94D78">
        <w:rPr>
          <w:rFonts w:cs="Arial"/>
          <w:color w:val="000000"/>
          <w:sz w:val="22"/>
          <w:szCs w:val="22"/>
          <w:u w:val="single"/>
        </w:rPr>
        <w:t>i</w:t>
      </w:r>
      <w:r w:rsidR="00D94D78" w:rsidRPr="005A338C">
        <w:rPr>
          <w:rFonts w:cs="Arial"/>
          <w:color w:val="000000"/>
          <w:sz w:val="22"/>
          <w:szCs w:val="22"/>
          <w:u w:val="single"/>
        </w:rPr>
        <w:t>s o</w:t>
      </w:r>
      <w:r w:rsidR="00D94D78">
        <w:rPr>
          <w:rFonts w:cs="Arial"/>
          <w:color w:val="000000"/>
          <w:sz w:val="22"/>
          <w:szCs w:val="22"/>
          <w:u w:val="single"/>
        </w:rPr>
        <w:t>f</w:t>
      </w:r>
      <w:r w:rsidR="00D94D78" w:rsidRPr="005A338C">
        <w:rPr>
          <w:rFonts w:cs="Arial"/>
          <w:color w:val="000000"/>
          <w:sz w:val="22"/>
          <w:szCs w:val="22"/>
          <w:u w:val="single"/>
        </w:rPr>
        <w:t xml:space="preserve"> </w:t>
      </w:r>
      <w:r w:rsidR="005A338C" w:rsidRPr="005A338C">
        <w:rPr>
          <w:rFonts w:cs="Arial"/>
          <w:color w:val="000000"/>
          <w:sz w:val="22"/>
          <w:szCs w:val="22"/>
          <w:u w:val="single"/>
        </w:rPr>
        <w:t>the impact of poisoning on wildlife</w:t>
      </w:r>
      <w:r w:rsidR="00C77DFD">
        <w:rPr>
          <w:rFonts w:cs="Arial"/>
          <w:color w:val="000000"/>
          <w:sz w:val="22"/>
          <w:szCs w:val="22"/>
          <w:u w:val="single"/>
        </w:rPr>
        <w:t>, resources permitting</w:t>
      </w:r>
      <w:r w:rsidR="005A338C" w:rsidRPr="005A338C">
        <w:rPr>
          <w:rFonts w:cs="Arial"/>
          <w:color w:val="000000"/>
          <w:sz w:val="22"/>
          <w:szCs w:val="22"/>
          <w:u w:val="single"/>
        </w:rPr>
        <w:t>;</w:t>
      </w:r>
    </w:p>
    <w:p w14:paraId="4558F563"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00CAA3FF" w14:textId="77777777"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Invites</w:t>
      </w:r>
      <w:r w:rsidRPr="00372228">
        <w:rPr>
          <w:rFonts w:cs="Arial"/>
          <w:color w:val="000000"/>
          <w:sz w:val="22"/>
          <w:szCs w:val="22"/>
        </w:rPr>
        <w:t xml:space="preserve"> the Rotterdam Convention on the Prior Informed Consent for Certain Hazardous Chemicals and Pesticides in International Trade to cooperate actively with CMS on matters related to poisoning of migratory birds, and in particular on the question of clarifying existing guidelines used in decision-making processes under that Convention as appropriate; </w:t>
      </w:r>
    </w:p>
    <w:p w14:paraId="7902169F"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602AB950" w14:textId="2CA94AB2"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Invites</w:t>
      </w:r>
      <w:r w:rsidRPr="00372228">
        <w:rPr>
          <w:rFonts w:cs="Arial"/>
          <w:color w:val="000000"/>
          <w:sz w:val="22"/>
          <w:szCs w:val="22"/>
        </w:rPr>
        <w:t xml:space="preserve"> the International Cooperation on </w:t>
      </w:r>
      <w:r w:rsidR="00D94D78" w:rsidRPr="00372228">
        <w:rPr>
          <w:rFonts w:cs="Arial"/>
          <w:color w:val="000000"/>
          <w:sz w:val="22"/>
          <w:szCs w:val="22"/>
        </w:rPr>
        <w:t>Harmoni</w:t>
      </w:r>
      <w:r w:rsidR="00D94D78">
        <w:rPr>
          <w:rFonts w:cs="Arial"/>
          <w:color w:val="000000"/>
          <w:sz w:val="22"/>
          <w:szCs w:val="22"/>
        </w:rPr>
        <w:t>z</w:t>
      </w:r>
      <w:r w:rsidR="00D94D78" w:rsidRPr="00372228">
        <w:rPr>
          <w:rFonts w:cs="Arial"/>
          <w:color w:val="000000"/>
          <w:sz w:val="22"/>
          <w:szCs w:val="22"/>
        </w:rPr>
        <w:t xml:space="preserve">ation </w:t>
      </w:r>
      <w:r w:rsidRPr="00372228">
        <w:rPr>
          <w:rFonts w:cs="Arial"/>
          <w:color w:val="000000"/>
          <w:sz w:val="22"/>
          <w:szCs w:val="22"/>
        </w:rPr>
        <w:t xml:space="preserve">of Technical Requirements for Registration of Veterinary Medicinal Products (VICH) and the </w:t>
      </w:r>
      <w:r w:rsidR="00D94D78" w:rsidRPr="00372228">
        <w:rPr>
          <w:rFonts w:cs="Arial"/>
          <w:color w:val="000000"/>
          <w:sz w:val="22"/>
          <w:szCs w:val="22"/>
        </w:rPr>
        <w:t>Organi</w:t>
      </w:r>
      <w:r w:rsidR="00D94D78">
        <w:rPr>
          <w:rFonts w:cs="Arial"/>
          <w:color w:val="000000"/>
          <w:sz w:val="22"/>
          <w:szCs w:val="22"/>
        </w:rPr>
        <w:t>z</w:t>
      </w:r>
      <w:r w:rsidR="00D94D78" w:rsidRPr="00372228">
        <w:rPr>
          <w:rFonts w:cs="Arial"/>
          <w:color w:val="000000"/>
          <w:sz w:val="22"/>
          <w:szCs w:val="22"/>
        </w:rPr>
        <w:t xml:space="preserve">ation </w:t>
      </w:r>
      <w:r w:rsidRPr="00372228">
        <w:rPr>
          <w:rFonts w:cs="Arial"/>
          <w:color w:val="000000"/>
          <w:sz w:val="22"/>
          <w:szCs w:val="22"/>
        </w:rPr>
        <w:t>for Economic Cooperation and Development (OECD) to consider conducting an evaluation of</w:t>
      </w:r>
      <w:r w:rsidRPr="00372228">
        <w:rPr>
          <w:rFonts w:cs="Arial"/>
          <w:color w:val="00B0F0"/>
          <w:sz w:val="22"/>
          <w:szCs w:val="22"/>
        </w:rPr>
        <w:t xml:space="preserve"> </w:t>
      </w:r>
      <w:r w:rsidRPr="00372228">
        <w:rPr>
          <w:rFonts w:cs="Arial"/>
          <w:color w:val="000000"/>
          <w:sz w:val="22"/>
          <w:szCs w:val="22"/>
        </w:rPr>
        <w:t xml:space="preserve">the risk that veterinary medicinal products pose to scavenging migratory bird species through either lethal or sub-lethal impacts, and using the results to provide guidance to the veterinary sector; </w:t>
      </w:r>
    </w:p>
    <w:p w14:paraId="6214187D"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37FC58DD" w14:textId="77777777"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 xml:space="preserve">Encourages </w:t>
      </w:r>
      <w:r w:rsidRPr="00372228">
        <w:rPr>
          <w:rFonts w:cs="Arial"/>
          <w:color w:val="000000"/>
          <w:sz w:val="22"/>
          <w:szCs w:val="22"/>
        </w:rPr>
        <w:t xml:space="preserve">all those concerned with preventing poisoning of migratory birds to engage with such groups and create active partnerships – at appropriate scales – as a priority in implementing the Guidelines; </w:t>
      </w:r>
    </w:p>
    <w:p w14:paraId="66E9EDE0"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3757912D" w14:textId="77777777" w:rsidR="00372228" w:rsidRPr="00372228" w:rsidRDefault="00372228" w:rsidP="00502657">
      <w:pPr>
        <w:widowControl/>
        <w:numPr>
          <w:ilvl w:val="0"/>
          <w:numId w:val="21"/>
        </w:numPr>
        <w:autoSpaceDE/>
        <w:autoSpaceDN/>
        <w:adjustRightInd/>
        <w:ind w:right="4"/>
        <w:jc w:val="both"/>
        <w:rPr>
          <w:rFonts w:cs="Arial"/>
          <w:color w:val="000000"/>
          <w:sz w:val="22"/>
          <w:szCs w:val="22"/>
        </w:rPr>
      </w:pPr>
      <w:r w:rsidRPr="00372228">
        <w:rPr>
          <w:rFonts w:cs="Arial"/>
          <w:i/>
          <w:color w:val="000000"/>
          <w:sz w:val="22"/>
          <w:szCs w:val="22"/>
        </w:rPr>
        <w:t xml:space="preserve">Invites </w:t>
      </w:r>
      <w:r w:rsidRPr="00372228">
        <w:rPr>
          <w:rFonts w:cs="Arial"/>
          <w:color w:val="000000"/>
          <w:sz w:val="22"/>
          <w:szCs w:val="22"/>
        </w:rPr>
        <w:t xml:space="preserve">Parties to note that neonicotinoid insecticides have become a main replacement for the organophosphates and carbamates reviewed; and to consider conducting further research on and monitoring migratory bird mortality incidents associated with the use of these and other insecticides; </w:t>
      </w:r>
    </w:p>
    <w:p w14:paraId="35694D48"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23C68625" w14:textId="14F62F61" w:rsidR="00372228" w:rsidRPr="00185E1B" w:rsidRDefault="00185E1B" w:rsidP="00502657">
      <w:pPr>
        <w:widowControl/>
        <w:autoSpaceDE/>
        <w:autoSpaceDN/>
        <w:adjustRightInd/>
        <w:ind w:left="426" w:hanging="412"/>
        <w:jc w:val="both"/>
        <w:rPr>
          <w:rFonts w:cs="Arial"/>
          <w:strike/>
          <w:color w:val="000000"/>
          <w:sz w:val="22"/>
          <w:szCs w:val="22"/>
        </w:rPr>
      </w:pPr>
      <w:r w:rsidRPr="00936D48">
        <w:rPr>
          <w:rFonts w:cs="Arial"/>
          <w:strike/>
          <w:color w:val="000000"/>
          <w:sz w:val="22"/>
          <w:szCs w:val="22"/>
        </w:rPr>
        <w:t>1</w:t>
      </w:r>
      <w:r w:rsidR="00936D48">
        <w:rPr>
          <w:rFonts w:cs="Arial"/>
          <w:strike/>
          <w:color w:val="000000"/>
          <w:sz w:val="22"/>
          <w:szCs w:val="22"/>
        </w:rPr>
        <w:t>2</w:t>
      </w:r>
      <w:r w:rsidRPr="00185E1B">
        <w:rPr>
          <w:rFonts w:cs="Arial"/>
          <w:i/>
          <w:strike/>
          <w:color w:val="000000"/>
          <w:sz w:val="22"/>
          <w:szCs w:val="22"/>
        </w:rPr>
        <w:t>.</w:t>
      </w:r>
      <w:r w:rsidR="00502657">
        <w:rPr>
          <w:rFonts w:cs="Arial"/>
          <w:i/>
          <w:strike/>
          <w:color w:val="000000"/>
          <w:sz w:val="22"/>
          <w:szCs w:val="22"/>
        </w:rPr>
        <w:tab/>
      </w:r>
      <w:r w:rsidR="00372228" w:rsidRPr="00185E1B">
        <w:rPr>
          <w:rFonts w:cs="Arial"/>
          <w:i/>
          <w:strike/>
          <w:color w:val="000000"/>
          <w:sz w:val="22"/>
          <w:szCs w:val="22"/>
        </w:rPr>
        <w:t>Instructs</w:t>
      </w:r>
      <w:r w:rsidR="00372228" w:rsidRPr="00185E1B">
        <w:rPr>
          <w:rFonts w:cs="Arial"/>
          <w:strike/>
          <w:color w:val="000000"/>
          <w:sz w:val="22"/>
          <w:szCs w:val="22"/>
        </w:rPr>
        <w:t xml:space="preserve"> the Secretariat, in collaboration with Parties and relevant international organizations, subject to the availability of funds, to organize regional workshops in high risk areas/flyways to promote the implementation of the Guidelines and to share best practice and lessons learnt; </w:t>
      </w:r>
    </w:p>
    <w:p w14:paraId="1214FBC2"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4A0AEB70" w14:textId="479870AC" w:rsidR="00372228" w:rsidRPr="00372228" w:rsidRDefault="00936D48" w:rsidP="00502657">
      <w:pPr>
        <w:widowControl/>
        <w:autoSpaceDE/>
        <w:autoSpaceDN/>
        <w:adjustRightInd/>
        <w:ind w:left="426" w:right="4" w:hanging="426"/>
        <w:jc w:val="both"/>
        <w:rPr>
          <w:rFonts w:cs="Arial"/>
          <w:color w:val="000000"/>
          <w:sz w:val="22"/>
          <w:szCs w:val="22"/>
        </w:rPr>
      </w:pPr>
      <w:r w:rsidRPr="00936D48">
        <w:rPr>
          <w:rFonts w:cs="Arial"/>
          <w:color w:val="000000"/>
          <w:sz w:val="22"/>
          <w:szCs w:val="22"/>
        </w:rPr>
        <w:t>13.</w:t>
      </w:r>
      <w:r>
        <w:rPr>
          <w:rFonts w:cs="Arial"/>
          <w:i/>
          <w:color w:val="000000"/>
          <w:sz w:val="22"/>
          <w:szCs w:val="22"/>
        </w:rPr>
        <w:tab/>
      </w:r>
      <w:r w:rsidR="00372228" w:rsidRPr="00372228">
        <w:rPr>
          <w:rFonts w:cs="Arial"/>
          <w:i/>
          <w:color w:val="000000"/>
          <w:sz w:val="22"/>
          <w:szCs w:val="22"/>
        </w:rPr>
        <w:t>Calls on</w:t>
      </w:r>
      <w:r w:rsidR="00372228" w:rsidRPr="00372228">
        <w:rPr>
          <w:rFonts w:cs="Arial"/>
          <w:color w:val="000000"/>
          <w:sz w:val="22"/>
          <w:szCs w:val="22"/>
        </w:rPr>
        <w:t xml:space="preserve"> Parties and </w:t>
      </w:r>
      <w:r w:rsidR="00372228" w:rsidRPr="00372228">
        <w:rPr>
          <w:rFonts w:cs="Arial"/>
          <w:i/>
          <w:color w:val="000000"/>
          <w:sz w:val="22"/>
          <w:szCs w:val="22"/>
        </w:rPr>
        <w:t>invites</w:t>
      </w:r>
      <w:r w:rsidR="00372228" w:rsidRPr="00372228">
        <w:rPr>
          <w:rFonts w:cs="Arial"/>
          <w:color w:val="000000"/>
          <w:sz w:val="22"/>
          <w:szCs w:val="22"/>
        </w:rPr>
        <w:t xml:space="preserve"> non-Parties and stakeholders, with the support of the Secretariat, to strengthen national and local capacity for the implementation of this Resolution including, inter alia, by developing training courses, translating and disseminating examples of best practice, sharing protocols and regulations, transferring technology, and promoting the use of online tools to address specific issues that are relevant to prevent, reduce, or control poisoning</w:t>
      </w:r>
      <w:r w:rsidR="00372228" w:rsidRPr="00372228">
        <w:rPr>
          <w:rFonts w:cs="Arial"/>
          <w:color w:val="00B0F0"/>
          <w:sz w:val="22"/>
          <w:szCs w:val="22"/>
        </w:rPr>
        <w:t xml:space="preserve"> </w:t>
      </w:r>
      <w:r w:rsidR="00372228" w:rsidRPr="00372228">
        <w:rPr>
          <w:rFonts w:cs="Arial"/>
          <w:color w:val="000000"/>
          <w:sz w:val="22"/>
          <w:szCs w:val="22"/>
        </w:rPr>
        <w:t xml:space="preserve">of migratory birds protected under the Convention; </w:t>
      </w:r>
    </w:p>
    <w:p w14:paraId="1FF6F6BD"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60647C56" w14:textId="2759C4FE" w:rsidR="00372228" w:rsidRPr="00372228" w:rsidRDefault="00936D48" w:rsidP="00502657">
      <w:pPr>
        <w:widowControl/>
        <w:autoSpaceDE/>
        <w:autoSpaceDN/>
        <w:adjustRightInd/>
        <w:ind w:left="426" w:right="4" w:hanging="416"/>
        <w:jc w:val="both"/>
        <w:rPr>
          <w:rFonts w:cs="Arial"/>
          <w:color w:val="000000"/>
          <w:sz w:val="22"/>
          <w:szCs w:val="22"/>
        </w:rPr>
      </w:pPr>
      <w:r w:rsidRPr="00936D48">
        <w:rPr>
          <w:rFonts w:cs="Arial"/>
          <w:color w:val="000000"/>
          <w:sz w:val="22"/>
          <w:szCs w:val="22"/>
        </w:rPr>
        <w:t>14.</w:t>
      </w:r>
      <w:r w:rsidR="00432070">
        <w:rPr>
          <w:rFonts w:cs="Arial"/>
          <w:i/>
          <w:color w:val="000000"/>
          <w:sz w:val="22"/>
          <w:szCs w:val="22"/>
        </w:rPr>
        <w:tab/>
      </w:r>
      <w:r w:rsidR="00372228" w:rsidRPr="00372228">
        <w:rPr>
          <w:rFonts w:cs="Arial"/>
          <w:i/>
          <w:color w:val="000000"/>
          <w:sz w:val="22"/>
          <w:szCs w:val="22"/>
        </w:rPr>
        <w:t>Urges</w:t>
      </w:r>
      <w:r w:rsidR="00372228" w:rsidRPr="00372228">
        <w:rPr>
          <w:rFonts w:cs="Arial"/>
          <w:color w:val="000000"/>
          <w:sz w:val="22"/>
          <w:szCs w:val="22"/>
        </w:rPr>
        <w:t xml:space="preserve"> Parties, </w:t>
      </w:r>
      <w:r w:rsidR="008C48F0" w:rsidRPr="008C48F0">
        <w:rPr>
          <w:rFonts w:cs="Arial"/>
          <w:strike/>
          <w:color w:val="000000"/>
          <w:sz w:val="22"/>
          <w:szCs w:val="22"/>
        </w:rPr>
        <w:t>UNEP</w:t>
      </w:r>
      <w:r w:rsidR="00372228" w:rsidRPr="008C48F0">
        <w:rPr>
          <w:rFonts w:cs="Arial"/>
          <w:color w:val="000000"/>
          <w:sz w:val="22"/>
          <w:szCs w:val="22"/>
          <w:u w:val="single"/>
        </w:rPr>
        <w:t>UN</w:t>
      </w:r>
      <w:r w:rsidR="00100410" w:rsidRPr="008C48F0">
        <w:rPr>
          <w:rFonts w:cs="Arial"/>
          <w:color w:val="000000"/>
          <w:sz w:val="22"/>
          <w:szCs w:val="22"/>
          <w:u w:val="single"/>
        </w:rPr>
        <w:t xml:space="preserve"> Environment</w:t>
      </w:r>
      <w:r w:rsidR="00372228" w:rsidRPr="00372228">
        <w:rPr>
          <w:rFonts w:cs="Arial"/>
          <w:color w:val="000000"/>
          <w:sz w:val="22"/>
          <w:szCs w:val="22"/>
        </w:rPr>
        <w:t xml:space="preserve"> and other relevant international organizations, as well as the industry, bilateral and multilateral donors and others, to consider supporting financially the implementation of this Resolution and the Guidelines, including through the coordination provided by the Preventing Poisoning Working Group, support of regional </w:t>
      </w:r>
      <w:r w:rsidR="00372228" w:rsidRPr="00372228">
        <w:rPr>
          <w:rFonts w:cs="Arial"/>
          <w:color w:val="000000"/>
          <w:sz w:val="22"/>
          <w:szCs w:val="22"/>
        </w:rPr>
        <w:lastRenderedPageBreak/>
        <w:t xml:space="preserve">workshops, and the provision of financial assistance to developing countries for relevant capacity building; </w:t>
      </w:r>
    </w:p>
    <w:p w14:paraId="0A02DA9E" w14:textId="77777777" w:rsidR="00372228" w:rsidRPr="00372228" w:rsidRDefault="00372228" w:rsidP="00372228">
      <w:pPr>
        <w:widowControl/>
        <w:autoSpaceDE/>
        <w:autoSpaceDN/>
        <w:adjustRightInd/>
        <w:rPr>
          <w:rFonts w:cs="Arial"/>
          <w:color w:val="000000"/>
          <w:sz w:val="22"/>
          <w:szCs w:val="22"/>
        </w:rPr>
      </w:pPr>
      <w:r w:rsidRPr="00372228">
        <w:rPr>
          <w:rFonts w:cs="Arial"/>
          <w:color w:val="000000"/>
          <w:sz w:val="22"/>
          <w:szCs w:val="22"/>
        </w:rPr>
        <w:t xml:space="preserve"> </w:t>
      </w:r>
    </w:p>
    <w:p w14:paraId="2A899E0A" w14:textId="46E2CB73" w:rsidR="00372228" w:rsidRPr="00372228" w:rsidRDefault="008C48F0" w:rsidP="00502657">
      <w:pPr>
        <w:widowControl/>
        <w:autoSpaceDE/>
        <w:autoSpaceDN/>
        <w:adjustRightInd/>
        <w:ind w:left="426" w:right="4" w:hanging="416"/>
        <w:jc w:val="both"/>
        <w:rPr>
          <w:rFonts w:cs="Arial"/>
          <w:color w:val="000000"/>
          <w:sz w:val="22"/>
          <w:szCs w:val="22"/>
        </w:rPr>
      </w:pPr>
      <w:r>
        <w:rPr>
          <w:rFonts w:cs="Arial"/>
          <w:color w:val="000000"/>
          <w:sz w:val="22"/>
          <w:szCs w:val="22"/>
        </w:rPr>
        <w:t>15.</w:t>
      </w:r>
      <w:r>
        <w:rPr>
          <w:rFonts w:cs="Arial"/>
          <w:color w:val="000000"/>
          <w:sz w:val="22"/>
          <w:szCs w:val="22"/>
        </w:rPr>
        <w:tab/>
      </w:r>
      <w:r w:rsidR="00372228" w:rsidRPr="00372228">
        <w:rPr>
          <w:rFonts w:cs="Arial"/>
          <w:i/>
          <w:color w:val="000000"/>
          <w:sz w:val="22"/>
          <w:szCs w:val="22"/>
        </w:rPr>
        <w:t xml:space="preserve">Proposes </w:t>
      </w:r>
      <w:r w:rsidR="00372228" w:rsidRPr="00372228">
        <w:rPr>
          <w:rFonts w:cs="Arial"/>
          <w:color w:val="000000"/>
          <w:sz w:val="22"/>
          <w:szCs w:val="22"/>
        </w:rPr>
        <w:t>the continuation of the open-ended Preventing Poisoning Working Group until COP1</w:t>
      </w:r>
      <w:r w:rsidR="007A2370" w:rsidRPr="005A338C">
        <w:rPr>
          <w:rFonts w:cs="Arial"/>
          <w:color w:val="000000"/>
          <w:sz w:val="22"/>
          <w:szCs w:val="22"/>
          <w:u w:val="single"/>
        </w:rPr>
        <w:t>3</w:t>
      </w:r>
      <w:r w:rsidR="00372228" w:rsidRPr="007A2370">
        <w:rPr>
          <w:rFonts w:cs="Arial"/>
          <w:strike/>
          <w:color w:val="000000"/>
          <w:sz w:val="22"/>
          <w:szCs w:val="22"/>
        </w:rPr>
        <w:t>2</w:t>
      </w:r>
      <w:r w:rsidR="00372228" w:rsidRPr="00372228">
        <w:rPr>
          <w:rFonts w:cs="Arial"/>
          <w:color w:val="000000"/>
          <w:sz w:val="22"/>
          <w:szCs w:val="22"/>
        </w:rPr>
        <w:t xml:space="preserve"> under the Terms of Reference annexed to </w:t>
      </w:r>
      <w:r w:rsidR="00372228" w:rsidRPr="00A21145">
        <w:rPr>
          <w:rFonts w:cs="Arial"/>
          <w:color w:val="000000"/>
          <w:sz w:val="22"/>
          <w:szCs w:val="22"/>
        </w:rPr>
        <w:t xml:space="preserve">this </w:t>
      </w:r>
      <w:r w:rsidR="00372228" w:rsidRPr="00372228">
        <w:rPr>
          <w:rFonts w:cs="Arial"/>
          <w:color w:val="000000"/>
          <w:sz w:val="22"/>
          <w:szCs w:val="22"/>
        </w:rPr>
        <w:t xml:space="preserve">Resolution, renewing its membership to incorporate expertise from geographical regions currently absent as well as representatives of industry and governments, to address the impact of other sources of poisoning, and geographic gaps, and to monitor the implementation of the Guidelines; and </w:t>
      </w:r>
    </w:p>
    <w:p w14:paraId="7C80B9C6" w14:textId="77777777" w:rsidR="00372228" w:rsidRPr="00372228" w:rsidRDefault="00372228" w:rsidP="00B87172">
      <w:pPr>
        <w:widowControl/>
        <w:autoSpaceDE/>
        <w:autoSpaceDN/>
        <w:adjustRightInd/>
        <w:jc w:val="both"/>
        <w:rPr>
          <w:rFonts w:cs="Arial"/>
          <w:color w:val="000000"/>
          <w:sz w:val="22"/>
          <w:szCs w:val="22"/>
        </w:rPr>
      </w:pPr>
      <w:r w:rsidRPr="00372228">
        <w:rPr>
          <w:rFonts w:cs="Arial"/>
          <w:color w:val="000000"/>
          <w:sz w:val="22"/>
          <w:szCs w:val="22"/>
        </w:rPr>
        <w:t xml:space="preserve"> </w:t>
      </w:r>
    </w:p>
    <w:p w14:paraId="67EF1BF6" w14:textId="77777777" w:rsidR="00892BE3" w:rsidRDefault="008C48F0" w:rsidP="00502657">
      <w:pPr>
        <w:ind w:left="426" w:hanging="426"/>
        <w:jc w:val="both"/>
        <w:rPr>
          <w:rFonts w:cs="Arial"/>
          <w:sz w:val="22"/>
          <w:szCs w:val="22"/>
        </w:rPr>
        <w:sectPr w:rsidR="00892BE3" w:rsidSect="0052082F">
          <w:headerReference w:type="even" r:id="rId19"/>
          <w:headerReference w:type="default" r:id="rId20"/>
          <w:headerReference w:type="first" r:id="rId21"/>
          <w:endnotePr>
            <w:numFmt w:val="decimal"/>
          </w:endnotePr>
          <w:pgSz w:w="11905" w:h="16837" w:code="9"/>
          <w:pgMar w:top="1008" w:right="1411" w:bottom="1152" w:left="1411" w:header="432" w:footer="432" w:gutter="0"/>
          <w:cols w:space="720"/>
          <w:noEndnote/>
          <w:titlePg/>
          <w:docGrid w:linePitch="272"/>
        </w:sectPr>
      </w:pPr>
      <w:r>
        <w:rPr>
          <w:rFonts w:cs="Arial"/>
          <w:color w:val="000000"/>
          <w:sz w:val="22"/>
          <w:szCs w:val="22"/>
        </w:rPr>
        <w:t>16.</w:t>
      </w:r>
      <w:r>
        <w:rPr>
          <w:rFonts w:cs="Arial"/>
          <w:color w:val="000000"/>
          <w:sz w:val="22"/>
          <w:szCs w:val="22"/>
        </w:rPr>
        <w:tab/>
      </w:r>
      <w:r w:rsidR="00372228" w:rsidRPr="00372228">
        <w:rPr>
          <w:rFonts w:cs="Arial"/>
          <w:i/>
          <w:color w:val="000000"/>
          <w:sz w:val="22"/>
          <w:szCs w:val="22"/>
        </w:rPr>
        <w:t>Calls on</w:t>
      </w:r>
      <w:r w:rsidR="00372228" w:rsidRPr="00372228">
        <w:rPr>
          <w:rFonts w:cs="Arial"/>
          <w:color w:val="000000"/>
          <w:sz w:val="22"/>
          <w:szCs w:val="22"/>
        </w:rPr>
        <w:t xml:space="preserve"> Parties to report progress in implementing actions taken under this Resolution, and results achieved to future COPs through their National </w:t>
      </w:r>
      <w:r w:rsidR="00372228" w:rsidRPr="00372228">
        <w:rPr>
          <w:rFonts w:cs="Arial"/>
          <w:sz w:val="22"/>
          <w:szCs w:val="22"/>
        </w:rPr>
        <w:t>Reports.</w:t>
      </w:r>
    </w:p>
    <w:p w14:paraId="03817E14" w14:textId="49C9B3F5" w:rsidR="00892BE3" w:rsidRPr="00892BE3" w:rsidRDefault="00892BE3" w:rsidP="00892BE3">
      <w:pPr>
        <w:jc w:val="right"/>
        <w:rPr>
          <w:rFonts w:cs="Arial"/>
          <w:sz w:val="22"/>
          <w:szCs w:val="22"/>
        </w:rPr>
      </w:pPr>
      <w:r w:rsidRPr="00892BE3">
        <w:rPr>
          <w:rFonts w:cs="Arial"/>
          <w:b/>
          <w:bCs/>
          <w:sz w:val="22"/>
          <w:szCs w:val="22"/>
        </w:rPr>
        <w:lastRenderedPageBreak/>
        <w:t>Annex to Resolution 11.15</w:t>
      </w:r>
    </w:p>
    <w:p w14:paraId="19CE796B" w14:textId="77777777" w:rsidR="00892BE3" w:rsidRPr="00892BE3" w:rsidRDefault="00892BE3" w:rsidP="00892BE3">
      <w:pPr>
        <w:pStyle w:val="Default"/>
        <w:rPr>
          <w:rFonts w:cs="Arial"/>
          <w:bCs/>
          <w:color w:val="auto"/>
          <w:sz w:val="22"/>
          <w:szCs w:val="22"/>
        </w:rPr>
      </w:pPr>
    </w:p>
    <w:p w14:paraId="2114C189" w14:textId="77777777" w:rsidR="00892BE3" w:rsidRPr="00892BE3" w:rsidRDefault="00892BE3" w:rsidP="00892BE3">
      <w:pPr>
        <w:pStyle w:val="Default"/>
        <w:rPr>
          <w:rFonts w:cs="Arial"/>
          <w:bCs/>
          <w:color w:val="auto"/>
          <w:sz w:val="22"/>
          <w:szCs w:val="22"/>
        </w:rPr>
      </w:pPr>
    </w:p>
    <w:p w14:paraId="40757EA3" w14:textId="77777777" w:rsidR="000336D6" w:rsidRDefault="00892BE3" w:rsidP="00892BE3">
      <w:pPr>
        <w:pStyle w:val="Default"/>
        <w:jc w:val="center"/>
        <w:rPr>
          <w:rFonts w:cs="Arial"/>
          <w:b/>
          <w:bCs/>
          <w:color w:val="auto"/>
          <w:sz w:val="22"/>
          <w:szCs w:val="22"/>
        </w:rPr>
      </w:pPr>
      <w:r w:rsidRPr="00892BE3">
        <w:rPr>
          <w:rFonts w:cs="Arial"/>
          <w:b/>
          <w:bCs/>
          <w:color w:val="auto"/>
          <w:sz w:val="22"/>
          <w:szCs w:val="22"/>
        </w:rPr>
        <w:t xml:space="preserve">TERMS OF REFERENCE OF THE PREVENTING POISONING WORKING GROUP </w:t>
      </w:r>
    </w:p>
    <w:p w14:paraId="34515912" w14:textId="354F5B7C" w:rsidR="00892BE3" w:rsidRPr="00892BE3" w:rsidRDefault="00892BE3" w:rsidP="00892BE3">
      <w:pPr>
        <w:pStyle w:val="Default"/>
        <w:jc w:val="center"/>
        <w:rPr>
          <w:rFonts w:cs="Arial"/>
          <w:bCs/>
          <w:color w:val="auto"/>
          <w:sz w:val="22"/>
          <w:szCs w:val="22"/>
        </w:rPr>
      </w:pPr>
      <w:r w:rsidRPr="00892BE3">
        <w:rPr>
          <w:rFonts w:cs="Arial"/>
          <w:bCs/>
          <w:strike/>
          <w:color w:val="auto"/>
          <w:sz w:val="22"/>
          <w:szCs w:val="22"/>
        </w:rPr>
        <w:t>(for the intersessional period until COP12)</w:t>
      </w:r>
    </w:p>
    <w:p w14:paraId="2FD2D923" w14:textId="77777777" w:rsidR="00892BE3" w:rsidRPr="00892BE3" w:rsidRDefault="00892BE3" w:rsidP="00892BE3">
      <w:pPr>
        <w:pStyle w:val="Default"/>
        <w:rPr>
          <w:rFonts w:cs="Arial"/>
          <w:color w:val="auto"/>
          <w:sz w:val="22"/>
          <w:szCs w:val="22"/>
        </w:rPr>
      </w:pPr>
    </w:p>
    <w:p w14:paraId="46E0E623" w14:textId="77777777" w:rsidR="00892BE3" w:rsidRPr="00892BE3" w:rsidRDefault="00892BE3" w:rsidP="00892BE3">
      <w:pPr>
        <w:pStyle w:val="Default"/>
        <w:rPr>
          <w:rFonts w:cs="Arial"/>
          <w:color w:val="auto"/>
          <w:sz w:val="22"/>
          <w:szCs w:val="22"/>
        </w:rPr>
      </w:pPr>
    </w:p>
    <w:p w14:paraId="3CE99F10" w14:textId="77777777" w:rsidR="00892BE3" w:rsidRPr="00892BE3" w:rsidRDefault="00892BE3" w:rsidP="00892BE3">
      <w:pPr>
        <w:pStyle w:val="Default"/>
        <w:rPr>
          <w:rFonts w:cs="Arial"/>
          <w:color w:val="auto"/>
          <w:sz w:val="22"/>
          <w:szCs w:val="22"/>
        </w:rPr>
      </w:pPr>
      <w:r w:rsidRPr="00892BE3">
        <w:rPr>
          <w:rFonts w:cs="Arial"/>
          <w:b/>
          <w:bCs/>
          <w:color w:val="auto"/>
          <w:sz w:val="22"/>
          <w:szCs w:val="22"/>
        </w:rPr>
        <w:t xml:space="preserve">1. </w:t>
      </w:r>
      <w:r w:rsidRPr="00892BE3">
        <w:rPr>
          <w:rFonts w:cs="Arial"/>
          <w:b/>
          <w:bCs/>
          <w:color w:val="auto"/>
          <w:sz w:val="22"/>
          <w:szCs w:val="22"/>
        </w:rPr>
        <w:tab/>
        <w:t>Background and purpose</w:t>
      </w:r>
    </w:p>
    <w:p w14:paraId="6987F430" w14:textId="3E61628B" w:rsidR="00892BE3" w:rsidRPr="00892BE3" w:rsidRDefault="00892BE3" w:rsidP="00892BE3">
      <w:pPr>
        <w:pStyle w:val="Default"/>
        <w:jc w:val="both"/>
        <w:rPr>
          <w:rFonts w:cs="Arial"/>
          <w:color w:val="auto"/>
          <w:sz w:val="22"/>
          <w:szCs w:val="22"/>
        </w:rPr>
      </w:pPr>
      <w:r w:rsidRPr="00892BE3">
        <w:rPr>
          <w:rFonts w:cs="Arial"/>
          <w:color w:val="auto"/>
          <w:sz w:val="22"/>
          <w:szCs w:val="22"/>
        </w:rPr>
        <w:t>This Working Group was established by Resolution 10.26</w:t>
      </w:r>
      <w:r w:rsidRPr="00847178">
        <w:rPr>
          <w:rStyle w:val="FootnoteReference"/>
          <w:rFonts w:cs="Arial"/>
          <w:color w:val="auto"/>
          <w:sz w:val="22"/>
          <w:szCs w:val="22"/>
          <w:vertAlign w:val="superscript"/>
        </w:rPr>
        <w:footnoteReference w:id="1"/>
      </w:r>
      <w:r w:rsidRPr="00892BE3">
        <w:rPr>
          <w:rFonts w:cs="Arial"/>
          <w:color w:val="auto"/>
          <w:sz w:val="22"/>
          <w:szCs w:val="22"/>
        </w:rPr>
        <w:t xml:space="preserve"> to assist the Parties to the Convention on Migratory Species (CMS) and its associated instruments, relevant MEAs and Conventions to review the causes and consequences of poisoning of migratory birds, and to reco</w:t>
      </w:r>
      <w:r w:rsidR="00291331" w:rsidRPr="00291331">
        <w:rPr>
          <w:rFonts w:cs="Arial"/>
          <w:color w:val="auto"/>
          <w:sz w:val="22"/>
          <w:szCs w:val="22"/>
        </w:rPr>
        <w:t>m</w:t>
      </w:r>
      <w:r w:rsidRPr="00892BE3">
        <w:rPr>
          <w:rFonts w:cs="Arial"/>
          <w:color w:val="auto"/>
          <w:sz w:val="22"/>
          <w:szCs w:val="22"/>
        </w:rPr>
        <w:t>mend suitable responses to address the problems.</w:t>
      </w:r>
    </w:p>
    <w:p w14:paraId="1FAFCB4D" w14:textId="77777777" w:rsidR="00892BE3" w:rsidRPr="00892BE3" w:rsidRDefault="00892BE3" w:rsidP="00892BE3">
      <w:pPr>
        <w:pStyle w:val="Default"/>
        <w:jc w:val="both"/>
        <w:rPr>
          <w:rFonts w:cs="Arial"/>
          <w:color w:val="auto"/>
          <w:sz w:val="22"/>
          <w:szCs w:val="22"/>
        </w:rPr>
      </w:pPr>
    </w:p>
    <w:p w14:paraId="36171819" w14:textId="77777777" w:rsidR="00892BE3" w:rsidRPr="00892BE3" w:rsidRDefault="00892BE3" w:rsidP="00892BE3">
      <w:pPr>
        <w:pStyle w:val="Default"/>
        <w:jc w:val="both"/>
        <w:rPr>
          <w:rFonts w:cs="Arial"/>
          <w:color w:val="auto"/>
          <w:sz w:val="22"/>
          <w:szCs w:val="22"/>
        </w:rPr>
      </w:pPr>
    </w:p>
    <w:p w14:paraId="2F0449BB" w14:textId="553FCB0F" w:rsidR="00892BE3" w:rsidRPr="00892BE3" w:rsidRDefault="00892BE3" w:rsidP="00892BE3">
      <w:pPr>
        <w:pStyle w:val="Default"/>
        <w:jc w:val="both"/>
        <w:rPr>
          <w:rFonts w:cs="Arial"/>
          <w:color w:val="auto"/>
          <w:sz w:val="22"/>
          <w:szCs w:val="22"/>
        </w:rPr>
      </w:pPr>
      <w:r w:rsidRPr="00892BE3">
        <w:rPr>
          <w:rFonts w:cs="Arial"/>
          <w:b/>
          <w:bCs/>
          <w:color w:val="auto"/>
          <w:sz w:val="22"/>
          <w:szCs w:val="22"/>
        </w:rPr>
        <w:t xml:space="preserve">2. </w:t>
      </w:r>
      <w:r w:rsidRPr="00892BE3">
        <w:rPr>
          <w:rFonts w:cs="Arial"/>
          <w:b/>
          <w:bCs/>
          <w:color w:val="auto"/>
          <w:sz w:val="22"/>
          <w:szCs w:val="22"/>
        </w:rPr>
        <w:tab/>
        <w:t xml:space="preserve">Role </w:t>
      </w:r>
      <w:r w:rsidR="00D94D78">
        <w:rPr>
          <w:rFonts w:cs="Arial"/>
          <w:b/>
          <w:bCs/>
          <w:color w:val="auto"/>
          <w:sz w:val="22"/>
          <w:szCs w:val="22"/>
        </w:rPr>
        <w:t>and</w:t>
      </w:r>
      <w:r w:rsidR="00D94D78" w:rsidRPr="00892BE3">
        <w:rPr>
          <w:rFonts w:cs="Arial"/>
          <w:b/>
          <w:bCs/>
          <w:color w:val="auto"/>
          <w:sz w:val="22"/>
          <w:szCs w:val="22"/>
        </w:rPr>
        <w:t xml:space="preserve"> </w:t>
      </w:r>
      <w:r w:rsidRPr="00892BE3">
        <w:rPr>
          <w:rFonts w:cs="Arial"/>
          <w:b/>
          <w:bCs/>
          <w:color w:val="auto"/>
          <w:sz w:val="22"/>
          <w:szCs w:val="22"/>
        </w:rPr>
        <w:t>Scope</w:t>
      </w:r>
    </w:p>
    <w:p w14:paraId="528D4BD2"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The role of the Working Group is to facilitate concerted efforts, actions and procedures to prevent poisoning of migratory birds.  Its geographical scope is global. The Working Group will cover all migratory bird taxa as identified by CMS and its relevant associated instruments.</w:t>
      </w:r>
    </w:p>
    <w:p w14:paraId="11A29CAC" w14:textId="77777777" w:rsidR="00892BE3" w:rsidRPr="00892BE3" w:rsidRDefault="00892BE3" w:rsidP="00892BE3">
      <w:pPr>
        <w:pStyle w:val="Default"/>
        <w:jc w:val="both"/>
        <w:rPr>
          <w:rFonts w:cs="Arial"/>
          <w:b/>
          <w:bCs/>
          <w:color w:val="auto"/>
          <w:sz w:val="22"/>
          <w:szCs w:val="22"/>
        </w:rPr>
      </w:pPr>
    </w:p>
    <w:p w14:paraId="26611CBF" w14:textId="77777777" w:rsidR="00892BE3" w:rsidRPr="00892BE3" w:rsidRDefault="00892BE3" w:rsidP="00892BE3">
      <w:pPr>
        <w:pStyle w:val="Default"/>
        <w:jc w:val="both"/>
        <w:rPr>
          <w:rFonts w:cs="Arial"/>
          <w:b/>
          <w:bCs/>
          <w:color w:val="auto"/>
          <w:sz w:val="22"/>
          <w:szCs w:val="22"/>
        </w:rPr>
      </w:pPr>
    </w:p>
    <w:p w14:paraId="76988FF1" w14:textId="77777777" w:rsidR="00892BE3" w:rsidRPr="00892BE3" w:rsidRDefault="00892BE3" w:rsidP="00892BE3">
      <w:pPr>
        <w:pStyle w:val="Default"/>
        <w:jc w:val="both"/>
        <w:rPr>
          <w:rFonts w:cs="Arial"/>
          <w:color w:val="auto"/>
          <w:sz w:val="22"/>
          <w:szCs w:val="22"/>
        </w:rPr>
      </w:pPr>
      <w:r w:rsidRPr="00892BE3">
        <w:rPr>
          <w:rFonts w:cs="Arial"/>
          <w:b/>
          <w:bCs/>
          <w:color w:val="auto"/>
          <w:sz w:val="22"/>
          <w:szCs w:val="22"/>
        </w:rPr>
        <w:t xml:space="preserve">3. </w:t>
      </w:r>
      <w:r w:rsidRPr="00892BE3">
        <w:rPr>
          <w:rFonts w:cs="Arial"/>
          <w:b/>
          <w:bCs/>
          <w:color w:val="auto"/>
          <w:sz w:val="22"/>
          <w:szCs w:val="22"/>
        </w:rPr>
        <w:tab/>
        <w:t>Remit</w:t>
      </w:r>
    </w:p>
    <w:p w14:paraId="55D71878"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The Working Group will:</w:t>
      </w:r>
    </w:p>
    <w:p w14:paraId="37D2A09E" w14:textId="77777777" w:rsidR="00892BE3" w:rsidRPr="00892BE3" w:rsidRDefault="00892BE3" w:rsidP="00892BE3">
      <w:pPr>
        <w:pStyle w:val="Default"/>
        <w:jc w:val="both"/>
        <w:rPr>
          <w:rFonts w:cs="Arial"/>
          <w:color w:val="auto"/>
          <w:sz w:val="22"/>
          <w:szCs w:val="22"/>
          <w:highlight w:val="yellow"/>
        </w:rPr>
      </w:pPr>
    </w:p>
    <w:p w14:paraId="26688BE4" w14:textId="77777777" w:rsidR="00892BE3" w:rsidRPr="00892BE3" w:rsidRDefault="00892BE3" w:rsidP="00892BE3">
      <w:pPr>
        <w:pStyle w:val="Default"/>
        <w:jc w:val="both"/>
        <w:rPr>
          <w:rFonts w:cs="Arial"/>
          <w:b/>
          <w:color w:val="auto"/>
          <w:sz w:val="22"/>
          <w:szCs w:val="22"/>
        </w:rPr>
      </w:pPr>
      <w:r w:rsidRPr="00892BE3">
        <w:rPr>
          <w:rFonts w:cs="Arial"/>
          <w:b/>
          <w:color w:val="auto"/>
          <w:sz w:val="22"/>
          <w:szCs w:val="22"/>
        </w:rPr>
        <w:t>Support implementation of the Preventing Poisoning Guidelines</w:t>
      </w:r>
    </w:p>
    <w:p w14:paraId="13CB700A" w14:textId="77777777" w:rsidR="00892BE3" w:rsidRPr="00892BE3" w:rsidRDefault="00892BE3" w:rsidP="00892BE3">
      <w:pPr>
        <w:pStyle w:val="Default"/>
        <w:jc w:val="both"/>
        <w:rPr>
          <w:rFonts w:cs="Arial"/>
          <w:b/>
          <w:color w:val="auto"/>
          <w:sz w:val="22"/>
          <w:szCs w:val="22"/>
        </w:rPr>
      </w:pPr>
    </w:p>
    <w:p w14:paraId="7E95EAAC"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Facilitate implementation of the Preventing Poisoning Guidelines and other relevant Resolutions adopted by COP11 as well as other relevant frameworks for action;</w:t>
      </w:r>
    </w:p>
    <w:p w14:paraId="5858CDC8" w14:textId="77777777" w:rsidR="00892BE3" w:rsidRPr="00892BE3" w:rsidRDefault="00892BE3" w:rsidP="00892BE3">
      <w:pPr>
        <w:pStyle w:val="Default"/>
        <w:spacing w:after="27"/>
        <w:jc w:val="both"/>
        <w:rPr>
          <w:rFonts w:cs="Arial"/>
          <w:color w:val="auto"/>
          <w:sz w:val="22"/>
          <w:szCs w:val="22"/>
        </w:rPr>
      </w:pPr>
    </w:p>
    <w:p w14:paraId="61DB50E3"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Set and implement priorities for its work;</w:t>
      </w:r>
    </w:p>
    <w:p w14:paraId="35BB0F80" w14:textId="77777777" w:rsidR="00892BE3" w:rsidRPr="00892BE3" w:rsidRDefault="00892BE3" w:rsidP="00892BE3">
      <w:pPr>
        <w:pStyle w:val="Default"/>
        <w:spacing w:after="27"/>
        <w:jc w:val="both"/>
        <w:rPr>
          <w:rFonts w:cs="Arial"/>
          <w:color w:val="auto"/>
          <w:sz w:val="22"/>
          <w:szCs w:val="22"/>
        </w:rPr>
      </w:pPr>
    </w:p>
    <w:p w14:paraId="644E5EB7"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Keep the Guidelines actively under review in the light of developing research findings and other relevant information and report relevant developments to the Scientific Council;</w:t>
      </w:r>
    </w:p>
    <w:p w14:paraId="2D947BAE" w14:textId="77777777" w:rsidR="00892BE3" w:rsidRPr="00892BE3" w:rsidRDefault="00892BE3" w:rsidP="00892BE3">
      <w:pPr>
        <w:pStyle w:val="Default"/>
        <w:spacing w:after="27"/>
        <w:jc w:val="both"/>
        <w:rPr>
          <w:rFonts w:cs="Arial"/>
          <w:color w:val="auto"/>
          <w:sz w:val="22"/>
          <w:szCs w:val="22"/>
        </w:rPr>
      </w:pPr>
    </w:p>
    <w:p w14:paraId="34599CF3"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Assist in resource mobilization for priority actions;</w:t>
      </w:r>
    </w:p>
    <w:p w14:paraId="6CE6EED7" w14:textId="77777777" w:rsidR="00892BE3" w:rsidRPr="00892BE3" w:rsidRDefault="00892BE3" w:rsidP="00892BE3">
      <w:pPr>
        <w:pStyle w:val="Default"/>
        <w:spacing w:after="27"/>
        <w:jc w:val="both"/>
        <w:rPr>
          <w:rFonts w:cs="Arial"/>
          <w:color w:val="auto"/>
          <w:sz w:val="22"/>
          <w:szCs w:val="22"/>
        </w:rPr>
      </w:pPr>
    </w:p>
    <w:p w14:paraId="7265A2C4"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Actively seek engagement from and with relevant agrochemical, veterinary pharmaceutical industries, and companies manufacturing lead ammunition or fishing weights;</w:t>
      </w:r>
    </w:p>
    <w:p w14:paraId="4022325D" w14:textId="77777777" w:rsidR="00892BE3" w:rsidRPr="00892BE3" w:rsidRDefault="00892BE3" w:rsidP="00892BE3">
      <w:pPr>
        <w:pStyle w:val="Default"/>
        <w:spacing w:after="27"/>
        <w:jc w:val="both"/>
        <w:rPr>
          <w:rFonts w:cs="Arial"/>
          <w:color w:val="auto"/>
          <w:sz w:val="22"/>
          <w:szCs w:val="22"/>
        </w:rPr>
      </w:pPr>
    </w:p>
    <w:p w14:paraId="7AF2E8AE"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Review, take account of, and communicate best practice when poisons are used as management tools in the protection of migratory birds and other biodiversity;</w:t>
      </w:r>
    </w:p>
    <w:p w14:paraId="53D565AD" w14:textId="77777777" w:rsidR="00892BE3" w:rsidRPr="00892BE3" w:rsidRDefault="00892BE3" w:rsidP="00892BE3">
      <w:pPr>
        <w:pStyle w:val="Default"/>
        <w:spacing w:after="27"/>
        <w:jc w:val="both"/>
        <w:rPr>
          <w:rFonts w:cs="Arial"/>
          <w:color w:val="auto"/>
          <w:sz w:val="22"/>
          <w:szCs w:val="22"/>
        </w:rPr>
      </w:pPr>
    </w:p>
    <w:p w14:paraId="3CAA9176"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sz w:val="22"/>
          <w:szCs w:val="22"/>
        </w:rPr>
        <w:t>Encourage the translation and dissemination of the Guidelines widely within relevant networks, as well as to end-users and others;</w:t>
      </w:r>
    </w:p>
    <w:p w14:paraId="769B401E" w14:textId="77777777" w:rsidR="00892BE3" w:rsidRPr="00892BE3" w:rsidRDefault="00892BE3" w:rsidP="00892BE3">
      <w:pPr>
        <w:pStyle w:val="Default"/>
        <w:spacing w:after="27"/>
        <w:jc w:val="both"/>
        <w:rPr>
          <w:rFonts w:cs="Arial"/>
          <w:color w:val="auto"/>
          <w:sz w:val="22"/>
          <w:szCs w:val="22"/>
        </w:rPr>
      </w:pPr>
    </w:p>
    <w:p w14:paraId="3CF7C073"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Monitor the implementation of the relevant decisions and plans and their effectiveness and submit progress reports to the governing bodies of the participating MEAs;</w:t>
      </w:r>
    </w:p>
    <w:p w14:paraId="079ED7DE" w14:textId="77777777" w:rsidR="00892BE3" w:rsidRPr="00892BE3" w:rsidRDefault="00892BE3" w:rsidP="00892BE3">
      <w:pPr>
        <w:pStyle w:val="Default"/>
        <w:spacing w:after="27"/>
        <w:jc w:val="both"/>
        <w:rPr>
          <w:rFonts w:cs="Arial"/>
          <w:color w:val="auto"/>
          <w:sz w:val="22"/>
          <w:szCs w:val="22"/>
        </w:rPr>
      </w:pPr>
    </w:p>
    <w:p w14:paraId="73CC1C30"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Stimulate internal and external communication and exchange of information, experience, best practice and know-how;</w:t>
      </w:r>
    </w:p>
    <w:p w14:paraId="786254A5" w14:textId="77777777" w:rsidR="00892BE3" w:rsidRPr="00892BE3" w:rsidRDefault="00892BE3" w:rsidP="00892BE3">
      <w:pPr>
        <w:pStyle w:val="Default"/>
        <w:spacing w:after="27"/>
        <w:jc w:val="both"/>
        <w:rPr>
          <w:rFonts w:cs="Arial"/>
          <w:color w:val="auto"/>
          <w:sz w:val="22"/>
          <w:szCs w:val="22"/>
        </w:rPr>
      </w:pPr>
    </w:p>
    <w:p w14:paraId="6F563DD7"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Strengthen relevant regional and international networks; and</w:t>
      </w:r>
    </w:p>
    <w:p w14:paraId="28D648E0" w14:textId="77777777" w:rsidR="00812023" w:rsidRDefault="00812023" w:rsidP="00892BE3">
      <w:pPr>
        <w:pStyle w:val="Default"/>
        <w:jc w:val="both"/>
        <w:rPr>
          <w:rFonts w:cs="Arial"/>
          <w:b/>
          <w:color w:val="auto"/>
          <w:sz w:val="22"/>
          <w:szCs w:val="22"/>
        </w:rPr>
      </w:pPr>
    </w:p>
    <w:p w14:paraId="49F0E14F" w14:textId="457807F6" w:rsidR="00892BE3" w:rsidRPr="00892BE3" w:rsidRDefault="00892BE3" w:rsidP="00892BE3">
      <w:pPr>
        <w:pStyle w:val="Default"/>
        <w:jc w:val="both"/>
        <w:rPr>
          <w:rFonts w:cs="Arial"/>
          <w:b/>
          <w:color w:val="auto"/>
          <w:sz w:val="22"/>
          <w:szCs w:val="22"/>
        </w:rPr>
      </w:pPr>
      <w:r w:rsidRPr="00892BE3">
        <w:rPr>
          <w:rFonts w:cs="Arial"/>
          <w:b/>
          <w:color w:val="auto"/>
          <w:sz w:val="22"/>
          <w:szCs w:val="22"/>
        </w:rPr>
        <w:lastRenderedPageBreak/>
        <w:t>Assess other causes of migratory bird poisoning</w:t>
      </w:r>
    </w:p>
    <w:p w14:paraId="39006346" w14:textId="77777777" w:rsidR="00892BE3" w:rsidRPr="00892BE3" w:rsidRDefault="00892BE3" w:rsidP="00892BE3">
      <w:pPr>
        <w:pStyle w:val="Default"/>
        <w:jc w:val="both"/>
        <w:rPr>
          <w:rFonts w:cs="Arial"/>
          <w:b/>
          <w:color w:val="auto"/>
          <w:sz w:val="22"/>
          <w:szCs w:val="22"/>
        </w:rPr>
      </w:pPr>
    </w:p>
    <w:p w14:paraId="5EED4A85" w14:textId="77777777" w:rsidR="00892BE3" w:rsidRPr="00892BE3" w:rsidRDefault="00892BE3" w:rsidP="00892BE3">
      <w:pPr>
        <w:pStyle w:val="Default"/>
        <w:numPr>
          <w:ilvl w:val="0"/>
          <w:numId w:val="19"/>
        </w:numPr>
        <w:spacing w:after="27"/>
        <w:ind w:left="709" w:hanging="709"/>
        <w:jc w:val="both"/>
        <w:rPr>
          <w:rFonts w:cs="Arial"/>
          <w:color w:val="auto"/>
          <w:sz w:val="22"/>
          <w:szCs w:val="22"/>
        </w:rPr>
      </w:pPr>
      <w:r w:rsidRPr="00892BE3">
        <w:rPr>
          <w:rFonts w:cs="Arial"/>
          <w:color w:val="auto"/>
          <w:sz w:val="22"/>
          <w:szCs w:val="22"/>
        </w:rPr>
        <w:t>Resources permitting, consider the need for additional guidance for preventing impacts on migratory birds from other types of poison (for example pheromone-type substances) and geographic gaps, and how these might be developed.</w:t>
      </w:r>
    </w:p>
    <w:p w14:paraId="5050C534" w14:textId="77777777" w:rsidR="00892BE3" w:rsidRPr="00892BE3" w:rsidRDefault="00892BE3" w:rsidP="00892BE3">
      <w:pPr>
        <w:pStyle w:val="Default"/>
        <w:jc w:val="both"/>
        <w:rPr>
          <w:rFonts w:cs="Arial"/>
          <w:color w:val="auto"/>
          <w:sz w:val="22"/>
          <w:szCs w:val="22"/>
        </w:rPr>
      </w:pPr>
    </w:p>
    <w:p w14:paraId="45AA4384"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For effective working, the Working Group will establish task groups addressing either thematic issues (e.g., for different poison types) and/or geographical regions to progress its work.</w:t>
      </w:r>
    </w:p>
    <w:p w14:paraId="2FED00D0" w14:textId="77777777" w:rsidR="00892BE3" w:rsidRPr="00892BE3" w:rsidRDefault="00892BE3" w:rsidP="00892BE3">
      <w:pPr>
        <w:pStyle w:val="Default"/>
        <w:jc w:val="both"/>
        <w:rPr>
          <w:rFonts w:cs="Arial"/>
          <w:color w:val="auto"/>
          <w:sz w:val="22"/>
          <w:szCs w:val="22"/>
        </w:rPr>
      </w:pPr>
    </w:p>
    <w:p w14:paraId="3244E795" w14:textId="77777777" w:rsidR="00892BE3" w:rsidRPr="00892BE3" w:rsidRDefault="00892BE3" w:rsidP="00892BE3">
      <w:pPr>
        <w:pStyle w:val="Default"/>
        <w:jc w:val="both"/>
        <w:rPr>
          <w:rFonts w:cs="Arial"/>
          <w:color w:val="auto"/>
          <w:sz w:val="22"/>
          <w:szCs w:val="22"/>
        </w:rPr>
      </w:pPr>
    </w:p>
    <w:p w14:paraId="18750590" w14:textId="77777777" w:rsidR="00892BE3" w:rsidRPr="00892BE3" w:rsidRDefault="00892BE3" w:rsidP="00892BE3">
      <w:pPr>
        <w:pStyle w:val="Default"/>
        <w:widowControl w:val="0"/>
        <w:jc w:val="both"/>
        <w:rPr>
          <w:rFonts w:cs="Arial"/>
          <w:color w:val="auto"/>
          <w:sz w:val="22"/>
          <w:szCs w:val="22"/>
        </w:rPr>
      </w:pPr>
      <w:r w:rsidRPr="00892BE3">
        <w:rPr>
          <w:rFonts w:cs="Arial"/>
          <w:b/>
          <w:bCs/>
          <w:color w:val="auto"/>
          <w:sz w:val="22"/>
          <w:szCs w:val="22"/>
        </w:rPr>
        <w:t xml:space="preserve">4. </w:t>
      </w:r>
      <w:r w:rsidRPr="00892BE3">
        <w:rPr>
          <w:rFonts w:cs="Arial"/>
          <w:b/>
          <w:bCs/>
          <w:color w:val="auto"/>
          <w:sz w:val="22"/>
          <w:szCs w:val="22"/>
        </w:rPr>
        <w:tab/>
        <w:t>Membership</w:t>
      </w:r>
    </w:p>
    <w:p w14:paraId="5C633542"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The membership of the Working Group will comprise the Secretariats of the participating MEAs, as well as academic institutions, NGOs and other stakeholders, as appropriate.</w:t>
      </w:r>
    </w:p>
    <w:p w14:paraId="64FF1DE9" w14:textId="77777777" w:rsidR="00892BE3" w:rsidRPr="00892BE3" w:rsidRDefault="00892BE3" w:rsidP="00892BE3">
      <w:pPr>
        <w:pStyle w:val="Default"/>
        <w:jc w:val="both"/>
        <w:rPr>
          <w:rFonts w:cs="Arial"/>
          <w:color w:val="auto"/>
          <w:sz w:val="22"/>
          <w:szCs w:val="22"/>
        </w:rPr>
      </w:pPr>
    </w:p>
    <w:p w14:paraId="2A2B53EE"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The following representatives will also be invited to contribute to the Working Group:</w:t>
      </w:r>
    </w:p>
    <w:p w14:paraId="5B3F9498" w14:textId="77777777" w:rsidR="00892BE3" w:rsidRPr="00892BE3" w:rsidRDefault="00892BE3" w:rsidP="00892BE3">
      <w:pPr>
        <w:pStyle w:val="Default"/>
        <w:jc w:val="both"/>
        <w:rPr>
          <w:rFonts w:cs="Arial"/>
          <w:color w:val="auto"/>
          <w:sz w:val="22"/>
          <w:szCs w:val="22"/>
        </w:rPr>
      </w:pPr>
    </w:p>
    <w:p w14:paraId="313481D5" w14:textId="77777777" w:rsidR="00892BE3" w:rsidRPr="00892BE3" w:rsidRDefault="00892BE3" w:rsidP="00892BE3">
      <w:pPr>
        <w:pStyle w:val="Default"/>
        <w:numPr>
          <w:ilvl w:val="0"/>
          <w:numId w:val="20"/>
        </w:numPr>
        <w:ind w:hanging="720"/>
        <w:jc w:val="both"/>
        <w:rPr>
          <w:rFonts w:cs="Arial"/>
          <w:color w:val="auto"/>
          <w:sz w:val="22"/>
          <w:szCs w:val="22"/>
        </w:rPr>
      </w:pPr>
      <w:r w:rsidRPr="00892BE3">
        <w:rPr>
          <w:rFonts w:cs="Arial"/>
          <w:color w:val="auto"/>
          <w:sz w:val="22"/>
          <w:szCs w:val="22"/>
        </w:rPr>
        <w:t>Representatives of CMS Parties;</w:t>
      </w:r>
    </w:p>
    <w:p w14:paraId="46659076" w14:textId="77777777" w:rsidR="00892BE3" w:rsidRPr="00892BE3" w:rsidRDefault="00892BE3" w:rsidP="00892BE3">
      <w:pPr>
        <w:pStyle w:val="Default"/>
        <w:jc w:val="both"/>
        <w:rPr>
          <w:rFonts w:cs="Arial"/>
          <w:color w:val="auto"/>
          <w:sz w:val="22"/>
          <w:szCs w:val="22"/>
        </w:rPr>
      </w:pPr>
    </w:p>
    <w:p w14:paraId="4163CEAB" w14:textId="55DF630E" w:rsidR="00892BE3" w:rsidRPr="00892BE3" w:rsidRDefault="00892BE3" w:rsidP="00892BE3">
      <w:pPr>
        <w:pStyle w:val="Default"/>
        <w:numPr>
          <w:ilvl w:val="0"/>
          <w:numId w:val="20"/>
        </w:numPr>
        <w:ind w:hanging="720"/>
        <w:jc w:val="both"/>
        <w:rPr>
          <w:rFonts w:cs="Arial"/>
          <w:color w:val="auto"/>
          <w:sz w:val="22"/>
          <w:szCs w:val="22"/>
        </w:rPr>
      </w:pPr>
      <w:r w:rsidRPr="00892BE3">
        <w:rPr>
          <w:rFonts w:cs="Arial"/>
          <w:color w:val="auto"/>
          <w:sz w:val="22"/>
          <w:szCs w:val="22"/>
        </w:rPr>
        <w:t xml:space="preserve">Representatives of the CMS Scientific Council, AEWA Technical Committee, Raptors </w:t>
      </w:r>
      <w:r w:rsidR="00D94D78" w:rsidRPr="00892BE3">
        <w:rPr>
          <w:rFonts w:cs="Arial"/>
          <w:color w:val="auto"/>
          <w:sz w:val="22"/>
          <w:szCs w:val="22"/>
        </w:rPr>
        <w:t>M</w:t>
      </w:r>
      <w:r w:rsidR="00D94D78">
        <w:rPr>
          <w:rFonts w:cs="Arial"/>
          <w:color w:val="auto"/>
          <w:sz w:val="22"/>
          <w:szCs w:val="22"/>
        </w:rPr>
        <w:t>O</w:t>
      </w:r>
      <w:r w:rsidR="00D94D78" w:rsidRPr="00892BE3">
        <w:rPr>
          <w:rFonts w:cs="Arial"/>
          <w:color w:val="auto"/>
          <w:sz w:val="22"/>
          <w:szCs w:val="22"/>
        </w:rPr>
        <w:t xml:space="preserve">U </w:t>
      </w:r>
      <w:r w:rsidRPr="00892BE3">
        <w:rPr>
          <w:rFonts w:cs="Arial"/>
          <w:color w:val="auto"/>
          <w:sz w:val="22"/>
          <w:szCs w:val="22"/>
        </w:rPr>
        <w:t>Technical Advisory Group, Bern Convention Expert Group on Birds;</w:t>
      </w:r>
    </w:p>
    <w:p w14:paraId="2CFC3AC2" w14:textId="77777777" w:rsidR="00892BE3" w:rsidRPr="00892BE3" w:rsidRDefault="00892BE3" w:rsidP="00892BE3">
      <w:pPr>
        <w:pStyle w:val="ListParagraph"/>
        <w:ind w:left="0"/>
        <w:rPr>
          <w:rFonts w:cs="Arial"/>
          <w:sz w:val="22"/>
          <w:szCs w:val="22"/>
        </w:rPr>
      </w:pPr>
    </w:p>
    <w:p w14:paraId="6366E6A3" w14:textId="77777777" w:rsidR="00892BE3" w:rsidRPr="00892BE3" w:rsidRDefault="00892BE3" w:rsidP="00892BE3">
      <w:pPr>
        <w:pStyle w:val="Default"/>
        <w:numPr>
          <w:ilvl w:val="0"/>
          <w:numId w:val="20"/>
        </w:numPr>
        <w:ind w:hanging="720"/>
        <w:jc w:val="both"/>
        <w:rPr>
          <w:rFonts w:cs="Arial"/>
          <w:color w:val="auto"/>
          <w:sz w:val="22"/>
          <w:szCs w:val="22"/>
        </w:rPr>
      </w:pPr>
      <w:r w:rsidRPr="00892BE3">
        <w:rPr>
          <w:rFonts w:cs="Arial"/>
          <w:color w:val="auto"/>
          <w:sz w:val="22"/>
          <w:szCs w:val="22"/>
        </w:rPr>
        <w:t xml:space="preserve">Representatives of the CMS Mediterranean Illegal Killing, Taking and Trade Task Force, African-Eurasian Migratory </w:t>
      </w:r>
      <w:proofErr w:type="spellStart"/>
      <w:r w:rsidRPr="00892BE3">
        <w:rPr>
          <w:rFonts w:cs="Arial"/>
          <w:color w:val="auto"/>
          <w:sz w:val="22"/>
          <w:szCs w:val="22"/>
        </w:rPr>
        <w:t>Landbird</w:t>
      </w:r>
      <w:proofErr w:type="spellEnd"/>
      <w:r w:rsidRPr="00892BE3">
        <w:rPr>
          <w:rFonts w:cs="Arial"/>
          <w:color w:val="auto"/>
          <w:sz w:val="22"/>
          <w:szCs w:val="22"/>
        </w:rPr>
        <w:t xml:space="preserve"> Working Group and Flyways Working Group; and</w:t>
      </w:r>
    </w:p>
    <w:p w14:paraId="7DAAE3F6" w14:textId="77777777" w:rsidR="00892BE3" w:rsidRPr="00892BE3" w:rsidRDefault="00892BE3" w:rsidP="00892BE3">
      <w:pPr>
        <w:pStyle w:val="ListParagraph"/>
        <w:ind w:left="0"/>
        <w:rPr>
          <w:rFonts w:cs="Arial"/>
          <w:sz w:val="22"/>
          <w:szCs w:val="22"/>
        </w:rPr>
      </w:pPr>
    </w:p>
    <w:p w14:paraId="1FF85206" w14:textId="77777777" w:rsidR="00892BE3" w:rsidRPr="00892BE3" w:rsidRDefault="00892BE3" w:rsidP="00892BE3">
      <w:pPr>
        <w:pStyle w:val="Default"/>
        <w:numPr>
          <w:ilvl w:val="0"/>
          <w:numId w:val="20"/>
        </w:numPr>
        <w:ind w:hanging="720"/>
        <w:jc w:val="both"/>
        <w:rPr>
          <w:rFonts w:cs="Arial"/>
          <w:color w:val="auto"/>
          <w:sz w:val="22"/>
          <w:szCs w:val="22"/>
        </w:rPr>
      </w:pPr>
      <w:r w:rsidRPr="00892BE3">
        <w:rPr>
          <w:rFonts w:cs="Arial"/>
          <w:color w:val="auto"/>
          <w:sz w:val="22"/>
          <w:szCs w:val="22"/>
        </w:rPr>
        <w:t>Independent experts on an ad hoc basis as necessary and appropriate.</w:t>
      </w:r>
    </w:p>
    <w:p w14:paraId="146F7B30" w14:textId="77777777" w:rsidR="00892BE3" w:rsidRPr="00892BE3" w:rsidRDefault="00892BE3" w:rsidP="00892BE3">
      <w:pPr>
        <w:pStyle w:val="Default"/>
        <w:jc w:val="both"/>
        <w:rPr>
          <w:rFonts w:cs="Arial"/>
          <w:color w:val="auto"/>
          <w:sz w:val="22"/>
          <w:szCs w:val="22"/>
        </w:rPr>
      </w:pPr>
    </w:p>
    <w:p w14:paraId="13D58D19" w14:textId="77777777" w:rsidR="00892BE3" w:rsidRPr="00892BE3" w:rsidRDefault="00892BE3" w:rsidP="00892BE3">
      <w:pPr>
        <w:pStyle w:val="Default"/>
        <w:jc w:val="both"/>
        <w:rPr>
          <w:rFonts w:cs="Arial"/>
          <w:color w:val="auto"/>
          <w:sz w:val="22"/>
          <w:szCs w:val="22"/>
        </w:rPr>
      </w:pPr>
    </w:p>
    <w:p w14:paraId="0292B574" w14:textId="77777777" w:rsidR="00892BE3" w:rsidRPr="00892BE3" w:rsidRDefault="00892BE3" w:rsidP="00892BE3">
      <w:pPr>
        <w:pStyle w:val="Default"/>
        <w:jc w:val="both"/>
        <w:rPr>
          <w:rFonts w:cs="Arial"/>
          <w:color w:val="auto"/>
          <w:sz w:val="22"/>
          <w:szCs w:val="22"/>
        </w:rPr>
      </w:pPr>
      <w:r w:rsidRPr="00892BE3">
        <w:rPr>
          <w:rFonts w:cs="Arial"/>
          <w:b/>
          <w:bCs/>
          <w:color w:val="auto"/>
          <w:sz w:val="22"/>
          <w:szCs w:val="22"/>
        </w:rPr>
        <w:t xml:space="preserve">5. </w:t>
      </w:r>
      <w:r w:rsidRPr="00892BE3">
        <w:rPr>
          <w:rFonts w:cs="Arial"/>
          <w:b/>
          <w:bCs/>
          <w:color w:val="auto"/>
          <w:sz w:val="22"/>
          <w:szCs w:val="22"/>
        </w:rPr>
        <w:tab/>
        <w:t>Governance</w:t>
      </w:r>
    </w:p>
    <w:p w14:paraId="5147CD8D" w14:textId="56D0025C" w:rsidR="00892BE3" w:rsidRPr="00892BE3" w:rsidRDefault="00892BE3" w:rsidP="00892BE3">
      <w:pPr>
        <w:pStyle w:val="Default"/>
        <w:jc w:val="both"/>
        <w:rPr>
          <w:rFonts w:cs="Arial"/>
          <w:color w:val="auto"/>
          <w:spacing w:val="-6"/>
          <w:sz w:val="22"/>
          <w:szCs w:val="22"/>
        </w:rPr>
      </w:pPr>
      <w:r w:rsidRPr="00892BE3">
        <w:rPr>
          <w:rFonts w:cs="Arial"/>
          <w:color w:val="auto"/>
          <w:sz w:val="22"/>
          <w:szCs w:val="22"/>
        </w:rPr>
        <w:t xml:space="preserve">The Working Group will elect a Chair and a Vice-Chair from amongst its members and </w:t>
      </w:r>
      <w:r w:rsidRPr="00892BE3">
        <w:rPr>
          <w:rFonts w:cs="Arial"/>
          <w:color w:val="auto"/>
          <w:spacing w:val="-6"/>
          <w:sz w:val="22"/>
          <w:szCs w:val="22"/>
        </w:rPr>
        <w:t>will operate by seeking consensus among the Group. The Working Group will report to the Scientific Council on its actions, members</w:t>
      </w:r>
      <w:r w:rsidR="00D94D78">
        <w:rPr>
          <w:rFonts w:cs="Arial"/>
          <w:color w:val="auto"/>
          <w:spacing w:val="-6"/>
          <w:sz w:val="22"/>
          <w:szCs w:val="22"/>
        </w:rPr>
        <w:t>h</w:t>
      </w:r>
      <w:r w:rsidRPr="00892BE3">
        <w:rPr>
          <w:rFonts w:cs="Arial"/>
          <w:color w:val="auto"/>
          <w:spacing w:val="-6"/>
          <w:sz w:val="22"/>
          <w:szCs w:val="22"/>
        </w:rPr>
        <w:t>ip and other related issues.</w:t>
      </w:r>
    </w:p>
    <w:p w14:paraId="4AA56CB9" w14:textId="77777777" w:rsidR="00892BE3" w:rsidRPr="00892BE3" w:rsidRDefault="00892BE3" w:rsidP="00892BE3">
      <w:pPr>
        <w:pStyle w:val="Default"/>
        <w:jc w:val="both"/>
        <w:rPr>
          <w:rFonts w:cs="Arial"/>
          <w:color w:val="auto"/>
          <w:sz w:val="22"/>
          <w:szCs w:val="22"/>
        </w:rPr>
      </w:pPr>
    </w:p>
    <w:p w14:paraId="4748BF29" w14:textId="77777777" w:rsidR="00892BE3" w:rsidRPr="00892BE3" w:rsidRDefault="00892BE3" w:rsidP="00892BE3">
      <w:pPr>
        <w:pStyle w:val="Default"/>
        <w:jc w:val="both"/>
        <w:rPr>
          <w:rFonts w:cs="Arial"/>
          <w:color w:val="auto"/>
          <w:sz w:val="22"/>
          <w:szCs w:val="22"/>
        </w:rPr>
      </w:pPr>
    </w:p>
    <w:p w14:paraId="4CDA6C73" w14:textId="77777777" w:rsidR="00892BE3" w:rsidRPr="00892BE3" w:rsidRDefault="00892BE3" w:rsidP="00892BE3">
      <w:pPr>
        <w:pStyle w:val="Default"/>
        <w:jc w:val="both"/>
        <w:rPr>
          <w:rFonts w:cs="Arial"/>
          <w:color w:val="auto"/>
          <w:sz w:val="22"/>
          <w:szCs w:val="22"/>
        </w:rPr>
      </w:pPr>
      <w:r w:rsidRPr="00892BE3">
        <w:rPr>
          <w:rFonts w:cs="Arial"/>
          <w:b/>
          <w:bCs/>
          <w:color w:val="auto"/>
          <w:sz w:val="22"/>
          <w:szCs w:val="22"/>
        </w:rPr>
        <w:t xml:space="preserve">6. </w:t>
      </w:r>
      <w:r w:rsidRPr="00892BE3">
        <w:rPr>
          <w:rFonts w:cs="Arial"/>
          <w:b/>
          <w:bCs/>
          <w:color w:val="auto"/>
          <w:sz w:val="22"/>
          <w:szCs w:val="22"/>
        </w:rPr>
        <w:tab/>
        <w:t>Operation</w:t>
      </w:r>
    </w:p>
    <w:p w14:paraId="727F4879"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Funding permitting, a coordinator will be appointed with the following functions:</w:t>
      </w:r>
    </w:p>
    <w:p w14:paraId="180C3BDA" w14:textId="77777777" w:rsidR="00892BE3" w:rsidRPr="00892BE3" w:rsidRDefault="00892BE3" w:rsidP="00892BE3">
      <w:pPr>
        <w:pStyle w:val="Default"/>
        <w:jc w:val="both"/>
        <w:rPr>
          <w:rFonts w:cs="Arial"/>
          <w:color w:val="auto"/>
          <w:sz w:val="22"/>
          <w:szCs w:val="22"/>
        </w:rPr>
      </w:pPr>
    </w:p>
    <w:p w14:paraId="2860D145" w14:textId="07DC0751" w:rsidR="00892BE3" w:rsidRPr="00892BE3" w:rsidRDefault="00892BE3" w:rsidP="00892BE3">
      <w:pPr>
        <w:pStyle w:val="Default"/>
        <w:ind w:left="709" w:hanging="709"/>
        <w:jc w:val="both"/>
        <w:rPr>
          <w:rFonts w:cs="Arial"/>
          <w:color w:val="auto"/>
          <w:sz w:val="22"/>
          <w:szCs w:val="22"/>
        </w:rPr>
      </w:pPr>
      <w:r w:rsidRPr="00892BE3">
        <w:rPr>
          <w:rFonts w:cs="Arial"/>
          <w:color w:val="auto"/>
          <w:sz w:val="22"/>
          <w:szCs w:val="22"/>
        </w:rPr>
        <w:t xml:space="preserve">- </w:t>
      </w:r>
      <w:r w:rsidRPr="00892BE3">
        <w:rPr>
          <w:rFonts w:cs="Arial"/>
          <w:color w:val="auto"/>
          <w:sz w:val="22"/>
          <w:szCs w:val="22"/>
        </w:rPr>
        <w:tab/>
      </w:r>
      <w:r w:rsidR="00D94D78" w:rsidRPr="00892BE3">
        <w:rPr>
          <w:rFonts w:cs="Arial"/>
          <w:color w:val="auto"/>
          <w:sz w:val="22"/>
          <w:szCs w:val="22"/>
        </w:rPr>
        <w:t>organiz</w:t>
      </w:r>
      <w:r w:rsidR="00D94D78">
        <w:rPr>
          <w:rFonts w:cs="Arial"/>
          <w:color w:val="auto"/>
          <w:sz w:val="22"/>
          <w:szCs w:val="22"/>
        </w:rPr>
        <w:t>ing</w:t>
      </w:r>
      <w:r w:rsidR="00D94D78" w:rsidRPr="00892BE3">
        <w:rPr>
          <w:rFonts w:cs="Arial"/>
          <w:color w:val="auto"/>
          <w:sz w:val="22"/>
          <w:szCs w:val="22"/>
        </w:rPr>
        <w:t xml:space="preserve"> </w:t>
      </w:r>
      <w:r w:rsidRPr="00892BE3">
        <w:rPr>
          <w:rFonts w:cs="Arial"/>
          <w:color w:val="auto"/>
          <w:sz w:val="22"/>
          <w:szCs w:val="22"/>
        </w:rPr>
        <w:t>the meetings of the Working Group and prepare the background documents;</w:t>
      </w:r>
    </w:p>
    <w:p w14:paraId="25490AF3" w14:textId="77777777" w:rsidR="00892BE3" w:rsidRPr="00892BE3" w:rsidRDefault="00892BE3" w:rsidP="00892BE3">
      <w:pPr>
        <w:pStyle w:val="Default"/>
        <w:ind w:left="709" w:hanging="709"/>
        <w:jc w:val="both"/>
        <w:rPr>
          <w:rFonts w:cs="Arial"/>
          <w:color w:val="auto"/>
          <w:sz w:val="22"/>
          <w:szCs w:val="22"/>
        </w:rPr>
      </w:pPr>
    </w:p>
    <w:p w14:paraId="7E35DFAB" w14:textId="0BF1CC96" w:rsidR="00892BE3" w:rsidRPr="00892BE3" w:rsidRDefault="00892BE3" w:rsidP="00892BE3">
      <w:pPr>
        <w:pStyle w:val="Default"/>
        <w:ind w:left="709" w:hanging="709"/>
        <w:jc w:val="both"/>
        <w:rPr>
          <w:rFonts w:cs="Arial"/>
          <w:color w:val="auto"/>
          <w:spacing w:val="-4"/>
          <w:sz w:val="22"/>
          <w:szCs w:val="22"/>
        </w:rPr>
      </w:pPr>
      <w:r w:rsidRPr="00892BE3">
        <w:rPr>
          <w:rFonts w:cs="Arial"/>
          <w:color w:val="auto"/>
          <w:spacing w:val="-4"/>
          <w:sz w:val="22"/>
          <w:szCs w:val="22"/>
        </w:rPr>
        <w:t xml:space="preserve">- </w:t>
      </w:r>
      <w:r w:rsidRPr="00892BE3">
        <w:rPr>
          <w:rFonts w:cs="Arial"/>
          <w:color w:val="auto"/>
          <w:spacing w:val="-4"/>
          <w:sz w:val="22"/>
          <w:szCs w:val="22"/>
        </w:rPr>
        <w:tab/>
        <w:t>maintain</w:t>
      </w:r>
      <w:r w:rsidR="00D94D78">
        <w:rPr>
          <w:rFonts w:cs="Arial"/>
          <w:color w:val="auto"/>
          <w:spacing w:val="-4"/>
          <w:sz w:val="22"/>
          <w:szCs w:val="22"/>
        </w:rPr>
        <w:t>ing</w:t>
      </w:r>
      <w:r w:rsidRPr="00892BE3">
        <w:rPr>
          <w:rFonts w:cs="Arial"/>
          <w:color w:val="auto"/>
          <w:spacing w:val="-4"/>
          <w:sz w:val="22"/>
          <w:szCs w:val="22"/>
        </w:rPr>
        <w:t xml:space="preserve"> and moderat</w:t>
      </w:r>
      <w:r w:rsidR="00D94D78">
        <w:rPr>
          <w:rFonts w:cs="Arial"/>
          <w:color w:val="auto"/>
          <w:spacing w:val="-4"/>
          <w:sz w:val="22"/>
          <w:szCs w:val="22"/>
        </w:rPr>
        <w:t>ing</w:t>
      </w:r>
      <w:r w:rsidRPr="00892BE3">
        <w:rPr>
          <w:rFonts w:cs="Arial"/>
          <w:color w:val="auto"/>
          <w:spacing w:val="-4"/>
          <w:sz w:val="22"/>
          <w:szCs w:val="22"/>
        </w:rPr>
        <w:t xml:space="preserve"> the Working Group’s communications;</w:t>
      </w:r>
    </w:p>
    <w:p w14:paraId="73D2A9B1" w14:textId="77777777" w:rsidR="00892BE3" w:rsidRPr="00892BE3" w:rsidRDefault="00892BE3" w:rsidP="00892BE3">
      <w:pPr>
        <w:pStyle w:val="Default"/>
        <w:ind w:left="709" w:hanging="709"/>
        <w:jc w:val="both"/>
        <w:rPr>
          <w:rFonts w:cs="Arial"/>
          <w:color w:val="auto"/>
          <w:spacing w:val="-4"/>
          <w:sz w:val="22"/>
          <w:szCs w:val="22"/>
        </w:rPr>
      </w:pPr>
    </w:p>
    <w:p w14:paraId="73C4CDD4" w14:textId="197AC5BE" w:rsidR="00892BE3" w:rsidRPr="00892BE3" w:rsidRDefault="00892BE3" w:rsidP="00892BE3">
      <w:pPr>
        <w:pStyle w:val="Default"/>
        <w:ind w:left="709" w:hanging="709"/>
        <w:jc w:val="both"/>
        <w:rPr>
          <w:rFonts w:cs="Arial"/>
          <w:color w:val="auto"/>
          <w:sz w:val="22"/>
          <w:szCs w:val="22"/>
        </w:rPr>
      </w:pPr>
      <w:r w:rsidRPr="00892BE3">
        <w:rPr>
          <w:rFonts w:cs="Arial"/>
          <w:color w:val="auto"/>
          <w:sz w:val="22"/>
          <w:szCs w:val="22"/>
        </w:rPr>
        <w:t xml:space="preserve">- </w:t>
      </w:r>
      <w:r w:rsidRPr="00892BE3">
        <w:rPr>
          <w:rFonts w:cs="Arial"/>
          <w:color w:val="auto"/>
          <w:sz w:val="22"/>
          <w:szCs w:val="22"/>
        </w:rPr>
        <w:tab/>
        <w:t>facilitat</w:t>
      </w:r>
      <w:r w:rsidR="00D94D78">
        <w:rPr>
          <w:rFonts w:cs="Arial"/>
          <w:color w:val="auto"/>
          <w:sz w:val="22"/>
          <w:szCs w:val="22"/>
        </w:rPr>
        <w:t>ing</w:t>
      </w:r>
      <w:r w:rsidRPr="00892BE3">
        <w:rPr>
          <w:rFonts w:cs="Arial"/>
          <w:color w:val="auto"/>
          <w:sz w:val="22"/>
          <w:szCs w:val="22"/>
        </w:rPr>
        <w:t xml:space="preserve"> fundraising and resource mobilization; and</w:t>
      </w:r>
    </w:p>
    <w:p w14:paraId="601938D2" w14:textId="77777777" w:rsidR="00892BE3" w:rsidRPr="00892BE3" w:rsidRDefault="00892BE3" w:rsidP="00892BE3">
      <w:pPr>
        <w:pStyle w:val="Default"/>
        <w:ind w:left="709" w:hanging="709"/>
        <w:jc w:val="both"/>
        <w:rPr>
          <w:rFonts w:cs="Arial"/>
          <w:color w:val="auto"/>
          <w:sz w:val="22"/>
          <w:szCs w:val="22"/>
        </w:rPr>
      </w:pPr>
    </w:p>
    <w:p w14:paraId="42A5C567" w14:textId="73968B8D" w:rsidR="00892BE3" w:rsidRPr="00892BE3" w:rsidRDefault="00892BE3" w:rsidP="00892BE3">
      <w:pPr>
        <w:pStyle w:val="Default"/>
        <w:ind w:left="709" w:hanging="709"/>
        <w:jc w:val="both"/>
        <w:rPr>
          <w:rFonts w:cs="Arial"/>
          <w:color w:val="auto"/>
          <w:sz w:val="22"/>
          <w:szCs w:val="22"/>
        </w:rPr>
      </w:pPr>
      <w:r w:rsidRPr="00892BE3">
        <w:rPr>
          <w:rFonts w:cs="Arial"/>
          <w:color w:val="auto"/>
          <w:sz w:val="22"/>
          <w:szCs w:val="22"/>
        </w:rPr>
        <w:t xml:space="preserve">- </w:t>
      </w:r>
      <w:r w:rsidRPr="00892BE3">
        <w:rPr>
          <w:rFonts w:cs="Arial"/>
          <w:color w:val="auto"/>
          <w:sz w:val="22"/>
          <w:szCs w:val="22"/>
        </w:rPr>
        <w:tab/>
        <w:t>facilitat</w:t>
      </w:r>
      <w:r w:rsidR="00D94D78">
        <w:rPr>
          <w:rFonts w:cs="Arial"/>
          <w:color w:val="auto"/>
          <w:sz w:val="22"/>
          <w:szCs w:val="22"/>
        </w:rPr>
        <w:t>ing</w:t>
      </w:r>
      <w:r w:rsidRPr="00892BE3">
        <w:rPr>
          <w:rFonts w:cs="Arial"/>
          <w:color w:val="auto"/>
          <w:sz w:val="22"/>
          <w:szCs w:val="22"/>
        </w:rPr>
        <w:t xml:space="preserve"> engagement with stakeholders within and beyond the Working Group.</w:t>
      </w:r>
    </w:p>
    <w:p w14:paraId="6C92D695" w14:textId="77777777" w:rsidR="00892BE3" w:rsidRPr="00892BE3" w:rsidRDefault="00892BE3" w:rsidP="00892BE3">
      <w:pPr>
        <w:pStyle w:val="Default"/>
        <w:jc w:val="both"/>
        <w:rPr>
          <w:rFonts w:cs="Arial"/>
          <w:color w:val="auto"/>
          <w:sz w:val="22"/>
          <w:szCs w:val="22"/>
        </w:rPr>
      </w:pPr>
    </w:p>
    <w:p w14:paraId="583F0DFC" w14:textId="77777777" w:rsidR="00892BE3" w:rsidRPr="00892BE3" w:rsidRDefault="00892BE3" w:rsidP="00892BE3">
      <w:pPr>
        <w:pStyle w:val="Default"/>
        <w:jc w:val="both"/>
        <w:rPr>
          <w:rFonts w:cs="Arial"/>
          <w:color w:val="auto"/>
          <w:sz w:val="22"/>
          <w:szCs w:val="22"/>
        </w:rPr>
      </w:pPr>
      <w:r w:rsidRPr="00892BE3">
        <w:rPr>
          <w:rFonts w:cs="Arial"/>
          <w:color w:val="auto"/>
          <w:sz w:val="22"/>
          <w:szCs w:val="22"/>
        </w:rPr>
        <w:t>Meetings of the Working Group will be convened at appropriate intervals, as considered necessary and funding permitting. Between meetings business will be conducted electronically which will provide the primary mode of communication.</w:t>
      </w:r>
    </w:p>
    <w:p w14:paraId="06086021" w14:textId="77777777" w:rsidR="00892BE3" w:rsidRPr="00892BE3" w:rsidRDefault="00892BE3" w:rsidP="00892BE3">
      <w:pPr>
        <w:pStyle w:val="Default"/>
        <w:jc w:val="both"/>
        <w:rPr>
          <w:rFonts w:cs="Arial"/>
          <w:color w:val="auto"/>
          <w:sz w:val="22"/>
          <w:szCs w:val="22"/>
        </w:rPr>
      </w:pPr>
    </w:p>
    <w:p w14:paraId="372E7B6E" w14:textId="0A5C94D4" w:rsidR="00D27366" w:rsidRDefault="00892BE3" w:rsidP="00892BE3">
      <w:pPr>
        <w:jc w:val="both"/>
        <w:rPr>
          <w:rFonts w:cs="Arial"/>
          <w:sz w:val="22"/>
          <w:szCs w:val="22"/>
        </w:rPr>
        <w:sectPr w:rsidR="00D27366" w:rsidSect="0052082F">
          <w:headerReference w:type="default" r:id="rId22"/>
          <w:headerReference w:type="first" r:id="rId23"/>
          <w:endnotePr>
            <w:numFmt w:val="decimal"/>
          </w:endnotePr>
          <w:pgSz w:w="11905" w:h="16837" w:code="9"/>
          <w:pgMar w:top="1008" w:right="1411" w:bottom="1152" w:left="1411" w:header="432" w:footer="432" w:gutter="0"/>
          <w:cols w:space="720"/>
          <w:noEndnote/>
          <w:titlePg/>
          <w:docGrid w:linePitch="272"/>
        </w:sectPr>
      </w:pPr>
      <w:r w:rsidRPr="00892BE3">
        <w:rPr>
          <w:rFonts w:cs="Arial"/>
          <w:sz w:val="22"/>
          <w:szCs w:val="22"/>
        </w:rPr>
        <w:t>The Working Group, in collaboration with Parties and relevant international organizations, subject to the availability of funds, will organize regional workshops in trouble spot areas to assist in developing appropriate local or regional solutions to prevent the poisoning of migratory birds.</w:t>
      </w:r>
      <w:r>
        <w:rPr>
          <w:rFonts w:cs="Arial"/>
          <w:sz w:val="22"/>
          <w:szCs w:val="22"/>
        </w:rPr>
        <w:t xml:space="preserve"> </w:t>
      </w:r>
    </w:p>
    <w:p w14:paraId="63F07B4B" w14:textId="0678A35C" w:rsidR="007910DD" w:rsidRPr="00F803B0" w:rsidRDefault="00F803B0" w:rsidP="007910DD">
      <w:pPr>
        <w:widowControl/>
        <w:autoSpaceDE/>
        <w:adjustRightInd/>
        <w:jc w:val="right"/>
        <w:rPr>
          <w:rFonts w:cs="Arial"/>
          <w:b/>
          <w:bCs/>
          <w:caps/>
          <w:sz w:val="22"/>
          <w:szCs w:val="22"/>
          <w:lang w:val="en-GB"/>
        </w:rPr>
      </w:pPr>
      <w:r w:rsidRPr="00F803B0">
        <w:rPr>
          <w:rFonts w:cs="Arial"/>
          <w:b/>
          <w:caps/>
          <w:sz w:val="22"/>
          <w:szCs w:val="22"/>
          <w:lang w:val="en-GB"/>
        </w:rPr>
        <w:lastRenderedPageBreak/>
        <w:t>Annex 2</w:t>
      </w:r>
    </w:p>
    <w:p w14:paraId="1BB6C616" w14:textId="77777777" w:rsidR="007910DD" w:rsidRPr="00F803B0" w:rsidRDefault="007910DD" w:rsidP="007910DD">
      <w:pPr>
        <w:rPr>
          <w:rFonts w:cs="Arial"/>
          <w:sz w:val="22"/>
          <w:szCs w:val="22"/>
          <w:lang w:val="en-GB"/>
        </w:rPr>
      </w:pPr>
    </w:p>
    <w:p w14:paraId="4DDA0BAA" w14:textId="3D81D828" w:rsidR="007910DD" w:rsidRPr="00F803B0" w:rsidRDefault="00725A91" w:rsidP="007910DD">
      <w:pPr>
        <w:jc w:val="center"/>
        <w:rPr>
          <w:rFonts w:cs="Arial"/>
          <w:sz w:val="22"/>
          <w:szCs w:val="22"/>
          <w:lang w:val="en-GB"/>
        </w:rPr>
      </w:pPr>
      <w:r w:rsidRPr="00F803B0">
        <w:rPr>
          <w:rFonts w:cs="Arial"/>
          <w:sz w:val="22"/>
          <w:szCs w:val="22"/>
          <w:lang w:val="en-GB"/>
        </w:rPr>
        <w:t>DRAFT</w:t>
      </w:r>
      <w:r w:rsidR="002F364A">
        <w:rPr>
          <w:rFonts w:cs="Arial"/>
          <w:sz w:val="22"/>
          <w:szCs w:val="22"/>
          <w:lang w:val="en-GB"/>
        </w:rPr>
        <w:t xml:space="preserve"> DECISIONS</w:t>
      </w:r>
    </w:p>
    <w:p w14:paraId="40FE5226" w14:textId="77777777" w:rsidR="007910DD" w:rsidRPr="00F803B0" w:rsidRDefault="007910DD" w:rsidP="007910DD">
      <w:pPr>
        <w:jc w:val="center"/>
        <w:rPr>
          <w:rFonts w:cs="Arial"/>
          <w:sz w:val="22"/>
          <w:szCs w:val="22"/>
          <w:lang w:val="en-GB"/>
        </w:rPr>
      </w:pPr>
    </w:p>
    <w:p w14:paraId="77A24A07" w14:textId="19520222" w:rsidR="007910DD" w:rsidRPr="00D27366" w:rsidRDefault="00F803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D27366">
        <w:rPr>
          <w:rFonts w:cs="Arial"/>
          <w:b/>
          <w:caps/>
          <w:sz w:val="22"/>
          <w:szCs w:val="22"/>
          <w:lang w:val="en-GB"/>
        </w:rPr>
        <w:t>PREVENTING POISONING OF MIGRATORY BIRDS</w:t>
      </w:r>
    </w:p>
    <w:p w14:paraId="6953F1F5" w14:textId="77777777" w:rsidR="007910DD" w:rsidRPr="00D27366" w:rsidRDefault="007910DD" w:rsidP="007910DD">
      <w:pPr>
        <w:jc w:val="both"/>
        <w:rPr>
          <w:rFonts w:cs="Arial"/>
          <w:sz w:val="22"/>
          <w:szCs w:val="22"/>
          <w:lang w:val="en-GB"/>
        </w:rPr>
      </w:pPr>
    </w:p>
    <w:p w14:paraId="54762124" w14:textId="2EF527F3" w:rsidR="007910DD" w:rsidRPr="00D27366" w:rsidRDefault="007910DD" w:rsidP="007910DD">
      <w:pPr>
        <w:jc w:val="both"/>
        <w:rPr>
          <w:rFonts w:cs="Arial"/>
          <w:b/>
          <w:i/>
          <w:sz w:val="22"/>
          <w:szCs w:val="22"/>
          <w:lang w:val="en-GB"/>
        </w:rPr>
      </w:pPr>
      <w:r w:rsidRPr="00D27366">
        <w:rPr>
          <w:rFonts w:cs="Arial"/>
          <w:b/>
          <w:i/>
          <w:sz w:val="22"/>
          <w:szCs w:val="22"/>
          <w:lang w:val="en-GB"/>
        </w:rPr>
        <w:t>Directed to Parties, intergovernmen</w:t>
      </w:r>
      <w:r w:rsidR="00973BFB" w:rsidRPr="00D27366">
        <w:rPr>
          <w:rFonts w:cs="Arial"/>
          <w:b/>
          <w:i/>
          <w:sz w:val="22"/>
          <w:szCs w:val="22"/>
          <w:lang w:val="en-GB"/>
        </w:rPr>
        <w:t>tal and non-governmental organiz</w:t>
      </w:r>
      <w:r w:rsidRPr="00D27366">
        <w:rPr>
          <w:rFonts w:cs="Arial"/>
          <w:b/>
          <w:i/>
          <w:sz w:val="22"/>
          <w:szCs w:val="22"/>
          <w:lang w:val="en-GB"/>
        </w:rPr>
        <w:t>ations</w:t>
      </w:r>
      <w:r w:rsidR="00A23F42" w:rsidRPr="00D27366">
        <w:rPr>
          <w:rFonts w:cs="Arial"/>
          <w:b/>
          <w:i/>
          <w:sz w:val="22"/>
          <w:szCs w:val="22"/>
          <w:lang w:val="en-GB"/>
        </w:rPr>
        <w:t xml:space="preserve"> and donors</w:t>
      </w:r>
    </w:p>
    <w:p w14:paraId="52E23373" w14:textId="77777777" w:rsidR="007910DD" w:rsidRPr="00D27366" w:rsidRDefault="007910DD" w:rsidP="007910DD">
      <w:pPr>
        <w:jc w:val="both"/>
        <w:rPr>
          <w:rFonts w:cs="Arial"/>
          <w:sz w:val="22"/>
          <w:szCs w:val="22"/>
          <w:lang w:val="en-GB"/>
        </w:rPr>
      </w:pPr>
    </w:p>
    <w:p w14:paraId="4ADCA6A8" w14:textId="211809C5" w:rsidR="007910DD" w:rsidRPr="002B2835" w:rsidRDefault="00C82347" w:rsidP="00100410">
      <w:pPr>
        <w:jc w:val="both"/>
        <w:rPr>
          <w:rFonts w:cs="Arial"/>
          <w:sz w:val="22"/>
          <w:szCs w:val="22"/>
          <w:lang w:val="en-GB"/>
        </w:rPr>
      </w:pPr>
      <w:r>
        <w:rPr>
          <w:rFonts w:cs="Arial"/>
          <w:sz w:val="22"/>
          <w:szCs w:val="22"/>
          <w:lang w:val="en-GB"/>
        </w:rPr>
        <w:t>1</w:t>
      </w:r>
      <w:r w:rsidR="00100410">
        <w:rPr>
          <w:rFonts w:cs="Arial"/>
          <w:sz w:val="22"/>
          <w:szCs w:val="22"/>
          <w:lang w:val="en-GB"/>
        </w:rPr>
        <w:t>2</w:t>
      </w:r>
      <w:r w:rsidR="002B2835" w:rsidRPr="002B2835">
        <w:rPr>
          <w:rFonts w:cs="Arial"/>
          <w:sz w:val="22"/>
          <w:szCs w:val="22"/>
          <w:lang w:val="en-GB"/>
        </w:rPr>
        <w:t>.AA</w:t>
      </w:r>
      <w:r w:rsidR="007910DD" w:rsidRPr="002B2835">
        <w:rPr>
          <w:rFonts w:cs="Arial"/>
          <w:sz w:val="22"/>
          <w:szCs w:val="22"/>
          <w:lang w:val="en-GB"/>
        </w:rPr>
        <w:tab/>
        <w:t>Parties, intergovernmen</w:t>
      </w:r>
      <w:r w:rsidR="00973BFB" w:rsidRPr="002B2835">
        <w:rPr>
          <w:rFonts w:cs="Arial"/>
          <w:sz w:val="22"/>
          <w:szCs w:val="22"/>
          <w:lang w:val="en-GB"/>
        </w:rPr>
        <w:t>tal and non-governmental organiz</w:t>
      </w:r>
      <w:r w:rsidR="007910DD" w:rsidRPr="002B2835">
        <w:rPr>
          <w:rFonts w:cs="Arial"/>
          <w:sz w:val="22"/>
          <w:szCs w:val="22"/>
          <w:lang w:val="en-GB"/>
        </w:rPr>
        <w:t xml:space="preserve">ations </w:t>
      </w:r>
      <w:r w:rsidR="00A23F42" w:rsidRPr="002B2835">
        <w:rPr>
          <w:rFonts w:cs="Arial"/>
          <w:sz w:val="22"/>
          <w:szCs w:val="22"/>
          <w:lang w:val="en-GB"/>
        </w:rPr>
        <w:t xml:space="preserve">and donors </w:t>
      </w:r>
      <w:r w:rsidR="007910DD" w:rsidRPr="002B2835">
        <w:rPr>
          <w:rFonts w:cs="Arial"/>
          <w:sz w:val="22"/>
          <w:szCs w:val="22"/>
          <w:lang w:val="en-GB"/>
        </w:rPr>
        <w:t>are encouraged to</w:t>
      </w:r>
    </w:p>
    <w:p w14:paraId="0DF259BE" w14:textId="77777777" w:rsidR="007910DD" w:rsidRPr="002B2835" w:rsidRDefault="007910DD" w:rsidP="007910DD">
      <w:pPr>
        <w:jc w:val="both"/>
        <w:rPr>
          <w:rFonts w:cs="Arial"/>
          <w:sz w:val="22"/>
          <w:szCs w:val="22"/>
          <w:lang w:val="en-GB"/>
        </w:rPr>
      </w:pPr>
    </w:p>
    <w:p w14:paraId="25699848" w14:textId="6A8D9FD3" w:rsidR="007910DD" w:rsidRPr="002B2835" w:rsidRDefault="0048320A" w:rsidP="00200759">
      <w:pPr>
        <w:numPr>
          <w:ilvl w:val="0"/>
          <w:numId w:val="6"/>
        </w:numPr>
        <w:jc w:val="both"/>
        <w:rPr>
          <w:rFonts w:cs="Arial"/>
          <w:sz w:val="22"/>
          <w:szCs w:val="22"/>
          <w:lang w:val="en-GB"/>
        </w:rPr>
      </w:pPr>
      <w:r>
        <w:rPr>
          <w:rFonts w:cs="Arial"/>
          <w:sz w:val="22"/>
          <w:szCs w:val="22"/>
          <w:lang w:val="en-GB"/>
        </w:rPr>
        <w:t>P</w:t>
      </w:r>
      <w:r w:rsidR="007910DD" w:rsidRPr="002B2835">
        <w:rPr>
          <w:rFonts w:cs="Arial"/>
          <w:sz w:val="22"/>
          <w:szCs w:val="22"/>
          <w:lang w:val="en-GB"/>
        </w:rPr>
        <w:t>rovide fin</w:t>
      </w:r>
      <w:r w:rsidR="004F7D1F" w:rsidRPr="002B2835">
        <w:rPr>
          <w:rFonts w:cs="Arial"/>
          <w:sz w:val="22"/>
          <w:szCs w:val="22"/>
          <w:lang w:val="en-GB"/>
        </w:rPr>
        <w:t xml:space="preserve">ancial and technical support to the Secretariat for the appointment of a Coordinator of the </w:t>
      </w:r>
      <w:r w:rsidR="007A2370" w:rsidRPr="002B2835">
        <w:rPr>
          <w:rFonts w:cs="Arial"/>
          <w:sz w:val="22"/>
          <w:szCs w:val="22"/>
          <w:lang w:val="en-GB"/>
        </w:rPr>
        <w:t>Working Group for the triennium 2017-2020 and if possible beyond;</w:t>
      </w:r>
    </w:p>
    <w:p w14:paraId="5F03B5DB" w14:textId="77777777" w:rsidR="007910DD" w:rsidRPr="002B2835" w:rsidRDefault="007910DD" w:rsidP="007910DD">
      <w:pPr>
        <w:ind w:left="720"/>
        <w:jc w:val="both"/>
        <w:rPr>
          <w:rFonts w:cs="Arial"/>
          <w:sz w:val="22"/>
          <w:szCs w:val="22"/>
          <w:lang w:val="en-GB"/>
        </w:rPr>
      </w:pPr>
    </w:p>
    <w:p w14:paraId="2C647923" w14:textId="578F15E9" w:rsidR="007910DD" w:rsidRPr="002B2835" w:rsidRDefault="0048320A" w:rsidP="00200759">
      <w:pPr>
        <w:numPr>
          <w:ilvl w:val="0"/>
          <w:numId w:val="6"/>
        </w:numPr>
        <w:jc w:val="both"/>
        <w:rPr>
          <w:rFonts w:cs="Arial"/>
          <w:sz w:val="22"/>
          <w:szCs w:val="22"/>
          <w:lang w:val="en-GB"/>
        </w:rPr>
      </w:pPr>
      <w:r>
        <w:rPr>
          <w:rFonts w:cs="Arial"/>
          <w:sz w:val="22"/>
          <w:szCs w:val="22"/>
          <w:lang w:val="en-GB"/>
        </w:rPr>
        <w:t>P</w:t>
      </w:r>
      <w:r w:rsidR="002B2835" w:rsidRPr="002B2835">
        <w:rPr>
          <w:rFonts w:cs="Arial"/>
          <w:sz w:val="22"/>
          <w:szCs w:val="22"/>
          <w:lang w:val="en-GB"/>
        </w:rPr>
        <w:t xml:space="preserve">rovide financial and technical support to the Secretariat for </w:t>
      </w:r>
      <w:r w:rsidR="0053799F">
        <w:rPr>
          <w:rFonts w:cs="Arial"/>
          <w:sz w:val="22"/>
          <w:szCs w:val="22"/>
          <w:lang w:val="en-GB"/>
        </w:rPr>
        <w:t xml:space="preserve">implementing the Programme of Work of the Preventing Poisoning Working Group, and particularly for </w:t>
      </w:r>
      <w:r w:rsidR="002B2835" w:rsidRPr="002B2835">
        <w:rPr>
          <w:rFonts w:cs="Arial"/>
          <w:sz w:val="22"/>
          <w:szCs w:val="22"/>
          <w:lang w:val="en-GB"/>
        </w:rPr>
        <w:t xml:space="preserve">the </w:t>
      </w:r>
      <w:r w:rsidR="002B2835" w:rsidRPr="002B2835">
        <w:rPr>
          <w:rFonts w:cs="Arial"/>
          <w:sz w:val="22"/>
          <w:szCs w:val="22"/>
        </w:rPr>
        <w:t>organization of regional workshops in high risk areas/flyways within the triennium 2017-2020;</w:t>
      </w:r>
    </w:p>
    <w:p w14:paraId="258800BE" w14:textId="77777777" w:rsidR="007910DD" w:rsidRPr="002B2835" w:rsidRDefault="007910DD" w:rsidP="007910DD">
      <w:pPr>
        <w:jc w:val="both"/>
        <w:rPr>
          <w:rFonts w:cs="Arial"/>
          <w:sz w:val="22"/>
          <w:szCs w:val="22"/>
          <w:lang w:val="en-GB"/>
        </w:rPr>
      </w:pPr>
    </w:p>
    <w:p w14:paraId="65C983F3" w14:textId="77777777" w:rsidR="002B2835" w:rsidRPr="002B2835" w:rsidRDefault="002B2835" w:rsidP="007910DD">
      <w:pPr>
        <w:jc w:val="both"/>
        <w:rPr>
          <w:rFonts w:cs="Arial"/>
          <w:sz w:val="22"/>
          <w:szCs w:val="22"/>
          <w:lang w:val="en-GB"/>
        </w:rPr>
      </w:pPr>
    </w:p>
    <w:p w14:paraId="440A79C8" w14:textId="77777777" w:rsidR="007910DD" w:rsidRPr="007A2370" w:rsidRDefault="007910DD" w:rsidP="007910DD">
      <w:pPr>
        <w:jc w:val="both"/>
        <w:rPr>
          <w:rFonts w:cs="Arial"/>
          <w:b/>
          <w:i/>
          <w:sz w:val="22"/>
          <w:szCs w:val="22"/>
          <w:lang w:val="en-GB"/>
        </w:rPr>
      </w:pPr>
      <w:r w:rsidRPr="007A2370">
        <w:rPr>
          <w:rFonts w:cs="Arial"/>
          <w:b/>
          <w:i/>
          <w:sz w:val="22"/>
          <w:szCs w:val="22"/>
          <w:lang w:val="en-GB"/>
        </w:rPr>
        <w:t>Directed to the Secretariat</w:t>
      </w:r>
    </w:p>
    <w:p w14:paraId="60EEBCB4" w14:textId="77777777" w:rsidR="007910DD" w:rsidRPr="005D6E4C" w:rsidRDefault="007910DD" w:rsidP="007910DD">
      <w:pPr>
        <w:jc w:val="both"/>
        <w:rPr>
          <w:rFonts w:cs="Arial"/>
          <w:sz w:val="22"/>
          <w:szCs w:val="22"/>
          <w:lang w:val="en-GB"/>
        </w:rPr>
      </w:pPr>
    </w:p>
    <w:p w14:paraId="41CA376F" w14:textId="293F5DBA" w:rsidR="007910DD" w:rsidRPr="005D6E4C" w:rsidRDefault="008C48F0" w:rsidP="007910DD">
      <w:pPr>
        <w:ind w:left="720" w:hanging="720"/>
        <w:jc w:val="both"/>
        <w:rPr>
          <w:rFonts w:cs="Arial"/>
          <w:iCs/>
          <w:sz w:val="22"/>
          <w:szCs w:val="22"/>
          <w:lang w:val="en-GB"/>
        </w:rPr>
      </w:pPr>
      <w:r>
        <w:rPr>
          <w:rFonts w:cs="Arial"/>
          <w:sz w:val="22"/>
          <w:szCs w:val="22"/>
          <w:lang w:val="en-GB"/>
        </w:rPr>
        <w:t>12.BB</w:t>
      </w:r>
      <w:r w:rsidR="007910DD" w:rsidRPr="005D6E4C">
        <w:rPr>
          <w:rFonts w:cs="Arial"/>
          <w:sz w:val="22"/>
          <w:szCs w:val="22"/>
          <w:lang w:val="en-GB"/>
        </w:rPr>
        <w:tab/>
      </w:r>
      <w:r w:rsidR="00FC340D" w:rsidRPr="005D6E4C">
        <w:rPr>
          <w:rFonts w:cs="Arial"/>
          <w:sz w:val="22"/>
          <w:szCs w:val="22"/>
          <w:lang w:val="en-GB"/>
        </w:rPr>
        <w:t>The Secretariat shall,</w:t>
      </w:r>
      <w:r w:rsidR="00100410" w:rsidRPr="00100410">
        <w:rPr>
          <w:rFonts w:cs="Arial"/>
          <w:sz w:val="22"/>
          <w:szCs w:val="22"/>
          <w:lang w:val="en-GB"/>
        </w:rPr>
        <w:t xml:space="preserve"> </w:t>
      </w:r>
      <w:r w:rsidR="00100410" w:rsidRPr="00CD0FE9">
        <w:rPr>
          <w:rFonts w:cs="Arial"/>
          <w:sz w:val="22"/>
          <w:szCs w:val="22"/>
          <w:lang w:val="en-GB"/>
        </w:rPr>
        <w:t xml:space="preserve">subject to the availability of </w:t>
      </w:r>
      <w:r w:rsidR="005A7297">
        <w:rPr>
          <w:rFonts w:cs="Arial"/>
          <w:sz w:val="22"/>
          <w:szCs w:val="22"/>
          <w:lang w:val="en-GB"/>
        </w:rPr>
        <w:t>external resources,</w:t>
      </w:r>
      <w:r w:rsidR="00FC340D" w:rsidRPr="005D6E4C">
        <w:rPr>
          <w:rFonts w:cs="Arial"/>
          <w:sz w:val="22"/>
          <w:szCs w:val="22"/>
          <w:lang w:val="en-GB"/>
        </w:rPr>
        <w:t xml:space="preserve"> </w:t>
      </w:r>
    </w:p>
    <w:p w14:paraId="56967922" w14:textId="4AFD8E74" w:rsidR="005A338C" w:rsidRDefault="005A338C" w:rsidP="005A338C">
      <w:pPr>
        <w:jc w:val="both"/>
        <w:rPr>
          <w:rFonts w:cs="Arial"/>
          <w:sz w:val="22"/>
          <w:szCs w:val="22"/>
          <w:lang w:val="en-GB"/>
        </w:rPr>
      </w:pPr>
    </w:p>
    <w:p w14:paraId="2961DC2E" w14:textId="39B76CB5" w:rsidR="009723E6" w:rsidRDefault="0048320A" w:rsidP="009723E6">
      <w:pPr>
        <w:numPr>
          <w:ilvl w:val="0"/>
          <w:numId w:val="9"/>
        </w:numPr>
        <w:jc w:val="both"/>
        <w:rPr>
          <w:rFonts w:cs="Arial"/>
          <w:sz w:val="22"/>
          <w:szCs w:val="22"/>
          <w:lang w:val="en-GB"/>
        </w:rPr>
      </w:pPr>
      <w:r>
        <w:rPr>
          <w:rFonts w:cs="Arial"/>
          <w:sz w:val="22"/>
          <w:szCs w:val="22"/>
          <w:lang w:val="en-GB"/>
        </w:rPr>
        <w:t>A</w:t>
      </w:r>
      <w:r w:rsidR="008C31EF">
        <w:rPr>
          <w:rFonts w:cs="Arial"/>
          <w:sz w:val="22"/>
          <w:szCs w:val="22"/>
          <w:lang w:val="en-GB"/>
        </w:rPr>
        <w:t>ppoint a Coordinator of the PPWG for the triennium 2017-2020 and if possible beyond,</w:t>
      </w:r>
      <w:r w:rsidR="00832624">
        <w:rPr>
          <w:rFonts w:cs="Arial"/>
          <w:sz w:val="22"/>
          <w:szCs w:val="22"/>
          <w:lang w:val="en-GB"/>
        </w:rPr>
        <w:t xml:space="preserve"> in collaboration with Parties and the PPWG</w:t>
      </w:r>
      <w:r w:rsidR="004F7D1F">
        <w:rPr>
          <w:rFonts w:cs="Arial"/>
          <w:sz w:val="22"/>
          <w:szCs w:val="22"/>
          <w:lang w:val="en-GB"/>
        </w:rPr>
        <w:t>;</w:t>
      </w:r>
    </w:p>
    <w:p w14:paraId="189E6CAA" w14:textId="77777777" w:rsidR="005A338C" w:rsidRDefault="005A338C" w:rsidP="005A338C">
      <w:pPr>
        <w:ind w:left="720"/>
        <w:jc w:val="both"/>
        <w:rPr>
          <w:rFonts w:cs="Arial"/>
          <w:sz w:val="22"/>
          <w:szCs w:val="22"/>
          <w:lang w:val="en-GB"/>
        </w:rPr>
      </w:pPr>
    </w:p>
    <w:p w14:paraId="59BE51F3" w14:textId="2CA32DB2" w:rsidR="005A338C" w:rsidRDefault="0048320A" w:rsidP="005A338C">
      <w:pPr>
        <w:numPr>
          <w:ilvl w:val="0"/>
          <w:numId w:val="9"/>
        </w:numPr>
        <w:jc w:val="both"/>
        <w:rPr>
          <w:rFonts w:cs="Arial"/>
          <w:sz w:val="22"/>
          <w:szCs w:val="22"/>
          <w:lang w:val="en-GB"/>
        </w:rPr>
      </w:pPr>
      <w:r>
        <w:rPr>
          <w:rFonts w:cs="Arial"/>
          <w:sz w:val="22"/>
          <w:szCs w:val="22"/>
          <w:lang w:val="en-GB"/>
        </w:rPr>
        <w:t>E</w:t>
      </w:r>
      <w:r w:rsidR="00B27220">
        <w:rPr>
          <w:rFonts w:cs="Arial"/>
          <w:sz w:val="22"/>
          <w:szCs w:val="22"/>
          <w:lang w:val="en-GB"/>
        </w:rPr>
        <w:t xml:space="preserve">stablish </w:t>
      </w:r>
      <w:r w:rsidR="008C31EF">
        <w:rPr>
          <w:rFonts w:cs="Arial"/>
          <w:sz w:val="22"/>
          <w:szCs w:val="22"/>
          <w:lang w:val="en-GB"/>
        </w:rPr>
        <w:t xml:space="preserve">the Lead Task Force </w:t>
      </w:r>
      <w:r w:rsidR="00B27220">
        <w:rPr>
          <w:rFonts w:cs="Arial"/>
          <w:sz w:val="22"/>
          <w:szCs w:val="22"/>
          <w:lang w:val="en-GB"/>
        </w:rPr>
        <w:t xml:space="preserve">in accordance with </w:t>
      </w:r>
      <w:r w:rsidR="008C31EF">
        <w:rPr>
          <w:rFonts w:cs="Arial"/>
          <w:sz w:val="22"/>
          <w:szCs w:val="22"/>
          <w:lang w:val="en-GB"/>
        </w:rPr>
        <w:t xml:space="preserve">the TOR by the end of 2017, </w:t>
      </w:r>
      <w:r w:rsidR="005A338C">
        <w:rPr>
          <w:rFonts w:cs="Arial"/>
          <w:sz w:val="22"/>
          <w:szCs w:val="22"/>
          <w:lang w:val="en-GB"/>
        </w:rPr>
        <w:t>in collaboration with the PPWG</w:t>
      </w:r>
      <w:r w:rsidR="00347546">
        <w:rPr>
          <w:rFonts w:cs="Arial"/>
          <w:sz w:val="22"/>
          <w:szCs w:val="22"/>
          <w:lang w:val="en-GB"/>
        </w:rPr>
        <w:t>;</w:t>
      </w:r>
    </w:p>
    <w:p w14:paraId="4921B07F" w14:textId="32BCB4D5" w:rsidR="009723E6" w:rsidRPr="009723E6" w:rsidRDefault="009723E6" w:rsidP="005A338C">
      <w:pPr>
        <w:jc w:val="both"/>
        <w:rPr>
          <w:rFonts w:cs="Arial"/>
          <w:sz w:val="22"/>
          <w:szCs w:val="22"/>
          <w:lang w:val="en-GB"/>
        </w:rPr>
      </w:pPr>
      <w:r w:rsidRPr="009723E6">
        <w:rPr>
          <w:rFonts w:cs="Arial"/>
          <w:sz w:val="22"/>
          <w:szCs w:val="22"/>
          <w:lang w:val="en-GB"/>
        </w:rPr>
        <w:t xml:space="preserve"> </w:t>
      </w:r>
    </w:p>
    <w:p w14:paraId="4D723BE2" w14:textId="772C2BAB" w:rsidR="007910DD" w:rsidRPr="004F7D1F" w:rsidRDefault="0048320A" w:rsidP="00200759">
      <w:pPr>
        <w:numPr>
          <w:ilvl w:val="0"/>
          <w:numId w:val="9"/>
        </w:numPr>
        <w:jc w:val="both"/>
        <w:rPr>
          <w:rFonts w:cs="Arial"/>
          <w:sz w:val="22"/>
          <w:szCs w:val="22"/>
          <w:lang w:val="en-GB"/>
        </w:rPr>
      </w:pPr>
      <w:r>
        <w:rPr>
          <w:rFonts w:cs="Arial"/>
          <w:sz w:val="22"/>
          <w:szCs w:val="22"/>
        </w:rPr>
        <w:t>O</w:t>
      </w:r>
      <w:r w:rsidR="00D94D78">
        <w:rPr>
          <w:rFonts w:cs="Arial"/>
          <w:sz w:val="22"/>
          <w:szCs w:val="22"/>
        </w:rPr>
        <w:t>rganiz</w:t>
      </w:r>
      <w:r w:rsidR="00D94D78" w:rsidRPr="005D6E4C">
        <w:rPr>
          <w:rFonts w:cs="Arial"/>
          <w:sz w:val="22"/>
          <w:szCs w:val="22"/>
        </w:rPr>
        <w:t xml:space="preserve">e </w:t>
      </w:r>
      <w:r w:rsidR="008C31EF" w:rsidRPr="005D6E4C">
        <w:rPr>
          <w:rFonts w:cs="Arial"/>
          <w:sz w:val="22"/>
          <w:szCs w:val="22"/>
        </w:rPr>
        <w:t xml:space="preserve">regional workshops in high risk areas/flyways </w:t>
      </w:r>
      <w:r w:rsidR="00FC340D" w:rsidRPr="005D6E4C">
        <w:rPr>
          <w:rFonts w:cs="Arial"/>
          <w:sz w:val="22"/>
          <w:szCs w:val="22"/>
        </w:rPr>
        <w:t>in collaboration with Parties, the PPWG and relevant international organizations, and in accordance w</w:t>
      </w:r>
      <w:r w:rsidR="00832624">
        <w:rPr>
          <w:rFonts w:cs="Arial"/>
          <w:sz w:val="22"/>
          <w:szCs w:val="22"/>
        </w:rPr>
        <w:t xml:space="preserve">ith the POW of the PPWG, </w:t>
      </w:r>
      <w:r w:rsidR="005D6E4C" w:rsidRPr="005D6E4C">
        <w:rPr>
          <w:rFonts w:cs="Arial"/>
          <w:sz w:val="22"/>
          <w:szCs w:val="22"/>
        </w:rPr>
        <w:t xml:space="preserve">within the triennium 2017-2020 </w:t>
      </w:r>
      <w:r w:rsidR="00FC340D" w:rsidRPr="005D6E4C">
        <w:rPr>
          <w:rFonts w:cs="Arial"/>
          <w:sz w:val="22"/>
          <w:szCs w:val="22"/>
        </w:rPr>
        <w:t>to promote the implementation of the Guidelines and to share best practice and lessons learnt;</w:t>
      </w:r>
    </w:p>
    <w:p w14:paraId="4624B571" w14:textId="77777777" w:rsidR="004F7D1F" w:rsidRDefault="004F7D1F" w:rsidP="004F7D1F">
      <w:pPr>
        <w:pStyle w:val="ListParagraph"/>
        <w:rPr>
          <w:rFonts w:cs="Arial"/>
          <w:sz w:val="22"/>
          <w:szCs w:val="22"/>
          <w:lang w:val="en-GB"/>
        </w:rPr>
      </w:pPr>
    </w:p>
    <w:p w14:paraId="122FEAF4" w14:textId="0785893D" w:rsidR="00347546" w:rsidRDefault="0048320A" w:rsidP="00200759">
      <w:pPr>
        <w:numPr>
          <w:ilvl w:val="0"/>
          <w:numId w:val="9"/>
        </w:numPr>
        <w:jc w:val="both"/>
        <w:rPr>
          <w:rFonts w:cs="Arial"/>
          <w:sz w:val="22"/>
          <w:szCs w:val="22"/>
          <w:lang w:val="en-GB"/>
        </w:rPr>
        <w:sectPr w:rsidR="00347546" w:rsidSect="0052082F">
          <w:headerReference w:type="default" r:id="rId24"/>
          <w:headerReference w:type="first" r:id="rId25"/>
          <w:endnotePr>
            <w:numFmt w:val="decimal"/>
          </w:endnotePr>
          <w:pgSz w:w="11905" w:h="16837" w:code="9"/>
          <w:pgMar w:top="1008" w:right="1411" w:bottom="1152" w:left="1411" w:header="432" w:footer="432" w:gutter="0"/>
          <w:cols w:space="720"/>
          <w:noEndnote/>
          <w:titlePg/>
          <w:docGrid w:linePitch="272"/>
        </w:sectPr>
      </w:pPr>
      <w:r>
        <w:rPr>
          <w:rFonts w:cs="Arial"/>
          <w:sz w:val="22"/>
          <w:szCs w:val="22"/>
          <w:lang w:val="en-GB"/>
        </w:rPr>
        <w:t>R</w:t>
      </w:r>
      <w:r w:rsidR="007910DD" w:rsidRPr="005D6E4C">
        <w:rPr>
          <w:rFonts w:cs="Arial"/>
          <w:sz w:val="22"/>
          <w:szCs w:val="22"/>
          <w:lang w:val="en-GB"/>
        </w:rPr>
        <w:t>eport to the Scienti</w:t>
      </w:r>
      <w:r w:rsidR="00614863">
        <w:rPr>
          <w:rFonts w:cs="Arial"/>
          <w:sz w:val="22"/>
          <w:szCs w:val="22"/>
          <w:lang w:val="en-GB"/>
        </w:rPr>
        <w:t>fic Council Sessional Committee</w:t>
      </w:r>
      <w:r w:rsidR="005D6E4C" w:rsidRPr="005D6E4C">
        <w:rPr>
          <w:rFonts w:cs="Arial"/>
          <w:sz w:val="22"/>
          <w:szCs w:val="22"/>
          <w:lang w:val="en-GB"/>
        </w:rPr>
        <w:t xml:space="preserve"> </w:t>
      </w:r>
      <w:r w:rsidR="002F364A">
        <w:rPr>
          <w:rFonts w:cs="Arial"/>
          <w:sz w:val="22"/>
          <w:szCs w:val="22"/>
          <w:lang w:val="en-GB"/>
        </w:rPr>
        <w:t xml:space="preserve">and the </w:t>
      </w:r>
      <w:r w:rsidR="005D6E4C" w:rsidRPr="005D6E4C">
        <w:rPr>
          <w:rFonts w:cs="Arial"/>
          <w:sz w:val="22"/>
          <w:szCs w:val="22"/>
          <w:lang w:val="en-GB"/>
        </w:rPr>
        <w:t>Conference of Parties at its 13</w:t>
      </w:r>
      <w:r w:rsidR="007910DD" w:rsidRPr="00291331">
        <w:rPr>
          <w:rFonts w:cs="Arial"/>
          <w:sz w:val="22"/>
          <w:szCs w:val="22"/>
          <w:vertAlign w:val="superscript"/>
          <w:lang w:val="en-GB"/>
        </w:rPr>
        <w:t>th</w:t>
      </w:r>
      <w:r w:rsidR="00D94D78">
        <w:rPr>
          <w:rFonts w:cs="Arial"/>
          <w:sz w:val="22"/>
          <w:szCs w:val="22"/>
          <w:lang w:val="en-GB"/>
        </w:rPr>
        <w:t xml:space="preserve"> </w:t>
      </w:r>
      <w:r w:rsidR="007910DD" w:rsidRPr="005D6E4C">
        <w:rPr>
          <w:rFonts w:cs="Arial"/>
          <w:sz w:val="22"/>
          <w:szCs w:val="22"/>
          <w:lang w:val="en-GB"/>
        </w:rPr>
        <w:t>meeting on t</w:t>
      </w:r>
      <w:r w:rsidR="002F364A">
        <w:rPr>
          <w:rFonts w:cs="Arial"/>
          <w:sz w:val="22"/>
          <w:szCs w:val="22"/>
          <w:lang w:val="en-GB"/>
        </w:rPr>
        <w:t>he progress in implementing these</w:t>
      </w:r>
      <w:r w:rsidR="007910DD" w:rsidRPr="005D6E4C">
        <w:rPr>
          <w:rFonts w:cs="Arial"/>
          <w:sz w:val="22"/>
          <w:szCs w:val="22"/>
          <w:lang w:val="en-GB"/>
        </w:rPr>
        <w:t xml:space="preserve"> decision</w:t>
      </w:r>
      <w:r w:rsidR="002F364A">
        <w:rPr>
          <w:rFonts w:cs="Arial"/>
          <w:sz w:val="22"/>
          <w:szCs w:val="22"/>
          <w:lang w:val="en-GB"/>
        </w:rPr>
        <w:t>s</w:t>
      </w:r>
      <w:r w:rsidR="00347546">
        <w:rPr>
          <w:rFonts w:cs="Arial"/>
          <w:sz w:val="22"/>
          <w:szCs w:val="22"/>
          <w:lang w:val="en-GB"/>
        </w:rPr>
        <w:t>.</w:t>
      </w:r>
    </w:p>
    <w:p w14:paraId="12B8470E" w14:textId="0919D50E" w:rsidR="007910DD" w:rsidRPr="005D6E4C" w:rsidRDefault="00347546" w:rsidP="00502657">
      <w:pPr>
        <w:jc w:val="right"/>
        <w:rPr>
          <w:rFonts w:cs="Arial"/>
          <w:sz w:val="22"/>
          <w:szCs w:val="22"/>
          <w:lang w:val="en-GB"/>
        </w:rPr>
      </w:pPr>
      <w:r w:rsidRPr="00F803B0">
        <w:rPr>
          <w:rFonts w:cs="Arial"/>
          <w:b/>
          <w:caps/>
          <w:sz w:val="22"/>
          <w:szCs w:val="22"/>
          <w:lang w:val="en-GB"/>
        </w:rPr>
        <w:lastRenderedPageBreak/>
        <w:t xml:space="preserve">Annex </w:t>
      </w:r>
      <w:r>
        <w:rPr>
          <w:rFonts w:cs="Arial"/>
          <w:b/>
          <w:caps/>
          <w:sz w:val="22"/>
          <w:szCs w:val="22"/>
          <w:lang w:val="en-GB"/>
        </w:rPr>
        <w:t>3</w:t>
      </w:r>
    </w:p>
    <w:p w14:paraId="646F2068" w14:textId="72A04C4A" w:rsidR="007910DD" w:rsidRPr="00CD0FE9" w:rsidRDefault="007910DD" w:rsidP="00B87172">
      <w:pPr>
        <w:tabs>
          <w:tab w:val="left" w:pos="1020"/>
        </w:tabs>
        <w:jc w:val="both"/>
        <w:rPr>
          <w:rFonts w:cs="Arial"/>
          <w:sz w:val="22"/>
          <w:szCs w:val="22"/>
          <w:lang w:val="en-GB"/>
        </w:rPr>
      </w:pPr>
    </w:p>
    <w:p w14:paraId="453763B6" w14:textId="77777777" w:rsidR="00347546" w:rsidRPr="00347546" w:rsidRDefault="00347546" w:rsidP="00093F20">
      <w:pPr>
        <w:pStyle w:val="Heading2"/>
        <w:ind w:right="-367"/>
        <w:jc w:val="center"/>
        <w:rPr>
          <w:rFonts w:cs="Arial"/>
          <w:sz w:val="22"/>
          <w:szCs w:val="22"/>
          <w:lang w:val="en-GB"/>
        </w:rPr>
      </w:pPr>
      <w:r w:rsidRPr="00347546">
        <w:rPr>
          <w:rFonts w:cs="Arial"/>
          <w:sz w:val="22"/>
          <w:szCs w:val="22"/>
          <w:lang w:val="en-GB"/>
        </w:rPr>
        <w:t>DRAFT TERMS OF REFERENCE OF THE LEAD TASK FORCE</w:t>
      </w:r>
    </w:p>
    <w:p w14:paraId="78F9275D" w14:textId="77777777" w:rsidR="00347546" w:rsidRPr="00347546" w:rsidRDefault="00347546" w:rsidP="00B87172">
      <w:pPr>
        <w:pStyle w:val="Heading2"/>
        <w:ind w:left="-90" w:right="-367"/>
        <w:jc w:val="center"/>
        <w:rPr>
          <w:rFonts w:cs="Arial"/>
          <w:sz w:val="22"/>
          <w:szCs w:val="22"/>
          <w:lang w:val="en-GB"/>
        </w:rPr>
      </w:pPr>
    </w:p>
    <w:p w14:paraId="09680A5B" w14:textId="468ABBE7" w:rsidR="00347546" w:rsidRPr="00347546" w:rsidRDefault="00347546" w:rsidP="00093F20">
      <w:pPr>
        <w:pStyle w:val="Heading2"/>
        <w:ind w:right="-138"/>
        <w:jc w:val="center"/>
        <w:rPr>
          <w:rFonts w:cs="Arial"/>
          <w:b w:val="0"/>
          <w:sz w:val="22"/>
          <w:szCs w:val="22"/>
          <w:lang w:val="en-GB"/>
        </w:rPr>
      </w:pPr>
      <w:r w:rsidRPr="00347546">
        <w:rPr>
          <w:rFonts w:cs="Arial"/>
          <w:sz w:val="22"/>
          <w:szCs w:val="22"/>
          <w:lang w:val="en-GB"/>
        </w:rPr>
        <w:t>A SUB-GROUP OPERATING UNDER THE PREVENTING POISONING WORKING GROUP</w:t>
      </w:r>
      <w:r w:rsidR="00D94D78" w:rsidRPr="00D94D78">
        <w:rPr>
          <w:rFonts w:cs="Arial"/>
          <w:sz w:val="22"/>
          <w:szCs w:val="22"/>
          <w:lang w:val="en-GB"/>
        </w:rPr>
        <w:t xml:space="preserve"> </w:t>
      </w:r>
      <w:r w:rsidR="00D94D78">
        <w:rPr>
          <w:rFonts w:cs="Arial"/>
          <w:sz w:val="22"/>
          <w:szCs w:val="22"/>
          <w:lang w:val="en-GB"/>
        </w:rPr>
        <w:t xml:space="preserve">OF </w:t>
      </w:r>
      <w:r w:rsidR="00D94D78" w:rsidRPr="00347546">
        <w:rPr>
          <w:rFonts w:cs="Arial"/>
          <w:sz w:val="22"/>
          <w:szCs w:val="22"/>
          <w:lang w:val="en-GB"/>
        </w:rPr>
        <w:t>CMS</w:t>
      </w:r>
    </w:p>
    <w:p w14:paraId="163B213B" w14:textId="7267A67F" w:rsidR="0079075D" w:rsidRDefault="0079075D" w:rsidP="00B87172">
      <w:pPr>
        <w:pStyle w:val="Heading2"/>
        <w:keepNext w:val="0"/>
        <w:ind w:left="-90" w:right="-367"/>
        <w:jc w:val="both"/>
        <w:rPr>
          <w:rFonts w:cs="Arial"/>
          <w:sz w:val="22"/>
          <w:szCs w:val="22"/>
          <w:lang w:val="en-GB"/>
        </w:rPr>
      </w:pPr>
    </w:p>
    <w:p w14:paraId="39E180AC" w14:textId="77777777" w:rsidR="00B87172" w:rsidRDefault="00B87172" w:rsidP="00B87172">
      <w:pPr>
        <w:jc w:val="both"/>
        <w:rPr>
          <w:b/>
          <w:bCs/>
          <w:sz w:val="22"/>
          <w:szCs w:val="22"/>
          <w:lang w:val="en-GB"/>
        </w:rPr>
      </w:pPr>
    </w:p>
    <w:p w14:paraId="75ABB22D" w14:textId="77777777" w:rsidR="00B54A37" w:rsidRPr="00B54A37" w:rsidRDefault="00B54A37" w:rsidP="00B54A37">
      <w:pPr>
        <w:jc w:val="both"/>
        <w:rPr>
          <w:b/>
          <w:bCs/>
          <w:sz w:val="22"/>
          <w:szCs w:val="22"/>
          <w:lang w:val="en-GB"/>
        </w:rPr>
      </w:pPr>
      <w:r w:rsidRPr="00B54A37">
        <w:rPr>
          <w:b/>
          <w:bCs/>
          <w:sz w:val="22"/>
          <w:szCs w:val="22"/>
          <w:lang w:val="en-GB"/>
        </w:rPr>
        <w:t xml:space="preserve">1. Background and purpose </w:t>
      </w:r>
    </w:p>
    <w:p w14:paraId="56DF56CA" w14:textId="77777777" w:rsidR="00B54A37" w:rsidRPr="00B54A37" w:rsidRDefault="00B54A37" w:rsidP="00B54A37">
      <w:pPr>
        <w:jc w:val="both"/>
        <w:rPr>
          <w:sz w:val="22"/>
          <w:szCs w:val="22"/>
          <w:lang w:val="en-GB"/>
        </w:rPr>
      </w:pPr>
    </w:p>
    <w:p w14:paraId="511179B2" w14:textId="2F35912F" w:rsidR="00B54A37" w:rsidRPr="00B54A37" w:rsidRDefault="00B54A37" w:rsidP="00B54A37">
      <w:pPr>
        <w:jc w:val="both"/>
        <w:rPr>
          <w:sz w:val="22"/>
          <w:szCs w:val="22"/>
          <w:lang w:val="en-GB"/>
        </w:rPr>
      </w:pPr>
      <w:r w:rsidRPr="00B54A37">
        <w:rPr>
          <w:sz w:val="22"/>
          <w:szCs w:val="22"/>
          <w:lang w:val="en-GB"/>
        </w:rPr>
        <w:t>The need for the Lead Task Force was identified by CMS COP 11 and proposed in the Terms of Reference of the Preventing Poisoning Working Group as a thematic sub-group (Annex to CMS Resolution 11.15</w:t>
      </w:r>
      <w:r w:rsidRPr="00B54A37">
        <w:rPr>
          <w:sz w:val="22"/>
          <w:szCs w:val="22"/>
          <w:vertAlign w:val="superscript"/>
          <w:lang w:val="en-GB"/>
        </w:rPr>
        <w:footnoteReference w:id="2"/>
      </w:r>
      <w:r w:rsidRPr="00B54A37">
        <w:rPr>
          <w:sz w:val="22"/>
          <w:szCs w:val="22"/>
          <w:lang w:val="en-GB"/>
        </w:rPr>
        <w:t>)</w:t>
      </w:r>
      <w:r w:rsidR="00291331">
        <w:rPr>
          <w:sz w:val="22"/>
          <w:szCs w:val="22"/>
          <w:lang w:val="en-GB"/>
        </w:rPr>
        <w:t>. The Task Force is foreseen</w:t>
      </w:r>
      <w:r w:rsidRPr="00B54A37">
        <w:rPr>
          <w:sz w:val="22"/>
          <w:szCs w:val="22"/>
          <w:lang w:val="en-GB"/>
        </w:rPr>
        <w:t xml:space="preserve"> as a means by which to take forward implementation of Resolution 11.15 Preventing Poisoning of Migratory Birds and the adopted Guidelines to Prevent the Risk of Poisoning to Migratory Birds</w:t>
      </w:r>
      <w:r w:rsidRPr="00B54A37">
        <w:rPr>
          <w:sz w:val="22"/>
          <w:szCs w:val="22"/>
          <w:vertAlign w:val="superscript"/>
          <w:lang w:val="en-GB"/>
        </w:rPr>
        <w:footnoteReference w:id="3"/>
      </w:r>
      <w:r w:rsidRPr="00B54A37">
        <w:rPr>
          <w:sz w:val="22"/>
          <w:szCs w:val="22"/>
          <w:lang w:val="en-GB"/>
        </w:rPr>
        <w:t xml:space="preserve"> (hereafter: “the Guidelines”</w:t>
      </w:r>
      <w:r w:rsidR="00D94D78">
        <w:rPr>
          <w:sz w:val="22"/>
          <w:szCs w:val="22"/>
          <w:lang w:val="en-GB"/>
        </w:rPr>
        <w:t>)</w:t>
      </w:r>
      <w:r w:rsidR="00EF520B">
        <w:rPr>
          <w:sz w:val="22"/>
          <w:szCs w:val="22"/>
          <w:lang w:val="en-GB"/>
        </w:rPr>
        <w:t>. The Guidelines</w:t>
      </w:r>
      <w:r w:rsidR="00D94D78">
        <w:rPr>
          <w:sz w:val="22"/>
          <w:szCs w:val="22"/>
          <w:lang w:val="en-GB"/>
        </w:rPr>
        <w:t xml:space="preserve"> were </w:t>
      </w:r>
      <w:r w:rsidR="00EF520B">
        <w:rPr>
          <w:sz w:val="22"/>
          <w:szCs w:val="22"/>
          <w:lang w:val="en-GB"/>
        </w:rPr>
        <w:t xml:space="preserve">originally </w:t>
      </w:r>
      <w:r w:rsidR="00D94D78">
        <w:rPr>
          <w:sz w:val="22"/>
          <w:szCs w:val="22"/>
          <w:lang w:val="en-GB"/>
        </w:rPr>
        <w:t>published as</w:t>
      </w:r>
      <w:r w:rsidRPr="00B54A37">
        <w:rPr>
          <w:sz w:val="22"/>
          <w:szCs w:val="22"/>
          <w:lang w:val="en-GB"/>
        </w:rPr>
        <w:t xml:space="preserve"> CMS/COP11/Doc.23.1.2/Annex 2</w:t>
      </w:r>
      <w:r w:rsidR="00AC5BA3">
        <w:rPr>
          <w:sz w:val="22"/>
          <w:szCs w:val="22"/>
          <w:lang w:val="en-GB"/>
        </w:rPr>
        <w:t>. The purpose is to</w:t>
      </w:r>
      <w:r w:rsidRPr="00B54A37">
        <w:rPr>
          <w:sz w:val="22"/>
          <w:szCs w:val="22"/>
          <w:lang w:val="en-GB"/>
        </w:rPr>
        <w:t xml:space="preserve"> minimi</w:t>
      </w:r>
      <w:r w:rsidR="00AC5BA3">
        <w:rPr>
          <w:sz w:val="22"/>
          <w:szCs w:val="22"/>
          <w:lang w:val="en-GB"/>
        </w:rPr>
        <w:t>ze</w:t>
      </w:r>
      <w:r w:rsidRPr="00B54A37">
        <w:rPr>
          <w:sz w:val="22"/>
          <w:szCs w:val="22"/>
          <w:lang w:val="en-GB"/>
        </w:rPr>
        <w:t xml:space="preserve"> poisoning of migratory </w:t>
      </w:r>
      <w:r w:rsidR="00AC5BA3">
        <w:rPr>
          <w:sz w:val="22"/>
          <w:szCs w:val="22"/>
          <w:lang w:val="en-GB"/>
        </w:rPr>
        <w:t>sp</w:t>
      </w:r>
      <w:r w:rsidRPr="00B54A37">
        <w:rPr>
          <w:sz w:val="22"/>
          <w:szCs w:val="22"/>
          <w:lang w:val="en-GB"/>
        </w:rPr>
        <w:t xml:space="preserve">ecies from environmental sources of lead </w:t>
      </w:r>
      <w:r w:rsidRPr="00B54A37">
        <w:rPr>
          <w:i/>
          <w:sz w:val="22"/>
          <w:szCs w:val="22"/>
          <w:lang w:val="en-GB"/>
        </w:rPr>
        <w:t>inter alia</w:t>
      </w:r>
      <w:r w:rsidRPr="00B54A37">
        <w:rPr>
          <w:sz w:val="22"/>
          <w:szCs w:val="22"/>
          <w:lang w:val="en-GB"/>
        </w:rPr>
        <w:t xml:space="preserve"> ammunition and fishing weights, recogni</w:t>
      </w:r>
      <w:r w:rsidR="00D94D78">
        <w:rPr>
          <w:sz w:val="22"/>
          <w:szCs w:val="22"/>
          <w:lang w:val="en-GB"/>
        </w:rPr>
        <w:t>z</w:t>
      </w:r>
      <w:r w:rsidRPr="00B54A37">
        <w:rPr>
          <w:sz w:val="22"/>
          <w:szCs w:val="22"/>
          <w:lang w:val="en-GB"/>
        </w:rPr>
        <w:t>ing the importance of working with relevant stakeholders.</w:t>
      </w:r>
    </w:p>
    <w:p w14:paraId="2676743D" w14:textId="77777777" w:rsidR="00B54A37" w:rsidRPr="00B54A37" w:rsidRDefault="00B54A37" w:rsidP="00B54A37">
      <w:pPr>
        <w:jc w:val="both"/>
        <w:rPr>
          <w:sz w:val="22"/>
          <w:szCs w:val="22"/>
          <w:lang w:val="en-GB"/>
        </w:rPr>
      </w:pPr>
    </w:p>
    <w:p w14:paraId="29560215" w14:textId="77777777" w:rsidR="00B54A37" w:rsidRPr="00B54A37" w:rsidRDefault="00B54A37" w:rsidP="00B54A37">
      <w:pPr>
        <w:jc w:val="both"/>
        <w:rPr>
          <w:sz w:val="22"/>
          <w:szCs w:val="22"/>
          <w:lang w:val="en-GB"/>
        </w:rPr>
      </w:pPr>
      <w:r w:rsidRPr="00B54A37">
        <w:rPr>
          <w:sz w:val="22"/>
          <w:szCs w:val="22"/>
          <w:lang w:val="en-GB"/>
        </w:rPr>
        <w:t>The value of the Lead Task Force was subsequently highlighted in the lead poisoning side event at AEWA MOP6.</w:t>
      </w:r>
    </w:p>
    <w:p w14:paraId="639AA2C3" w14:textId="2B6C78F3" w:rsidR="00B54A37" w:rsidRDefault="00B54A37" w:rsidP="00B54A37">
      <w:pPr>
        <w:jc w:val="both"/>
        <w:rPr>
          <w:sz w:val="22"/>
          <w:szCs w:val="22"/>
          <w:lang w:val="en-GB"/>
        </w:rPr>
      </w:pPr>
    </w:p>
    <w:p w14:paraId="7B68C1BD" w14:textId="77777777" w:rsidR="00847178" w:rsidRPr="00B54A37" w:rsidRDefault="00847178" w:rsidP="00B54A37">
      <w:pPr>
        <w:jc w:val="both"/>
        <w:rPr>
          <w:sz w:val="22"/>
          <w:szCs w:val="22"/>
          <w:lang w:val="en-GB"/>
        </w:rPr>
      </w:pPr>
    </w:p>
    <w:p w14:paraId="3E630974" w14:textId="77777777" w:rsidR="00B54A37" w:rsidRPr="00B54A37" w:rsidRDefault="00B54A37" w:rsidP="00B54A37">
      <w:pPr>
        <w:jc w:val="both"/>
        <w:rPr>
          <w:b/>
          <w:bCs/>
          <w:sz w:val="22"/>
          <w:szCs w:val="22"/>
          <w:lang w:val="en-GB"/>
        </w:rPr>
      </w:pPr>
      <w:r w:rsidRPr="00B54A37">
        <w:rPr>
          <w:b/>
          <w:bCs/>
          <w:sz w:val="22"/>
          <w:szCs w:val="22"/>
          <w:lang w:val="en-GB"/>
        </w:rPr>
        <w:t xml:space="preserve">2. Role and scope </w:t>
      </w:r>
    </w:p>
    <w:p w14:paraId="786E6F38" w14:textId="77777777" w:rsidR="00B54A37" w:rsidRPr="00B54A37" w:rsidRDefault="00B54A37" w:rsidP="00B54A37">
      <w:pPr>
        <w:jc w:val="both"/>
        <w:rPr>
          <w:sz w:val="22"/>
          <w:szCs w:val="22"/>
          <w:lang w:val="en-GB"/>
        </w:rPr>
      </w:pPr>
    </w:p>
    <w:p w14:paraId="3FADAD82" w14:textId="19426367" w:rsidR="00B54A37" w:rsidRPr="00B54A37" w:rsidRDefault="00B54A37" w:rsidP="00B54A37">
      <w:pPr>
        <w:jc w:val="both"/>
        <w:rPr>
          <w:sz w:val="22"/>
          <w:szCs w:val="22"/>
          <w:lang w:val="en-GB"/>
        </w:rPr>
      </w:pPr>
      <w:r w:rsidRPr="00B54A37">
        <w:rPr>
          <w:sz w:val="22"/>
          <w:szCs w:val="22"/>
          <w:lang w:val="en-GB"/>
        </w:rPr>
        <w:t>The role of the Lead Task Force is to facilitate concerted efforts, knowledge and information sharing, actions and procedures including communication, education and public awareness raising to minimi</w:t>
      </w:r>
      <w:r w:rsidR="00D94D78">
        <w:rPr>
          <w:sz w:val="22"/>
          <w:szCs w:val="22"/>
          <w:lang w:val="en-GB"/>
        </w:rPr>
        <w:t>z</w:t>
      </w:r>
      <w:r w:rsidRPr="00B54A37">
        <w:rPr>
          <w:sz w:val="22"/>
          <w:szCs w:val="22"/>
          <w:lang w:val="en-GB"/>
        </w:rPr>
        <w:t>e poisoning of migratory birds from anthropogenic environmental sources of lead namely ammunition and fishing weights and also those identified in the Guidelines: leaded paint, discarded lead and that from industrial mining and smelting processes. The Task Force will address as a priority the issue of lead ammunition.</w:t>
      </w:r>
    </w:p>
    <w:p w14:paraId="04E618F1" w14:textId="77777777" w:rsidR="00B54A37" w:rsidRPr="00B54A37" w:rsidRDefault="00B54A37" w:rsidP="00B54A37">
      <w:pPr>
        <w:jc w:val="both"/>
        <w:rPr>
          <w:sz w:val="22"/>
          <w:szCs w:val="22"/>
          <w:lang w:val="en-GB"/>
        </w:rPr>
      </w:pPr>
    </w:p>
    <w:p w14:paraId="0A577852" w14:textId="1EA4CA60" w:rsidR="00B54A37" w:rsidRPr="00B54A37" w:rsidRDefault="00B54A37" w:rsidP="00B54A37">
      <w:pPr>
        <w:jc w:val="both"/>
        <w:rPr>
          <w:sz w:val="22"/>
          <w:szCs w:val="22"/>
          <w:lang w:val="en-GB"/>
        </w:rPr>
      </w:pPr>
      <w:r w:rsidRPr="00B54A37">
        <w:rPr>
          <w:sz w:val="22"/>
          <w:szCs w:val="22"/>
          <w:lang w:val="en-GB"/>
        </w:rPr>
        <w:t>Its global geographical scope reflects that of the Preventing Poisoning Working Group</w:t>
      </w:r>
      <w:r w:rsidR="00400F69">
        <w:rPr>
          <w:sz w:val="22"/>
          <w:szCs w:val="22"/>
          <w:lang w:val="en-GB"/>
        </w:rPr>
        <w:t>. H</w:t>
      </w:r>
      <w:r w:rsidRPr="00B54A37">
        <w:rPr>
          <w:sz w:val="22"/>
          <w:szCs w:val="22"/>
          <w:lang w:val="en-GB"/>
        </w:rPr>
        <w:t xml:space="preserve">owever, regional approaches may be used as appropriate e.g. an African Eurasian focused group may work regionally and provide lessons learned to other regions and </w:t>
      </w:r>
      <w:r w:rsidRPr="00B54A37">
        <w:rPr>
          <w:i/>
          <w:sz w:val="22"/>
          <w:szCs w:val="22"/>
          <w:lang w:val="en-GB"/>
        </w:rPr>
        <w:t>vice versa</w:t>
      </w:r>
      <w:r w:rsidRPr="00B54A37">
        <w:rPr>
          <w:sz w:val="22"/>
          <w:szCs w:val="22"/>
          <w:lang w:val="en-GB"/>
        </w:rPr>
        <w:t xml:space="preserve">.  </w:t>
      </w:r>
    </w:p>
    <w:p w14:paraId="58AFA00E" w14:textId="17F7E2A3" w:rsidR="00B54A37" w:rsidRDefault="00B54A37" w:rsidP="00B54A37">
      <w:pPr>
        <w:jc w:val="both"/>
        <w:rPr>
          <w:sz w:val="22"/>
          <w:szCs w:val="22"/>
          <w:lang w:val="en-GB"/>
        </w:rPr>
      </w:pPr>
    </w:p>
    <w:p w14:paraId="1BBE4AA7" w14:textId="77777777" w:rsidR="00847178" w:rsidRPr="00B54A37" w:rsidRDefault="00847178" w:rsidP="00B54A37">
      <w:pPr>
        <w:jc w:val="both"/>
        <w:rPr>
          <w:sz w:val="22"/>
          <w:szCs w:val="22"/>
          <w:lang w:val="en-GB"/>
        </w:rPr>
      </w:pPr>
    </w:p>
    <w:p w14:paraId="649C10C0" w14:textId="77777777" w:rsidR="00B54A37" w:rsidRPr="00B54A37" w:rsidRDefault="00B54A37" w:rsidP="00B54A37">
      <w:pPr>
        <w:jc w:val="both"/>
        <w:rPr>
          <w:b/>
          <w:bCs/>
          <w:sz w:val="22"/>
          <w:szCs w:val="22"/>
          <w:lang w:val="en-GB"/>
        </w:rPr>
      </w:pPr>
      <w:r w:rsidRPr="00B54A37">
        <w:rPr>
          <w:b/>
          <w:bCs/>
          <w:sz w:val="22"/>
          <w:szCs w:val="22"/>
          <w:lang w:val="en-GB"/>
        </w:rPr>
        <w:t xml:space="preserve">3. Remit </w:t>
      </w:r>
    </w:p>
    <w:p w14:paraId="523B8385" w14:textId="77777777" w:rsidR="00B54A37" w:rsidRPr="00B54A37" w:rsidRDefault="00B54A37" w:rsidP="00B54A37">
      <w:pPr>
        <w:jc w:val="both"/>
        <w:rPr>
          <w:sz w:val="22"/>
          <w:szCs w:val="22"/>
          <w:lang w:val="en-GB"/>
        </w:rPr>
      </w:pPr>
    </w:p>
    <w:p w14:paraId="50316320" w14:textId="77777777" w:rsidR="00B54A37" w:rsidRPr="00B54A37" w:rsidRDefault="00B54A37" w:rsidP="00B54A37">
      <w:pPr>
        <w:jc w:val="both"/>
        <w:rPr>
          <w:sz w:val="22"/>
          <w:szCs w:val="22"/>
          <w:lang w:val="en-GB"/>
        </w:rPr>
      </w:pPr>
      <w:r w:rsidRPr="00B54A37">
        <w:rPr>
          <w:sz w:val="22"/>
          <w:szCs w:val="22"/>
          <w:lang w:val="en-GB"/>
        </w:rPr>
        <w:t xml:space="preserve">In the context of Resolution 11.15 on Preventing Poisoning of Migratory Birds, the Task Force will: </w:t>
      </w:r>
    </w:p>
    <w:p w14:paraId="11B4AC5A" w14:textId="77777777" w:rsidR="00B54A37" w:rsidRPr="00B54A37" w:rsidRDefault="00B54A37" w:rsidP="00B54A37">
      <w:pPr>
        <w:jc w:val="both"/>
        <w:rPr>
          <w:b/>
          <w:bCs/>
          <w:sz w:val="22"/>
          <w:szCs w:val="22"/>
          <w:lang w:val="en-GB"/>
        </w:rPr>
      </w:pPr>
    </w:p>
    <w:p w14:paraId="5B44B77C" w14:textId="77777777" w:rsidR="00B54A37" w:rsidRPr="00B54A37" w:rsidRDefault="00B54A37" w:rsidP="00B54A37">
      <w:pPr>
        <w:jc w:val="both"/>
        <w:rPr>
          <w:bCs/>
          <w:sz w:val="22"/>
          <w:szCs w:val="22"/>
          <w:lang w:val="en-GB"/>
        </w:rPr>
      </w:pPr>
      <w:r w:rsidRPr="00B54A37">
        <w:rPr>
          <w:bCs/>
          <w:sz w:val="22"/>
          <w:szCs w:val="22"/>
          <w:lang w:val="en-GB"/>
        </w:rPr>
        <w:t xml:space="preserve">Support contracting Parties with the implementation of Resolution 11.15 and of the Guidelines </w:t>
      </w:r>
      <w:r w:rsidRPr="00B54A37">
        <w:rPr>
          <w:sz w:val="22"/>
          <w:szCs w:val="22"/>
          <w:lang w:val="en-GB"/>
        </w:rPr>
        <w:t>to Prevent the Risk of Poisoning to Migratory Birds</w:t>
      </w:r>
      <w:r w:rsidRPr="00B54A37">
        <w:rPr>
          <w:bCs/>
          <w:sz w:val="22"/>
          <w:szCs w:val="22"/>
          <w:lang w:val="en-GB"/>
        </w:rPr>
        <w:t xml:space="preserve"> as they relate to poisoning from lead ammunition and fishing weights, and other sources of lead</w:t>
      </w:r>
    </w:p>
    <w:p w14:paraId="763FF220" w14:textId="77777777" w:rsidR="00B54A37" w:rsidRPr="00B54A37" w:rsidRDefault="00B54A37" w:rsidP="00B54A37">
      <w:pPr>
        <w:jc w:val="both"/>
        <w:rPr>
          <w:sz w:val="22"/>
          <w:szCs w:val="22"/>
          <w:lang w:val="en-GB"/>
        </w:rPr>
      </w:pPr>
      <w:r w:rsidRPr="00B54A37">
        <w:rPr>
          <w:b/>
          <w:bCs/>
          <w:sz w:val="22"/>
          <w:szCs w:val="22"/>
          <w:lang w:val="en-GB"/>
        </w:rPr>
        <w:t xml:space="preserve"> </w:t>
      </w:r>
    </w:p>
    <w:p w14:paraId="0E38ACEA" w14:textId="77777777" w:rsidR="00B54A37" w:rsidRPr="00B54A37" w:rsidRDefault="00B54A37" w:rsidP="00B54A37">
      <w:pPr>
        <w:numPr>
          <w:ilvl w:val="0"/>
          <w:numId w:val="16"/>
        </w:numPr>
        <w:jc w:val="both"/>
        <w:rPr>
          <w:sz w:val="22"/>
          <w:szCs w:val="22"/>
          <w:lang w:val="en-GB"/>
        </w:rPr>
      </w:pPr>
      <w:r w:rsidRPr="00B54A37">
        <w:rPr>
          <w:sz w:val="22"/>
          <w:szCs w:val="22"/>
          <w:lang w:val="en-GB"/>
        </w:rPr>
        <w:t xml:space="preserve">Facilitate implementation of the Guidelines as they relate to lead poisoning as well as other relevant frameworks for action; </w:t>
      </w:r>
    </w:p>
    <w:p w14:paraId="2F4E4714" w14:textId="77777777" w:rsidR="00B54A37" w:rsidRPr="00B54A37" w:rsidRDefault="00B54A37" w:rsidP="00B54A37">
      <w:pPr>
        <w:jc w:val="both"/>
        <w:rPr>
          <w:sz w:val="22"/>
          <w:szCs w:val="22"/>
          <w:lang w:val="en-GB"/>
        </w:rPr>
      </w:pPr>
    </w:p>
    <w:p w14:paraId="3099209D" w14:textId="48C15FF3" w:rsidR="00B54A37" w:rsidRPr="007E0035" w:rsidRDefault="00B54A37" w:rsidP="00B54A37">
      <w:pPr>
        <w:numPr>
          <w:ilvl w:val="0"/>
          <w:numId w:val="16"/>
        </w:numPr>
        <w:jc w:val="both"/>
        <w:rPr>
          <w:sz w:val="22"/>
          <w:szCs w:val="22"/>
          <w:lang w:val="en-GB"/>
        </w:rPr>
      </w:pPr>
      <w:r w:rsidRPr="00B54A37">
        <w:rPr>
          <w:sz w:val="22"/>
          <w:szCs w:val="22"/>
          <w:lang w:val="en-GB"/>
        </w:rPr>
        <w:t>Determine a work plan at the outset and set and implement priorities for its work, including prioriti</w:t>
      </w:r>
      <w:r w:rsidR="00400F69">
        <w:rPr>
          <w:sz w:val="22"/>
          <w:szCs w:val="22"/>
          <w:lang w:val="en-GB"/>
        </w:rPr>
        <w:t>z</w:t>
      </w:r>
      <w:r w:rsidRPr="00B54A37">
        <w:rPr>
          <w:sz w:val="22"/>
          <w:szCs w:val="22"/>
          <w:lang w:val="en-GB"/>
        </w:rPr>
        <w:t xml:space="preserve">ing actions on different sources of lead; </w:t>
      </w:r>
    </w:p>
    <w:p w14:paraId="7D84EFDD" w14:textId="77777777" w:rsidR="00B54A37" w:rsidRPr="00B54A37" w:rsidRDefault="00B54A37" w:rsidP="00812023">
      <w:pPr>
        <w:widowControl/>
        <w:numPr>
          <w:ilvl w:val="0"/>
          <w:numId w:val="16"/>
        </w:numPr>
        <w:ind w:left="714" w:hanging="357"/>
        <w:jc w:val="both"/>
        <w:rPr>
          <w:sz w:val="22"/>
          <w:szCs w:val="22"/>
          <w:lang w:val="en-GB"/>
        </w:rPr>
      </w:pPr>
      <w:r w:rsidRPr="00B54A37">
        <w:rPr>
          <w:sz w:val="22"/>
          <w:szCs w:val="22"/>
          <w:lang w:val="en-GB"/>
        </w:rPr>
        <w:lastRenderedPageBreak/>
        <w:t xml:space="preserve">Keep the Guidelines, as they relate to lead actively under review in the light of developing research findings and other relevant information and report relevant developments to the CMS Scientific Council via the Preventing Poisoning Working Group; </w:t>
      </w:r>
    </w:p>
    <w:p w14:paraId="6FF2E067" w14:textId="77777777" w:rsidR="00B54A37" w:rsidRPr="00B54A37" w:rsidRDefault="00B54A37" w:rsidP="00B54A37">
      <w:pPr>
        <w:jc w:val="both"/>
        <w:rPr>
          <w:sz w:val="22"/>
          <w:szCs w:val="22"/>
          <w:lang w:val="en-GB"/>
        </w:rPr>
      </w:pPr>
    </w:p>
    <w:p w14:paraId="5397B7A4" w14:textId="5BB33685" w:rsidR="00B54A37" w:rsidRPr="00B54A37" w:rsidRDefault="00B54A37" w:rsidP="00B54A37">
      <w:pPr>
        <w:numPr>
          <w:ilvl w:val="0"/>
          <w:numId w:val="16"/>
        </w:numPr>
        <w:jc w:val="both"/>
        <w:rPr>
          <w:sz w:val="22"/>
          <w:szCs w:val="22"/>
          <w:lang w:val="en-GB"/>
        </w:rPr>
      </w:pPr>
      <w:r w:rsidRPr="00B54A37">
        <w:rPr>
          <w:sz w:val="22"/>
          <w:szCs w:val="22"/>
          <w:lang w:val="en-GB"/>
        </w:rPr>
        <w:t>Assist in resource mobili</w:t>
      </w:r>
      <w:r w:rsidR="00400F69">
        <w:rPr>
          <w:sz w:val="22"/>
          <w:szCs w:val="22"/>
          <w:lang w:val="en-GB"/>
        </w:rPr>
        <w:t>z</w:t>
      </w:r>
      <w:r w:rsidRPr="00B54A37">
        <w:rPr>
          <w:sz w:val="22"/>
          <w:szCs w:val="22"/>
          <w:lang w:val="en-GB"/>
        </w:rPr>
        <w:t xml:space="preserve">ation for priority actions; </w:t>
      </w:r>
    </w:p>
    <w:p w14:paraId="7E6D01E4" w14:textId="77777777" w:rsidR="00B54A37" w:rsidRPr="00B54A37" w:rsidRDefault="00B54A37" w:rsidP="00B54A37">
      <w:pPr>
        <w:jc w:val="both"/>
        <w:rPr>
          <w:sz w:val="22"/>
          <w:szCs w:val="22"/>
          <w:lang w:val="en-GB"/>
        </w:rPr>
      </w:pPr>
    </w:p>
    <w:p w14:paraId="36EE7693" w14:textId="77777777" w:rsidR="00B54A37" w:rsidRPr="00B54A37" w:rsidRDefault="00B54A37" w:rsidP="00B54A37">
      <w:pPr>
        <w:numPr>
          <w:ilvl w:val="0"/>
          <w:numId w:val="16"/>
        </w:numPr>
        <w:jc w:val="both"/>
        <w:rPr>
          <w:sz w:val="22"/>
          <w:szCs w:val="22"/>
          <w:lang w:val="en-GB"/>
        </w:rPr>
      </w:pPr>
      <w:r w:rsidRPr="00B54A37">
        <w:rPr>
          <w:sz w:val="22"/>
          <w:szCs w:val="22"/>
          <w:lang w:val="en-GB"/>
        </w:rPr>
        <w:t xml:space="preserve">Actively seek engagement from and with relevant industries, organizations and companies manufacturing lead ammunition or fishing weights; </w:t>
      </w:r>
    </w:p>
    <w:p w14:paraId="7547AADC" w14:textId="77777777" w:rsidR="00B54A37" w:rsidRPr="00B54A37" w:rsidRDefault="00B54A37" w:rsidP="00B54A37">
      <w:pPr>
        <w:jc w:val="both"/>
        <w:rPr>
          <w:sz w:val="22"/>
          <w:szCs w:val="22"/>
          <w:lang w:val="en-GB"/>
        </w:rPr>
      </w:pPr>
    </w:p>
    <w:p w14:paraId="5972A25F" w14:textId="77777777" w:rsidR="00B54A37" w:rsidRPr="00B54A37" w:rsidRDefault="00B54A37" w:rsidP="00B54A37">
      <w:pPr>
        <w:numPr>
          <w:ilvl w:val="0"/>
          <w:numId w:val="16"/>
        </w:numPr>
        <w:jc w:val="both"/>
        <w:rPr>
          <w:sz w:val="22"/>
          <w:szCs w:val="22"/>
          <w:lang w:val="en-GB"/>
        </w:rPr>
      </w:pPr>
      <w:r w:rsidRPr="00B54A37">
        <w:rPr>
          <w:sz w:val="22"/>
          <w:szCs w:val="22"/>
          <w:lang w:val="en-GB"/>
        </w:rPr>
        <w:t xml:space="preserve">Encourage the dissemination of the Guidelines, and other relevant resources as they relate to lead, widely within relevant networks, as well as to end-users and others; </w:t>
      </w:r>
    </w:p>
    <w:p w14:paraId="1DCBF872" w14:textId="77777777" w:rsidR="00B54A37" w:rsidRPr="00B54A37" w:rsidRDefault="00B54A37" w:rsidP="00B54A37">
      <w:pPr>
        <w:jc w:val="both"/>
        <w:rPr>
          <w:sz w:val="22"/>
          <w:szCs w:val="22"/>
          <w:lang w:val="en-GB"/>
        </w:rPr>
      </w:pPr>
    </w:p>
    <w:p w14:paraId="3506F067" w14:textId="77777777" w:rsidR="00B54A37" w:rsidRPr="00B54A37" w:rsidRDefault="00B54A37" w:rsidP="00B54A37">
      <w:pPr>
        <w:numPr>
          <w:ilvl w:val="0"/>
          <w:numId w:val="16"/>
        </w:numPr>
        <w:jc w:val="both"/>
        <w:rPr>
          <w:sz w:val="22"/>
          <w:szCs w:val="22"/>
          <w:lang w:val="en-GB"/>
        </w:rPr>
      </w:pPr>
      <w:r w:rsidRPr="00B54A37">
        <w:rPr>
          <w:sz w:val="22"/>
          <w:szCs w:val="22"/>
          <w:lang w:val="en-GB"/>
        </w:rPr>
        <w:t xml:space="preserve">Monitor the implementation of the relevant decisions and plans and their effectiveness and submit progress reports to the Preventing Poisoning Working Group; </w:t>
      </w:r>
    </w:p>
    <w:p w14:paraId="664161BA" w14:textId="77777777" w:rsidR="00B54A37" w:rsidRPr="00B54A37" w:rsidRDefault="00B54A37" w:rsidP="00B54A37">
      <w:pPr>
        <w:jc w:val="both"/>
        <w:rPr>
          <w:sz w:val="22"/>
          <w:szCs w:val="22"/>
          <w:lang w:val="en-GB"/>
        </w:rPr>
      </w:pPr>
    </w:p>
    <w:p w14:paraId="754F1341" w14:textId="77777777" w:rsidR="00B54A37" w:rsidRPr="00B54A37" w:rsidRDefault="00B54A37" w:rsidP="00B54A37">
      <w:pPr>
        <w:numPr>
          <w:ilvl w:val="0"/>
          <w:numId w:val="16"/>
        </w:numPr>
        <w:jc w:val="both"/>
        <w:rPr>
          <w:sz w:val="22"/>
          <w:szCs w:val="22"/>
          <w:lang w:val="en-GB"/>
        </w:rPr>
      </w:pPr>
      <w:r w:rsidRPr="00B54A37">
        <w:rPr>
          <w:sz w:val="22"/>
          <w:szCs w:val="22"/>
          <w:lang w:val="en-GB"/>
        </w:rPr>
        <w:t>Stimulate internal and external communication and exchange of information, alternatives, experience, best practice and know-how; and</w:t>
      </w:r>
    </w:p>
    <w:p w14:paraId="75A29A06" w14:textId="77777777" w:rsidR="00B54A37" w:rsidRPr="00B54A37" w:rsidRDefault="00B54A37" w:rsidP="00B54A37">
      <w:pPr>
        <w:jc w:val="both"/>
        <w:rPr>
          <w:sz w:val="22"/>
          <w:szCs w:val="22"/>
          <w:lang w:val="en-GB"/>
        </w:rPr>
      </w:pPr>
    </w:p>
    <w:p w14:paraId="79FBCA4B" w14:textId="77777777" w:rsidR="00B54A37" w:rsidRPr="00B54A37" w:rsidRDefault="00B54A37" w:rsidP="00B54A37">
      <w:pPr>
        <w:numPr>
          <w:ilvl w:val="0"/>
          <w:numId w:val="16"/>
        </w:numPr>
        <w:jc w:val="both"/>
        <w:rPr>
          <w:sz w:val="22"/>
          <w:szCs w:val="22"/>
          <w:lang w:val="en-GB"/>
        </w:rPr>
      </w:pPr>
      <w:r w:rsidRPr="00B54A37">
        <w:rPr>
          <w:sz w:val="22"/>
          <w:szCs w:val="22"/>
          <w:lang w:val="en-GB"/>
        </w:rPr>
        <w:t xml:space="preserve">Strengthen relevant regional and international networks.  </w:t>
      </w:r>
    </w:p>
    <w:p w14:paraId="4B8C91A9" w14:textId="77777777" w:rsidR="00B54A37" w:rsidRPr="00B54A37" w:rsidRDefault="00B54A37" w:rsidP="00B54A37">
      <w:pPr>
        <w:jc w:val="both"/>
        <w:rPr>
          <w:sz w:val="22"/>
          <w:szCs w:val="22"/>
          <w:lang w:val="en-GB"/>
        </w:rPr>
      </w:pPr>
    </w:p>
    <w:p w14:paraId="6ABCE851" w14:textId="5F2A64F8" w:rsidR="00B54A37" w:rsidRPr="00B54A37" w:rsidRDefault="00B54A37" w:rsidP="00B54A37">
      <w:pPr>
        <w:jc w:val="both"/>
        <w:rPr>
          <w:sz w:val="22"/>
          <w:szCs w:val="22"/>
          <w:lang w:val="en-GB"/>
        </w:rPr>
      </w:pPr>
      <w:r w:rsidRPr="00B54A37">
        <w:rPr>
          <w:sz w:val="22"/>
          <w:szCs w:val="22"/>
          <w:lang w:val="en-GB"/>
        </w:rPr>
        <w:t xml:space="preserve">The Task Force will be kept purposefully relatively small so as to be effective but through its work will be involved with extensive information exchange and communication with wider relevant stakeholders. </w:t>
      </w:r>
    </w:p>
    <w:p w14:paraId="6C296927" w14:textId="77777777" w:rsidR="00B54A37" w:rsidRPr="00B54A37" w:rsidRDefault="00B54A37" w:rsidP="00B54A37">
      <w:pPr>
        <w:jc w:val="both"/>
        <w:rPr>
          <w:sz w:val="22"/>
          <w:szCs w:val="22"/>
          <w:lang w:val="en-GB"/>
        </w:rPr>
      </w:pPr>
    </w:p>
    <w:p w14:paraId="0C79E384" w14:textId="77777777" w:rsidR="00847178" w:rsidRDefault="00847178" w:rsidP="00B54A37">
      <w:pPr>
        <w:jc w:val="both"/>
        <w:rPr>
          <w:b/>
          <w:bCs/>
          <w:sz w:val="22"/>
          <w:szCs w:val="22"/>
          <w:lang w:val="en-GB"/>
        </w:rPr>
      </w:pPr>
    </w:p>
    <w:p w14:paraId="0BB3F56E" w14:textId="0C17EA08" w:rsidR="00B54A37" w:rsidRPr="00B54A37" w:rsidRDefault="00B54A37" w:rsidP="00B54A37">
      <w:pPr>
        <w:jc w:val="both"/>
        <w:rPr>
          <w:b/>
          <w:bCs/>
          <w:sz w:val="22"/>
          <w:szCs w:val="22"/>
          <w:lang w:val="en-GB"/>
        </w:rPr>
      </w:pPr>
      <w:r w:rsidRPr="00B54A37">
        <w:rPr>
          <w:b/>
          <w:bCs/>
          <w:sz w:val="22"/>
          <w:szCs w:val="22"/>
          <w:lang w:val="en-GB"/>
        </w:rPr>
        <w:t xml:space="preserve">4. Membership </w:t>
      </w:r>
    </w:p>
    <w:p w14:paraId="11DB44F8" w14:textId="77777777" w:rsidR="00B54A37" w:rsidRPr="00B54A37" w:rsidRDefault="00B54A37" w:rsidP="00B54A37">
      <w:pPr>
        <w:jc w:val="both"/>
        <w:rPr>
          <w:sz w:val="22"/>
          <w:szCs w:val="22"/>
          <w:lang w:val="en-GB"/>
        </w:rPr>
      </w:pPr>
    </w:p>
    <w:p w14:paraId="23F1A6ED" w14:textId="6CCE0638" w:rsidR="00B54A37" w:rsidRPr="00B54A37" w:rsidRDefault="00B54A37" w:rsidP="00B54A37">
      <w:pPr>
        <w:jc w:val="both"/>
        <w:rPr>
          <w:sz w:val="22"/>
          <w:szCs w:val="22"/>
          <w:lang w:val="en-GB"/>
        </w:rPr>
      </w:pPr>
      <w:r w:rsidRPr="00B54A37">
        <w:rPr>
          <w:sz w:val="22"/>
          <w:szCs w:val="22"/>
          <w:lang w:val="en-GB"/>
        </w:rPr>
        <w:t xml:space="preserve">The Task Force will operate in the science-policy interphase and its membership will comprise, as a minimum, the Coordinator of the Preventing Poisoning Working Group, members of the participating MEAs, as well as academic institutions, NGOs, industry representatives, and other stakeholders, as appropriate. </w:t>
      </w:r>
      <w:r w:rsidR="007249BC">
        <w:rPr>
          <w:sz w:val="22"/>
          <w:szCs w:val="22"/>
          <w:lang w:val="en-GB"/>
        </w:rPr>
        <w:t xml:space="preserve">The Task Force will be open-ended for </w:t>
      </w:r>
      <w:r w:rsidR="007249BC" w:rsidRPr="00B54A37">
        <w:rPr>
          <w:sz w:val="22"/>
          <w:szCs w:val="22"/>
          <w:lang w:val="en-GB"/>
        </w:rPr>
        <w:t>CMS and AEWA Parties</w:t>
      </w:r>
      <w:r w:rsidR="007249BC">
        <w:rPr>
          <w:sz w:val="22"/>
          <w:szCs w:val="22"/>
          <w:lang w:val="en-GB"/>
        </w:rPr>
        <w:t>.</w:t>
      </w:r>
    </w:p>
    <w:p w14:paraId="089D9ADB" w14:textId="77777777" w:rsidR="00B54A37" w:rsidRPr="00B54A37" w:rsidRDefault="00B54A37" w:rsidP="00B54A37">
      <w:pPr>
        <w:jc w:val="both"/>
        <w:rPr>
          <w:sz w:val="22"/>
          <w:szCs w:val="22"/>
          <w:lang w:val="en-GB"/>
        </w:rPr>
      </w:pPr>
    </w:p>
    <w:p w14:paraId="214A8559" w14:textId="77777777" w:rsidR="00B54A37" w:rsidRPr="00B54A37" w:rsidRDefault="00B54A37" w:rsidP="00B54A37">
      <w:pPr>
        <w:jc w:val="both"/>
        <w:rPr>
          <w:sz w:val="22"/>
          <w:szCs w:val="22"/>
          <w:lang w:val="en-GB"/>
        </w:rPr>
      </w:pPr>
      <w:r w:rsidRPr="00B54A37">
        <w:rPr>
          <w:sz w:val="22"/>
          <w:szCs w:val="22"/>
          <w:lang w:val="en-GB"/>
        </w:rPr>
        <w:t xml:space="preserve">The following representatives will be invited to contribute to the Task Force: </w:t>
      </w:r>
    </w:p>
    <w:p w14:paraId="42EA6D3E" w14:textId="77777777" w:rsidR="00B54A37" w:rsidRPr="00B54A37" w:rsidRDefault="00B54A37" w:rsidP="00B54A37">
      <w:pPr>
        <w:jc w:val="both"/>
        <w:rPr>
          <w:sz w:val="22"/>
          <w:szCs w:val="22"/>
          <w:lang w:val="en-GB"/>
        </w:rPr>
      </w:pPr>
    </w:p>
    <w:p w14:paraId="366DA90F" w14:textId="77777777" w:rsidR="00B54A37" w:rsidRPr="00B54A37" w:rsidRDefault="00B54A37" w:rsidP="00B54A37">
      <w:pPr>
        <w:numPr>
          <w:ilvl w:val="0"/>
          <w:numId w:val="17"/>
        </w:numPr>
        <w:jc w:val="both"/>
        <w:rPr>
          <w:sz w:val="22"/>
          <w:szCs w:val="22"/>
          <w:lang w:val="en-GB"/>
        </w:rPr>
      </w:pPr>
      <w:r w:rsidRPr="00B54A37">
        <w:rPr>
          <w:sz w:val="22"/>
          <w:szCs w:val="22"/>
          <w:lang w:val="en-GB"/>
        </w:rPr>
        <w:t>A member of the CMS Scientific Council</w:t>
      </w:r>
    </w:p>
    <w:p w14:paraId="27FB6D82" w14:textId="77777777" w:rsidR="00B54A37" w:rsidRPr="00B54A37" w:rsidRDefault="00B54A37" w:rsidP="00B54A37">
      <w:pPr>
        <w:numPr>
          <w:ilvl w:val="0"/>
          <w:numId w:val="17"/>
        </w:numPr>
        <w:jc w:val="both"/>
        <w:rPr>
          <w:sz w:val="22"/>
          <w:szCs w:val="22"/>
          <w:lang w:val="en-GB"/>
        </w:rPr>
      </w:pPr>
      <w:r w:rsidRPr="00B54A37">
        <w:rPr>
          <w:sz w:val="22"/>
          <w:szCs w:val="22"/>
          <w:lang w:val="en-GB"/>
        </w:rPr>
        <w:t>A member of the AEWA Technical Committee</w:t>
      </w:r>
    </w:p>
    <w:p w14:paraId="73A4CB85" w14:textId="7E9861AD" w:rsidR="00B54A37" w:rsidRPr="00B54A37" w:rsidRDefault="00B54A37" w:rsidP="00B54A37">
      <w:pPr>
        <w:numPr>
          <w:ilvl w:val="0"/>
          <w:numId w:val="17"/>
        </w:numPr>
        <w:jc w:val="both"/>
        <w:rPr>
          <w:sz w:val="22"/>
          <w:szCs w:val="22"/>
          <w:lang w:val="en-GB"/>
        </w:rPr>
      </w:pPr>
      <w:r w:rsidRPr="00B54A37">
        <w:rPr>
          <w:sz w:val="22"/>
          <w:szCs w:val="22"/>
          <w:lang w:val="en-GB"/>
        </w:rPr>
        <w:t xml:space="preserve">A member of the Raptor </w:t>
      </w:r>
      <w:r w:rsidR="00400F69" w:rsidRPr="00B54A37">
        <w:rPr>
          <w:sz w:val="22"/>
          <w:szCs w:val="22"/>
          <w:lang w:val="en-GB"/>
        </w:rPr>
        <w:t>M</w:t>
      </w:r>
      <w:r w:rsidR="00400F69">
        <w:rPr>
          <w:sz w:val="22"/>
          <w:szCs w:val="22"/>
          <w:lang w:val="en-GB"/>
        </w:rPr>
        <w:t>O</w:t>
      </w:r>
      <w:r w:rsidR="00400F69" w:rsidRPr="00B54A37">
        <w:rPr>
          <w:sz w:val="22"/>
          <w:szCs w:val="22"/>
          <w:lang w:val="en-GB"/>
        </w:rPr>
        <w:t xml:space="preserve">U </w:t>
      </w:r>
      <w:r w:rsidRPr="00B54A37">
        <w:rPr>
          <w:sz w:val="22"/>
          <w:szCs w:val="22"/>
          <w:lang w:val="en-GB"/>
        </w:rPr>
        <w:t>Technical Advisory Group</w:t>
      </w:r>
    </w:p>
    <w:p w14:paraId="1420AF78" w14:textId="77777777" w:rsidR="00B54A37" w:rsidRPr="00B54A37" w:rsidRDefault="00B54A37" w:rsidP="00B54A37">
      <w:pPr>
        <w:numPr>
          <w:ilvl w:val="0"/>
          <w:numId w:val="17"/>
        </w:numPr>
        <w:jc w:val="both"/>
        <w:rPr>
          <w:sz w:val="22"/>
          <w:szCs w:val="22"/>
          <w:lang w:val="en-GB"/>
        </w:rPr>
      </w:pPr>
      <w:r w:rsidRPr="00B54A37">
        <w:rPr>
          <w:sz w:val="22"/>
          <w:szCs w:val="22"/>
          <w:lang w:val="en-GB"/>
        </w:rPr>
        <w:t>A representative of UNEP</w:t>
      </w:r>
    </w:p>
    <w:p w14:paraId="44F855B3" w14:textId="77777777" w:rsidR="00B54A37" w:rsidRPr="00B54A37" w:rsidRDefault="00B54A37" w:rsidP="00B54A37">
      <w:pPr>
        <w:numPr>
          <w:ilvl w:val="0"/>
          <w:numId w:val="17"/>
        </w:numPr>
        <w:jc w:val="both"/>
        <w:rPr>
          <w:sz w:val="22"/>
          <w:szCs w:val="22"/>
          <w:lang w:val="en-GB"/>
        </w:rPr>
      </w:pPr>
      <w:r w:rsidRPr="00B54A37">
        <w:rPr>
          <w:sz w:val="22"/>
          <w:szCs w:val="22"/>
          <w:lang w:val="en-GB"/>
        </w:rPr>
        <w:t>A representative of IUCN</w:t>
      </w:r>
    </w:p>
    <w:p w14:paraId="05FC9C55" w14:textId="77777777" w:rsidR="00B54A37" w:rsidRPr="00B54A37" w:rsidRDefault="00B54A37" w:rsidP="00B54A37">
      <w:pPr>
        <w:numPr>
          <w:ilvl w:val="0"/>
          <w:numId w:val="17"/>
        </w:numPr>
        <w:jc w:val="both"/>
        <w:rPr>
          <w:sz w:val="22"/>
          <w:szCs w:val="22"/>
          <w:lang w:val="en-GB"/>
        </w:rPr>
      </w:pPr>
      <w:r w:rsidRPr="00B54A37">
        <w:rPr>
          <w:sz w:val="22"/>
          <w:szCs w:val="22"/>
          <w:lang w:val="en-GB"/>
        </w:rPr>
        <w:t>A representative of an international NGO</w:t>
      </w:r>
    </w:p>
    <w:p w14:paraId="4706165C" w14:textId="77777777" w:rsidR="00B54A37" w:rsidRPr="00B54A37" w:rsidRDefault="00B54A37" w:rsidP="00B54A37">
      <w:pPr>
        <w:numPr>
          <w:ilvl w:val="0"/>
          <w:numId w:val="17"/>
        </w:numPr>
        <w:jc w:val="both"/>
        <w:rPr>
          <w:sz w:val="22"/>
          <w:szCs w:val="22"/>
          <w:lang w:val="en-GB"/>
        </w:rPr>
      </w:pPr>
      <w:r w:rsidRPr="00B54A37">
        <w:rPr>
          <w:sz w:val="22"/>
          <w:szCs w:val="22"/>
          <w:lang w:val="en-GB"/>
        </w:rPr>
        <w:t>An expert on soil remediation of polluted environments</w:t>
      </w:r>
    </w:p>
    <w:p w14:paraId="4F94AB13" w14:textId="77777777" w:rsidR="00B54A37" w:rsidRPr="00B54A37" w:rsidRDefault="00B54A37" w:rsidP="00B54A37">
      <w:pPr>
        <w:numPr>
          <w:ilvl w:val="0"/>
          <w:numId w:val="17"/>
        </w:numPr>
        <w:jc w:val="both"/>
        <w:rPr>
          <w:sz w:val="22"/>
          <w:szCs w:val="22"/>
          <w:lang w:val="en-GB"/>
        </w:rPr>
      </w:pPr>
      <w:r w:rsidRPr="00B54A37">
        <w:rPr>
          <w:sz w:val="22"/>
          <w:szCs w:val="22"/>
          <w:lang w:val="en-GB"/>
        </w:rPr>
        <w:t>A communication expert</w:t>
      </w:r>
    </w:p>
    <w:p w14:paraId="1573E813" w14:textId="77777777" w:rsidR="00B54A37" w:rsidRPr="00B54A37" w:rsidRDefault="00B54A37" w:rsidP="00B54A37">
      <w:pPr>
        <w:numPr>
          <w:ilvl w:val="0"/>
          <w:numId w:val="17"/>
        </w:numPr>
        <w:jc w:val="both"/>
        <w:rPr>
          <w:sz w:val="22"/>
          <w:szCs w:val="22"/>
          <w:lang w:val="en-GB"/>
        </w:rPr>
      </w:pPr>
      <w:r w:rsidRPr="00B54A37">
        <w:rPr>
          <w:sz w:val="22"/>
          <w:szCs w:val="22"/>
          <w:lang w:val="en-GB"/>
        </w:rPr>
        <w:t xml:space="preserve">A lead poisoning scientist/technical expert </w:t>
      </w:r>
    </w:p>
    <w:p w14:paraId="1A9AD129" w14:textId="77777777" w:rsidR="00B54A37" w:rsidRPr="00B54A37" w:rsidRDefault="00B54A37" w:rsidP="00B54A37">
      <w:pPr>
        <w:numPr>
          <w:ilvl w:val="0"/>
          <w:numId w:val="17"/>
        </w:numPr>
        <w:jc w:val="both"/>
        <w:rPr>
          <w:sz w:val="22"/>
          <w:szCs w:val="22"/>
          <w:lang w:val="en-GB"/>
        </w:rPr>
      </w:pPr>
      <w:r w:rsidRPr="00B54A37">
        <w:rPr>
          <w:sz w:val="22"/>
          <w:szCs w:val="22"/>
          <w:lang w:val="en-GB"/>
        </w:rPr>
        <w:t xml:space="preserve">An international hunting body representative </w:t>
      </w:r>
    </w:p>
    <w:p w14:paraId="4056C479" w14:textId="77777777" w:rsidR="00B54A37" w:rsidRPr="00B54A37" w:rsidRDefault="00B54A37" w:rsidP="00B54A37">
      <w:pPr>
        <w:numPr>
          <w:ilvl w:val="0"/>
          <w:numId w:val="17"/>
        </w:numPr>
        <w:jc w:val="both"/>
        <w:rPr>
          <w:sz w:val="22"/>
          <w:szCs w:val="22"/>
          <w:lang w:val="en-GB"/>
        </w:rPr>
      </w:pPr>
      <w:r w:rsidRPr="00B54A37">
        <w:rPr>
          <w:sz w:val="22"/>
          <w:szCs w:val="22"/>
          <w:lang w:val="en-GB"/>
        </w:rPr>
        <w:t>An ammunition manufacturing stakeholder</w:t>
      </w:r>
    </w:p>
    <w:p w14:paraId="5BBC20BC" w14:textId="77777777" w:rsidR="00B54A37" w:rsidRPr="00B54A37" w:rsidRDefault="00B54A37" w:rsidP="00B54A37">
      <w:pPr>
        <w:numPr>
          <w:ilvl w:val="0"/>
          <w:numId w:val="17"/>
        </w:numPr>
        <w:jc w:val="both"/>
        <w:rPr>
          <w:sz w:val="22"/>
          <w:szCs w:val="22"/>
          <w:lang w:val="en-GB"/>
        </w:rPr>
      </w:pPr>
      <w:r w:rsidRPr="00B54A37">
        <w:rPr>
          <w:sz w:val="22"/>
          <w:szCs w:val="22"/>
          <w:lang w:val="en-GB"/>
        </w:rPr>
        <w:t>A gun trade/manufacturing stakeholder</w:t>
      </w:r>
    </w:p>
    <w:p w14:paraId="5B40B0C6" w14:textId="77777777" w:rsidR="00B54A37" w:rsidRPr="00B54A37" w:rsidRDefault="00B54A37" w:rsidP="00B54A37">
      <w:pPr>
        <w:numPr>
          <w:ilvl w:val="0"/>
          <w:numId w:val="17"/>
        </w:numPr>
        <w:jc w:val="both"/>
        <w:rPr>
          <w:sz w:val="22"/>
          <w:szCs w:val="22"/>
          <w:lang w:val="en-GB"/>
        </w:rPr>
      </w:pPr>
      <w:r w:rsidRPr="00B54A37">
        <w:rPr>
          <w:sz w:val="22"/>
          <w:szCs w:val="22"/>
          <w:lang w:val="en-GB"/>
        </w:rPr>
        <w:t>A technical shooting/ballistic expert</w:t>
      </w:r>
    </w:p>
    <w:p w14:paraId="5BCA8C05" w14:textId="612FD9FD" w:rsidR="00B54A37" w:rsidRPr="00B54A37" w:rsidRDefault="00B54A37" w:rsidP="00B54A37">
      <w:pPr>
        <w:numPr>
          <w:ilvl w:val="0"/>
          <w:numId w:val="17"/>
        </w:numPr>
        <w:jc w:val="both"/>
        <w:rPr>
          <w:sz w:val="22"/>
          <w:szCs w:val="22"/>
          <w:lang w:val="en-GB"/>
        </w:rPr>
      </w:pPr>
      <w:r w:rsidRPr="00B54A37">
        <w:rPr>
          <w:sz w:val="22"/>
          <w:szCs w:val="22"/>
          <w:lang w:val="en-GB"/>
        </w:rPr>
        <w:t>Up to three invited experts on an ad hoc basis, as necessary and appropriate – noting that additional observers/experts could be asked to contribute to particular meetings or pieces of work as non-permanent members.</w:t>
      </w:r>
    </w:p>
    <w:p w14:paraId="046A91D5" w14:textId="77777777" w:rsidR="00B54A37" w:rsidRPr="00B54A37" w:rsidRDefault="00B54A37" w:rsidP="00B54A37">
      <w:pPr>
        <w:jc w:val="both"/>
        <w:rPr>
          <w:sz w:val="22"/>
          <w:szCs w:val="22"/>
          <w:lang w:val="en-GB"/>
        </w:rPr>
      </w:pPr>
    </w:p>
    <w:p w14:paraId="34463FBF" w14:textId="03BE7EDD" w:rsidR="00847178" w:rsidRDefault="00847178" w:rsidP="00B54A37">
      <w:pPr>
        <w:jc w:val="both"/>
        <w:rPr>
          <w:b/>
          <w:bCs/>
          <w:sz w:val="22"/>
          <w:szCs w:val="22"/>
          <w:lang w:val="en-GB"/>
        </w:rPr>
      </w:pPr>
    </w:p>
    <w:p w14:paraId="3E15A386" w14:textId="11357D67" w:rsidR="007E0035" w:rsidRDefault="007E0035" w:rsidP="00B54A37">
      <w:pPr>
        <w:jc w:val="both"/>
        <w:rPr>
          <w:b/>
          <w:bCs/>
          <w:sz w:val="22"/>
          <w:szCs w:val="22"/>
          <w:lang w:val="en-GB"/>
        </w:rPr>
      </w:pPr>
    </w:p>
    <w:p w14:paraId="4C18A2AD" w14:textId="212BFFF4" w:rsidR="007E0035" w:rsidRDefault="007E0035" w:rsidP="00B54A37">
      <w:pPr>
        <w:jc w:val="both"/>
        <w:rPr>
          <w:b/>
          <w:bCs/>
          <w:sz w:val="22"/>
          <w:szCs w:val="22"/>
          <w:lang w:val="en-GB"/>
        </w:rPr>
      </w:pPr>
    </w:p>
    <w:p w14:paraId="07694F15" w14:textId="11C456E5" w:rsidR="00B54A37" w:rsidRPr="00B54A37" w:rsidRDefault="00B54A37" w:rsidP="00B54A37">
      <w:pPr>
        <w:jc w:val="both"/>
        <w:rPr>
          <w:b/>
          <w:bCs/>
          <w:sz w:val="22"/>
          <w:szCs w:val="22"/>
          <w:lang w:val="en-GB"/>
        </w:rPr>
      </w:pPr>
      <w:r w:rsidRPr="00B54A37">
        <w:rPr>
          <w:b/>
          <w:bCs/>
          <w:sz w:val="22"/>
          <w:szCs w:val="22"/>
          <w:lang w:val="en-GB"/>
        </w:rPr>
        <w:lastRenderedPageBreak/>
        <w:t xml:space="preserve">5. Governance </w:t>
      </w:r>
    </w:p>
    <w:p w14:paraId="6E0B7CAB" w14:textId="77777777" w:rsidR="00B54A37" w:rsidRPr="00B54A37" w:rsidRDefault="00B54A37" w:rsidP="00B54A37">
      <w:pPr>
        <w:jc w:val="both"/>
        <w:rPr>
          <w:sz w:val="22"/>
          <w:szCs w:val="22"/>
          <w:lang w:val="en-GB"/>
        </w:rPr>
      </w:pPr>
    </w:p>
    <w:p w14:paraId="49BA941F" w14:textId="0B9E3225" w:rsidR="00B54A37" w:rsidRPr="00B54A37" w:rsidRDefault="00B54A37" w:rsidP="00B54A37">
      <w:pPr>
        <w:jc w:val="both"/>
        <w:rPr>
          <w:sz w:val="22"/>
          <w:szCs w:val="22"/>
          <w:lang w:val="en-GB"/>
        </w:rPr>
      </w:pPr>
      <w:r w:rsidRPr="00B54A37">
        <w:rPr>
          <w:sz w:val="22"/>
          <w:szCs w:val="22"/>
          <w:lang w:val="en-GB"/>
        </w:rPr>
        <w:t>The Task Force will elect a Chair and Vice</w:t>
      </w:r>
      <w:r w:rsidR="00400F69">
        <w:rPr>
          <w:sz w:val="22"/>
          <w:szCs w:val="22"/>
          <w:lang w:val="en-GB"/>
        </w:rPr>
        <w:t>-C</w:t>
      </w:r>
      <w:r w:rsidRPr="00B54A37">
        <w:rPr>
          <w:sz w:val="22"/>
          <w:szCs w:val="22"/>
          <w:lang w:val="en-GB"/>
        </w:rPr>
        <w:t xml:space="preserve">hair from amongst its members and will operate by seeking consensus among the group. The Task Force will report annually to CMS Scientific Council via the Preventing Poisoning Working Group Coordinator on its actions, outputs, membership and other related issues. </w:t>
      </w:r>
    </w:p>
    <w:p w14:paraId="15D14799" w14:textId="77777777" w:rsidR="00B54A37" w:rsidRPr="00B54A37" w:rsidRDefault="00B54A37" w:rsidP="00B54A37">
      <w:pPr>
        <w:jc w:val="both"/>
        <w:rPr>
          <w:b/>
          <w:bCs/>
          <w:sz w:val="22"/>
          <w:szCs w:val="22"/>
          <w:lang w:val="en-GB"/>
        </w:rPr>
      </w:pPr>
    </w:p>
    <w:p w14:paraId="038834ED" w14:textId="77777777" w:rsidR="00847178" w:rsidRDefault="00847178" w:rsidP="00B54A37">
      <w:pPr>
        <w:jc w:val="both"/>
        <w:rPr>
          <w:b/>
          <w:bCs/>
          <w:sz w:val="22"/>
          <w:szCs w:val="22"/>
          <w:lang w:val="en-GB"/>
        </w:rPr>
      </w:pPr>
    </w:p>
    <w:p w14:paraId="18B4865C" w14:textId="0F030FF7" w:rsidR="00B54A37" w:rsidRPr="00B54A37" w:rsidRDefault="00B54A37" w:rsidP="00B54A37">
      <w:pPr>
        <w:jc w:val="both"/>
        <w:rPr>
          <w:b/>
          <w:bCs/>
          <w:sz w:val="22"/>
          <w:szCs w:val="22"/>
          <w:lang w:val="en-GB"/>
        </w:rPr>
      </w:pPr>
      <w:r w:rsidRPr="00B54A37">
        <w:rPr>
          <w:b/>
          <w:bCs/>
          <w:sz w:val="22"/>
          <w:szCs w:val="22"/>
          <w:lang w:val="en-GB"/>
        </w:rPr>
        <w:t xml:space="preserve">6. Operation </w:t>
      </w:r>
    </w:p>
    <w:p w14:paraId="60933FBA" w14:textId="77777777" w:rsidR="00B54A37" w:rsidRPr="00B54A37" w:rsidRDefault="00B54A37" w:rsidP="00B54A37">
      <w:pPr>
        <w:jc w:val="both"/>
        <w:rPr>
          <w:sz w:val="22"/>
          <w:szCs w:val="22"/>
          <w:lang w:val="en-GB"/>
        </w:rPr>
      </w:pPr>
    </w:p>
    <w:p w14:paraId="0C00A747" w14:textId="77777777" w:rsidR="00B54A37" w:rsidRPr="00B54A37" w:rsidRDefault="00B54A37" w:rsidP="00B54A37">
      <w:pPr>
        <w:jc w:val="both"/>
        <w:rPr>
          <w:sz w:val="22"/>
          <w:szCs w:val="22"/>
          <w:lang w:val="en-GB"/>
        </w:rPr>
      </w:pPr>
      <w:r w:rsidRPr="00B54A37">
        <w:rPr>
          <w:sz w:val="22"/>
          <w:szCs w:val="22"/>
          <w:lang w:val="en-GB"/>
        </w:rPr>
        <w:t xml:space="preserve">Resources permitting, a Coordinator will be appointed with the following functions: </w:t>
      </w:r>
    </w:p>
    <w:p w14:paraId="101E0711" w14:textId="77777777" w:rsidR="00B54A37" w:rsidRPr="00B54A37" w:rsidRDefault="00B54A37" w:rsidP="00B54A37">
      <w:pPr>
        <w:jc w:val="both"/>
        <w:rPr>
          <w:sz w:val="22"/>
          <w:szCs w:val="22"/>
          <w:lang w:val="en-GB"/>
        </w:rPr>
      </w:pPr>
    </w:p>
    <w:p w14:paraId="6B01DA76" w14:textId="3017D876" w:rsidR="00B54A37" w:rsidRPr="00B54A37" w:rsidRDefault="00B54A37" w:rsidP="00B54A37">
      <w:pPr>
        <w:jc w:val="both"/>
        <w:rPr>
          <w:sz w:val="22"/>
          <w:szCs w:val="22"/>
          <w:lang w:val="en-GB"/>
        </w:rPr>
      </w:pPr>
      <w:r w:rsidRPr="00B54A37">
        <w:rPr>
          <w:sz w:val="22"/>
          <w:szCs w:val="22"/>
          <w:lang w:val="en-GB"/>
        </w:rPr>
        <w:t xml:space="preserve">- </w:t>
      </w:r>
      <w:r w:rsidR="00400F69" w:rsidRPr="00B54A37">
        <w:rPr>
          <w:sz w:val="22"/>
          <w:szCs w:val="22"/>
          <w:lang w:val="en-GB"/>
        </w:rPr>
        <w:t>organi</w:t>
      </w:r>
      <w:r w:rsidR="00400F69">
        <w:rPr>
          <w:sz w:val="22"/>
          <w:szCs w:val="22"/>
          <w:lang w:val="en-GB"/>
        </w:rPr>
        <w:t>zing</w:t>
      </w:r>
      <w:r w:rsidR="00400F69" w:rsidRPr="00B54A37">
        <w:rPr>
          <w:sz w:val="22"/>
          <w:szCs w:val="22"/>
          <w:lang w:val="en-GB"/>
        </w:rPr>
        <w:t xml:space="preserve"> </w:t>
      </w:r>
      <w:r w:rsidRPr="00B54A37">
        <w:rPr>
          <w:sz w:val="22"/>
          <w:szCs w:val="22"/>
          <w:lang w:val="en-GB"/>
        </w:rPr>
        <w:t xml:space="preserve">the meetings of the Task Force and prepare the background documents; </w:t>
      </w:r>
    </w:p>
    <w:p w14:paraId="4126BF0D" w14:textId="327F56CE" w:rsidR="00B54A37" w:rsidRPr="00B54A37" w:rsidRDefault="00B54A37" w:rsidP="00B54A37">
      <w:pPr>
        <w:jc w:val="both"/>
        <w:rPr>
          <w:sz w:val="22"/>
          <w:szCs w:val="22"/>
          <w:lang w:val="en-GB"/>
        </w:rPr>
      </w:pPr>
      <w:r w:rsidRPr="00B54A37">
        <w:rPr>
          <w:sz w:val="22"/>
          <w:szCs w:val="22"/>
          <w:lang w:val="en-GB"/>
        </w:rPr>
        <w:t>- co-ordinat</w:t>
      </w:r>
      <w:r w:rsidR="00400F69">
        <w:rPr>
          <w:sz w:val="22"/>
          <w:szCs w:val="22"/>
          <w:lang w:val="en-GB"/>
        </w:rPr>
        <w:t>ing</w:t>
      </w:r>
      <w:r w:rsidRPr="00B54A37">
        <w:rPr>
          <w:sz w:val="22"/>
          <w:szCs w:val="22"/>
          <w:lang w:val="en-GB"/>
        </w:rPr>
        <w:t xml:space="preserve"> the Task Force’s communications;</w:t>
      </w:r>
    </w:p>
    <w:p w14:paraId="067C3C01" w14:textId="0A10D68A" w:rsidR="00B54A37" w:rsidRPr="00B54A37" w:rsidRDefault="00B54A37" w:rsidP="00B54A37">
      <w:pPr>
        <w:jc w:val="both"/>
        <w:rPr>
          <w:sz w:val="22"/>
          <w:szCs w:val="22"/>
          <w:lang w:val="en-GB"/>
        </w:rPr>
      </w:pPr>
      <w:r w:rsidRPr="00B54A37">
        <w:rPr>
          <w:sz w:val="22"/>
          <w:szCs w:val="22"/>
          <w:lang w:val="en-GB"/>
        </w:rPr>
        <w:t>- facilitat</w:t>
      </w:r>
      <w:r w:rsidR="00400F69">
        <w:rPr>
          <w:sz w:val="22"/>
          <w:szCs w:val="22"/>
          <w:lang w:val="en-GB"/>
        </w:rPr>
        <w:t>ing</w:t>
      </w:r>
      <w:r w:rsidRPr="00B54A37">
        <w:rPr>
          <w:sz w:val="22"/>
          <w:szCs w:val="22"/>
          <w:lang w:val="en-GB"/>
        </w:rPr>
        <w:t xml:space="preserve"> fundraising and resource mobilisation; and </w:t>
      </w:r>
    </w:p>
    <w:p w14:paraId="6716A384" w14:textId="17B8DE86" w:rsidR="00B54A37" w:rsidRPr="00B54A37" w:rsidRDefault="00B54A37" w:rsidP="00B54A37">
      <w:pPr>
        <w:jc w:val="both"/>
        <w:rPr>
          <w:sz w:val="22"/>
          <w:szCs w:val="22"/>
          <w:lang w:val="en-GB"/>
        </w:rPr>
      </w:pPr>
      <w:r w:rsidRPr="00B54A37">
        <w:rPr>
          <w:sz w:val="22"/>
          <w:szCs w:val="22"/>
          <w:lang w:val="en-GB"/>
        </w:rPr>
        <w:t>- facilitat</w:t>
      </w:r>
      <w:r w:rsidR="00400F69">
        <w:rPr>
          <w:sz w:val="22"/>
          <w:szCs w:val="22"/>
          <w:lang w:val="en-GB"/>
        </w:rPr>
        <w:t>ing</w:t>
      </w:r>
      <w:r w:rsidRPr="00B54A37">
        <w:rPr>
          <w:sz w:val="22"/>
          <w:szCs w:val="22"/>
          <w:lang w:val="en-GB"/>
        </w:rPr>
        <w:t xml:space="preserve"> engagement with stakeholders within and beyond the Task Force. </w:t>
      </w:r>
    </w:p>
    <w:p w14:paraId="6A8BDEC9" w14:textId="77777777" w:rsidR="00B54A37" w:rsidRPr="00B54A37" w:rsidRDefault="00B54A37" w:rsidP="00B54A37">
      <w:pPr>
        <w:jc w:val="both"/>
        <w:rPr>
          <w:sz w:val="22"/>
          <w:szCs w:val="22"/>
          <w:lang w:val="en-GB"/>
        </w:rPr>
      </w:pPr>
    </w:p>
    <w:p w14:paraId="12EEAB13" w14:textId="77777777" w:rsidR="00B54A37" w:rsidRPr="00B54A37" w:rsidRDefault="00B54A37" w:rsidP="00B54A37">
      <w:pPr>
        <w:jc w:val="both"/>
        <w:rPr>
          <w:sz w:val="22"/>
          <w:szCs w:val="22"/>
          <w:lang w:val="en-GB"/>
        </w:rPr>
      </w:pPr>
      <w:r w:rsidRPr="00B54A37">
        <w:rPr>
          <w:sz w:val="22"/>
          <w:szCs w:val="22"/>
          <w:lang w:val="en-GB"/>
        </w:rPr>
        <w:t>Meetings of the Task Force will be convened at appropriate intervals, as considered necessary and funding permitting. Between meetings business will be conducted electronically which will provide the primary mode of communication. The Task Force will meet at least once in the inter-sessional period.</w:t>
      </w:r>
    </w:p>
    <w:p w14:paraId="6925BA83" w14:textId="77777777" w:rsidR="00B54A37" w:rsidRPr="00B54A37" w:rsidRDefault="00B54A37" w:rsidP="00B54A37">
      <w:pPr>
        <w:jc w:val="both"/>
        <w:rPr>
          <w:sz w:val="22"/>
          <w:szCs w:val="22"/>
          <w:lang w:val="en-GB"/>
        </w:rPr>
      </w:pPr>
    </w:p>
    <w:p w14:paraId="19F3A255" w14:textId="1764CF09" w:rsidR="00B87172" w:rsidRPr="00B54A37" w:rsidRDefault="00B54A37" w:rsidP="00B54A37">
      <w:pPr>
        <w:jc w:val="both"/>
        <w:rPr>
          <w:sz w:val="22"/>
          <w:szCs w:val="22"/>
          <w:lang w:val="en-GB"/>
        </w:rPr>
      </w:pPr>
      <w:r w:rsidRPr="00B54A37">
        <w:rPr>
          <w:sz w:val="22"/>
          <w:szCs w:val="22"/>
          <w:lang w:val="en-GB"/>
        </w:rPr>
        <w:t>As appropriate, the Task Force, in collaboration with Parties and relevant international organisations, subject to the availability of funds, will organi</w:t>
      </w:r>
      <w:r w:rsidR="00400F69">
        <w:rPr>
          <w:sz w:val="22"/>
          <w:szCs w:val="22"/>
          <w:lang w:val="en-GB"/>
        </w:rPr>
        <w:t>z</w:t>
      </w:r>
      <w:r w:rsidRPr="00B54A37">
        <w:rPr>
          <w:sz w:val="22"/>
          <w:szCs w:val="22"/>
          <w:lang w:val="en-GB"/>
        </w:rPr>
        <w:t>e regional workshops to assist in developing appropriate local or regional solutions to prevent the poisoning of migratory species from lead.</w:t>
      </w:r>
    </w:p>
    <w:p w14:paraId="32A749E8" w14:textId="77777777" w:rsidR="00B87172" w:rsidRPr="00B87172" w:rsidRDefault="00B87172" w:rsidP="00B87172">
      <w:pPr>
        <w:rPr>
          <w:sz w:val="22"/>
          <w:szCs w:val="22"/>
          <w:lang w:val="en-GB"/>
        </w:rPr>
        <w:sectPr w:rsidR="00B87172" w:rsidRPr="00B87172" w:rsidSect="007E0035">
          <w:headerReference w:type="even" r:id="rId26"/>
          <w:headerReference w:type="default" r:id="rId27"/>
          <w:footerReference w:type="even" r:id="rId28"/>
          <w:footerReference w:type="default" r:id="rId29"/>
          <w:headerReference w:type="first" r:id="rId30"/>
          <w:footerReference w:type="first" r:id="rId31"/>
          <w:pgSz w:w="11907" w:h="16840" w:code="9"/>
          <w:pgMar w:top="1135" w:right="1412" w:bottom="1151" w:left="1412" w:header="720" w:footer="720" w:gutter="0"/>
          <w:cols w:space="720"/>
          <w:titlePg/>
          <w:docGrid w:linePitch="360"/>
        </w:sectPr>
      </w:pPr>
    </w:p>
    <w:p w14:paraId="56CB1781" w14:textId="77777777" w:rsidR="00B87172" w:rsidRPr="00FB1D66" w:rsidRDefault="00B87172" w:rsidP="00B87172">
      <w:pPr>
        <w:rPr>
          <w:b/>
          <w:i/>
          <w:sz w:val="22"/>
          <w:szCs w:val="22"/>
          <w:lang w:val="en-GB"/>
        </w:rPr>
      </w:pPr>
      <w:r w:rsidRPr="00FB1D66">
        <w:rPr>
          <w:b/>
          <w:sz w:val="22"/>
          <w:szCs w:val="22"/>
          <w:lang w:val="en-GB"/>
        </w:rPr>
        <w:lastRenderedPageBreak/>
        <w:t xml:space="preserve">Appendix 1  </w:t>
      </w:r>
    </w:p>
    <w:p w14:paraId="4851A1FB" w14:textId="77777777" w:rsidR="00B87172" w:rsidRPr="00B87172" w:rsidRDefault="00B87172" w:rsidP="00B87172">
      <w:pPr>
        <w:rPr>
          <w:b/>
          <w:sz w:val="22"/>
          <w:szCs w:val="22"/>
          <w:lang w:val="en-GB"/>
        </w:rPr>
      </w:pPr>
    </w:p>
    <w:p w14:paraId="7EBFE628" w14:textId="77777777" w:rsidR="00B87172" w:rsidRPr="00B87172" w:rsidRDefault="00B87172" w:rsidP="00FB1D66">
      <w:pPr>
        <w:jc w:val="both"/>
        <w:rPr>
          <w:b/>
          <w:sz w:val="22"/>
          <w:szCs w:val="22"/>
          <w:lang w:val="en-GB"/>
        </w:rPr>
      </w:pPr>
      <w:r w:rsidRPr="00B87172">
        <w:rPr>
          <w:b/>
          <w:sz w:val="22"/>
          <w:szCs w:val="22"/>
          <w:lang w:val="en-GB"/>
        </w:rPr>
        <w:t xml:space="preserve">CMS and AEWA Resolutions and adopted guidance that address issues relating to lead poisoning from ammunition or fishing weights and other sources </w:t>
      </w:r>
    </w:p>
    <w:p w14:paraId="22ED93C7" w14:textId="77777777" w:rsidR="00B87172" w:rsidRPr="00B87172" w:rsidRDefault="00B87172" w:rsidP="00B87172">
      <w:pPr>
        <w:rPr>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21"/>
        <w:gridCol w:w="3221"/>
        <w:gridCol w:w="4344"/>
      </w:tblGrid>
      <w:tr w:rsidR="00B87172" w:rsidRPr="00B87172" w14:paraId="2696B7A1" w14:textId="77777777" w:rsidTr="0014156C">
        <w:trPr>
          <w:tblHeader/>
        </w:trPr>
        <w:tc>
          <w:tcPr>
            <w:tcW w:w="1149" w:type="pct"/>
            <w:shd w:val="clear" w:color="auto" w:fill="EEECE1"/>
          </w:tcPr>
          <w:p w14:paraId="0F4B0DE4" w14:textId="77777777" w:rsidR="00B87172" w:rsidRPr="00B87172" w:rsidRDefault="00B87172" w:rsidP="00B87172">
            <w:pPr>
              <w:rPr>
                <w:b/>
                <w:sz w:val="22"/>
                <w:szCs w:val="22"/>
                <w:lang w:val="en-GB"/>
              </w:rPr>
            </w:pPr>
            <w:r w:rsidRPr="00B87172">
              <w:rPr>
                <w:b/>
                <w:sz w:val="22"/>
                <w:szCs w:val="22"/>
                <w:lang w:val="en-GB"/>
              </w:rPr>
              <w:t>Cause of additional unnecessary mortality</w:t>
            </w:r>
          </w:p>
        </w:tc>
        <w:tc>
          <w:tcPr>
            <w:tcW w:w="1150" w:type="pct"/>
            <w:shd w:val="clear" w:color="auto" w:fill="EEECE1"/>
          </w:tcPr>
          <w:p w14:paraId="4D609A13" w14:textId="77777777" w:rsidR="00B87172" w:rsidRPr="00B87172" w:rsidRDefault="00B87172" w:rsidP="00B87172">
            <w:pPr>
              <w:rPr>
                <w:b/>
                <w:sz w:val="22"/>
                <w:szCs w:val="22"/>
                <w:lang w:val="en-GB"/>
              </w:rPr>
            </w:pPr>
            <w:r w:rsidRPr="00B87172">
              <w:rPr>
                <w:b/>
                <w:sz w:val="22"/>
                <w:szCs w:val="22"/>
                <w:lang w:val="en-GB"/>
              </w:rPr>
              <w:t>Strategic guidance and objectives agreed by AEWA Parties</w:t>
            </w:r>
          </w:p>
        </w:tc>
        <w:tc>
          <w:tcPr>
            <w:tcW w:w="1150" w:type="pct"/>
            <w:shd w:val="clear" w:color="auto" w:fill="EEECE1"/>
          </w:tcPr>
          <w:p w14:paraId="0E03B83A" w14:textId="77777777" w:rsidR="00B87172" w:rsidRPr="00B87172" w:rsidRDefault="00B87172" w:rsidP="00B87172">
            <w:pPr>
              <w:rPr>
                <w:b/>
                <w:sz w:val="22"/>
                <w:szCs w:val="22"/>
                <w:lang w:val="en-GB"/>
              </w:rPr>
            </w:pPr>
            <w:r w:rsidRPr="00B87172">
              <w:rPr>
                <w:b/>
                <w:sz w:val="22"/>
                <w:szCs w:val="22"/>
                <w:lang w:val="en-GB"/>
              </w:rPr>
              <w:t>Relevant AEWA &amp; CMS Resolutions</w:t>
            </w:r>
          </w:p>
        </w:tc>
        <w:tc>
          <w:tcPr>
            <w:tcW w:w="1552" w:type="pct"/>
            <w:shd w:val="clear" w:color="auto" w:fill="EEECE1"/>
          </w:tcPr>
          <w:p w14:paraId="3FBF3D12" w14:textId="77777777" w:rsidR="00B87172" w:rsidRPr="00B87172" w:rsidRDefault="00B87172" w:rsidP="00B87172">
            <w:pPr>
              <w:rPr>
                <w:b/>
                <w:sz w:val="22"/>
                <w:szCs w:val="22"/>
                <w:lang w:val="en-GB"/>
              </w:rPr>
            </w:pPr>
            <w:r w:rsidRPr="00B87172">
              <w:rPr>
                <w:b/>
                <w:sz w:val="22"/>
                <w:szCs w:val="22"/>
                <w:lang w:val="en-GB"/>
              </w:rPr>
              <w:t>Relevant AEWA &amp; CMS Guidance</w:t>
            </w:r>
          </w:p>
        </w:tc>
      </w:tr>
      <w:tr w:rsidR="00B87172" w:rsidRPr="00B87172" w14:paraId="55053517" w14:textId="77777777" w:rsidTr="0014156C">
        <w:tc>
          <w:tcPr>
            <w:tcW w:w="1149" w:type="pct"/>
          </w:tcPr>
          <w:p w14:paraId="7F0F5807" w14:textId="77777777" w:rsidR="00B87172" w:rsidRPr="00B87172" w:rsidRDefault="00B87172" w:rsidP="00B87172">
            <w:pPr>
              <w:rPr>
                <w:sz w:val="22"/>
                <w:szCs w:val="22"/>
                <w:lang w:val="en-GB"/>
              </w:rPr>
            </w:pPr>
            <w:r w:rsidRPr="00B87172">
              <w:rPr>
                <w:sz w:val="22"/>
                <w:szCs w:val="22"/>
                <w:lang w:val="en-GB"/>
              </w:rPr>
              <w:t xml:space="preserve">Poisoning through the use of lead ammunition </w:t>
            </w:r>
          </w:p>
        </w:tc>
        <w:tc>
          <w:tcPr>
            <w:tcW w:w="1150" w:type="pct"/>
          </w:tcPr>
          <w:p w14:paraId="0AB0FBC2" w14:textId="77777777" w:rsidR="00B87172" w:rsidRPr="00B87172" w:rsidRDefault="00B87172" w:rsidP="00B87172">
            <w:pPr>
              <w:rPr>
                <w:sz w:val="22"/>
                <w:szCs w:val="22"/>
                <w:lang w:val="en-GB"/>
              </w:rPr>
            </w:pPr>
            <w:r w:rsidRPr="00B87172">
              <w:rPr>
                <w:sz w:val="22"/>
                <w:szCs w:val="22"/>
                <w:lang w:val="en-GB"/>
              </w:rPr>
              <w:t>AEWA Action Plan para 4.1.4</w:t>
            </w:r>
          </w:p>
          <w:p w14:paraId="42B6F4A7" w14:textId="77777777" w:rsidR="00B87172" w:rsidRPr="00B87172" w:rsidRDefault="00B87172" w:rsidP="00B87172">
            <w:pPr>
              <w:rPr>
                <w:sz w:val="22"/>
                <w:szCs w:val="22"/>
                <w:lang w:val="en-GB"/>
              </w:rPr>
            </w:pPr>
            <w:r w:rsidRPr="00B87172">
              <w:rPr>
                <w:sz w:val="22"/>
                <w:szCs w:val="22"/>
                <w:lang w:val="en-GB"/>
              </w:rPr>
              <w:t>Strategic Plan 2.1: “By 2017 the use of lead shot for hunting in wetlands is phased out by all Contracting Parties.”</w:t>
            </w:r>
          </w:p>
        </w:tc>
        <w:tc>
          <w:tcPr>
            <w:tcW w:w="1150" w:type="pct"/>
          </w:tcPr>
          <w:p w14:paraId="7FD486D4" w14:textId="77777777" w:rsidR="00B87172" w:rsidRPr="00B87172" w:rsidRDefault="00B87172" w:rsidP="00B87172">
            <w:pPr>
              <w:rPr>
                <w:sz w:val="22"/>
                <w:szCs w:val="22"/>
                <w:lang w:val="en-GB"/>
              </w:rPr>
            </w:pPr>
            <w:r w:rsidRPr="00B87172">
              <w:rPr>
                <w:sz w:val="22"/>
                <w:szCs w:val="22"/>
                <w:lang w:val="en-GB"/>
              </w:rPr>
              <w:t>AEWA Res 1.14 Phasing out of lead shot in wetlands</w:t>
            </w:r>
          </w:p>
          <w:p w14:paraId="17455CE4" w14:textId="77777777" w:rsidR="00B87172" w:rsidRPr="00B87172" w:rsidRDefault="00B87172" w:rsidP="00B87172">
            <w:pPr>
              <w:rPr>
                <w:sz w:val="22"/>
                <w:szCs w:val="22"/>
                <w:lang w:val="en-GB"/>
              </w:rPr>
            </w:pPr>
            <w:r w:rsidRPr="00B87172">
              <w:rPr>
                <w:sz w:val="22"/>
                <w:szCs w:val="22"/>
                <w:lang w:val="en-GB"/>
              </w:rPr>
              <w:t>AEWA Res. 2.2 Phasing out lead shot for hunting in wetlands</w:t>
            </w:r>
          </w:p>
          <w:p w14:paraId="5B0963A1" w14:textId="77777777" w:rsidR="00B87172" w:rsidRPr="00B87172" w:rsidRDefault="00B87172" w:rsidP="00B87172">
            <w:pPr>
              <w:rPr>
                <w:sz w:val="22"/>
                <w:szCs w:val="22"/>
                <w:lang w:val="en-GB"/>
              </w:rPr>
            </w:pPr>
            <w:r w:rsidRPr="00B87172">
              <w:rPr>
                <w:sz w:val="22"/>
                <w:szCs w:val="22"/>
                <w:lang w:val="en-GB"/>
              </w:rPr>
              <w:t>AEWA Res. 3.4 Submission of national reports to MOP3 and MOP4 and reports on the phase out of lead shot in wetlands</w:t>
            </w:r>
          </w:p>
          <w:p w14:paraId="123FF84C" w14:textId="77777777" w:rsidR="00B87172" w:rsidRPr="00B87172" w:rsidRDefault="00B87172" w:rsidP="00B87172">
            <w:pPr>
              <w:rPr>
                <w:sz w:val="22"/>
                <w:szCs w:val="22"/>
                <w:lang w:val="en-GB"/>
              </w:rPr>
            </w:pPr>
            <w:r w:rsidRPr="00B87172">
              <w:rPr>
                <w:sz w:val="22"/>
                <w:szCs w:val="22"/>
                <w:lang w:val="en-GB"/>
              </w:rPr>
              <w:t>AEWA Res. 4.1 Phasing out lead shot for hunting in wetlands</w:t>
            </w:r>
          </w:p>
          <w:p w14:paraId="3B254929" w14:textId="77777777" w:rsidR="00B87172" w:rsidRPr="00B87172" w:rsidRDefault="00B87172" w:rsidP="00B87172">
            <w:pPr>
              <w:rPr>
                <w:sz w:val="22"/>
                <w:szCs w:val="22"/>
                <w:lang w:val="en-GB"/>
              </w:rPr>
            </w:pPr>
            <w:r w:rsidRPr="00B87172">
              <w:rPr>
                <w:sz w:val="22"/>
                <w:szCs w:val="22"/>
                <w:lang w:val="en-GB"/>
              </w:rPr>
              <w:t>AEWA Res. 5.23 AEWA’s contribution to delivering the Aichi 2020 biodiversity targets</w:t>
            </w:r>
          </w:p>
          <w:p w14:paraId="207483A9" w14:textId="77777777" w:rsidR="00B87172" w:rsidRPr="00B87172" w:rsidRDefault="00B87172" w:rsidP="00B87172">
            <w:pPr>
              <w:rPr>
                <w:sz w:val="22"/>
                <w:szCs w:val="22"/>
                <w:lang w:val="en-GB"/>
              </w:rPr>
            </w:pPr>
            <w:r w:rsidRPr="00B87172">
              <w:rPr>
                <w:sz w:val="22"/>
                <w:szCs w:val="22"/>
                <w:lang w:val="en-GB"/>
              </w:rPr>
              <w:t xml:space="preserve">AEWA Res. 6.4 Conservation and sustainable use of migratory </w:t>
            </w:r>
            <w:proofErr w:type="spellStart"/>
            <w:r w:rsidRPr="00B87172">
              <w:rPr>
                <w:sz w:val="22"/>
                <w:szCs w:val="22"/>
                <w:lang w:val="en-GB"/>
              </w:rPr>
              <w:t>waterbirds</w:t>
            </w:r>
            <w:proofErr w:type="spellEnd"/>
          </w:p>
          <w:p w14:paraId="30EBB519" w14:textId="77777777" w:rsidR="00B87172" w:rsidRPr="00B87172" w:rsidRDefault="00B87172" w:rsidP="00B87172">
            <w:pPr>
              <w:rPr>
                <w:sz w:val="22"/>
                <w:szCs w:val="22"/>
                <w:lang w:val="en-GB"/>
              </w:rPr>
            </w:pPr>
            <w:r w:rsidRPr="00B87172">
              <w:rPr>
                <w:sz w:val="22"/>
                <w:szCs w:val="22"/>
                <w:lang w:val="en-GB"/>
              </w:rPr>
              <w:t xml:space="preserve">AEWA Res. 6.12 </w:t>
            </w:r>
            <w:r w:rsidRPr="00B87172">
              <w:rPr>
                <w:bCs/>
                <w:sz w:val="22"/>
                <w:szCs w:val="22"/>
                <w:lang w:val="en-GB"/>
              </w:rPr>
              <w:t xml:space="preserve">Avoiding additional and unnecessary mortality for migratory </w:t>
            </w:r>
            <w:proofErr w:type="spellStart"/>
            <w:r w:rsidRPr="00B87172">
              <w:rPr>
                <w:bCs/>
                <w:sz w:val="22"/>
                <w:szCs w:val="22"/>
                <w:lang w:val="en-GB"/>
              </w:rPr>
              <w:t>waterbirds</w:t>
            </w:r>
            <w:proofErr w:type="spellEnd"/>
          </w:p>
          <w:p w14:paraId="5D8F5D97" w14:textId="02A0C94F" w:rsidR="00B87172" w:rsidRPr="00B87172" w:rsidRDefault="00B87172" w:rsidP="00B87172">
            <w:pPr>
              <w:rPr>
                <w:sz w:val="22"/>
                <w:szCs w:val="22"/>
                <w:lang w:val="en-GB"/>
              </w:rPr>
            </w:pPr>
            <w:r w:rsidRPr="00B87172">
              <w:rPr>
                <w:sz w:val="22"/>
                <w:szCs w:val="22"/>
                <w:lang w:val="en-GB"/>
              </w:rPr>
              <w:t xml:space="preserve">CMS Res. 10.26 </w:t>
            </w:r>
            <w:r w:rsidR="00400F69" w:rsidRPr="00B87172">
              <w:rPr>
                <w:sz w:val="22"/>
                <w:szCs w:val="22"/>
                <w:lang w:val="en-GB"/>
              </w:rPr>
              <w:t>Minimi</w:t>
            </w:r>
            <w:r w:rsidR="00400F69">
              <w:rPr>
                <w:sz w:val="22"/>
                <w:szCs w:val="22"/>
                <w:lang w:val="en-GB"/>
              </w:rPr>
              <w:t>z</w:t>
            </w:r>
            <w:r w:rsidR="00400F69" w:rsidRPr="00B87172">
              <w:rPr>
                <w:sz w:val="22"/>
                <w:szCs w:val="22"/>
                <w:lang w:val="en-GB"/>
              </w:rPr>
              <w:t xml:space="preserve">ing </w:t>
            </w:r>
            <w:r w:rsidRPr="00B87172">
              <w:rPr>
                <w:sz w:val="22"/>
                <w:szCs w:val="22"/>
                <w:lang w:val="en-GB"/>
              </w:rPr>
              <w:t xml:space="preserve">the risk of poisoning to migratory birds </w:t>
            </w:r>
          </w:p>
          <w:p w14:paraId="60065E11" w14:textId="77777777" w:rsidR="00B87172" w:rsidRPr="00B87172" w:rsidRDefault="00B87172" w:rsidP="00B87172">
            <w:pPr>
              <w:rPr>
                <w:sz w:val="22"/>
                <w:szCs w:val="22"/>
                <w:lang w:val="en-GB"/>
              </w:rPr>
            </w:pPr>
            <w:r w:rsidRPr="00B87172">
              <w:rPr>
                <w:sz w:val="22"/>
                <w:szCs w:val="22"/>
                <w:lang w:val="en-GB"/>
              </w:rPr>
              <w:t>CMS Res. 11.15 Preventing poisoning of migratory birds</w:t>
            </w:r>
          </w:p>
        </w:tc>
        <w:tc>
          <w:tcPr>
            <w:tcW w:w="1552" w:type="pct"/>
          </w:tcPr>
          <w:p w14:paraId="6F53A7D0" w14:textId="77777777" w:rsidR="00B87172" w:rsidRPr="00B87172" w:rsidRDefault="00B87172" w:rsidP="00B87172">
            <w:pPr>
              <w:rPr>
                <w:sz w:val="22"/>
                <w:szCs w:val="22"/>
                <w:lang w:val="en-GB"/>
              </w:rPr>
            </w:pPr>
            <w:r w:rsidRPr="00B87172">
              <w:rPr>
                <w:sz w:val="22"/>
                <w:szCs w:val="22"/>
                <w:lang w:val="en-GB"/>
              </w:rPr>
              <w:t xml:space="preserve">AEWA Conservation Guidelines (No. 5) on sustainable harvest of migratory </w:t>
            </w:r>
            <w:proofErr w:type="spellStart"/>
            <w:r w:rsidRPr="00B87172">
              <w:rPr>
                <w:sz w:val="22"/>
                <w:szCs w:val="22"/>
                <w:lang w:val="en-GB"/>
              </w:rPr>
              <w:t>waterbirds</w:t>
            </w:r>
            <w:proofErr w:type="spellEnd"/>
            <w:r w:rsidRPr="00B87172">
              <w:rPr>
                <w:sz w:val="22"/>
                <w:szCs w:val="22"/>
                <w:lang w:val="en-GB"/>
              </w:rPr>
              <w:t xml:space="preserve"> (document AEWA/MOP 6.36)</w:t>
            </w:r>
          </w:p>
          <w:p w14:paraId="7759B724" w14:textId="77777777" w:rsidR="00B87172" w:rsidRPr="00B87172" w:rsidRDefault="00B87172" w:rsidP="00B87172">
            <w:pPr>
              <w:rPr>
                <w:sz w:val="22"/>
                <w:szCs w:val="22"/>
                <w:lang w:val="en-GB"/>
              </w:rPr>
            </w:pPr>
            <w:r w:rsidRPr="00B87172">
              <w:rPr>
                <w:sz w:val="22"/>
                <w:szCs w:val="22"/>
                <w:lang w:val="en-GB"/>
              </w:rPr>
              <w:t xml:space="preserve">AEWA 2009.  </w:t>
            </w:r>
            <w:r w:rsidRPr="00B87172">
              <w:rPr>
                <w:i/>
                <w:sz w:val="22"/>
                <w:szCs w:val="22"/>
                <w:lang w:val="en-GB"/>
              </w:rPr>
              <w:t xml:space="preserve">Non-toxic shot.  A pathway towards sustainable use of the </w:t>
            </w:r>
            <w:proofErr w:type="spellStart"/>
            <w:r w:rsidRPr="00B87172">
              <w:rPr>
                <w:i/>
                <w:sz w:val="22"/>
                <w:szCs w:val="22"/>
                <w:lang w:val="en-GB"/>
              </w:rPr>
              <w:t>waterbird</w:t>
            </w:r>
            <w:proofErr w:type="spellEnd"/>
            <w:r w:rsidRPr="00B87172">
              <w:rPr>
                <w:i/>
                <w:sz w:val="22"/>
                <w:szCs w:val="22"/>
                <w:lang w:val="en-GB"/>
              </w:rPr>
              <w:t xml:space="preserve"> resource.</w:t>
            </w:r>
            <w:r w:rsidRPr="00B87172">
              <w:rPr>
                <w:sz w:val="22"/>
                <w:szCs w:val="22"/>
                <w:lang w:val="en-GB"/>
              </w:rPr>
              <w:t xml:space="preserve">  AEWA Technical Series No. 3</w:t>
            </w:r>
          </w:p>
          <w:p w14:paraId="47D3E586" w14:textId="77777777" w:rsidR="00B87172" w:rsidRPr="00B87172" w:rsidRDefault="00B87172" w:rsidP="00B87172">
            <w:pPr>
              <w:rPr>
                <w:sz w:val="22"/>
                <w:szCs w:val="22"/>
                <w:lang w:val="en-GB"/>
              </w:rPr>
            </w:pPr>
            <w:r w:rsidRPr="00B87172">
              <w:rPr>
                <w:sz w:val="22"/>
                <w:szCs w:val="22"/>
                <w:lang w:val="en-GB"/>
              </w:rPr>
              <w:t xml:space="preserve">AEWA 2009.  </w:t>
            </w:r>
            <w:r w:rsidRPr="00B87172">
              <w:rPr>
                <w:i/>
                <w:sz w:val="22"/>
                <w:szCs w:val="22"/>
                <w:lang w:val="en-GB"/>
              </w:rPr>
              <w:t>Phasing out the use of lead shot for hunting in wetlands.  Experiences made and lessons learned by AEWA Range States.</w:t>
            </w:r>
            <w:r w:rsidRPr="00B87172">
              <w:rPr>
                <w:sz w:val="22"/>
                <w:szCs w:val="22"/>
                <w:lang w:val="en-GB"/>
              </w:rPr>
              <w:t xml:space="preserve">  30 pp.</w:t>
            </w:r>
          </w:p>
          <w:p w14:paraId="271932DA" w14:textId="77777777" w:rsidR="00B87172" w:rsidRPr="00B87172" w:rsidRDefault="00B87172" w:rsidP="00B87172">
            <w:pPr>
              <w:rPr>
                <w:sz w:val="22"/>
                <w:szCs w:val="22"/>
                <w:lang w:val="en-GB"/>
              </w:rPr>
            </w:pPr>
            <w:r w:rsidRPr="00B87172">
              <w:rPr>
                <w:sz w:val="22"/>
                <w:szCs w:val="22"/>
                <w:lang w:val="en-GB"/>
              </w:rPr>
              <w:t>CMS Res. 11.15 Guidelines to prevent the risk of poisoning to migratory birds</w:t>
            </w:r>
          </w:p>
          <w:p w14:paraId="0CC0A1A0" w14:textId="77777777" w:rsidR="00B87172" w:rsidRPr="00B87172" w:rsidRDefault="00B87172" w:rsidP="00B87172">
            <w:pPr>
              <w:numPr>
                <w:ilvl w:val="0"/>
                <w:numId w:val="15"/>
              </w:numPr>
              <w:rPr>
                <w:sz w:val="22"/>
                <w:szCs w:val="22"/>
                <w:lang w:val="en-GB"/>
              </w:rPr>
            </w:pPr>
            <w:r w:rsidRPr="00B87172">
              <w:rPr>
                <w:sz w:val="22"/>
                <w:szCs w:val="22"/>
                <w:lang w:val="en-GB"/>
              </w:rPr>
              <w:t xml:space="preserve">Recommendations to prevent risk from lead ammunition </w:t>
            </w:r>
          </w:p>
        </w:tc>
      </w:tr>
      <w:tr w:rsidR="00B87172" w:rsidRPr="00B87172" w14:paraId="0DB30D28" w14:textId="77777777" w:rsidTr="0014156C">
        <w:tc>
          <w:tcPr>
            <w:tcW w:w="1149" w:type="pct"/>
          </w:tcPr>
          <w:p w14:paraId="43D29583" w14:textId="77777777" w:rsidR="00B87172" w:rsidRPr="00B87172" w:rsidRDefault="00B87172" w:rsidP="00B87172">
            <w:pPr>
              <w:rPr>
                <w:sz w:val="22"/>
                <w:szCs w:val="22"/>
                <w:lang w:val="en-GB"/>
              </w:rPr>
            </w:pPr>
            <w:r w:rsidRPr="00B87172">
              <w:rPr>
                <w:sz w:val="22"/>
                <w:szCs w:val="22"/>
                <w:lang w:val="en-GB"/>
              </w:rPr>
              <w:t>Poisoning through the use of lead fishing weights</w:t>
            </w:r>
          </w:p>
        </w:tc>
        <w:tc>
          <w:tcPr>
            <w:tcW w:w="1150" w:type="pct"/>
          </w:tcPr>
          <w:p w14:paraId="00BE9A7C" w14:textId="77777777" w:rsidR="00B87172" w:rsidRPr="00B87172" w:rsidRDefault="00B87172" w:rsidP="00B87172">
            <w:pPr>
              <w:rPr>
                <w:sz w:val="22"/>
                <w:szCs w:val="22"/>
                <w:lang w:val="en-GB"/>
              </w:rPr>
            </w:pPr>
            <w:r w:rsidRPr="00B87172">
              <w:rPr>
                <w:sz w:val="22"/>
                <w:szCs w:val="22"/>
                <w:lang w:val="en-GB"/>
              </w:rPr>
              <w:t>AEWA Action Plan para 4.3.12</w:t>
            </w:r>
          </w:p>
          <w:p w14:paraId="2B393CFF" w14:textId="77777777" w:rsidR="00B87172" w:rsidRPr="00B87172" w:rsidRDefault="00B87172" w:rsidP="00B87172">
            <w:pPr>
              <w:rPr>
                <w:sz w:val="22"/>
                <w:szCs w:val="22"/>
                <w:lang w:val="en-GB"/>
              </w:rPr>
            </w:pPr>
          </w:p>
        </w:tc>
        <w:tc>
          <w:tcPr>
            <w:tcW w:w="1150" w:type="pct"/>
          </w:tcPr>
          <w:p w14:paraId="4DE5D416" w14:textId="4500021B" w:rsidR="00B87172" w:rsidRPr="00B87172" w:rsidRDefault="00B87172" w:rsidP="00B87172">
            <w:pPr>
              <w:rPr>
                <w:sz w:val="22"/>
                <w:szCs w:val="22"/>
                <w:lang w:val="en-GB"/>
              </w:rPr>
            </w:pPr>
            <w:r w:rsidRPr="00B87172">
              <w:rPr>
                <w:sz w:val="22"/>
                <w:szCs w:val="22"/>
                <w:lang w:val="en-GB"/>
              </w:rPr>
              <w:t xml:space="preserve">CMS Res. 10.26 </w:t>
            </w:r>
            <w:r w:rsidR="00400F69" w:rsidRPr="00B87172">
              <w:rPr>
                <w:sz w:val="22"/>
                <w:szCs w:val="22"/>
                <w:lang w:val="en-GB"/>
              </w:rPr>
              <w:t>Minimi</w:t>
            </w:r>
            <w:r w:rsidR="00400F69">
              <w:rPr>
                <w:sz w:val="22"/>
                <w:szCs w:val="22"/>
                <w:lang w:val="en-GB"/>
              </w:rPr>
              <w:t>z</w:t>
            </w:r>
            <w:r w:rsidR="00400F69" w:rsidRPr="00B87172">
              <w:rPr>
                <w:sz w:val="22"/>
                <w:szCs w:val="22"/>
                <w:lang w:val="en-GB"/>
              </w:rPr>
              <w:t xml:space="preserve">ing </w:t>
            </w:r>
            <w:r w:rsidRPr="00B87172">
              <w:rPr>
                <w:sz w:val="22"/>
                <w:szCs w:val="22"/>
                <w:lang w:val="en-GB"/>
              </w:rPr>
              <w:t xml:space="preserve">the risk of poisoning to </w:t>
            </w:r>
            <w:r w:rsidRPr="00B87172">
              <w:rPr>
                <w:sz w:val="22"/>
                <w:szCs w:val="22"/>
                <w:lang w:val="en-GB"/>
              </w:rPr>
              <w:lastRenderedPageBreak/>
              <w:t>migratory birds</w:t>
            </w:r>
          </w:p>
          <w:p w14:paraId="05061FFB" w14:textId="77777777" w:rsidR="00B87172" w:rsidRPr="00B87172" w:rsidRDefault="00B87172" w:rsidP="00B87172">
            <w:pPr>
              <w:rPr>
                <w:sz w:val="22"/>
                <w:szCs w:val="22"/>
                <w:lang w:val="en-GB"/>
              </w:rPr>
            </w:pPr>
            <w:r w:rsidRPr="00B87172">
              <w:rPr>
                <w:sz w:val="22"/>
                <w:szCs w:val="22"/>
                <w:lang w:val="en-GB"/>
              </w:rPr>
              <w:t>CMS Res. 11.15 Preventing poisoning of migratory birds</w:t>
            </w:r>
          </w:p>
        </w:tc>
        <w:tc>
          <w:tcPr>
            <w:tcW w:w="1552" w:type="pct"/>
          </w:tcPr>
          <w:p w14:paraId="5705A305" w14:textId="77777777" w:rsidR="00B87172" w:rsidRPr="00B87172" w:rsidRDefault="00B87172" w:rsidP="00B87172">
            <w:pPr>
              <w:rPr>
                <w:sz w:val="22"/>
                <w:szCs w:val="22"/>
                <w:lang w:val="en-GB"/>
              </w:rPr>
            </w:pPr>
            <w:r w:rsidRPr="00B87172">
              <w:rPr>
                <w:sz w:val="22"/>
                <w:szCs w:val="22"/>
                <w:lang w:val="en-GB"/>
              </w:rPr>
              <w:lastRenderedPageBreak/>
              <w:t>CMS Res. 11.15 Guidelines to prevent the risk of poisoning to migratory birds</w:t>
            </w:r>
          </w:p>
          <w:p w14:paraId="0E4BD18F" w14:textId="77777777" w:rsidR="00B87172" w:rsidRPr="00B87172" w:rsidRDefault="00B87172" w:rsidP="00B87172">
            <w:pPr>
              <w:numPr>
                <w:ilvl w:val="0"/>
                <w:numId w:val="15"/>
              </w:numPr>
              <w:rPr>
                <w:sz w:val="22"/>
                <w:szCs w:val="22"/>
                <w:lang w:val="en-GB"/>
              </w:rPr>
            </w:pPr>
            <w:r w:rsidRPr="00B87172">
              <w:rPr>
                <w:sz w:val="22"/>
                <w:szCs w:val="22"/>
                <w:lang w:val="en-GB"/>
              </w:rPr>
              <w:lastRenderedPageBreak/>
              <w:t>Recommendations to prevent risk from lead fishing weights</w:t>
            </w:r>
          </w:p>
        </w:tc>
      </w:tr>
      <w:tr w:rsidR="00B87172" w:rsidRPr="00B87172" w14:paraId="2C483E44" w14:textId="77777777" w:rsidTr="0014156C">
        <w:tc>
          <w:tcPr>
            <w:tcW w:w="1149" w:type="pct"/>
          </w:tcPr>
          <w:p w14:paraId="290C5F78" w14:textId="77777777" w:rsidR="00B87172" w:rsidRPr="00B87172" w:rsidRDefault="00B87172" w:rsidP="00B87172">
            <w:pPr>
              <w:rPr>
                <w:sz w:val="22"/>
                <w:szCs w:val="22"/>
                <w:lang w:val="en-GB"/>
              </w:rPr>
            </w:pPr>
            <w:r w:rsidRPr="00B87172">
              <w:rPr>
                <w:sz w:val="22"/>
                <w:szCs w:val="22"/>
                <w:lang w:val="en-GB"/>
              </w:rPr>
              <w:lastRenderedPageBreak/>
              <w:t>Poisoning through other sources of lead</w:t>
            </w:r>
          </w:p>
        </w:tc>
        <w:tc>
          <w:tcPr>
            <w:tcW w:w="1150" w:type="pct"/>
          </w:tcPr>
          <w:p w14:paraId="5AB75150" w14:textId="77777777" w:rsidR="00B87172" w:rsidRPr="00B87172" w:rsidRDefault="00B87172" w:rsidP="00B87172">
            <w:pPr>
              <w:rPr>
                <w:sz w:val="22"/>
                <w:szCs w:val="22"/>
                <w:lang w:val="en-GB"/>
              </w:rPr>
            </w:pPr>
          </w:p>
        </w:tc>
        <w:tc>
          <w:tcPr>
            <w:tcW w:w="1150" w:type="pct"/>
          </w:tcPr>
          <w:p w14:paraId="45B75848" w14:textId="77777777" w:rsidR="00B87172" w:rsidRPr="00B87172" w:rsidRDefault="00B87172" w:rsidP="00B87172">
            <w:pPr>
              <w:rPr>
                <w:sz w:val="22"/>
                <w:szCs w:val="22"/>
                <w:lang w:val="en-GB"/>
              </w:rPr>
            </w:pPr>
            <w:r w:rsidRPr="00B87172">
              <w:rPr>
                <w:sz w:val="22"/>
                <w:szCs w:val="22"/>
                <w:lang w:val="en-GB"/>
              </w:rPr>
              <w:t>CMS Res. 11.15 Preventing poisoning of migratory birds</w:t>
            </w:r>
          </w:p>
        </w:tc>
        <w:tc>
          <w:tcPr>
            <w:tcW w:w="1552" w:type="pct"/>
          </w:tcPr>
          <w:p w14:paraId="25C2A36A" w14:textId="77777777" w:rsidR="00B87172" w:rsidRPr="00B87172" w:rsidRDefault="00B87172" w:rsidP="00B87172">
            <w:pPr>
              <w:rPr>
                <w:sz w:val="22"/>
                <w:szCs w:val="22"/>
                <w:lang w:val="en-GB"/>
              </w:rPr>
            </w:pPr>
            <w:r w:rsidRPr="00B87172">
              <w:rPr>
                <w:sz w:val="22"/>
                <w:szCs w:val="22"/>
                <w:lang w:val="en-GB"/>
              </w:rPr>
              <w:t>CMS Res. 11.15 Guidelines to prevent the risk of poisoning to migratory birds</w:t>
            </w:r>
          </w:p>
          <w:p w14:paraId="3703EA82" w14:textId="77777777" w:rsidR="00B87172" w:rsidRPr="00B87172" w:rsidRDefault="00B87172" w:rsidP="00B87172">
            <w:pPr>
              <w:numPr>
                <w:ilvl w:val="0"/>
                <w:numId w:val="15"/>
              </w:numPr>
              <w:rPr>
                <w:sz w:val="22"/>
                <w:szCs w:val="22"/>
              </w:rPr>
            </w:pPr>
            <w:r w:rsidRPr="00B87172">
              <w:rPr>
                <w:sz w:val="22"/>
                <w:szCs w:val="22"/>
                <w:lang w:val="en-GB"/>
              </w:rPr>
              <w:t>Recommendations to prevent risk from other sources of lead (industrial pollution, leaded paint and discarded lead)</w:t>
            </w:r>
          </w:p>
        </w:tc>
      </w:tr>
    </w:tbl>
    <w:p w14:paraId="0D6B3A18" w14:textId="77777777" w:rsidR="00B87172" w:rsidRPr="00B87172" w:rsidRDefault="00B87172" w:rsidP="00B87172">
      <w:pPr>
        <w:rPr>
          <w:sz w:val="22"/>
          <w:szCs w:val="22"/>
          <w:lang w:val="en-GB"/>
        </w:rPr>
      </w:pPr>
    </w:p>
    <w:sectPr w:rsidR="00B87172" w:rsidRPr="00B87172" w:rsidSect="00FB1D66">
      <w:headerReference w:type="default" r:id="rId32"/>
      <w:headerReference w:type="first" r:id="rId33"/>
      <w:endnotePr>
        <w:numFmt w:val="decimal"/>
      </w:endnotePr>
      <w:pgSz w:w="16837" w:h="11905" w:orient="landscape"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9E59" w14:textId="77777777" w:rsidR="003A04B3" w:rsidRDefault="003A04B3">
      <w:r>
        <w:separator/>
      </w:r>
    </w:p>
  </w:endnote>
  <w:endnote w:type="continuationSeparator" w:id="0">
    <w:p w14:paraId="5B449E16" w14:textId="77777777" w:rsidR="003A04B3" w:rsidRDefault="003A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05BD" w14:textId="5E9C33B0" w:rsidR="00AC5BA3" w:rsidRPr="00922791" w:rsidRDefault="00AC5BA3"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E66EE">
      <w:rPr>
        <w:rFonts w:cs="Arial"/>
        <w:noProof/>
        <w:szCs w:val="18"/>
      </w:rPr>
      <w:t>8</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D143" w14:textId="48FB49C0" w:rsidR="00AC5BA3" w:rsidRPr="00922791" w:rsidRDefault="00AC5BA3"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E66EE">
      <w:rPr>
        <w:rFonts w:cs="Arial"/>
        <w:noProof/>
        <w:szCs w:val="18"/>
      </w:rPr>
      <w:t>11</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19DC" w14:textId="77777777" w:rsidR="00AC5BA3" w:rsidRPr="00CD7355" w:rsidRDefault="00AC5BA3"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08CC" w14:textId="710D5B04" w:rsidR="00AC5BA3" w:rsidRPr="002F2B3F" w:rsidRDefault="00AC5BA3" w:rsidP="002F2B3F">
    <w:pPr>
      <w:pStyle w:val="Footer"/>
      <w:tabs>
        <w:tab w:val="clear" w:pos="8640"/>
        <w:tab w:val="right" w:pos="9083"/>
      </w:tabs>
      <w:jc w:val="center"/>
      <w:rPr>
        <w:rFonts w:cs="Arial"/>
        <w:szCs w:val="18"/>
      </w:rPr>
    </w:pPr>
    <w:r>
      <w:rPr>
        <w:rFonts w:cs="Arial"/>
        <w:noProof/>
        <w:szCs w:val="18"/>
      </w:rPr>
      <w:tab/>
    </w: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DE66EE">
      <w:rPr>
        <w:rFonts w:cs="Arial"/>
        <w:noProof/>
        <w:szCs w:val="18"/>
      </w:rPr>
      <w:t>12</w:t>
    </w:r>
    <w:r w:rsidRPr="00D605A4">
      <w:rPr>
        <w:rFonts w:cs="Arial"/>
        <w:noProof/>
        <w:szCs w:val="18"/>
      </w:rPr>
      <w:fldChar w:fldCharType="end"/>
    </w:r>
    <w:r>
      <w:rPr>
        <w:rFonts w:cs="Arial"/>
        <w:noProof/>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3413"/>
      <w:docPartObj>
        <w:docPartGallery w:val="Page Numbers (Bottom of Page)"/>
        <w:docPartUnique/>
      </w:docPartObj>
    </w:sdtPr>
    <w:sdtEndPr>
      <w:rPr>
        <w:rFonts w:ascii="Times New Roman" w:hAnsi="Times New Roman"/>
        <w:noProof/>
        <w:sz w:val="20"/>
        <w:szCs w:val="20"/>
      </w:rPr>
    </w:sdtEndPr>
    <w:sdtContent>
      <w:p w14:paraId="066B738E" w14:textId="7A9444C3" w:rsidR="00AC5BA3" w:rsidRPr="00095605" w:rsidRDefault="00AC5BA3">
        <w:pPr>
          <w:jc w:val="center"/>
          <w:rPr>
            <w:rFonts w:ascii="Times New Roman" w:hAnsi="Times New Roman"/>
            <w:sz w:val="20"/>
            <w:szCs w:val="20"/>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DE66EE">
          <w:rPr>
            <w:rFonts w:cs="Arial"/>
            <w:noProof/>
            <w:szCs w:val="18"/>
          </w:rPr>
          <w:t>14</w:t>
        </w:r>
        <w:r w:rsidRPr="00B87172">
          <w:rPr>
            <w:rFonts w:cs="Arial"/>
            <w:noProof/>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32222"/>
      <w:docPartObj>
        <w:docPartGallery w:val="Page Numbers (Bottom of Page)"/>
        <w:docPartUnique/>
      </w:docPartObj>
    </w:sdtPr>
    <w:sdtEndPr>
      <w:rPr>
        <w:rFonts w:cs="Arial"/>
        <w:noProof/>
        <w:szCs w:val="18"/>
      </w:rPr>
    </w:sdtEndPr>
    <w:sdtContent>
      <w:p w14:paraId="2BF0BCDE" w14:textId="3CE922F6" w:rsidR="00AC5BA3" w:rsidRPr="00B87172" w:rsidRDefault="00AC5BA3">
        <w:pPr>
          <w:jc w:val="center"/>
          <w:rPr>
            <w:rFonts w:cs="Arial"/>
            <w:szCs w:val="18"/>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DE66EE">
          <w:rPr>
            <w:rFonts w:cs="Arial"/>
            <w:noProof/>
            <w:szCs w:val="18"/>
          </w:rPr>
          <w:t>15</w:t>
        </w:r>
        <w:r w:rsidRPr="00B87172">
          <w:rPr>
            <w:rFonts w:cs="Arial"/>
            <w:noProof/>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04943"/>
      <w:docPartObj>
        <w:docPartGallery w:val="Page Numbers (Bottom of Page)"/>
        <w:docPartUnique/>
      </w:docPartObj>
    </w:sdtPr>
    <w:sdtEndPr>
      <w:rPr>
        <w:rFonts w:ascii="Times New Roman" w:hAnsi="Times New Roman"/>
        <w:noProof/>
        <w:sz w:val="20"/>
        <w:szCs w:val="20"/>
      </w:rPr>
    </w:sdtEndPr>
    <w:sdtContent>
      <w:p w14:paraId="6ED85E0C" w14:textId="77C1D301" w:rsidR="00AC5BA3" w:rsidRPr="00095605" w:rsidRDefault="00AC5BA3">
        <w:pPr>
          <w:jc w:val="center"/>
          <w:rPr>
            <w:rFonts w:ascii="Times New Roman" w:hAnsi="Times New Roman"/>
            <w:sz w:val="20"/>
            <w:szCs w:val="20"/>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DE66EE">
          <w:rPr>
            <w:rFonts w:cs="Arial"/>
            <w:noProof/>
            <w:szCs w:val="18"/>
          </w:rPr>
          <w:t>16</w:t>
        </w:r>
        <w:r w:rsidRPr="00B87172">
          <w:rPr>
            <w:rFonts w:cs="Arial"/>
            <w:noProof/>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F258" w14:textId="77777777" w:rsidR="003A04B3" w:rsidRDefault="003A04B3">
      <w:r>
        <w:separator/>
      </w:r>
    </w:p>
  </w:footnote>
  <w:footnote w:type="continuationSeparator" w:id="0">
    <w:p w14:paraId="052E58F6" w14:textId="77777777" w:rsidR="003A04B3" w:rsidRDefault="003A04B3">
      <w:r>
        <w:continuationSeparator/>
      </w:r>
    </w:p>
  </w:footnote>
  <w:footnote w:id="1">
    <w:p w14:paraId="1CC63D65" w14:textId="77777777" w:rsidR="00AC5BA3" w:rsidRDefault="00AC5BA3" w:rsidP="00892BE3">
      <w:pPr>
        <w:pStyle w:val="FootnoteText"/>
        <w:tabs>
          <w:tab w:val="left" w:pos="284"/>
        </w:tabs>
      </w:pPr>
      <w:r w:rsidRPr="00847178">
        <w:rPr>
          <w:rStyle w:val="FootnoteReference"/>
          <w:vertAlign w:val="superscript"/>
        </w:rPr>
        <w:footnoteRef/>
      </w:r>
      <w:r>
        <w:t xml:space="preserve"> </w:t>
      </w:r>
      <w:r>
        <w:tab/>
      </w:r>
      <w:r>
        <w:rPr>
          <w:lang w:val="en-GB"/>
        </w:rPr>
        <w:t>Under the name Minimising the Risk of Poisoning to Migratory Birds Working Group.</w:t>
      </w:r>
    </w:p>
  </w:footnote>
  <w:footnote w:id="2">
    <w:p w14:paraId="79DD46F2" w14:textId="2F211285" w:rsidR="00AC5BA3" w:rsidRPr="00FB1D66" w:rsidRDefault="00AC5BA3" w:rsidP="00B54A37">
      <w:pPr>
        <w:pStyle w:val="FootnoteText"/>
        <w:rPr>
          <w:rFonts w:cs="Arial"/>
        </w:rPr>
      </w:pPr>
      <w:r w:rsidRPr="00FB1D66">
        <w:rPr>
          <w:rStyle w:val="FootnoteReference"/>
          <w:rFonts w:cs="Arial"/>
          <w:vertAlign w:val="superscript"/>
        </w:rPr>
        <w:footnoteRef/>
      </w:r>
      <w:hyperlink r:id="rId1" w:history="1">
        <w:r w:rsidRPr="00FB1D66">
          <w:rPr>
            <w:rFonts w:cs="Arial"/>
            <w:szCs w:val="18"/>
          </w:rPr>
          <w:t>http://www.cms.int/sites/default/files/document/Res_11_15_Preventing_Bird_Poisoning_of_Birds_E_0.pdf</w:t>
        </w:r>
      </w:hyperlink>
      <w:r w:rsidRPr="00FB1D66">
        <w:rPr>
          <w:rFonts w:cs="Arial"/>
          <w:color w:val="1F497D"/>
          <w:szCs w:val="18"/>
        </w:rPr>
        <w:t>.</w:t>
      </w:r>
    </w:p>
  </w:footnote>
  <w:footnote w:id="3">
    <w:p w14:paraId="38F7A574" w14:textId="7461ACBA" w:rsidR="00AC5BA3" w:rsidRDefault="00AC5BA3" w:rsidP="00B54A37">
      <w:pPr>
        <w:pStyle w:val="FootnoteText"/>
      </w:pPr>
      <w:r w:rsidRPr="00FB1D66">
        <w:rPr>
          <w:rStyle w:val="FootnoteReference"/>
          <w:rFonts w:cs="Arial"/>
          <w:vertAlign w:val="superscript"/>
        </w:rPr>
        <w:footnoteRef/>
      </w:r>
      <w:hyperlink r:id="rId2" w:history="1">
        <w:r w:rsidRPr="00FB1D66">
          <w:rPr>
            <w:rFonts w:cs="Arial"/>
            <w:szCs w:val="18"/>
          </w:rPr>
          <w:t>http://www.cms.int/sites/default/files/document/COP11_Doc_23_1_2_Bird_Poisoning_Review_%26_Guidelines_E_0.pdf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E577" w14:textId="77777777" w:rsidR="00AC5BA3" w:rsidRPr="00922791" w:rsidRDefault="00AC5BA3"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E565" w14:textId="03843F19" w:rsidR="00502657" w:rsidRPr="00497E66" w:rsidRDefault="00502657" w:rsidP="002F2B3F">
    <w:pPr>
      <w:pStyle w:val="Heading1"/>
      <w:keepNext w:val="0"/>
      <w:pBdr>
        <w:bottom w:val="single" w:sz="4" w:space="1" w:color="auto"/>
      </w:pBdr>
      <w:tabs>
        <w:tab w:val="clear" w:pos="-720"/>
      </w:tabs>
      <w:ind w:left="261" w:right="11" w:hanging="261"/>
      <w:jc w:val="right"/>
      <w:rPr>
        <w:rFonts w:cs="Arial"/>
        <w:b w:val="0"/>
        <w:i/>
        <w:sz w:val="18"/>
        <w:szCs w:val="18"/>
        <w:lang w:val="fr-FR"/>
      </w:rPr>
    </w:pPr>
    <w:r w:rsidRPr="00D27366">
      <w:rPr>
        <w:rFonts w:cs="Arial"/>
        <w:b w:val="0"/>
        <w:i/>
        <w:sz w:val="18"/>
        <w:szCs w:val="18"/>
        <w:lang w:val="fr-FR"/>
      </w:rPr>
      <w:t>U</w:t>
    </w:r>
    <w:r>
      <w:rPr>
        <w:rFonts w:cs="Arial"/>
        <w:b w:val="0"/>
        <w:i/>
        <w:sz w:val="18"/>
        <w:szCs w:val="18"/>
        <w:lang w:val="fr-FR"/>
      </w:rPr>
      <w:t>NEP/CMS/COP12/Doc.24.1.3/</w:t>
    </w:r>
    <w:r w:rsidR="00812023">
      <w:rPr>
        <w:rFonts w:cs="Arial"/>
        <w:b w:val="0"/>
        <w:i/>
        <w:sz w:val="18"/>
        <w:szCs w:val="18"/>
        <w:lang w:val="fr-FR"/>
      </w:rPr>
      <w:t>Rev.</w:t>
    </w:r>
    <w:r w:rsidR="0048320A">
      <w:rPr>
        <w:rFonts w:cs="Arial"/>
        <w:b w:val="0"/>
        <w:i/>
        <w:sz w:val="18"/>
        <w:szCs w:val="18"/>
        <w:lang w:val="fr-FR"/>
      </w:rPr>
      <w:t>2</w:t>
    </w:r>
    <w:r w:rsidR="00812023">
      <w:rPr>
        <w:rFonts w:cs="Arial"/>
        <w:b w:val="0"/>
        <w:i/>
        <w:sz w:val="18"/>
        <w:szCs w:val="18"/>
        <w:lang w:val="fr-FR"/>
      </w:rPr>
      <w:t>/</w:t>
    </w:r>
    <w:proofErr w:type="spellStart"/>
    <w:r w:rsidRPr="00502657">
      <w:rPr>
        <w:rFonts w:cs="Arial"/>
        <w:b w:val="0"/>
        <w:i/>
        <w:sz w:val="18"/>
        <w:szCs w:val="18"/>
        <w:lang w:val="fr-FR"/>
      </w:rPr>
      <w:t>Annex</w:t>
    </w:r>
    <w:proofErr w:type="spellEnd"/>
    <w:r w:rsidRPr="00502657">
      <w:rPr>
        <w:rFonts w:cs="Arial"/>
        <w:b w:val="0"/>
        <w:i/>
        <w:sz w:val="18"/>
        <w:szCs w:val="18"/>
        <w:lang w:val="fr-FR"/>
      </w:rPr>
      <w:t xml:space="preserve"> 1</w:t>
    </w:r>
  </w:p>
  <w:p w14:paraId="21B525D1" w14:textId="77777777" w:rsidR="00502657" w:rsidRPr="00497E66" w:rsidRDefault="00502657" w:rsidP="00A27BE3">
    <w:pPr>
      <w:jc w:val="right"/>
      <w:rPr>
        <w:i/>
        <w:szCs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7041" w14:textId="1715CC5C" w:rsidR="00502657" w:rsidRPr="002F2B3F" w:rsidRDefault="00502657" w:rsidP="00502657">
    <w:pPr>
      <w:pStyle w:val="Header"/>
      <w:pBdr>
        <w:bottom w:val="single" w:sz="4" w:space="1" w:color="auto"/>
      </w:pBdr>
      <w:rPr>
        <w:rFonts w:cs="Arial"/>
        <w:i/>
        <w:szCs w:val="18"/>
        <w:lang w:val="en-US"/>
      </w:rPr>
    </w:pPr>
    <w:r w:rsidRPr="002F2B3F">
      <w:rPr>
        <w:rFonts w:cs="Arial"/>
        <w:i/>
        <w:szCs w:val="18"/>
        <w:lang w:val="en-US"/>
      </w:rPr>
      <w:t>UNEP/CMS/COP12/Doc.24.1.3/</w:t>
    </w:r>
    <w:r w:rsidR="00812023">
      <w:rPr>
        <w:rFonts w:cs="Arial"/>
        <w:i/>
        <w:szCs w:val="18"/>
        <w:lang w:val="en-US"/>
      </w:rPr>
      <w:t>Rev.</w:t>
    </w:r>
    <w:r w:rsidR="0048320A">
      <w:rPr>
        <w:rFonts w:cs="Arial"/>
        <w:i/>
        <w:szCs w:val="18"/>
        <w:lang w:val="en-US"/>
      </w:rPr>
      <w:t>2</w:t>
    </w:r>
    <w:r w:rsidR="00812023">
      <w:rPr>
        <w:rFonts w:cs="Arial"/>
        <w:i/>
        <w:szCs w:val="18"/>
        <w:lang w:val="en-US"/>
      </w:rPr>
      <w:t>/Annex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21A9" w14:textId="0AD851EB" w:rsidR="00AC5BA3" w:rsidRPr="00497E66" w:rsidRDefault="00AC5BA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Pr>
        <w:rFonts w:cs="Arial"/>
        <w:b w:val="0"/>
        <w:i/>
        <w:sz w:val="18"/>
        <w:szCs w:val="18"/>
        <w:lang w:val="fr-FR"/>
      </w:rPr>
      <w:ptab w:relativeTo="margin" w:alignment="left" w:leader="none"/>
    </w:r>
    <w:r w:rsidRPr="00D27366">
      <w:rPr>
        <w:rFonts w:cs="Arial"/>
        <w:b w:val="0"/>
        <w:i/>
        <w:sz w:val="18"/>
        <w:szCs w:val="18"/>
        <w:lang w:val="fr-FR"/>
      </w:rPr>
      <w:t>U</w:t>
    </w:r>
    <w:r>
      <w:rPr>
        <w:rFonts w:cs="Arial"/>
        <w:b w:val="0"/>
        <w:i/>
        <w:sz w:val="18"/>
        <w:szCs w:val="18"/>
        <w:lang w:val="fr-FR"/>
      </w:rPr>
      <w:t>NEP/CMS/COP12/Doc.24.1.3/</w:t>
    </w:r>
    <w:proofErr w:type="spellStart"/>
    <w:r>
      <w:rPr>
        <w:rFonts w:cs="Arial"/>
        <w:b w:val="0"/>
        <w:i/>
        <w:sz w:val="18"/>
        <w:szCs w:val="18"/>
        <w:lang w:val="fr-FR"/>
      </w:rPr>
      <w:t>Annex</w:t>
    </w:r>
    <w:proofErr w:type="spellEnd"/>
    <w:r>
      <w:rPr>
        <w:rFonts w:cs="Arial"/>
        <w:b w:val="0"/>
        <w:i/>
        <w:sz w:val="18"/>
        <w:szCs w:val="18"/>
        <w:lang w:val="fr-FR"/>
      </w:rPr>
      <w:t xml:space="preserve"> 2</w:t>
    </w:r>
    <w:r w:rsidRPr="00D27366">
      <w:rPr>
        <w:rFonts w:cs="Arial"/>
        <w:b w:val="0"/>
        <w:i/>
        <w:sz w:val="18"/>
        <w:szCs w:val="18"/>
        <w:lang w:val="fr-FR"/>
      </w:rPr>
      <w:t xml:space="preserve">: </w:t>
    </w:r>
    <w:proofErr w:type="spellStart"/>
    <w:r w:rsidRPr="00D27366">
      <w:rPr>
        <w:rFonts w:cs="Arial"/>
        <w:b w:val="0"/>
        <w:i/>
        <w:sz w:val="18"/>
        <w:szCs w:val="18"/>
        <w:lang w:val="fr-FR"/>
      </w:rPr>
      <w:t>Draft</w:t>
    </w:r>
    <w:proofErr w:type="spellEnd"/>
    <w:r w:rsidRPr="00D27366">
      <w:rPr>
        <w:rFonts w:cs="Arial"/>
        <w:b w:val="0"/>
        <w:i/>
        <w:sz w:val="18"/>
        <w:szCs w:val="18"/>
        <w:lang w:val="fr-FR"/>
      </w:rPr>
      <w:t xml:space="preserve"> </w:t>
    </w:r>
    <w:proofErr w:type="spellStart"/>
    <w:r w:rsidRPr="00D27366">
      <w:rPr>
        <w:rFonts w:cs="Arial"/>
        <w:b w:val="0"/>
        <w:i/>
        <w:sz w:val="18"/>
        <w:szCs w:val="18"/>
        <w:lang w:val="fr-FR"/>
      </w:rPr>
      <w:t>Resolution</w:t>
    </w:r>
    <w:proofErr w:type="spellEnd"/>
    <w:r w:rsidRPr="00D27366">
      <w:rPr>
        <w:rFonts w:cs="Arial"/>
        <w:b w:val="0"/>
        <w:i/>
        <w:sz w:val="18"/>
        <w:szCs w:val="18"/>
        <w:lang w:val="fr-FR"/>
      </w:rPr>
      <w:t xml:space="preserve"> 11.15/Rev.COP12</w:t>
    </w:r>
  </w:p>
  <w:p w14:paraId="1C6B17A7" w14:textId="77777777" w:rsidR="00AC5BA3" w:rsidRPr="00497E66" w:rsidRDefault="00AC5BA3" w:rsidP="00A27BE3">
    <w:pPr>
      <w:jc w:val="right"/>
      <w:rPr>
        <w:i/>
        <w:szCs w:val="20"/>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6E9F" w14:textId="23D99716" w:rsidR="00AC5BA3" w:rsidRPr="002F2B3F" w:rsidRDefault="00AC5BA3" w:rsidP="00D605A4">
    <w:pPr>
      <w:pStyle w:val="Header"/>
      <w:pBdr>
        <w:bottom w:val="single" w:sz="4" w:space="1" w:color="auto"/>
      </w:pBdr>
      <w:rPr>
        <w:rFonts w:cs="Arial"/>
        <w:i/>
        <w:szCs w:val="18"/>
        <w:lang w:val="en-US"/>
      </w:rPr>
    </w:pPr>
    <w:r w:rsidRPr="002F2B3F">
      <w:rPr>
        <w:rFonts w:cs="Arial"/>
        <w:i/>
        <w:szCs w:val="18"/>
        <w:lang w:val="en-US"/>
      </w:rPr>
      <w:t>UNEP/CMS/COP12/Doc.24.1.3/</w:t>
    </w:r>
    <w:r w:rsidR="00812023">
      <w:rPr>
        <w:rFonts w:cs="Arial"/>
        <w:i/>
        <w:szCs w:val="18"/>
        <w:lang w:val="en-US"/>
      </w:rPr>
      <w:t>Rev.</w:t>
    </w:r>
    <w:r w:rsidR="0048320A">
      <w:rPr>
        <w:rFonts w:cs="Arial"/>
        <w:i/>
        <w:szCs w:val="18"/>
        <w:lang w:val="en-US"/>
      </w:rPr>
      <w:t>2</w:t>
    </w:r>
    <w:r w:rsidR="00812023">
      <w:rPr>
        <w:rFonts w:cs="Arial"/>
        <w:i/>
        <w:szCs w:val="18"/>
        <w:lang w:val="en-US"/>
      </w:rPr>
      <w:t>/</w:t>
    </w:r>
    <w:r w:rsidRPr="002F2B3F">
      <w:rPr>
        <w:rFonts w:cs="Arial"/>
        <w:i/>
        <w:szCs w:val="18"/>
        <w:lang w:val="en-US"/>
      </w:rPr>
      <w:t>Annex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83D2" w14:textId="4D99F1D0" w:rsidR="00AC5BA3" w:rsidRPr="00B87172" w:rsidRDefault="00AC5BA3" w:rsidP="0014156C">
    <w:pPr>
      <w:pBdr>
        <w:bottom w:val="single" w:sz="4" w:space="1" w:color="auto"/>
      </w:pBdr>
    </w:pPr>
    <w:r w:rsidRPr="002F2B3F">
      <w:rPr>
        <w:rFonts w:cs="Arial"/>
        <w:i/>
        <w:szCs w:val="18"/>
      </w:rPr>
      <w:t>UNEP/CMS/COP12/Doc.24.1.3/</w:t>
    </w:r>
    <w:r w:rsidR="00812023">
      <w:rPr>
        <w:rFonts w:cs="Arial"/>
        <w:i/>
        <w:szCs w:val="18"/>
      </w:rPr>
      <w:t>Rev.</w:t>
    </w:r>
    <w:r w:rsidR="0048320A">
      <w:rPr>
        <w:rFonts w:cs="Arial"/>
        <w:i/>
        <w:szCs w:val="18"/>
      </w:rPr>
      <w:t>2</w:t>
    </w:r>
    <w:r w:rsidR="00812023">
      <w:rPr>
        <w:rFonts w:cs="Arial"/>
        <w:i/>
        <w:szCs w:val="18"/>
      </w:rPr>
      <w:t>/</w:t>
    </w:r>
    <w:r w:rsidRPr="002F2B3F">
      <w:rPr>
        <w:rFonts w:cs="Arial"/>
        <w:i/>
        <w:szCs w:val="18"/>
      </w:rPr>
      <w:t xml:space="preserve">Annex 3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9B6" w14:textId="4B6FD99A" w:rsidR="00AC5BA3" w:rsidRPr="00B87172" w:rsidRDefault="00AC5BA3" w:rsidP="00B87172">
    <w:pPr>
      <w:pBdr>
        <w:bottom w:val="single" w:sz="4" w:space="1" w:color="auto"/>
      </w:pBdr>
    </w:pPr>
    <w:r>
      <w:rPr>
        <w:rFonts w:cs="Arial"/>
        <w:i/>
        <w:szCs w:val="18"/>
        <w:lang w:val="de-DE"/>
      </w:rPr>
      <w:ptab w:relativeTo="margin" w:alignment="right" w:leader="none"/>
    </w:r>
    <w:r w:rsidRPr="002F2B3F">
      <w:rPr>
        <w:rFonts w:cs="Arial"/>
        <w:i/>
        <w:szCs w:val="18"/>
      </w:rPr>
      <w:t>UNEP/CMS/COP12/Doc.24.1.3/</w:t>
    </w:r>
    <w:r w:rsidR="00812023">
      <w:rPr>
        <w:rFonts w:cs="Arial"/>
        <w:i/>
        <w:szCs w:val="18"/>
      </w:rPr>
      <w:t>Rev.</w:t>
    </w:r>
    <w:r w:rsidR="0048320A">
      <w:rPr>
        <w:rFonts w:cs="Arial"/>
        <w:i/>
        <w:szCs w:val="18"/>
      </w:rPr>
      <w:t>2</w:t>
    </w:r>
    <w:r w:rsidR="00812023">
      <w:rPr>
        <w:rFonts w:cs="Arial"/>
        <w:i/>
        <w:szCs w:val="18"/>
      </w:rPr>
      <w:t>/</w:t>
    </w:r>
    <w:r w:rsidRPr="002F2B3F">
      <w:rPr>
        <w:rFonts w:cs="Arial"/>
        <w:i/>
        <w:szCs w:val="18"/>
      </w:rPr>
      <w:t>Annex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412" w14:textId="3F48359C" w:rsidR="00AC5BA3" w:rsidRDefault="00AC5BA3" w:rsidP="00FB1D66">
    <w:pPr>
      <w:pBdr>
        <w:bottom w:val="single" w:sz="4" w:space="1" w:color="auto"/>
      </w:pBdr>
      <w:jc w:val="right"/>
    </w:pPr>
    <w:r w:rsidRPr="002F2B3F">
      <w:rPr>
        <w:rFonts w:cs="Arial"/>
        <w:i/>
        <w:szCs w:val="18"/>
      </w:rPr>
      <w:t>UNEP/CMS/COP12/Doc.24.1.3/</w:t>
    </w:r>
    <w:r w:rsidR="00812023">
      <w:rPr>
        <w:rFonts w:cs="Arial"/>
        <w:i/>
        <w:szCs w:val="18"/>
      </w:rPr>
      <w:t>Rev.</w:t>
    </w:r>
    <w:r w:rsidR="0048320A">
      <w:rPr>
        <w:rFonts w:cs="Arial"/>
        <w:i/>
        <w:szCs w:val="18"/>
      </w:rPr>
      <w:t>2</w:t>
    </w:r>
    <w:r w:rsidR="00812023">
      <w:rPr>
        <w:rFonts w:cs="Arial"/>
        <w:i/>
        <w:szCs w:val="18"/>
      </w:rPr>
      <w:t>/</w:t>
    </w:r>
    <w:r w:rsidRPr="002F2B3F">
      <w:rPr>
        <w:rFonts w:cs="Arial"/>
        <w:i/>
        <w:szCs w:val="18"/>
      </w:rPr>
      <w:t>Annex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D3E5" w14:textId="1742C3AC" w:rsidR="00AC5BA3" w:rsidRPr="00B87172" w:rsidRDefault="00AC5BA3" w:rsidP="00B87172">
    <w:pPr>
      <w:pBdr>
        <w:bottom w:val="single" w:sz="4" w:space="1" w:color="auto"/>
      </w:pBdr>
    </w:pPr>
    <w:r>
      <w:rPr>
        <w:rFonts w:cs="Arial"/>
        <w:i/>
        <w:szCs w:val="18"/>
        <w:lang w:val="de-DE"/>
      </w:rPr>
      <w:ptab w:relativeTo="margin" w:alignment="right" w:leader="none"/>
    </w:r>
    <w:r w:rsidRPr="002F2B3F">
      <w:rPr>
        <w:rFonts w:cs="Arial"/>
        <w:i/>
        <w:szCs w:val="18"/>
      </w:rPr>
      <w:t>UNEP/CMS/COP12/Doc.24.1.3/</w:t>
    </w:r>
    <w:r w:rsidR="00F068B4">
      <w:rPr>
        <w:rFonts w:cs="Arial"/>
        <w:i/>
        <w:szCs w:val="18"/>
      </w:rPr>
      <w:t>Rev.2/</w:t>
    </w:r>
    <w:r w:rsidRPr="002F2B3F">
      <w:rPr>
        <w:rFonts w:cs="Arial"/>
        <w:i/>
        <w:szCs w:val="18"/>
      </w:rPr>
      <w:t xml:space="preserve">Annex </w:t>
    </w:r>
    <w:r w:rsidRPr="002F2B3F">
      <w:rPr>
        <w:rFonts w:cs="Arial"/>
        <w:i/>
        <w:szCs w:val="18"/>
      </w:rPr>
      <w:t>3</w:t>
    </w:r>
    <w:bookmarkStart w:id="0" w:name="_GoBack"/>
    <w:bookmarkEnd w:id="0"/>
    <w:r w:rsidRPr="002F2B3F">
      <w:rPr>
        <w:rFonts w:cs="Arial"/>
        <w:i/>
        <w:szCs w:val="18"/>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56CA" w14:textId="6D719A52" w:rsidR="00AC5BA3" w:rsidRPr="00B838AD" w:rsidRDefault="00AC5BA3" w:rsidP="00B838AD">
    <w:pPr>
      <w:pBdr>
        <w:bottom w:val="single" w:sz="4" w:space="1" w:color="auto"/>
      </w:pBdr>
    </w:pPr>
    <w:r w:rsidRPr="002F2B3F">
      <w:rPr>
        <w:rFonts w:cs="Arial"/>
        <w:i/>
        <w:szCs w:val="18"/>
      </w:rPr>
      <w:t>UNEP/CMS/COP12/Doc.24.1.3/</w:t>
    </w:r>
    <w:r w:rsidR="00F068B4">
      <w:rPr>
        <w:rFonts w:cs="Arial"/>
        <w:i/>
        <w:szCs w:val="18"/>
      </w:rPr>
      <w:t>Rev.2/</w:t>
    </w:r>
    <w:r w:rsidRPr="002F2B3F">
      <w:rPr>
        <w:rFonts w:cs="Arial"/>
        <w:i/>
        <w:szCs w:val="18"/>
      </w:rPr>
      <w:t xml:space="preserve">Annex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FE23" w14:textId="77777777" w:rsidR="00AC5BA3" w:rsidRPr="00497E66" w:rsidRDefault="00AC5BA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.24.1.3</w:t>
    </w:r>
  </w:p>
  <w:p w14:paraId="0ABE35DF" w14:textId="77777777" w:rsidR="00AC5BA3" w:rsidRPr="00497E66" w:rsidRDefault="00AC5BA3"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103F" w14:textId="77777777" w:rsidR="00AC5BA3" w:rsidRDefault="00AC5BA3" w:rsidP="00894D19">
    <w:pPr>
      <w:pStyle w:val="Header"/>
    </w:pPr>
    <w:r>
      <w:rPr>
        <w:noProof/>
        <w:lang w:val="en-US"/>
      </w:rPr>
      <w:drawing>
        <wp:anchor distT="0" distB="0" distL="114300" distR="114300" simplePos="0" relativeHeight="251657216" behindDoc="1" locked="0" layoutInCell="1" allowOverlap="1" wp14:anchorId="05708D7C" wp14:editId="49F07263">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8611D7A" wp14:editId="30B49F2C">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4" name="Picture 4"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F7CF" w14:textId="77777777" w:rsidR="00AC5BA3" w:rsidRDefault="00AC5B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165C" w14:textId="1B6AF1C6" w:rsidR="00AC5BA3" w:rsidRPr="00922791" w:rsidRDefault="00AC5BA3" w:rsidP="002F2B3F">
    <w:pPr>
      <w:pStyle w:val="Heading1"/>
      <w:keepNext w:val="0"/>
      <w:pBdr>
        <w:bottom w:val="single" w:sz="4" w:space="1" w:color="auto"/>
      </w:pBdr>
      <w:tabs>
        <w:tab w:val="clear" w:pos="-720"/>
      </w:tabs>
      <w:ind w:left="261" w:right="11" w:hanging="261"/>
      <w:rPr>
        <w:rFonts w:cs="Arial"/>
        <w:b w:val="0"/>
        <w:i/>
        <w:sz w:val="18"/>
        <w:szCs w:val="18"/>
        <w:lang w:val="en-US"/>
      </w:rPr>
    </w:pPr>
    <w:r w:rsidRPr="00D27366">
      <w:rPr>
        <w:rFonts w:cs="Arial"/>
        <w:b w:val="0"/>
        <w:i/>
        <w:sz w:val="18"/>
        <w:szCs w:val="18"/>
        <w:lang w:val="en-US"/>
      </w:rPr>
      <w:t>U</w:t>
    </w:r>
    <w:r w:rsidR="00326AEA">
      <w:rPr>
        <w:rFonts w:cs="Arial"/>
        <w:b w:val="0"/>
        <w:i/>
        <w:sz w:val="18"/>
        <w:szCs w:val="18"/>
        <w:lang w:val="en-US"/>
      </w:rPr>
      <w:t>NEP/CMS/COP12</w:t>
    </w:r>
    <w:r w:rsidR="00812023">
      <w:rPr>
        <w:rFonts w:cs="Arial"/>
        <w:b w:val="0"/>
        <w:i/>
        <w:sz w:val="18"/>
        <w:szCs w:val="18"/>
        <w:lang w:val="en-US"/>
      </w:rPr>
      <w:t>/</w:t>
    </w:r>
    <w:r w:rsidRPr="00D27366">
      <w:rPr>
        <w:rFonts w:cs="Arial"/>
        <w:b w:val="0"/>
        <w:i/>
        <w:sz w:val="18"/>
        <w:szCs w:val="18"/>
        <w:lang w:val="en-US"/>
      </w:rPr>
      <w:t>Doc.24.1.3</w:t>
    </w:r>
    <w:r w:rsidR="00326AEA">
      <w:rPr>
        <w:rFonts w:cs="Arial"/>
        <w:b w:val="0"/>
        <w:i/>
        <w:sz w:val="18"/>
        <w:szCs w:val="18"/>
        <w:lang w:val="en-US"/>
      </w:rPr>
      <w:t>/Rev.2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13F4" w14:textId="0C6819B3" w:rsidR="00AC5BA3" w:rsidRPr="00497E66" w:rsidRDefault="00AC5BA3" w:rsidP="002F2B3F">
    <w:pPr>
      <w:pStyle w:val="Heading1"/>
      <w:keepNext w:val="0"/>
      <w:pBdr>
        <w:bottom w:val="single" w:sz="4" w:space="1" w:color="auto"/>
      </w:pBdr>
      <w:tabs>
        <w:tab w:val="clear" w:pos="-720"/>
      </w:tabs>
      <w:ind w:left="261" w:right="11" w:hanging="261"/>
      <w:jc w:val="right"/>
      <w:rPr>
        <w:rFonts w:cs="Arial"/>
        <w:b w:val="0"/>
        <w:i/>
        <w:sz w:val="18"/>
        <w:szCs w:val="18"/>
        <w:lang w:val="fr-FR"/>
      </w:rPr>
    </w:pPr>
    <w:r w:rsidRPr="004742EC">
      <w:rPr>
        <w:rFonts w:cs="Arial"/>
        <w:b w:val="0"/>
        <w:i/>
        <w:sz w:val="18"/>
        <w:szCs w:val="18"/>
        <w:lang w:val="fr-FR"/>
      </w:rPr>
      <w:t>UNEP/CMS/COP12/Doc.24.1.3</w:t>
    </w:r>
    <w:r w:rsidR="00326AEA">
      <w:rPr>
        <w:rFonts w:cs="Arial"/>
        <w:b w:val="0"/>
        <w:i/>
        <w:sz w:val="18"/>
        <w:szCs w:val="18"/>
        <w:lang w:val="fr-FR"/>
      </w:rPr>
      <w:t>/Rev.2</w:t>
    </w:r>
  </w:p>
  <w:p w14:paraId="28674545" w14:textId="77777777" w:rsidR="00AC5BA3" w:rsidRPr="00497E66" w:rsidRDefault="00AC5BA3"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ECC0" w14:textId="1866D618" w:rsidR="00AC5BA3" w:rsidRPr="00812023" w:rsidRDefault="00AC5BA3" w:rsidP="00D605A4">
    <w:pPr>
      <w:pStyle w:val="Header"/>
      <w:pBdr>
        <w:bottom w:val="single" w:sz="4" w:space="1" w:color="auto"/>
      </w:pBdr>
      <w:rPr>
        <w:rFonts w:cs="Arial"/>
        <w:i/>
        <w:szCs w:val="18"/>
        <w:lang w:val="en-US"/>
      </w:rPr>
    </w:pPr>
    <w:r w:rsidRPr="00812023">
      <w:rPr>
        <w:rFonts w:cs="Arial"/>
        <w:i/>
        <w:szCs w:val="18"/>
        <w:lang w:val="en-US"/>
      </w:rPr>
      <w:t>UNEP/CMS/COP12/Doc.24.1.3</w:t>
    </w:r>
    <w:r w:rsidR="00812023" w:rsidRPr="00812023">
      <w:rPr>
        <w:rFonts w:cs="Arial"/>
        <w:i/>
        <w:szCs w:val="18"/>
        <w:lang w:val="en-US"/>
      </w:rPr>
      <w:t>/Rev.</w:t>
    </w:r>
    <w:r w:rsidR="0048320A">
      <w:rPr>
        <w:rFonts w:cs="Arial"/>
        <w:i/>
        <w:szCs w:val="18"/>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B858" w14:textId="1FB26C69" w:rsidR="00AC5BA3" w:rsidRPr="00922791" w:rsidRDefault="00AC5BA3" w:rsidP="002F2B3F">
    <w:pPr>
      <w:pStyle w:val="Heading1"/>
      <w:keepNext w:val="0"/>
      <w:pBdr>
        <w:bottom w:val="single" w:sz="4" w:space="1" w:color="auto"/>
      </w:pBdr>
      <w:tabs>
        <w:tab w:val="clear" w:pos="-720"/>
      </w:tabs>
      <w:ind w:left="261" w:right="11" w:hanging="261"/>
      <w:rPr>
        <w:rFonts w:cs="Arial"/>
        <w:b w:val="0"/>
        <w:i/>
        <w:sz w:val="18"/>
        <w:szCs w:val="18"/>
        <w:lang w:val="en-US"/>
      </w:rPr>
    </w:pPr>
    <w:r w:rsidRPr="004742EC">
      <w:rPr>
        <w:rFonts w:cs="Arial"/>
        <w:b w:val="0"/>
        <w:i/>
        <w:sz w:val="18"/>
        <w:szCs w:val="18"/>
        <w:lang w:val="en-US"/>
      </w:rPr>
      <w:t>UNEP/CMS/COP12/Doc.24.1.3/</w:t>
    </w:r>
    <w:r w:rsidR="00812023">
      <w:rPr>
        <w:rFonts w:cs="Arial"/>
        <w:b w:val="0"/>
        <w:i/>
        <w:sz w:val="18"/>
        <w:szCs w:val="18"/>
        <w:lang w:val="en-US"/>
      </w:rPr>
      <w:t>Rev.</w:t>
    </w:r>
    <w:r w:rsidR="0048320A">
      <w:rPr>
        <w:rFonts w:cs="Arial"/>
        <w:b w:val="0"/>
        <w:i/>
        <w:sz w:val="18"/>
        <w:szCs w:val="18"/>
        <w:lang w:val="en-US"/>
      </w:rPr>
      <w:t>2</w:t>
    </w:r>
    <w:r w:rsidR="00812023">
      <w:rPr>
        <w:rFonts w:cs="Arial"/>
        <w:b w:val="0"/>
        <w:i/>
        <w:sz w:val="18"/>
        <w:szCs w:val="18"/>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6AB2" w14:textId="7EC06C94" w:rsidR="00AC5BA3" w:rsidRPr="00497E66" w:rsidRDefault="00AC5BA3" w:rsidP="002F2B3F">
    <w:pPr>
      <w:pStyle w:val="Heading1"/>
      <w:keepNext w:val="0"/>
      <w:pBdr>
        <w:bottom w:val="single" w:sz="4" w:space="1" w:color="auto"/>
      </w:pBdr>
      <w:tabs>
        <w:tab w:val="clear" w:pos="-720"/>
      </w:tabs>
      <w:ind w:left="261" w:right="11" w:hanging="261"/>
      <w:jc w:val="right"/>
      <w:rPr>
        <w:rFonts w:cs="Arial"/>
        <w:b w:val="0"/>
        <w:i/>
        <w:sz w:val="18"/>
        <w:szCs w:val="18"/>
        <w:lang w:val="fr-FR"/>
      </w:rPr>
    </w:pPr>
    <w:r w:rsidRPr="00D27366">
      <w:rPr>
        <w:rFonts w:cs="Arial"/>
        <w:b w:val="0"/>
        <w:i/>
        <w:sz w:val="18"/>
        <w:szCs w:val="18"/>
        <w:lang w:val="fr-FR"/>
      </w:rPr>
      <w:t>U</w:t>
    </w:r>
    <w:r>
      <w:rPr>
        <w:rFonts w:cs="Arial"/>
        <w:b w:val="0"/>
        <w:i/>
        <w:sz w:val="18"/>
        <w:szCs w:val="18"/>
        <w:lang w:val="fr-FR"/>
      </w:rPr>
      <w:t>NEP/CMS/COP12/Doc.24.1.3/</w:t>
    </w:r>
    <w:r w:rsidR="00812023">
      <w:rPr>
        <w:rFonts w:cs="Arial"/>
        <w:b w:val="0"/>
        <w:i/>
        <w:sz w:val="18"/>
        <w:szCs w:val="18"/>
        <w:lang w:val="fr-FR"/>
      </w:rPr>
      <w:t>Rev.</w:t>
    </w:r>
    <w:r w:rsidR="0048320A">
      <w:rPr>
        <w:rFonts w:cs="Arial"/>
        <w:b w:val="0"/>
        <w:i/>
        <w:sz w:val="18"/>
        <w:szCs w:val="18"/>
        <w:lang w:val="fr-FR"/>
      </w:rPr>
      <w:t>2</w:t>
    </w:r>
    <w:r w:rsidR="00812023">
      <w:rPr>
        <w:rFonts w:cs="Arial"/>
        <w:b w:val="0"/>
        <w:i/>
        <w:sz w:val="18"/>
        <w:szCs w:val="18"/>
        <w:lang w:val="fr-FR"/>
      </w:rPr>
      <w:t>/</w:t>
    </w:r>
    <w:proofErr w:type="spellStart"/>
    <w:r>
      <w:rPr>
        <w:rFonts w:cs="Arial"/>
        <w:b w:val="0"/>
        <w:i/>
        <w:sz w:val="18"/>
        <w:szCs w:val="18"/>
        <w:lang w:val="fr-FR"/>
      </w:rPr>
      <w:t>Annex</w:t>
    </w:r>
    <w:proofErr w:type="spellEnd"/>
    <w:r>
      <w:rPr>
        <w:rFonts w:cs="Arial"/>
        <w:b w:val="0"/>
        <w:i/>
        <w:sz w:val="18"/>
        <w:szCs w:val="18"/>
        <w:lang w:val="fr-FR"/>
      </w:rPr>
      <w:t xml:space="preserve"> 1</w:t>
    </w:r>
  </w:p>
  <w:p w14:paraId="04BAE8E3" w14:textId="77777777" w:rsidR="00AC5BA3" w:rsidRPr="00497E66" w:rsidRDefault="00AC5BA3"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62C0" w14:textId="1B900BE1" w:rsidR="00AC5BA3" w:rsidRPr="002F2B3F" w:rsidRDefault="00AC5BA3" w:rsidP="002F2B3F">
    <w:pPr>
      <w:pStyle w:val="Header"/>
      <w:pBdr>
        <w:bottom w:val="single" w:sz="4" w:space="1" w:color="auto"/>
      </w:pBdr>
      <w:jc w:val="right"/>
      <w:rPr>
        <w:rFonts w:cs="Arial"/>
        <w:i/>
        <w:szCs w:val="18"/>
        <w:lang w:val="en-US"/>
      </w:rPr>
    </w:pPr>
    <w:r w:rsidRPr="002F2B3F">
      <w:rPr>
        <w:rFonts w:cs="Arial"/>
        <w:i/>
        <w:szCs w:val="18"/>
        <w:lang w:val="en-US"/>
      </w:rPr>
      <w:t>U</w:t>
    </w:r>
    <w:r w:rsidR="00812023">
      <w:rPr>
        <w:rFonts w:cs="Arial"/>
        <w:i/>
        <w:szCs w:val="18"/>
        <w:lang w:val="en-US"/>
      </w:rPr>
      <w:t>NEP/CMS/COP12/Doc.24.1.3/Rev.</w:t>
    </w:r>
    <w:r w:rsidR="0048320A">
      <w:rPr>
        <w:rFonts w:cs="Arial"/>
        <w:i/>
        <w:szCs w:val="18"/>
        <w:lang w:val="en-US"/>
      </w:rPr>
      <w:t>2</w:t>
    </w:r>
    <w:r w:rsidR="00812023">
      <w:rPr>
        <w:rFonts w:cs="Arial"/>
        <w:i/>
        <w:szCs w:val="18"/>
        <w:lang w:val="en-US"/>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717AC"/>
    <w:multiLevelType w:val="hybridMultilevel"/>
    <w:tmpl w:val="8A880AEA"/>
    <w:lvl w:ilvl="0" w:tplc="1062E7CA">
      <w:start w:val="1"/>
      <w:numFmt w:val="decimal"/>
      <w:lvlText w:val="%1"/>
      <w:lvlJc w:val="left"/>
      <w:pPr>
        <w:ind w:left="370" w:hanging="360"/>
      </w:pPr>
      <w:rPr>
        <w:rFonts w:hint="default"/>
        <w:i w:val="0"/>
        <w:sz w:val="21"/>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E104AE7"/>
    <w:multiLevelType w:val="hybridMultilevel"/>
    <w:tmpl w:val="AB2C5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994BCD"/>
    <w:multiLevelType w:val="hybridMultilevel"/>
    <w:tmpl w:val="2C201CC0"/>
    <w:lvl w:ilvl="0" w:tplc="09C41F2C">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041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E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1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CB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A330FC"/>
    <w:multiLevelType w:val="hybridMultilevel"/>
    <w:tmpl w:val="FD8A2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FF7491"/>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E178D0"/>
    <w:multiLevelType w:val="hybridMultilevel"/>
    <w:tmpl w:val="4CE42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47C6E"/>
    <w:multiLevelType w:val="hybridMultilevel"/>
    <w:tmpl w:val="96A83BF8"/>
    <w:lvl w:ilvl="0" w:tplc="09C41F2C">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041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E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1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CB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157C6C"/>
    <w:multiLevelType w:val="hybridMultilevel"/>
    <w:tmpl w:val="FE4AF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
  </w:num>
  <w:num w:numId="13">
    <w:abstractNumId w:val="15"/>
  </w:num>
  <w:num w:numId="14">
    <w:abstractNumId w:val="18"/>
  </w:num>
  <w:num w:numId="15">
    <w:abstractNumId w:val="2"/>
  </w:num>
  <w:num w:numId="16">
    <w:abstractNumId w:val="16"/>
  </w:num>
  <w:num w:numId="17">
    <w:abstractNumId w:val="5"/>
  </w:num>
  <w:num w:numId="18">
    <w:abstractNumId w:val="11"/>
  </w:num>
  <w:num w:numId="19">
    <w:abstractNumId w:val="6"/>
  </w:num>
  <w:num w:numId="20">
    <w:abstractNumId w:val="9"/>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16DD"/>
    <w:rsid w:val="000254DF"/>
    <w:rsid w:val="00031A88"/>
    <w:rsid w:val="000336D6"/>
    <w:rsid w:val="0003449E"/>
    <w:rsid w:val="00036C53"/>
    <w:rsid w:val="0004188C"/>
    <w:rsid w:val="00045DB2"/>
    <w:rsid w:val="000518C2"/>
    <w:rsid w:val="00051EE2"/>
    <w:rsid w:val="00053174"/>
    <w:rsid w:val="00056DC1"/>
    <w:rsid w:val="00060156"/>
    <w:rsid w:val="0006784F"/>
    <w:rsid w:val="00070BBC"/>
    <w:rsid w:val="00073C92"/>
    <w:rsid w:val="00080F03"/>
    <w:rsid w:val="000900E1"/>
    <w:rsid w:val="0009076A"/>
    <w:rsid w:val="00093F20"/>
    <w:rsid w:val="00094BFC"/>
    <w:rsid w:val="000A0A81"/>
    <w:rsid w:val="000A78C8"/>
    <w:rsid w:val="000B6220"/>
    <w:rsid w:val="000C21B1"/>
    <w:rsid w:val="000C3C87"/>
    <w:rsid w:val="000C7460"/>
    <w:rsid w:val="000E01C1"/>
    <w:rsid w:val="000E788A"/>
    <w:rsid w:val="000F0B93"/>
    <w:rsid w:val="000F1156"/>
    <w:rsid w:val="000F52BA"/>
    <w:rsid w:val="00100410"/>
    <w:rsid w:val="00106232"/>
    <w:rsid w:val="001111A9"/>
    <w:rsid w:val="001151A3"/>
    <w:rsid w:val="001245DF"/>
    <w:rsid w:val="00127CC7"/>
    <w:rsid w:val="00130BFD"/>
    <w:rsid w:val="001356B0"/>
    <w:rsid w:val="0013767B"/>
    <w:rsid w:val="0014156C"/>
    <w:rsid w:val="001419C7"/>
    <w:rsid w:val="00150AC4"/>
    <w:rsid w:val="00162D88"/>
    <w:rsid w:val="00166ABA"/>
    <w:rsid w:val="001743FD"/>
    <w:rsid w:val="001764E6"/>
    <w:rsid w:val="001808F1"/>
    <w:rsid w:val="00185E1B"/>
    <w:rsid w:val="0019248C"/>
    <w:rsid w:val="001A33B6"/>
    <w:rsid w:val="001A465A"/>
    <w:rsid w:val="001B36E0"/>
    <w:rsid w:val="001C069F"/>
    <w:rsid w:val="001C391F"/>
    <w:rsid w:val="001C6038"/>
    <w:rsid w:val="001E5A93"/>
    <w:rsid w:val="001F60A1"/>
    <w:rsid w:val="001F7486"/>
    <w:rsid w:val="00200759"/>
    <w:rsid w:val="00200A67"/>
    <w:rsid w:val="00201F88"/>
    <w:rsid w:val="00202332"/>
    <w:rsid w:val="00203B00"/>
    <w:rsid w:val="002210F4"/>
    <w:rsid w:val="00225A14"/>
    <w:rsid w:val="00225F65"/>
    <w:rsid w:val="00235FB1"/>
    <w:rsid w:val="0024379F"/>
    <w:rsid w:val="00254721"/>
    <w:rsid w:val="00257709"/>
    <w:rsid w:val="00263159"/>
    <w:rsid w:val="00264D46"/>
    <w:rsid w:val="002770C7"/>
    <w:rsid w:val="002779F7"/>
    <w:rsid w:val="00287939"/>
    <w:rsid w:val="00291331"/>
    <w:rsid w:val="00294F33"/>
    <w:rsid w:val="002A1087"/>
    <w:rsid w:val="002A380C"/>
    <w:rsid w:val="002B2835"/>
    <w:rsid w:val="002C187A"/>
    <w:rsid w:val="002C20F1"/>
    <w:rsid w:val="002D2863"/>
    <w:rsid w:val="002D5EC0"/>
    <w:rsid w:val="002E17EF"/>
    <w:rsid w:val="002E2808"/>
    <w:rsid w:val="002E3DEA"/>
    <w:rsid w:val="002E7CC2"/>
    <w:rsid w:val="002F2B3F"/>
    <w:rsid w:val="002F364A"/>
    <w:rsid w:val="002F50FF"/>
    <w:rsid w:val="002F6F9B"/>
    <w:rsid w:val="00310A6A"/>
    <w:rsid w:val="00312172"/>
    <w:rsid w:val="00314A03"/>
    <w:rsid w:val="00315CB4"/>
    <w:rsid w:val="00324834"/>
    <w:rsid w:val="00326AEA"/>
    <w:rsid w:val="003331C6"/>
    <w:rsid w:val="00333AD3"/>
    <w:rsid w:val="00345044"/>
    <w:rsid w:val="00347546"/>
    <w:rsid w:val="003505AB"/>
    <w:rsid w:val="00351095"/>
    <w:rsid w:val="00354A9C"/>
    <w:rsid w:val="00357D1D"/>
    <w:rsid w:val="003614AA"/>
    <w:rsid w:val="00364973"/>
    <w:rsid w:val="00364C8C"/>
    <w:rsid w:val="00372228"/>
    <w:rsid w:val="00372347"/>
    <w:rsid w:val="00374425"/>
    <w:rsid w:val="003746CA"/>
    <w:rsid w:val="00375362"/>
    <w:rsid w:val="003779D4"/>
    <w:rsid w:val="00382398"/>
    <w:rsid w:val="00382FA8"/>
    <w:rsid w:val="003909E4"/>
    <w:rsid w:val="0039394E"/>
    <w:rsid w:val="003967C6"/>
    <w:rsid w:val="003A02C4"/>
    <w:rsid w:val="003A04B3"/>
    <w:rsid w:val="003A3E30"/>
    <w:rsid w:val="003A6915"/>
    <w:rsid w:val="003A70FE"/>
    <w:rsid w:val="003B0C35"/>
    <w:rsid w:val="003B219E"/>
    <w:rsid w:val="003B2C54"/>
    <w:rsid w:val="003C5000"/>
    <w:rsid w:val="003D22CD"/>
    <w:rsid w:val="003E21B3"/>
    <w:rsid w:val="003E67EC"/>
    <w:rsid w:val="003F3902"/>
    <w:rsid w:val="00400F69"/>
    <w:rsid w:val="004043B5"/>
    <w:rsid w:val="00411E65"/>
    <w:rsid w:val="00412512"/>
    <w:rsid w:val="00412DE9"/>
    <w:rsid w:val="00413651"/>
    <w:rsid w:val="00420040"/>
    <w:rsid w:val="00423388"/>
    <w:rsid w:val="00426D73"/>
    <w:rsid w:val="00432070"/>
    <w:rsid w:val="004370B7"/>
    <w:rsid w:val="00440722"/>
    <w:rsid w:val="00446B38"/>
    <w:rsid w:val="00454913"/>
    <w:rsid w:val="00457441"/>
    <w:rsid w:val="004579F6"/>
    <w:rsid w:val="004656D0"/>
    <w:rsid w:val="00465B53"/>
    <w:rsid w:val="00473ABD"/>
    <w:rsid w:val="004742EC"/>
    <w:rsid w:val="00482DCA"/>
    <w:rsid w:val="0048320A"/>
    <w:rsid w:val="00497E66"/>
    <w:rsid w:val="004A083F"/>
    <w:rsid w:val="004A3510"/>
    <w:rsid w:val="004B3D1F"/>
    <w:rsid w:val="004B6240"/>
    <w:rsid w:val="004B6CD8"/>
    <w:rsid w:val="004B6CFD"/>
    <w:rsid w:val="004C204D"/>
    <w:rsid w:val="004D0436"/>
    <w:rsid w:val="004D0630"/>
    <w:rsid w:val="004D0936"/>
    <w:rsid w:val="004E7ED7"/>
    <w:rsid w:val="004F243D"/>
    <w:rsid w:val="004F3D8D"/>
    <w:rsid w:val="004F7936"/>
    <w:rsid w:val="004F7D1F"/>
    <w:rsid w:val="00502375"/>
    <w:rsid w:val="00502657"/>
    <w:rsid w:val="005076F1"/>
    <w:rsid w:val="00512B91"/>
    <w:rsid w:val="005152C7"/>
    <w:rsid w:val="005158EB"/>
    <w:rsid w:val="0052082F"/>
    <w:rsid w:val="00526CB4"/>
    <w:rsid w:val="00530073"/>
    <w:rsid w:val="00532315"/>
    <w:rsid w:val="005335BD"/>
    <w:rsid w:val="0053799F"/>
    <w:rsid w:val="00542FCC"/>
    <w:rsid w:val="005457DB"/>
    <w:rsid w:val="0055762E"/>
    <w:rsid w:val="00565445"/>
    <w:rsid w:val="005713B1"/>
    <w:rsid w:val="00574811"/>
    <w:rsid w:val="00575334"/>
    <w:rsid w:val="00593736"/>
    <w:rsid w:val="005A214B"/>
    <w:rsid w:val="005A3181"/>
    <w:rsid w:val="005A338C"/>
    <w:rsid w:val="005A7297"/>
    <w:rsid w:val="005B0F06"/>
    <w:rsid w:val="005B6141"/>
    <w:rsid w:val="005C3F15"/>
    <w:rsid w:val="005D6E4C"/>
    <w:rsid w:val="005E2577"/>
    <w:rsid w:val="005E6354"/>
    <w:rsid w:val="005E6914"/>
    <w:rsid w:val="005F3989"/>
    <w:rsid w:val="005F4303"/>
    <w:rsid w:val="005F7B20"/>
    <w:rsid w:val="00601B52"/>
    <w:rsid w:val="0060280B"/>
    <w:rsid w:val="00604422"/>
    <w:rsid w:val="00610A64"/>
    <w:rsid w:val="00611C78"/>
    <w:rsid w:val="00614863"/>
    <w:rsid w:val="00623F5D"/>
    <w:rsid w:val="00651302"/>
    <w:rsid w:val="00651341"/>
    <w:rsid w:val="00657CE0"/>
    <w:rsid w:val="00666F8B"/>
    <w:rsid w:val="00680EC9"/>
    <w:rsid w:val="006815B2"/>
    <w:rsid w:val="006826E0"/>
    <w:rsid w:val="00682B31"/>
    <w:rsid w:val="00682EAA"/>
    <w:rsid w:val="006864E1"/>
    <w:rsid w:val="00687FA6"/>
    <w:rsid w:val="00691001"/>
    <w:rsid w:val="006A750C"/>
    <w:rsid w:val="006B1037"/>
    <w:rsid w:val="006C2982"/>
    <w:rsid w:val="006E56AD"/>
    <w:rsid w:val="006E5763"/>
    <w:rsid w:val="007101BB"/>
    <w:rsid w:val="00713308"/>
    <w:rsid w:val="007249BC"/>
    <w:rsid w:val="00725A91"/>
    <w:rsid w:val="00727E01"/>
    <w:rsid w:val="00735F82"/>
    <w:rsid w:val="00745222"/>
    <w:rsid w:val="007473B1"/>
    <w:rsid w:val="00752E19"/>
    <w:rsid w:val="00754822"/>
    <w:rsid w:val="00757614"/>
    <w:rsid w:val="007728B4"/>
    <w:rsid w:val="007747CE"/>
    <w:rsid w:val="0077622E"/>
    <w:rsid w:val="00777F31"/>
    <w:rsid w:val="00777FE4"/>
    <w:rsid w:val="00786BD3"/>
    <w:rsid w:val="0079075D"/>
    <w:rsid w:val="007910DD"/>
    <w:rsid w:val="007A2370"/>
    <w:rsid w:val="007A2DD8"/>
    <w:rsid w:val="007C1468"/>
    <w:rsid w:val="007C41D7"/>
    <w:rsid w:val="007C5459"/>
    <w:rsid w:val="007E0035"/>
    <w:rsid w:val="007E6B74"/>
    <w:rsid w:val="007F16FB"/>
    <w:rsid w:val="007F1BBA"/>
    <w:rsid w:val="00800AAC"/>
    <w:rsid w:val="00805816"/>
    <w:rsid w:val="00805FD0"/>
    <w:rsid w:val="00812023"/>
    <w:rsid w:val="0081600F"/>
    <w:rsid w:val="0082722D"/>
    <w:rsid w:val="008274F7"/>
    <w:rsid w:val="00832624"/>
    <w:rsid w:val="0084230F"/>
    <w:rsid w:val="008441F9"/>
    <w:rsid w:val="00846A99"/>
    <w:rsid w:val="00847178"/>
    <w:rsid w:val="008529C3"/>
    <w:rsid w:val="008575E5"/>
    <w:rsid w:val="008627EF"/>
    <w:rsid w:val="008641D1"/>
    <w:rsid w:val="00870FB9"/>
    <w:rsid w:val="00872F67"/>
    <w:rsid w:val="00877911"/>
    <w:rsid w:val="008879E9"/>
    <w:rsid w:val="00892BE3"/>
    <w:rsid w:val="00893346"/>
    <w:rsid w:val="00894D19"/>
    <w:rsid w:val="0089665F"/>
    <w:rsid w:val="0089676A"/>
    <w:rsid w:val="008A0D8D"/>
    <w:rsid w:val="008B1A69"/>
    <w:rsid w:val="008B1AAD"/>
    <w:rsid w:val="008B34A7"/>
    <w:rsid w:val="008B40BC"/>
    <w:rsid w:val="008B5953"/>
    <w:rsid w:val="008B61D4"/>
    <w:rsid w:val="008C1A39"/>
    <w:rsid w:val="008C31EF"/>
    <w:rsid w:val="008C48F0"/>
    <w:rsid w:val="008D1B43"/>
    <w:rsid w:val="008D583C"/>
    <w:rsid w:val="008E7DFB"/>
    <w:rsid w:val="008F6F66"/>
    <w:rsid w:val="008F7327"/>
    <w:rsid w:val="0090059C"/>
    <w:rsid w:val="00904433"/>
    <w:rsid w:val="009076C8"/>
    <w:rsid w:val="00910CCD"/>
    <w:rsid w:val="0091418A"/>
    <w:rsid w:val="00915BBE"/>
    <w:rsid w:val="00921D62"/>
    <w:rsid w:val="00922791"/>
    <w:rsid w:val="00927CD6"/>
    <w:rsid w:val="00933572"/>
    <w:rsid w:val="009363C7"/>
    <w:rsid w:val="00936D48"/>
    <w:rsid w:val="00941625"/>
    <w:rsid w:val="00947EE4"/>
    <w:rsid w:val="009723E6"/>
    <w:rsid w:val="00972D36"/>
    <w:rsid w:val="00973BFB"/>
    <w:rsid w:val="00980406"/>
    <w:rsid w:val="00983795"/>
    <w:rsid w:val="009845C6"/>
    <w:rsid w:val="0099159B"/>
    <w:rsid w:val="00994621"/>
    <w:rsid w:val="009A2C8F"/>
    <w:rsid w:val="009A68CE"/>
    <w:rsid w:val="009A7B65"/>
    <w:rsid w:val="009B33F0"/>
    <w:rsid w:val="009C0EB6"/>
    <w:rsid w:val="009C7730"/>
    <w:rsid w:val="009D2AD6"/>
    <w:rsid w:val="009D3A07"/>
    <w:rsid w:val="009D4711"/>
    <w:rsid w:val="009D5DA6"/>
    <w:rsid w:val="009E3A84"/>
    <w:rsid w:val="009E72D7"/>
    <w:rsid w:val="009E7ACC"/>
    <w:rsid w:val="009F450E"/>
    <w:rsid w:val="009F54DA"/>
    <w:rsid w:val="009F5581"/>
    <w:rsid w:val="009F6DEE"/>
    <w:rsid w:val="00A04CC9"/>
    <w:rsid w:val="00A06984"/>
    <w:rsid w:val="00A11721"/>
    <w:rsid w:val="00A1324E"/>
    <w:rsid w:val="00A14248"/>
    <w:rsid w:val="00A21145"/>
    <w:rsid w:val="00A23F42"/>
    <w:rsid w:val="00A27BE3"/>
    <w:rsid w:val="00A324B4"/>
    <w:rsid w:val="00A339B9"/>
    <w:rsid w:val="00A40EDF"/>
    <w:rsid w:val="00A428A7"/>
    <w:rsid w:val="00A5092A"/>
    <w:rsid w:val="00A50E9A"/>
    <w:rsid w:val="00A568DF"/>
    <w:rsid w:val="00A658E4"/>
    <w:rsid w:val="00A6659A"/>
    <w:rsid w:val="00A70E28"/>
    <w:rsid w:val="00A73A79"/>
    <w:rsid w:val="00A743F3"/>
    <w:rsid w:val="00A93C52"/>
    <w:rsid w:val="00A95697"/>
    <w:rsid w:val="00A9745F"/>
    <w:rsid w:val="00AA392E"/>
    <w:rsid w:val="00AA7368"/>
    <w:rsid w:val="00AB348F"/>
    <w:rsid w:val="00AB4FF9"/>
    <w:rsid w:val="00AC5BA3"/>
    <w:rsid w:val="00AE7B21"/>
    <w:rsid w:val="00AF1980"/>
    <w:rsid w:val="00AF2021"/>
    <w:rsid w:val="00AF20C2"/>
    <w:rsid w:val="00AF60B4"/>
    <w:rsid w:val="00B016F8"/>
    <w:rsid w:val="00B025B7"/>
    <w:rsid w:val="00B25F39"/>
    <w:rsid w:val="00B27220"/>
    <w:rsid w:val="00B46B51"/>
    <w:rsid w:val="00B471BD"/>
    <w:rsid w:val="00B50C2D"/>
    <w:rsid w:val="00B546D0"/>
    <w:rsid w:val="00B54A37"/>
    <w:rsid w:val="00B64904"/>
    <w:rsid w:val="00B77067"/>
    <w:rsid w:val="00B838AD"/>
    <w:rsid w:val="00B87172"/>
    <w:rsid w:val="00B94245"/>
    <w:rsid w:val="00BA11E7"/>
    <w:rsid w:val="00BA60CE"/>
    <w:rsid w:val="00BB7AB8"/>
    <w:rsid w:val="00BC5607"/>
    <w:rsid w:val="00BD2DD1"/>
    <w:rsid w:val="00BE0D1D"/>
    <w:rsid w:val="00BE2448"/>
    <w:rsid w:val="00BE24D4"/>
    <w:rsid w:val="00BF0137"/>
    <w:rsid w:val="00BF2BE7"/>
    <w:rsid w:val="00BF4512"/>
    <w:rsid w:val="00C05102"/>
    <w:rsid w:val="00C128DD"/>
    <w:rsid w:val="00C13FA6"/>
    <w:rsid w:val="00C169ED"/>
    <w:rsid w:val="00C302AC"/>
    <w:rsid w:val="00C44645"/>
    <w:rsid w:val="00C54775"/>
    <w:rsid w:val="00C5484D"/>
    <w:rsid w:val="00C618F2"/>
    <w:rsid w:val="00C73207"/>
    <w:rsid w:val="00C7602A"/>
    <w:rsid w:val="00C77DFD"/>
    <w:rsid w:val="00C82160"/>
    <w:rsid w:val="00C82347"/>
    <w:rsid w:val="00C82ED9"/>
    <w:rsid w:val="00C87D68"/>
    <w:rsid w:val="00C9281B"/>
    <w:rsid w:val="00C95A17"/>
    <w:rsid w:val="00CA367A"/>
    <w:rsid w:val="00CB1D26"/>
    <w:rsid w:val="00CC3B76"/>
    <w:rsid w:val="00CC4C21"/>
    <w:rsid w:val="00CC4D32"/>
    <w:rsid w:val="00CC57AD"/>
    <w:rsid w:val="00CD0FE9"/>
    <w:rsid w:val="00CD3799"/>
    <w:rsid w:val="00CD7355"/>
    <w:rsid w:val="00CE5B83"/>
    <w:rsid w:val="00CF3723"/>
    <w:rsid w:val="00CF6EDD"/>
    <w:rsid w:val="00D01841"/>
    <w:rsid w:val="00D03D59"/>
    <w:rsid w:val="00D05922"/>
    <w:rsid w:val="00D107A3"/>
    <w:rsid w:val="00D11925"/>
    <w:rsid w:val="00D147EA"/>
    <w:rsid w:val="00D21383"/>
    <w:rsid w:val="00D27366"/>
    <w:rsid w:val="00D37145"/>
    <w:rsid w:val="00D4082B"/>
    <w:rsid w:val="00D42AE1"/>
    <w:rsid w:val="00D45FBF"/>
    <w:rsid w:val="00D46C15"/>
    <w:rsid w:val="00D605A4"/>
    <w:rsid w:val="00D61B13"/>
    <w:rsid w:val="00D7746A"/>
    <w:rsid w:val="00D838FE"/>
    <w:rsid w:val="00D8406F"/>
    <w:rsid w:val="00D859C7"/>
    <w:rsid w:val="00D87364"/>
    <w:rsid w:val="00D9021F"/>
    <w:rsid w:val="00D94D78"/>
    <w:rsid w:val="00D96890"/>
    <w:rsid w:val="00DA1080"/>
    <w:rsid w:val="00DA12C2"/>
    <w:rsid w:val="00DB30A6"/>
    <w:rsid w:val="00DD2064"/>
    <w:rsid w:val="00DD6A9E"/>
    <w:rsid w:val="00DE4B86"/>
    <w:rsid w:val="00DE66EE"/>
    <w:rsid w:val="00E23367"/>
    <w:rsid w:val="00E272F4"/>
    <w:rsid w:val="00E315E1"/>
    <w:rsid w:val="00E31B92"/>
    <w:rsid w:val="00E46A3C"/>
    <w:rsid w:val="00E475D4"/>
    <w:rsid w:val="00E5044E"/>
    <w:rsid w:val="00E57159"/>
    <w:rsid w:val="00E74D1C"/>
    <w:rsid w:val="00E8776E"/>
    <w:rsid w:val="00E9237A"/>
    <w:rsid w:val="00E93F38"/>
    <w:rsid w:val="00EA0B88"/>
    <w:rsid w:val="00EB0011"/>
    <w:rsid w:val="00EB2285"/>
    <w:rsid w:val="00EC4294"/>
    <w:rsid w:val="00EC681E"/>
    <w:rsid w:val="00ED02D3"/>
    <w:rsid w:val="00ED0B86"/>
    <w:rsid w:val="00ED477B"/>
    <w:rsid w:val="00ED490C"/>
    <w:rsid w:val="00ED5E31"/>
    <w:rsid w:val="00EE4815"/>
    <w:rsid w:val="00EE64C1"/>
    <w:rsid w:val="00EF2BB6"/>
    <w:rsid w:val="00EF520B"/>
    <w:rsid w:val="00EF521C"/>
    <w:rsid w:val="00F05AA0"/>
    <w:rsid w:val="00F061CB"/>
    <w:rsid w:val="00F068B4"/>
    <w:rsid w:val="00F11793"/>
    <w:rsid w:val="00F23AA3"/>
    <w:rsid w:val="00F24050"/>
    <w:rsid w:val="00F248AA"/>
    <w:rsid w:val="00F25DC3"/>
    <w:rsid w:val="00F269A7"/>
    <w:rsid w:val="00F31539"/>
    <w:rsid w:val="00F330D2"/>
    <w:rsid w:val="00F444EC"/>
    <w:rsid w:val="00F45FE3"/>
    <w:rsid w:val="00F51748"/>
    <w:rsid w:val="00F54D03"/>
    <w:rsid w:val="00F6347A"/>
    <w:rsid w:val="00F64177"/>
    <w:rsid w:val="00F745A3"/>
    <w:rsid w:val="00F7503A"/>
    <w:rsid w:val="00F803B0"/>
    <w:rsid w:val="00F81FEF"/>
    <w:rsid w:val="00F844EB"/>
    <w:rsid w:val="00F93586"/>
    <w:rsid w:val="00F94D10"/>
    <w:rsid w:val="00F94D52"/>
    <w:rsid w:val="00F978B9"/>
    <w:rsid w:val="00FA61AF"/>
    <w:rsid w:val="00FB1D66"/>
    <w:rsid w:val="00FB2C17"/>
    <w:rsid w:val="00FC0DD5"/>
    <w:rsid w:val="00FC340D"/>
    <w:rsid w:val="00FD3A06"/>
    <w:rsid w:val="00FD4016"/>
    <w:rsid w:val="00FD4715"/>
    <w:rsid w:val="00FD7D14"/>
    <w:rsid w:val="00FE0ABA"/>
    <w:rsid w:val="00FE79B8"/>
    <w:rsid w:val="00FF1FB5"/>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5B8FC21"/>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cms.int/sites/default/files/document/COP11_Doc_23_1_2_Bird_Poisoning_Review_%26_Guidelines_E_0.pdf" TargetMode="External"/><Relationship Id="rId1" Type="http://schemas.openxmlformats.org/officeDocument/2006/relationships/hyperlink" Target="http://www.cms.int/sites/default/files/document/Res_11_15_Preventing_Bird_Poisoning_of_Birds_E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BC48-0140-45DB-93A5-5A229406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17</Pages>
  <Words>5714</Words>
  <Characters>32572</Characters>
  <Application>Microsoft Office Word</Application>
  <DocSecurity>0</DocSecurity>
  <Lines>271</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2017-05-22T12:24:00Z</cp:lastPrinted>
  <dcterms:created xsi:type="dcterms:W3CDTF">2017-06-09T11:45:00Z</dcterms:created>
  <dcterms:modified xsi:type="dcterms:W3CDTF">2017-06-15T10:48:00Z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