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BF10A4">
        <w:rPr>
          <w:rFonts w:cs="Arial"/>
          <w:iCs/>
          <w:sz w:val="22"/>
          <w:szCs w:val="22"/>
          <w:lang w:val="pt-PT"/>
        </w:rPr>
        <w:t>14.1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BF10A4">
              <w:rPr>
                <w:rFonts w:cs="Arial"/>
                <w:sz w:val="22"/>
                <w:szCs w:val="22"/>
                <w:lang w:val="en-GB"/>
              </w:rPr>
              <w:t>14.1</w:t>
            </w:r>
          </w:p>
          <w:p w:rsidR="0081600F" w:rsidRPr="00420040" w:rsidRDefault="005848D2"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23</w:t>
            </w:r>
            <w:r w:rsidR="00BF10A4">
              <w:rPr>
                <w:rFonts w:cs="Arial"/>
                <w:sz w:val="22"/>
                <w:szCs w:val="22"/>
                <w:lang w:val="en-GB"/>
              </w:rPr>
              <w:t xml:space="preserve"> August 2017</w:t>
            </w:r>
          </w:p>
          <w:p w:rsidR="00E8776E" w:rsidRPr="00420040" w:rsidRDefault="00E8776E" w:rsidP="000C21B1">
            <w:pPr>
              <w:rPr>
                <w:rFonts w:cs="Arial"/>
                <w:sz w:val="12"/>
                <w:szCs w:val="12"/>
                <w:lang w:val="en-GB"/>
              </w:rPr>
            </w:pPr>
          </w:p>
          <w:p w:rsidR="0081600F" w:rsidRPr="00420040" w:rsidRDefault="0081600F" w:rsidP="000C21B1">
            <w:pPr>
              <w:rPr>
                <w:rFonts w:cs="Arial"/>
                <w:sz w:val="22"/>
                <w:szCs w:val="22"/>
                <w:lang w:val="en-GB"/>
              </w:rPr>
            </w:pPr>
            <w:r w:rsidRPr="00420040">
              <w:rPr>
                <w:rFonts w:cs="Arial"/>
                <w:sz w:val="22"/>
                <w:szCs w:val="22"/>
                <w:lang w:val="en-GB"/>
              </w:rPr>
              <w:t>Original: English</w:t>
            </w:r>
          </w:p>
          <w:p w:rsidR="00682B31" w:rsidRPr="00682B31" w:rsidRDefault="00682B31" w:rsidP="000C21B1">
            <w:pPr>
              <w:rPr>
                <w:rFonts w:cs="Arial"/>
                <w:sz w:val="12"/>
                <w:szCs w:val="12"/>
                <w:lang w:val="en-GB"/>
              </w:rPr>
            </w:pPr>
          </w:p>
        </w:tc>
      </w:tr>
    </w:tbl>
    <w:p w:rsidR="00354A9C" w:rsidRDefault="00354A9C" w:rsidP="00922791">
      <w:pPr>
        <w:tabs>
          <w:tab w:val="left" w:pos="7020"/>
        </w:tabs>
        <w:rPr>
          <w:rFonts w:cs="Arial"/>
          <w:sz w:val="22"/>
          <w:szCs w:val="22"/>
        </w:rPr>
      </w:pPr>
    </w:p>
    <w:p w:rsidR="00BF10A4" w:rsidRPr="00682B31" w:rsidRDefault="00BF10A4" w:rsidP="00922791">
      <w:pPr>
        <w:tabs>
          <w:tab w:val="left" w:pos="7020"/>
        </w:tabs>
        <w:rPr>
          <w:rFonts w:cs="Arial"/>
          <w:sz w:val="22"/>
          <w:szCs w:val="22"/>
        </w:rPr>
      </w:pPr>
    </w:p>
    <w:p w:rsidR="00BF10A4" w:rsidRPr="004840AF" w:rsidRDefault="00BF10A4" w:rsidP="00BF10A4">
      <w:pPr>
        <w:pStyle w:val="Heading2"/>
        <w:keepNext w:val="0"/>
        <w:jc w:val="center"/>
        <w:rPr>
          <w:bCs w:val="0"/>
          <w:caps/>
          <w:sz w:val="24"/>
        </w:rPr>
      </w:pPr>
      <w:r w:rsidRPr="004840AF">
        <w:rPr>
          <w:bCs w:val="0"/>
          <w:caps/>
          <w:sz w:val="24"/>
        </w:rPr>
        <w:t>Execution of THE CMS budget DURING THE 201</w:t>
      </w:r>
      <w:r>
        <w:rPr>
          <w:bCs w:val="0"/>
          <w:caps/>
          <w:sz w:val="24"/>
        </w:rPr>
        <w:t>5</w:t>
      </w:r>
      <w:r w:rsidRPr="004840AF">
        <w:rPr>
          <w:bCs w:val="0"/>
          <w:caps/>
          <w:sz w:val="24"/>
        </w:rPr>
        <w:t>-201</w:t>
      </w:r>
      <w:r>
        <w:rPr>
          <w:bCs w:val="0"/>
          <w:caps/>
          <w:sz w:val="24"/>
        </w:rPr>
        <w:t>7</w:t>
      </w:r>
      <w:r w:rsidRPr="004840AF">
        <w:rPr>
          <w:bCs w:val="0"/>
          <w:caps/>
          <w:sz w:val="24"/>
        </w:rPr>
        <w:t xml:space="preserve"> TRIENNIUM</w:t>
      </w:r>
    </w:p>
    <w:p w:rsidR="00593736" w:rsidRPr="004D0936" w:rsidRDefault="00593736" w:rsidP="00593736">
      <w:pPr>
        <w:rPr>
          <w:sz w:val="8"/>
          <w:szCs w:val="8"/>
          <w:lang w:val="en-GB"/>
        </w:rPr>
      </w:pPr>
    </w:p>
    <w:p w:rsidR="00B64904" w:rsidRDefault="00B64904" w:rsidP="00B64904">
      <w:pPr>
        <w:jc w:val="center"/>
        <w:rPr>
          <w:rFonts w:cs="Arial"/>
          <w:i/>
          <w:sz w:val="22"/>
          <w:szCs w:val="22"/>
          <w:lang w:val="en-GB"/>
        </w:rPr>
      </w:pPr>
      <w:r w:rsidRPr="00BF10A4">
        <w:rPr>
          <w:rFonts w:cs="Arial"/>
          <w:i/>
          <w:sz w:val="22"/>
          <w:szCs w:val="22"/>
          <w:lang w:val="en-GB"/>
        </w:rPr>
        <w:t>(</w:t>
      </w:r>
      <w:r w:rsidR="00F11793" w:rsidRPr="00BF10A4">
        <w:rPr>
          <w:rFonts w:cs="Arial"/>
          <w:i/>
          <w:sz w:val="22"/>
          <w:szCs w:val="22"/>
          <w:lang w:val="en-GB"/>
        </w:rPr>
        <w:t>P</w:t>
      </w:r>
      <w:r w:rsidR="0079075D" w:rsidRPr="00BF10A4">
        <w:rPr>
          <w:rFonts w:cs="Arial"/>
          <w:i/>
          <w:sz w:val="22"/>
          <w:szCs w:val="22"/>
          <w:lang w:val="en-GB"/>
        </w:rPr>
        <w:t xml:space="preserve">repared by </w:t>
      </w:r>
      <w:r w:rsidR="00870FB9" w:rsidRPr="00BF10A4">
        <w:rPr>
          <w:rFonts w:cs="Arial"/>
          <w:i/>
          <w:sz w:val="22"/>
          <w:szCs w:val="22"/>
          <w:lang w:val="en-GB"/>
        </w:rPr>
        <w:t>the Secretariat</w:t>
      </w:r>
      <w:r w:rsidRPr="00420040">
        <w:rPr>
          <w:rFonts w:cs="Arial"/>
          <w:i/>
          <w:sz w:val="22"/>
          <w:szCs w:val="22"/>
          <w:lang w:val="en-GB"/>
        </w:rPr>
        <w:t>)</w:t>
      </w:r>
      <w:r w:rsidR="00497E66">
        <w:rPr>
          <w:rFonts w:cs="Arial"/>
          <w:i/>
          <w:sz w:val="22"/>
          <w:szCs w:val="22"/>
          <w:lang w:val="en-GB"/>
        </w:rPr>
        <w:t xml:space="preserve"> </w:t>
      </w:r>
    </w:p>
    <w:p w:rsidR="00870FB9" w:rsidRPr="004D0936" w:rsidRDefault="00870FB9" w:rsidP="00870FB9">
      <w:pPr>
        <w:rPr>
          <w:sz w:val="8"/>
          <w:szCs w:val="8"/>
          <w:lang w:val="en-GB"/>
        </w:rPr>
      </w:pPr>
    </w:p>
    <w:p w:rsidR="00870FB9" w:rsidRPr="00420040" w:rsidRDefault="00870FB9" w:rsidP="00B64904">
      <w:pPr>
        <w:jc w:val="center"/>
        <w:rPr>
          <w:rFonts w:cs="Arial"/>
          <w:i/>
          <w:sz w:val="22"/>
          <w:szCs w:val="22"/>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16D51E72">
                <wp:simplePos x="0" y="0"/>
                <wp:positionH relativeFrom="column">
                  <wp:posOffset>780415</wp:posOffset>
                </wp:positionH>
                <wp:positionV relativeFrom="paragraph">
                  <wp:posOffset>145415</wp:posOffset>
                </wp:positionV>
                <wp:extent cx="4305300" cy="1952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52625"/>
                        </a:xfrm>
                        <a:prstGeom prst="rect">
                          <a:avLst/>
                        </a:prstGeom>
                        <a:solidFill>
                          <a:srgbClr val="FFFFFF"/>
                        </a:solidFill>
                        <a:ln w="3175">
                          <a:solidFill>
                            <a:srgbClr val="000000"/>
                          </a:solidFill>
                          <a:miter lim="800000"/>
                          <a:headEnd/>
                          <a:tailEnd/>
                        </a:ln>
                      </wps:spPr>
                      <wps:txbx>
                        <w:txbxContent>
                          <w:p w:rsidR="004568D3" w:rsidRPr="00BF10A4" w:rsidRDefault="004568D3" w:rsidP="00BF10A4">
                            <w:pPr>
                              <w:rPr>
                                <w:sz w:val="22"/>
                                <w:szCs w:val="22"/>
                              </w:rPr>
                            </w:pPr>
                            <w:r w:rsidRPr="00BF10A4">
                              <w:rPr>
                                <w:sz w:val="22"/>
                                <w:szCs w:val="22"/>
                              </w:rPr>
                              <w:t>Summary:</w:t>
                            </w:r>
                          </w:p>
                          <w:p w:rsidR="004568D3" w:rsidRPr="00BF10A4" w:rsidRDefault="004568D3" w:rsidP="00BF10A4">
                            <w:pPr>
                              <w:rPr>
                                <w:sz w:val="22"/>
                                <w:szCs w:val="22"/>
                              </w:rPr>
                            </w:pPr>
                          </w:p>
                          <w:p w:rsidR="004568D3" w:rsidRPr="00BF10A4" w:rsidRDefault="004568D3" w:rsidP="00BF10A4">
                            <w:pPr>
                              <w:jc w:val="both"/>
                              <w:rPr>
                                <w:sz w:val="22"/>
                                <w:szCs w:val="22"/>
                              </w:rPr>
                            </w:pPr>
                            <w:r w:rsidRPr="00BF10A4">
                              <w:rPr>
                                <w:sz w:val="22"/>
                                <w:szCs w:val="22"/>
                              </w:rPr>
                              <w:t>The present report provides the Conference of the Parties with the status of contributions to the Trust Fund as well as an overview of the implementation of the CMS bud</w:t>
                            </w:r>
                            <w:r>
                              <w:rPr>
                                <w:sz w:val="22"/>
                                <w:szCs w:val="22"/>
                              </w:rPr>
                              <w:t>get for the triennium 2015-2017 projected as at 31 December 2017.</w:t>
                            </w:r>
                          </w:p>
                          <w:p w:rsidR="004568D3" w:rsidRPr="00BF10A4" w:rsidRDefault="004568D3" w:rsidP="00BF10A4">
                            <w:pPr>
                              <w:jc w:val="both"/>
                              <w:rPr>
                                <w:sz w:val="22"/>
                                <w:szCs w:val="22"/>
                              </w:rPr>
                            </w:pPr>
                          </w:p>
                          <w:p w:rsidR="004568D3" w:rsidRPr="00BF10A4" w:rsidRDefault="004568D3" w:rsidP="00BF10A4">
                            <w:pPr>
                              <w:jc w:val="both"/>
                              <w:rPr>
                                <w:sz w:val="22"/>
                                <w:szCs w:val="22"/>
                              </w:rPr>
                            </w:pPr>
                            <w:r w:rsidRPr="00BF10A4">
                              <w:rPr>
                                <w:sz w:val="22"/>
                                <w:szCs w:val="22"/>
                              </w:rPr>
                              <w:t>The document should be considered in conjunction with UNEP/CMS/COP12/Doc.14.2 on the proposed budget for the triennium 2018-2020.</w:t>
                            </w:r>
                          </w:p>
                          <w:p w:rsidR="004568D3" w:rsidRDefault="004568D3" w:rsidP="00E8776E">
                            <w:pPr>
                              <w:rPr>
                                <w:rFonts w:cs="Arial"/>
                                <w:i/>
                                <w:sz w:val="22"/>
                                <w:szCs w:val="22"/>
                                <w:lang w:val="en-GB"/>
                              </w:rPr>
                            </w:pPr>
                          </w:p>
                          <w:p w:rsidR="004568D3" w:rsidRDefault="00456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45pt;width:339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" strokeweight=".25pt">
                <v:textbox>
                  <w:txbxContent>
                    <w:p w:rsidR="004568D3" w:rsidRPr="00BF10A4" w:rsidRDefault="004568D3" w:rsidP="00BF10A4">
                      <w:pPr>
                        <w:rPr>
                          <w:sz w:val="22"/>
                          <w:szCs w:val="22"/>
                        </w:rPr>
                      </w:pPr>
                      <w:r w:rsidRPr="00BF10A4">
                        <w:rPr>
                          <w:sz w:val="22"/>
                          <w:szCs w:val="22"/>
                        </w:rPr>
                        <w:t>Summary:</w:t>
                      </w:r>
                    </w:p>
                    <w:p w:rsidR="004568D3" w:rsidRPr="00BF10A4" w:rsidRDefault="004568D3" w:rsidP="00BF10A4">
                      <w:pPr>
                        <w:rPr>
                          <w:sz w:val="22"/>
                          <w:szCs w:val="22"/>
                        </w:rPr>
                      </w:pPr>
                    </w:p>
                    <w:p w:rsidR="004568D3" w:rsidRPr="00BF10A4" w:rsidRDefault="004568D3" w:rsidP="00BF10A4">
                      <w:pPr>
                        <w:jc w:val="both"/>
                        <w:rPr>
                          <w:sz w:val="22"/>
                          <w:szCs w:val="22"/>
                        </w:rPr>
                      </w:pPr>
                      <w:r w:rsidRPr="00BF10A4">
                        <w:rPr>
                          <w:sz w:val="22"/>
                          <w:szCs w:val="22"/>
                        </w:rPr>
                        <w:t>The present report provides the Conference of the Parties with the status of contributions to the Trust Fund as well as an overview of the implementation of the CMS bud</w:t>
                      </w:r>
                      <w:r>
                        <w:rPr>
                          <w:sz w:val="22"/>
                          <w:szCs w:val="22"/>
                        </w:rPr>
                        <w:t>get for the triennium 2015-2017 projected as at 31 December 2017.</w:t>
                      </w:r>
                    </w:p>
                    <w:p w:rsidR="004568D3" w:rsidRPr="00BF10A4" w:rsidRDefault="004568D3" w:rsidP="00BF10A4">
                      <w:pPr>
                        <w:jc w:val="both"/>
                        <w:rPr>
                          <w:sz w:val="22"/>
                          <w:szCs w:val="22"/>
                        </w:rPr>
                      </w:pPr>
                    </w:p>
                    <w:p w:rsidR="004568D3" w:rsidRPr="00BF10A4" w:rsidRDefault="004568D3" w:rsidP="00BF10A4">
                      <w:pPr>
                        <w:jc w:val="both"/>
                        <w:rPr>
                          <w:sz w:val="22"/>
                          <w:szCs w:val="22"/>
                        </w:rPr>
                      </w:pPr>
                      <w:r w:rsidRPr="00BF10A4">
                        <w:rPr>
                          <w:sz w:val="22"/>
                          <w:szCs w:val="22"/>
                        </w:rPr>
                        <w:t>The document should be considered in conjunction with UNEP/CMS/COP12/Doc.14.2 on the proposed budget for the triennium 2018-2020.</w:t>
                      </w:r>
                    </w:p>
                    <w:p w:rsidR="004568D3" w:rsidRDefault="004568D3" w:rsidP="00E8776E">
                      <w:pPr>
                        <w:rPr>
                          <w:rFonts w:cs="Arial"/>
                          <w:i/>
                          <w:sz w:val="22"/>
                          <w:szCs w:val="22"/>
                          <w:lang w:val="en-GB"/>
                        </w:rPr>
                      </w:pPr>
                    </w:p>
                    <w:p w:rsidR="004568D3" w:rsidRDefault="004568D3"/>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Pr="00D605A4" w:rsidRDefault="00031A88" w:rsidP="00D605A4">
      <w:pPr>
        <w:rPr>
          <w:rFonts w:cs="Arial"/>
          <w:sz w:val="22"/>
          <w:szCs w:val="22"/>
        </w:rPr>
      </w:pPr>
    </w:p>
    <w:p w:rsidR="00D605A4" w:rsidRDefault="00D605A4" w:rsidP="00D605A4">
      <w:pPr>
        <w:rPr>
          <w:rFonts w:cs="Arial"/>
          <w:sz w:val="22"/>
          <w:szCs w:val="22"/>
        </w:rPr>
      </w:pPr>
    </w:p>
    <w:p w:rsidR="00D605A4" w:rsidRDefault="00D605A4" w:rsidP="00D605A4">
      <w:pPr>
        <w:tabs>
          <w:tab w:val="left" w:pos="1020"/>
        </w:tabs>
        <w:rPr>
          <w:rFonts w:cs="Arial"/>
          <w:sz w:val="22"/>
          <w:szCs w:val="22"/>
        </w:rPr>
        <w:sectPr w:rsidR="00D605A4" w:rsidSect="009223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BF10A4" w:rsidRDefault="00BF10A4" w:rsidP="00BF10A4">
      <w:pPr>
        <w:pStyle w:val="Heading2"/>
        <w:keepNext w:val="0"/>
        <w:jc w:val="center"/>
        <w:rPr>
          <w:bCs w:val="0"/>
          <w:caps/>
          <w:sz w:val="24"/>
        </w:rPr>
      </w:pPr>
    </w:p>
    <w:p w:rsidR="00BF10A4" w:rsidRPr="004840AF" w:rsidRDefault="00BF10A4" w:rsidP="00BF10A4">
      <w:pPr>
        <w:pStyle w:val="Heading2"/>
        <w:keepNext w:val="0"/>
        <w:jc w:val="center"/>
        <w:rPr>
          <w:bCs w:val="0"/>
          <w:caps/>
          <w:sz w:val="24"/>
        </w:rPr>
      </w:pPr>
      <w:r w:rsidRPr="004840AF">
        <w:rPr>
          <w:bCs w:val="0"/>
          <w:caps/>
          <w:sz w:val="24"/>
        </w:rPr>
        <w:t>Execution of THE CMS budget DURING THE 201</w:t>
      </w:r>
      <w:r>
        <w:rPr>
          <w:bCs w:val="0"/>
          <w:caps/>
          <w:sz w:val="24"/>
        </w:rPr>
        <w:t>5</w:t>
      </w:r>
      <w:r w:rsidRPr="004840AF">
        <w:rPr>
          <w:bCs w:val="0"/>
          <w:caps/>
          <w:sz w:val="24"/>
        </w:rPr>
        <w:t>-201</w:t>
      </w:r>
      <w:r>
        <w:rPr>
          <w:bCs w:val="0"/>
          <w:caps/>
          <w:sz w:val="24"/>
        </w:rPr>
        <w:t>7</w:t>
      </w:r>
      <w:r w:rsidRPr="004840AF">
        <w:rPr>
          <w:bCs w:val="0"/>
          <w:caps/>
          <w:sz w:val="24"/>
        </w:rPr>
        <w:t xml:space="preserve"> TRIENNIUM</w:t>
      </w:r>
    </w:p>
    <w:p w:rsidR="007910DD" w:rsidRDefault="007910DD" w:rsidP="00BF10A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rsidR="00BF10A4" w:rsidRDefault="00BF10A4" w:rsidP="00BF10A4">
      <w:pPr>
        <w:pStyle w:val="ListParagraph"/>
        <w:ind w:left="0"/>
        <w:jc w:val="both"/>
        <w:rPr>
          <w:b/>
          <w:sz w:val="22"/>
          <w:szCs w:val="22"/>
          <w:highlight w:val="yellow"/>
        </w:rPr>
      </w:pPr>
    </w:p>
    <w:p w:rsidR="00BF10A4" w:rsidRPr="00011B1A" w:rsidRDefault="00BF10A4" w:rsidP="00BF10A4">
      <w:pPr>
        <w:pStyle w:val="ListParagraph"/>
        <w:ind w:left="0"/>
        <w:jc w:val="both"/>
        <w:rPr>
          <w:rFonts w:cs="Arial"/>
          <w:sz w:val="22"/>
          <w:szCs w:val="22"/>
          <w:u w:val="single"/>
        </w:rPr>
      </w:pPr>
      <w:r w:rsidRPr="00011B1A">
        <w:rPr>
          <w:rFonts w:cs="Arial"/>
          <w:sz w:val="22"/>
          <w:szCs w:val="22"/>
          <w:u w:val="single"/>
        </w:rPr>
        <w:t>Background</w:t>
      </w:r>
    </w:p>
    <w:p w:rsidR="00BF10A4" w:rsidRPr="00011B1A" w:rsidRDefault="00BF10A4" w:rsidP="00BF10A4">
      <w:pPr>
        <w:pStyle w:val="ListParagraph"/>
        <w:ind w:left="0"/>
        <w:jc w:val="both"/>
        <w:rPr>
          <w:rFonts w:cs="Arial"/>
          <w:sz w:val="22"/>
          <w:szCs w:val="22"/>
        </w:rPr>
      </w:pPr>
    </w:p>
    <w:p w:rsidR="00BF10A4" w:rsidRPr="00011B1A" w:rsidRDefault="00BF10A4" w:rsidP="000D1323">
      <w:pPr>
        <w:numPr>
          <w:ilvl w:val="0"/>
          <w:numId w:val="10"/>
        </w:numPr>
        <w:ind w:left="360"/>
        <w:contextualSpacing/>
        <w:jc w:val="both"/>
        <w:rPr>
          <w:rFonts w:cs="Arial"/>
          <w:sz w:val="22"/>
          <w:szCs w:val="22"/>
        </w:rPr>
      </w:pPr>
      <w:r w:rsidRPr="00011B1A">
        <w:rPr>
          <w:rFonts w:cs="Arial"/>
          <w:sz w:val="22"/>
          <w:szCs w:val="22"/>
        </w:rPr>
        <w:t xml:space="preserve">In Resolution 11.1 on Financial and Administrative </w:t>
      </w:r>
      <w:r w:rsidR="005848D2">
        <w:rPr>
          <w:rFonts w:cs="Arial"/>
          <w:sz w:val="22"/>
          <w:szCs w:val="22"/>
        </w:rPr>
        <w:t>M</w:t>
      </w:r>
      <w:r w:rsidRPr="00011B1A">
        <w:rPr>
          <w:rFonts w:cs="Arial"/>
          <w:sz w:val="22"/>
          <w:szCs w:val="22"/>
        </w:rPr>
        <w:t>atters, the Conference of the Parties</w:t>
      </w:r>
      <w:r w:rsidR="005848D2">
        <w:rPr>
          <w:rFonts w:cs="Arial"/>
          <w:sz w:val="22"/>
          <w:szCs w:val="22"/>
        </w:rPr>
        <w:t xml:space="preserve"> (COP)</w:t>
      </w:r>
      <w:r w:rsidRPr="00011B1A">
        <w:rPr>
          <w:rFonts w:cs="Arial"/>
          <w:sz w:val="22"/>
          <w:szCs w:val="22"/>
        </w:rPr>
        <w:t xml:space="preserve"> adopted the budget for the triennium 2015-2017.  The present report provides the C</w:t>
      </w:r>
      <w:r w:rsidR="005848D2">
        <w:rPr>
          <w:rFonts w:cs="Arial"/>
          <w:sz w:val="22"/>
          <w:szCs w:val="22"/>
        </w:rPr>
        <w:t>OP</w:t>
      </w:r>
      <w:r w:rsidRPr="00011B1A">
        <w:rPr>
          <w:rFonts w:cs="Arial"/>
          <w:sz w:val="22"/>
          <w:szCs w:val="22"/>
        </w:rPr>
        <w:t xml:space="preserve"> with an overview of the implementation of the CMS budget for the triennium 2015-2017 as well as status of the assessed contributions as at 17 August 2017. The report also responds to CMS Res</w:t>
      </w:r>
      <w:r w:rsidR="0047453F" w:rsidRPr="00011B1A">
        <w:rPr>
          <w:rFonts w:cs="Arial"/>
          <w:sz w:val="22"/>
          <w:szCs w:val="22"/>
        </w:rPr>
        <w:t>olution</w:t>
      </w:r>
      <w:r w:rsidR="002E771F" w:rsidRPr="00011B1A">
        <w:rPr>
          <w:rFonts w:cs="Arial"/>
          <w:sz w:val="22"/>
          <w:szCs w:val="22"/>
        </w:rPr>
        <w:t xml:space="preserve"> </w:t>
      </w:r>
      <w:r w:rsidRPr="00011B1A">
        <w:rPr>
          <w:rFonts w:cs="Arial"/>
          <w:sz w:val="22"/>
          <w:szCs w:val="22"/>
        </w:rPr>
        <w:t xml:space="preserve">11.1, Annex III, paragraph 4 (e), which requested the Secretariat to provide </w:t>
      </w:r>
      <w:r w:rsidR="009A37CA">
        <w:rPr>
          <w:rFonts w:cs="Arial"/>
          <w:sz w:val="22"/>
          <w:szCs w:val="22"/>
        </w:rPr>
        <w:t>m</w:t>
      </w:r>
      <w:r w:rsidR="009A37CA" w:rsidRPr="00011B1A">
        <w:rPr>
          <w:rFonts w:cs="Arial"/>
          <w:sz w:val="22"/>
          <w:szCs w:val="22"/>
        </w:rPr>
        <w:t xml:space="preserve">embers </w:t>
      </w:r>
      <w:r w:rsidRPr="00011B1A">
        <w:rPr>
          <w:rFonts w:cs="Arial"/>
          <w:sz w:val="22"/>
          <w:szCs w:val="22"/>
        </w:rPr>
        <w:t>of the Finance and Budget Subcommittee with bi-annual reports which identify and explain any projected expenditure that differs from the approved budget by more than 20 per cent for total staff costs or, in the case of non-staff costs, for each activity, together with a proposed approach for managing any such projected over-</w:t>
      </w:r>
      <w:r w:rsidR="005848D2">
        <w:rPr>
          <w:rFonts w:cs="Arial"/>
          <w:sz w:val="22"/>
          <w:szCs w:val="22"/>
        </w:rPr>
        <w:t>spend</w:t>
      </w:r>
      <w:r w:rsidRPr="00011B1A">
        <w:rPr>
          <w:rFonts w:cs="Arial"/>
          <w:sz w:val="22"/>
          <w:szCs w:val="22"/>
        </w:rPr>
        <w:t xml:space="preserve">. </w:t>
      </w:r>
    </w:p>
    <w:p w:rsidR="00CC68BE" w:rsidRPr="00011B1A" w:rsidRDefault="00CC68BE" w:rsidP="00BF10A4">
      <w:pPr>
        <w:pStyle w:val="ListParagraph"/>
        <w:ind w:left="0"/>
        <w:jc w:val="both"/>
        <w:rPr>
          <w:rFonts w:cs="Arial"/>
          <w:sz w:val="22"/>
          <w:szCs w:val="22"/>
        </w:rPr>
      </w:pPr>
    </w:p>
    <w:p w:rsidR="0047453F" w:rsidRPr="00011B1A" w:rsidRDefault="0047453F" w:rsidP="00BF10A4">
      <w:pPr>
        <w:pStyle w:val="ListParagraph"/>
        <w:ind w:left="0"/>
        <w:jc w:val="both"/>
        <w:rPr>
          <w:rFonts w:cs="Arial"/>
          <w:sz w:val="22"/>
          <w:szCs w:val="22"/>
          <w:u w:val="single"/>
        </w:rPr>
      </w:pPr>
      <w:r w:rsidRPr="00011B1A">
        <w:rPr>
          <w:rFonts w:cs="Arial"/>
          <w:sz w:val="22"/>
          <w:szCs w:val="22"/>
          <w:u w:val="single"/>
        </w:rPr>
        <w:t>Execution of the budget for the 2015-2017 triennium</w:t>
      </w:r>
    </w:p>
    <w:p w:rsidR="00BF10A4" w:rsidRPr="00BF10A4" w:rsidRDefault="00BF10A4" w:rsidP="00BF10A4">
      <w:pPr>
        <w:pStyle w:val="ListParagraph"/>
        <w:ind w:left="0"/>
        <w:jc w:val="both"/>
        <w:rPr>
          <w:sz w:val="22"/>
          <w:szCs w:val="22"/>
        </w:rPr>
      </w:pPr>
    </w:p>
    <w:p w:rsidR="00BF10A4" w:rsidRPr="00BF10A4" w:rsidRDefault="00BF10A4" w:rsidP="00BF10A4">
      <w:pPr>
        <w:pStyle w:val="ListParagraph"/>
        <w:ind w:left="0"/>
        <w:jc w:val="both"/>
        <w:rPr>
          <w:b/>
          <w:sz w:val="22"/>
          <w:szCs w:val="22"/>
        </w:rPr>
      </w:pPr>
      <w:r w:rsidRPr="00BF10A4">
        <w:rPr>
          <w:b/>
          <w:sz w:val="22"/>
          <w:szCs w:val="22"/>
        </w:rPr>
        <w:t xml:space="preserve">Status of the Trust Fund for Assessed Contributions as at </w:t>
      </w:r>
      <w:r w:rsidR="005848D2" w:rsidRPr="00BF10A4">
        <w:rPr>
          <w:b/>
          <w:sz w:val="22"/>
          <w:szCs w:val="22"/>
        </w:rPr>
        <w:t>1</w:t>
      </w:r>
      <w:r w:rsidR="005848D2">
        <w:rPr>
          <w:b/>
          <w:sz w:val="22"/>
          <w:szCs w:val="22"/>
        </w:rPr>
        <w:t>7</w:t>
      </w:r>
      <w:r w:rsidR="005848D2" w:rsidRPr="00BF10A4">
        <w:rPr>
          <w:b/>
          <w:sz w:val="22"/>
          <w:szCs w:val="22"/>
        </w:rPr>
        <w:t xml:space="preserve"> </w:t>
      </w:r>
      <w:r w:rsidRPr="00BF10A4">
        <w:rPr>
          <w:b/>
          <w:sz w:val="22"/>
          <w:szCs w:val="22"/>
        </w:rPr>
        <w:t>August 2017</w:t>
      </w:r>
    </w:p>
    <w:p w:rsidR="00BF10A4" w:rsidRPr="00BF10A4" w:rsidRDefault="00BF10A4" w:rsidP="00BF10A4">
      <w:pPr>
        <w:pStyle w:val="ListParagraph"/>
        <w:ind w:left="0"/>
        <w:jc w:val="both"/>
        <w:rPr>
          <w:sz w:val="22"/>
          <w:szCs w:val="22"/>
        </w:rPr>
      </w:pPr>
    </w:p>
    <w:p w:rsidR="00BF10A4" w:rsidRPr="00BF10A4" w:rsidRDefault="00BF10A4" w:rsidP="000D1323">
      <w:pPr>
        <w:numPr>
          <w:ilvl w:val="0"/>
          <w:numId w:val="10"/>
        </w:numPr>
        <w:ind w:left="360"/>
        <w:contextualSpacing/>
        <w:jc w:val="both"/>
        <w:rPr>
          <w:sz w:val="22"/>
          <w:szCs w:val="22"/>
        </w:rPr>
      </w:pPr>
      <w:r w:rsidRPr="00BF10A4">
        <w:rPr>
          <w:sz w:val="22"/>
          <w:szCs w:val="22"/>
        </w:rPr>
        <w:t xml:space="preserve">Article VII, paragraph 4 of the Convention requires each Party to contribute to the budget </w:t>
      </w:r>
      <w:r w:rsidR="005848D2" w:rsidRPr="00BF10A4">
        <w:rPr>
          <w:sz w:val="22"/>
          <w:szCs w:val="22"/>
        </w:rPr>
        <w:t xml:space="preserve">adopted by the </w:t>
      </w:r>
      <w:r w:rsidR="005848D2">
        <w:rPr>
          <w:sz w:val="22"/>
          <w:szCs w:val="22"/>
        </w:rPr>
        <w:t>COP</w:t>
      </w:r>
      <w:r w:rsidR="005848D2" w:rsidRPr="00BF10A4">
        <w:rPr>
          <w:sz w:val="22"/>
          <w:szCs w:val="22"/>
        </w:rPr>
        <w:t xml:space="preserve"> </w:t>
      </w:r>
      <w:r w:rsidRPr="00BF10A4">
        <w:rPr>
          <w:sz w:val="22"/>
          <w:szCs w:val="22"/>
        </w:rPr>
        <w:t>for the financial period according to the agreed United Nations scale of assessment. As per Resolution 11.1</w:t>
      </w:r>
      <w:r w:rsidRPr="00BF10A4">
        <w:rPr>
          <w:sz w:val="22"/>
          <w:szCs w:val="22"/>
          <w:lang w:val="en-GB"/>
        </w:rPr>
        <w:t xml:space="preserve">, assessed contributions approved by COP11 for the triennium budget 2015-2017 stand at €7,442,630. </w:t>
      </w:r>
    </w:p>
    <w:p w:rsidR="00BF10A4" w:rsidRPr="00BF10A4" w:rsidRDefault="00BF10A4" w:rsidP="00BF10A4">
      <w:pPr>
        <w:pStyle w:val="ListParagraph"/>
        <w:jc w:val="both"/>
        <w:rPr>
          <w:sz w:val="22"/>
          <w:szCs w:val="22"/>
        </w:rPr>
      </w:pPr>
    </w:p>
    <w:p w:rsidR="00BF10A4" w:rsidRPr="000D1323" w:rsidRDefault="00BF10A4" w:rsidP="000D1323">
      <w:pPr>
        <w:numPr>
          <w:ilvl w:val="0"/>
          <w:numId w:val="10"/>
        </w:numPr>
        <w:ind w:left="360"/>
        <w:contextualSpacing/>
        <w:jc w:val="both"/>
        <w:rPr>
          <w:sz w:val="22"/>
          <w:szCs w:val="22"/>
        </w:rPr>
      </w:pPr>
      <w:r w:rsidRPr="00BF10A4">
        <w:rPr>
          <w:sz w:val="22"/>
          <w:szCs w:val="22"/>
        </w:rPr>
        <w:t xml:space="preserve">As at </w:t>
      </w:r>
      <w:r w:rsidR="005848D2" w:rsidRPr="00BF10A4">
        <w:rPr>
          <w:sz w:val="22"/>
          <w:szCs w:val="22"/>
        </w:rPr>
        <w:t>1</w:t>
      </w:r>
      <w:r w:rsidR="005848D2">
        <w:rPr>
          <w:sz w:val="22"/>
          <w:szCs w:val="22"/>
        </w:rPr>
        <w:t>7</w:t>
      </w:r>
      <w:r w:rsidR="005848D2" w:rsidRPr="00BF10A4">
        <w:rPr>
          <w:sz w:val="22"/>
          <w:szCs w:val="22"/>
        </w:rPr>
        <w:t xml:space="preserve"> </w:t>
      </w:r>
      <w:r w:rsidRPr="00BF10A4">
        <w:rPr>
          <w:sz w:val="22"/>
          <w:szCs w:val="22"/>
        </w:rPr>
        <w:t>August 2017, 88.</w:t>
      </w:r>
      <w:r w:rsidR="00820C54">
        <w:rPr>
          <w:sz w:val="22"/>
          <w:szCs w:val="22"/>
        </w:rPr>
        <w:t>2</w:t>
      </w:r>
      <w:r w:rsidR="00820C54" w:rsidRPr="00BF10A4">
        <w:rPr>
          <w:sz w:val="22"/>
          <w:szCs w:val="22"/>
        </w:rPr>
        <w:t xml:space="preserve"> </w:t>
      </w:r>
      <w:r w:rsidRPr="00BF10A4">
        <w:rPr>
          <w:sz w:val="22"/>
          <w:szCs w:val="22"/>
        </w:rPr>
        <w:t xml:space="preserve">per cent of total assessed contributions for the triennium </w:t>
      </w:r>
      <w:r w:rsidR="007B6C50">
        <w:rPr>
          <w:sz w:val="22"/>
          <w:szCs w:val="22"/>
        </w:rPr>
        <w:t xml:space="preserve">    </w:t>
      </w:r>
      <w:r w:rsidRPr="00BF10A4">
        <w:rPr>
          <w:sz w:val="22"/>
          <w:szCs w:val="22"/>
        </w:rPr>
        <w:t xml:space="preserve">2015-2017, </w:t>
      </w:r>
      <w:r w:rsidRPr="000D1323">
        <w:rPr>
          <w:sz w:val="22"/>
          <w:szCs w:val="22"/>
        </w:rPr>
        <w:t>which amounts to €6,5</w:t>
      </w:r>
      <w:r w:rsidR="00820C54">
        <w:rPr>
          <w:sz w:val="22"/>
          <w:szCs w:val="22"/>
        </w:rPr>
        <w:t>68,434</w:t>
      </w:r>
      <w:r w:rsidRPr="000D1323">
        <w:rPr>
          <w:sz w:val="22"/>
          <w:szCs w:val="22"/>
        </w:rPr>
        <w:t xml:space="preserve"> has been paid. Th</w:t>
      </w:r>
      <w:r w:rsidR="009A37CA">
        <w:rPr>
          <w:sz w:val="22"/>
          <w:szCs w:val="22"/>
        </w:rPr>
        <w:t>i</w:t>
      </w:r>
      <w:r w:rsidRPr="000D1323">
        <w:rPr>
          <w:sz w:val="22"/>
          <w:szCs w:val="22"/>
        </w:rPr>
        <w:t xml:space="preserve">s </w:t>
      </w:r>
      <w:r w:rsidR="009A37CA">
        <w:rPr>
          <w:sz w:val="22"/>
          <w:szCs w:val="22"/>
        </w:rPr>
        <w:t>means that</w:t>
      </w:r>
      <w:r w:rsidR="009A37CA" w:rsidRPr="000D1323">
        <w:rPr>
          <w:sz w:val="22"/>
          <w:szCs w:val="22"/>
        </w:rPr>
        <w:t xml:space="preserve"> </w:t>
      </w:r>
      <w:r w:rsidRPr="000D1323">
        <w:rPr>
          <w:sz w:val="22"/>
          <w:szCs w:val="22"/>
        </w:rPr>
        <w:t>the total unpaid pled</w:t>
      </w:r>
      <w:r w:rsidR="00057B92" w:rsidRPr="000D1323">
        <w:rPr>
          <w:sz w:val="22"/>
          <w:szCs w:val="22"/>
        </w:rPr>
        <w:t xml:space="preserve">ges as at </w:t>
      </w:r>
      <w:r w:rsidR="005848D2" w:rsidRPr="000D1323">
        <w:rPr>
          <w:sz w:val="22"/>
          <w:szCs w:val="22"/>
        </w:rPr>
        <w:t>1</w:t>
      </w:r>
      <w:r w:rsidR="005848D2">
        <w:rPr>
          <w:sz w:val="22"/>
          <w:szCs w:val="22"/>
        </w:rPr>
        <w:t>7</w:t>
      </w:r>
      <w:r w:rsidR="005848D2" w:rsidRPr="000D1323">
        <w:rPr>
          <w:sz w:val="22"/>
          <w:szCs w:val="22"/>
        </w:rPr>
        <w:t xml:space="preserve"> </w:t>
      </w:r>
      <w:r w:rsidR="00057B92" w:rsidRPr="000D1323">
        <w:rPr>
          <w:sz w:val="22"/>
          <w:szCs w:val="22"/>
        </w:rPr>
        <w:t xml:space="preserve">August 2017 </w:t>
      </w:r>
      <w:r w:rsidR="009A37CA">
        <w:rPr>
          <w:sz w:val="22"/>
          <w:szCs w:val="22"/>
        </w:rPr>
        <w:t>amount to</w:t>
      </w:r>
      <w:r w:rsidR="009A37CA" w:rsidRPr="000D1323">
        <w:rPr>
          <w:sz w:val="22"/>
          <w:szCs w:val="22"/>
        </w:rPr>
        <w:t xml:space="preserve"> </w:t>
      </w:r>
      <w:r w:rsidR="00057B92" w:rsidRPr="000D1323">
        <w:rPr>
          <w:sz w:val="22"/>
          <w:szCs w:val="22"/>
        </w:rPr>
        <w:t>€</w:t>
      </w:r>
      <w:r w:rsidR="00820C54">
        <w:rPr>
          <w:sz w:val="22"/>
          <w:szCs w:val="22"/>
        </w:rPr>
        <w:t>983,332</w:t>
      </w:r>
      <w:r w:rsidR="00057B92" w:rsidRPr="000D1323">
        <w:rPr>
          <w:sz w:val="22"/>
          <w:szCs w:val="22"/>
        </w:rPr>
        <w:t xml:space="preserve"> </w:t>
      </w:r>
      <w:r w:rsidRPr="000D1323">
        <w:rPr>
          <w:sz w:val="22"/>
          <w:szCs w:val="22"/>
        </w:rPr>
        <w:t>(€644,378 for 2017, €2</w:t>
      </w:r>
      <w:r w:rsidR="00820C54">
        <w:rPr>
          <w:sz w:val="22"/>
          <w:szCs w:val="22"/>
        </w:rPr>
        <w:t>29,818</w:t>
      </w:r>
      <w:r w:rsidRPr="000D1323">
        <w:rPr>
          <w:sz w:val="22"/>
          <w:szCs w:val="22"/>
        </w:rPr>
        <w:t xml:space="preserve"> for the period 2015-2016 and €</w:t>
      </w:r>
      <w:r w:rsidR="00057B92" w:rsidRPr="000D1323">
        <w:rPr>
          <w:sz w:val="22"/>
          <w:szCs w:val="22"/>
        </w:rPr>
        <w:t>109,136 for</w:t>
      </w:r>
      <w:r w:rsidRPr="000D1323">
        <w:rPr>
          <w:sz w:val="22"/>
          <w:szCs w:val="22"/>
        </w:rPr>
        <w:t xml:space="preserve"> prior years). As shown in the table in Annex 1, out of </w:t>
      </w:r>
      <w:r w:rsidR="00057B92" w:rsidRPr="000D1323">
        <w:rPr>
          <w:sz w:val="22"/>
          <w:szCs w:val="22"/>
        </w:rPr>
        <w:t xml:space="preserve">total </w:t>
      </w:r>
      <w:r w:rsidRPr="000D1323">
        <w:rPr>
          <w:sz w:val="22"/>
          <w:szCs w:val="22"/>
        </w:rPr>
        <w:t>120 Parties, 56 have not fully paid their assessed contributions to the Trust Fund for the triennium 2015-2017. Based on past experience, several of these outstanding contributions are collectable with a certain degree of reliability</w:t>
      </w:r>
      <w:r w:rsidR="009A37CA">
        <w:rPr>
          <w:sz w:val="22"/>
          <w:szCs w:val="22"/>
        </w:rPr>
        <w:t>;</w:t>
      </w:r>
      <w:r w:rsidRPr="000D1323">
        <w:rPr>
          <w:sz w:val="22"/>
          <w:szCs w:val="22"/>
        </w:rPr>
        <w:t xml:space="preserve"> this being the case, it is expected that the contributions to Trust Fund will be increased further in the last months of 2017.   </w:t>
      </w:r>
    </w:p>
    <w:p w:rsidR="00BF10A4" w:rsidRPr="000D1323" w:rsidRDefault="00BF10A4" w:rsidP="000D1323">
      <w:pPr>
        <w:ind w:left="360"/>
        <w:contextualSpacing/>
        <w:jc w:val="both"/>
        <w:rPr>
          <w:sz w:val="22"/>
          <w:szCs w:val="22"/>
        </w:rPr>
      </w:pPr>
    </w:p>
    <w:p w:rsidR="00BF10A4" w:rsidRPr="00BF10A4" w:rsidRDefault="00BF10A4" w:rsidP="000D1323">
      <w:pPr>
        <w:numPr>
          <w:ilvl w:val="0"/>
          <w:numId w:val="10"/>
        </w:numPr>
        <w:ind w:left="360"/>
        <w:contextualSpacing/>
        <w:jc w:val="both"/>
        <w:rPr>
          <w:sz w:val="22"/>
          <w:szCs w:val="22"/>
        </w:rPr>
      </w:pPr>
      <w:r w:rsidRPr="00BF10A4">
        <w:rPr>
          <w:sz w:val="22"/>
          <w:szCs w:val="22"/>
        </w:rPr>
        <w:t xml:space="preserve">The tendency of the majority of the Parties to pay their contributions late in the year or in the year following </w:t>
      </w:r>
      <w:r w:rsidR="009A37CA" w:rsidRPr="00BF10A4">
        <w:rPr>
          <w:sz w:val="22"/>
          <w:szCs w:val="22"/>
        </w:rPr>
        <w:t>th</w:t>
      </w:r>
      <w:r w:rsidR="009A37CA">
        <w:rPr>
          <w:sz w:val="22"/>
          <w:szCs w:val="22"/>
        </w:rPr>
        <w:t>e one</w:t>
      </w:r>
      <w:r w:rsidR="009A37CA" w:rsidRPr="00BF10A4">
        <w:rPr>
          <w:sz w:val="22"/>
          <w:szCs w:val="22"/>
        </w:rPr>
        <w:t xml:space="preserve"> </w:t>
      </w:r>
      <w:r w:rsidRPr="00BF10A4">
        <w:rPr>
          <w:sz w:val="22"/>
          <w:szCs w:val="22"/>
        </w:rPr>
        <w:t xml:space="preserve">in which they are due gives </w:t>
      </w:r>
      <w:r w:rsidR="009A37CA">
        <w:rPr>
          <w:sz w:val="22"/>
          <w:szCs w:val="22"/>
        </w:rPr>
        <w:t xml:space="preserve">cause for </w:t>
      </w:r>
      <w:r w:rsidRPr="00BF10A4">
        <w:rPr>
          <w:sz w:val="22"/>
          <w:szCs w:val="22"/>
        </w:rPr>
        <w:t xml:space="preserve">concern </w:t>
      </w:r>
      <w:r w:rsidR="009A37CA">
        <w:rPr>
          <w:sz w:val="22"/>
          <w:szCs w:val="22"/>
        </w:rPr>
        <w:t>to</w:t>
      </w:r>
      <w:r w:rsidR="009A37CA" w:rsidRPr="00BF10A4">
        <w:rPr>
          <w:sz w:val="22"/>
          <w:szCs w:val="22"/>
        </w:rPr>
        <w:t xml:space="preserve"> </w:t>
      </w:r>
      <w:r w:rsidRPr="00BF10A4">
        <w:rPr>
          <w:sz w:val="22"/>
          <w:szCs w:val="22"/>
        </w:rPr>
        <w:t xml:space="preserve">the Secretariat, since this has </w:t>
      </w:r>
      <w:r w:rsidR="009A37CA">
        <w:rPr>
          <w:sz w:val="22"/>
          <w:szCs w:val="22"/>
        </w:rPr>
        <w:t>an</w:t>
      </w:r>
      <w:r w:rsidR="009A37CA" w:rsidRPr="00BF10A4">
        <w:rPr>
          <w:sz w:val="22"/>
          <w:szCs w:val="22"/>
        </w:rPr>
        <w:t xml:space="preserve"> </w:t>
      </w:r>
      <w:r w:rsidRPr="00BF10A4">
        <w:rPr>
          <w:sz w:val="22"/>
          <w:szCs w:val="22"/>
        </w:rPr>
        <w:t xml:space="preserve">effect </w:t>
      </w:r>
      <w:r w:rsidR="009A37CA">
        <w:rPr>
          <w:sz w:val="22"/>
          <w:szCs w:val="22"/>
        </w:rPr>
        <w:t>o</w:t>
      </w:r>
      <w:r w:rsidRPr="00BF10A4">
        <w:rPr>
          <w:sz w:val="22"/>
          <w:szCs w:val="22"/>
        </w:rPr>
        <w:t xml:space="preserve">n cashflow, particularly now due to </w:t>
      </w:r>
      <w:r w:rsidR="009A37CA">
        <w:rPr>
          <w:sz w:val="22"/>
          <w:szCs w:val="22"/>
        </w:rPr>
        <w:t xml:space="preserve">the </w:t>
      </w:r>
      <w:r w:rsidRPr="00BF10A4">
        <w:rPr>
          <w:sz w:val="22"/>
          <w:szCs w:val="22"/>
        </w:rPr>
        <w:t xml:space="preserve">recently deployed new enterprise </w:t>
      </w:r>
      <w:r w:rsidRPr="000D1323">
        <w:rPr>
          <w:sz w:val="22"/>
          <w:szCs w:val="22"/>
        </w:rPr>
        <w:t xml:space="preserve">resource planning system “Umoja” </w:t>
      </w:r>
      <w:r w:rsidR="00E769AD">
        <w:rPr>
          <w:sz w:val="22"/>
          <w:szCs w:val="22"/>
        </w:rPr>
        <w:t xml:space="preserve">at the </w:t>
      </w:r>
      <w:r w:rsidRPr="000D1323">
        <w:rPr>
          <w:sz w:val="22"/>
          <w:szCs w:val="22"/>
        </w:rPr>
        <w:t xml:space="preserve">UN Secretariat, including UN Environment. The new system applies strict </w:t>
      </w:r>
      <w:r w:rsidRPr="00BF10A4">
        <w:rPr>
          <w:sz w:val="22"/>
          <w:szCs w:val="22"/>
        </w:rPr>
        <w:t xml:space="preserve">cash management of the contributions from the Parties: funds </w:t>
      </w:r>
      <w:r w:rsidR="005848D2">
        <w:rPr>
          <w:sz w:val="22"/>
          <w:szCs w:val="22"/>
        </w:rPr>
        <w:t>can only</w:t>
      </w:r>
      <w:r w:rsidR="005848D2" w:rsidRPr="00BF10A4">
        <w:rPr>
          <w:sz w:val="22"/>
          <w:szCs w:val="22"/>
        </w:rPr>
        <w:t xml:space="preserve"> </w:t>
      </w:r>
      <w:r w:rsidRPr="00BF10A4">
        <w:rPr>
          <w:sz w:val="22"/>
          <w:szCs w:val="22"/>
        </w:rPr>
        <w:t>be committed when the contributions are paid to the Trust Fund as available cash. It is therefore worth recalling paragraph 5 of Resolution 11.1, which urges Parties to pay their contributions as promptly as possible</w:t>
      </w:r>
      <w:r w:rsidR="005848D2">
        <w:rPr>
          <w:sz w:val="22"/>
          <w:szCs w:val="22"/>
        </w:rPr>
        <w:t>,</w:t>
      </w:r>
      <w:r w:rsidRPr="00BF10A4">
        <w:rPr>
          <w:sz w:val="22"/>
          <w:szCs w:val="22"/>
        </w:rPr>
        <w:t xml:space="preserve"> preferably not later than March in the year to which they relate. </w:t>
      </w:r>
    </w:p>
    <w:p w:rsidR="00BF10A4" w:rsidRPr="00BF10A4" w:rsidRDefault="00BF10A4" w:rsidP="000D1323">
      <w:pPr>
        <w:ind w:left="360"/>
        <w:contextualSpacing/>
        <w:jc w:val="both"/>
        <w:rPr>
          <w:sz w:val="22"/>
          <w:szCs w:val="22"/>
        </w:rPr>
      </w:pPr>
    </w:p>
    <w:p w:rsidR="00BF10A4" w:rsidRPr="00BF10A4" w:rsidRDefault="00BF10A4" w:rsidP="000D1323">
      <w:pPr>
        <w:numPr>
          <w:ilvl w:val="0"/>
          <w:numId w:val="10"/>
        </w:numPr>
        <w:ind w:left="360"/>
        <w:contextualSpacing/>
        <w:jc w:val="both"/>
        <w:rPr>
          <w:sz w:val="22"/>
          <w:szCs w:val="22"/>
        </w:rPr>
      </w:pPr>
      <w:r w:rsidRPr="00BF10A4">
        <w:rPr>
          <w:sz w:val="22"/>
          <w:szCs w:val="22"/>
        </w:rPr>
        <w:t xml:space="preserve">In order to collect arrears, the Secretariat sent personalized letters in May 2017 to those Parties from Europe </w:t>
      </w:r>
      <w:r w:rsidR="009A37CA">
        <w:rPr>
          <w:sz w:val="22"/>
          <w:szCs w:val="22"/>
        </w:rPr>
        <w:t>that</w:t>
      </w:r>
      <w:r w:rsidR="009A37CA" w:rsidRPr="00BF10A4">
        <w:rPr>
          <w:sz w:val="22"/>
          <w:szCs w:val="22"/>
        </w:rPr>
        <w:t xml:space="preserve"> </w:t>
      </w:r>
      <w:r w:rsidRPr="00BF10A4">
        <w:rPr>
          <w:sz w:val="22"/>
          <w:szCs w:val="22"/>
        </w:rPr>
        <w:t xml:space="preserve">had contributions outstanding at that time. In August 2017, the Secretariat sent separate reminders to 17 Parties </w:t>
      </w:r>
      <w:r w:rsidR="009A37CA">
        <w:rPr>
          <w:sz w:val="22"/>
          <w:szCs w:val="22"/>
        </w:rPr>
        <w:t>that</w:t>
      </w:r>
      <w:r w:rsidR="009A37CA" w:rsidRPr="00BF10A4">
        <w:rPr>
          <w:sz w:val="22"/>
          <w:szCs w:val="22"/>
        </w:rPr>
        <w:t xml:space="preserve"> </w:t>
      </w:r>
      <w:r w:rsidRPr="00BF10A4">
        <w:rPr>
          <w:sz w:val="22"/>
          <w:szCs w:val="22"/>
        </w:rPr>
        <w:t>had arrears of more than three years drawing their attention to the paragraph 9</w:t>
      </w:r>
      <w:r w:rsidR="005848D2">
        <w:rPr>
          <w:sz w:val="22"/>
          <w:szCs w:val="22"/>
        </w:rPr>
        <w:t xml:space="preserve"> of</w:t>
      </w:r>
      <w:r w:rsidRPr="00BF10A4">
        <w:rPr>
          <w:sz w:val="22"/>
          <w:szCs w:val="22"/>
        </w:rPr>
        <w:t xml:space="preserve"> Resolution 11.1 </w:t>
      </w:r>
      <w:r w:rsidR="005848D2">
        <w:rPr>
          <w:sz w:val="22"/>
          <w:szCs w:val="22"/>
        </w:rPr>
        <w:t>by which</w:t>
      </w:r>
      <w:r w:rsidRPr="00BF10A4">
        <w:rPr>
          <w:sz w:val="22"/>
          <w:szCs w:val="22"/>
        </w:rPr>
        <w:t xml:space="preserve"> </w:t>
      </w:r>
      <w:r w:rsidR="005848D2">
        <w:rPr>
          <w:sz w:val="22"/>
          <w:szCs w:val="22"/>
        </w:rPr>
        <w:t xml:space="preserve">their </w:t>
      </w:r>
      <w:r w:rsidRPr="00BF10A4">
        <w:rPr>
          <w:sz w:val="22"/>
          <w:szCs w:val="22"/>
        </w:rPr>
        <w:t>voting rights at the Twelfth Meeting of the Conference of the Parties</w:t>
      </w:r>
      <w:r w:rsidR="005848D2">
        <w:rPr>
          <w:sz w:val="22"/>
          <w:szCs w:val="22"/>
        </w:rPr>
        <w:t xml:space="preserve"> would be withdrawn</w:t>
      </w:r>
      <w:r w:rsidR="00621188">
        <w:rPr>
          <w:sz w:val="22"/>
          <w:szCs w:val="22"/>
        </w:rPr>
        <w:t xml:space="preserve"> if </w:t>
      </w:r>
      <w:r w:rsidR="00504B02">
        <w:rPr>
          <w:sz w:val="22"/>
          <w:szCs w:val="22"/>
        </w:rPr>
        <w:t>payment</w:t>
      </w:r>
      <w:r w:rsidR="007B6C50">
        <w:rPr>
          <w:sz w:val="22"/>
          <w:szCs w:val="22"/>
        </w:rPr>
        <w:t>s</w:t>
      </w:r>
      <w:r w:rsidR="00504B02">
        <w:rPr>
          <w:sz w:val="22"/>
          <w:szCs w:val="22"/>
        </w:rPr>
        <w:t xml:space="preserve"> were not received</w:t>
      </w:r>
      <w:r w:rsidRPr="00BF10A4">
        <w:rPr>
          <w:sz w:val="22"/>
          <w:szCs w:val="22"/>
        </w:rPr>
        <w:t xml:space="preserve">.      </w:t>
      </w:r>
    </w:p>
    <w:p w:rsidR="00BF10A4" w:rsidRPr="000D1323" w:rsidRDefault="00BF10A4" w:rsidP="000D1323">
      <w:pPr>
        <w:ind w:left="360"/>
        <w:contextualSpacing/>
        <w:jc w:val="both"/>
        <w:rPr>
          <w:sz w:val="22"/>
          <w:szCs w:val="22"/>
        </w:rPr>
      </w:pPr>
    </w:p>
    <w:p w:rsidR="00CA131F" w:rsidRPr="000D1323" w:rsidRDefault="00CA131F" w:rsidP="000D1323">
      <w:pPr>
        <w:contextualSpacing/>
        <w:jc w:val="both"/>
        <w:rPr>
          <w:b/>
          <w:sz w:val="22"/>
          <w:szCs w:val="22"/>
        </w:rPr>
      </w:pPr>
      <w:r w:rsidRPr="000D1323">
        <w:rPr>
          <w:b/>
          <w:sz w:val="22"/>
          <w:szCs w:val="22"/>
        </w:rPr>
        <w:t xml:space="preserve">Status of </w:t>
      </w:r>
      <w:r w:rsidR="00BF10A4" w:rsidRPr="000D1323">
        <w:rPr>
          <w:b/>
          <w:sz w:val="22"/>
          <w:szCs w:val="22"/>
        </w:rPr>
        <w:t>New Parties</w:t>
      </w:r>
      <w:r w:rsidRPr="000D1323">
        <w:rPr>
          <w:b/>
          <w:sz w:val="22"/>
          <w:szCs w:val="22"/>
        </w:rPr>
        <w:t xml:space="preserve">’ assessed contributions </w:t>
      </w:r>
    </w:p>
    <w:p w:rsidR="00BF10A4" w:rsidRPr="000D1323" w:rsidRDefault="00BF10A4" w:rsidP="000D1323">
      <w:pPr>
        <w:ind w:left="360"/>
        <w:contextualSpacing/>
        <w:jc w:val="both"/>
        <w:rPr>
          <w:sz w:val="22"/>
          <w:szCs w:val="22"/>
        </w:rPr>
      </w:pPr>
      <w:r w:rsidRPr="000D1323">
        <w:rPr>
          <w:sz w:val="22"/>
          <w:szCs w:val="22"/>
        </w:rPr>
        <w:t xml:space="preserve"> </w:t>
      </w:r>
    </w:p>
    <w:p w:rsidR="00BF10A4" w:rsidRPr="000D1323" w:rsidRDefault="00BF10A4" w:rsidP="000D1323">
      <w:pPr>
        <w:numPr>
          <w:ilvl w:val="0"/>
          <w:numId w:val="10"/>
        </w:numPr>
        <w:ind w:left="360"/>
        <w:contextualSpacing/>
        <w:jc w:val="both"/>
        <w:rPr>
          <w:sz w:val="22"/>
          <w:szCs w:val="22"/>
        </w:rPr>
      </w:pPr>
      <w:r w:rsidRPr="000D1323">
        <w:rPr>
          <w:sz w:val="22"/>
          <w:szCs w:val="22"/>
        </w:rPr>
        <w:t xml:space="preserve">Four new Parties (Afghanistan in August 2015, Brazil in October 2015, </w:t>
      </w:r>
      <w:r w:rsidR="009A37CA">
        <w:rPr>
          <w:sz w:val="22"/>
          <w:szCs w:val="22"/>
        </w:rPr>
        <w:t xml:space="preserve">the </w:t>
      </w:r>
      <w:r w:rsidRPr="000D1323">
        <w:rPr>
          <w:sz w:val="22"/>
          <w:szCs w:val="22"/>
        </w:rPr>
        <w:t xml:space="preserve">United Arab Emirates in May 2016 and Iraq in August 2016) acceded the Convention during the </w:t>
      </w:r>
      <w:r w:rsidRPr="000D1323">
        <w:rPr>
          <w:sz w:val="22"/>
          <w:szCs w:val="22"/>
        </w:rPr>
        <w:lastRenderedPageBreak/>
        <w:t xml:space="preserve">triennium 2015-2017. Total new assessed contributions </w:t>
      </w:r>
      <w:r w:rsidR="00621188" w:rsidRPr="000D1323">
        <w:rPr>
          <w:sz w:val="22"/>
          <w:szCs w:val="22"/>
        </w:rPr>
        <w:t>attribut</w:t>
      </w:r>
      <w:r w:rsidR="00621188">
        <w:rPr>
          <w:sz w:val="22"/>
          <w:szCs w:val="22"/>
        </w:rPr>
        <w:t>able</w:t>
      </w:r>
      <w:r w:rsidR="00621188" w:rsidRPr="000D1323">
        <w:rPr>
          <w:sz w:val="22"/>
          <w:szCs w:val="22"/>
        </w:rPr>
        <w:t xml:space="preserve"> </w:t>
      </w:r>
      <w:r w:rsidR="009A37CA">
        <w:rPr>
          <w:sz w:val="22"/>
          <w:szCs w:val="22"/>
        </w:rPr>
        <w:t>to the</w:t>
      </w:r>
      <w:r w:rsidR="009A37CA" w:rsidRPr="000D1323">
        <w:rPr>
          <w:sz w:val="22"/>
          <w:szCs w:val="22"/>
        </w:rPr>
        <w:t xml:space="preserve"> </w:t>
      </w:r>
      <w:r w:rsidRPr="000D1323">
        <w:rPr>
          <w:sz w:val="22"/>
          <w:szCs w:val="22"/>
        </w:rPr>
        <w:t xml:space="preserve">four new </w:t>
      </w:r>
      <w:r w:rsidR="009A37CA">
        <w:rPr>
          <w:sz w:val="22"/>
          <w:szCs w:val="22"/>
        </w:rPr>
        <w:t>P</w:t>
      </w:r>
      <w:r w:rsidRPr="000D1323">
        <w:rPr>
          <w:sz w:val="22"/>
          <w:szCs w:val="22"/>
        </w:rPr>
        <w:t xml:space="preserve">arties amount to €425,268, of which €660 </w:t>
      </w:r>
      <w:r w:rsidR="00621188">
        <w:rPr>
          <w:sz w:val="22"/>
          <w:szCs w:val="22"/>
        </w:rPr>
        <w:t>has been</w:t>
      </w:r>
      <w:r w:rsidR="00621188" w:rsidRPr="000D1323">
        <w:rPr>
          <w:sz w:val="22"/>
          <w:szCs w:val="22"/>
        </w:rPr>
        <w:t xml:space="preserve"> </w:t>
      </w:r>
      <w:r w:rsidRPr="000D1323">
        <w:rPr>
          <w:sz w:val="22"/>
          <w:szCs w:val="22"/>
        </w:rPr>
        <w:t xml:space="preserve">paid by Afghanistan </w:t>
      </w:r>
      <w:r w:rsidR="00621188">
        <w:rPr>
          <w:sz w:val="22"/>
          <w:szCs w:val="22"/>
        </w:rPr>
        <w:t>l</w:t>
      </w:r>
      <w:r w:rsidR="009A37CA">
        <w:rPr>
          <w:sz w:val="22"/>
          <w:szCs w:val="22"/>
        </w:rPr>
        <w:t>ea</w:t>
      </w:r>
      <w:r w:rsidR="00621188">
        <w:rPr>
          <w:sz w:val="22"/>
          <w:szCs w:val="22"/>
        </w:rPr>
        <w:t>v</w:t>
      </w:r>
      <w:r w:rsidR="009A37CA" w:rsidRPr="000D1323">
        <w:rPr>
          <w:sz w:val="22"/>
          <w:szCs w:val="22"/>
        </w:rPr>
        <w:t xml:space="preserve">ing </w:t>
      </w:r>
      <w:r w:rsidRPr="000D1323">
        <w:rPr>
          <w:sz w:val="22"/>
          <w:szCs w:val="22"/>
        </w:rPr>
        <w:t xml:space="preserve">€424,608 </w:t>
      </w:r>
      <w:r w:rsidR="00621188">
        <w:rPr>
          <w:sz w:val="22"/>
          <w:szCs w:val="22"/>
        </w:rPr>
        <w:t>outstanding</w:t>
      </w:r>
      <w:r w:rsidRPr="000D1323">
        <w:rPr>
          <w:sz w:val="22"/>
          <w:szCs w:val="22"/>
        </w:rPr>
        <w:t xml:space="preserve"> from </w:t>
      </w:r>
      <w:r w:rsidR="00621188">
        <w:rPr>
          <w:sz w:val="22"/>
          <w:szCs w:val="22"/>
        </w:rPr>
        <w:t xml:space="preserve">the </w:t>
      </w:r>
      <w:r w:rsidRPr="000D1323">
        <w:rPr>
          <w:sz w:val="22"/>
          <w:szCs w:val="22"/>
        </w:rPr>
        <w:t xml:space="preserve">remaining three new Parties.  </w:t>
      </w:r>
    </w:p>
    <w:p w:rsidR="00BF10A4" w:rsidRPr="00011B1A" w:rsidRDefault="00BF10A4" w:rsidP="000D1323">
      <w:pPr>
        <w:contextualSpacing/>
        <w:jc w:val="both"/>
        <w:rPr>
          <w:sz w:val="22"/>
          <w:szCs w:val="22"/>
        </w:rPr>
      </w:pPr>
    </w:p>
    <w:p w:rsidR="00BF10A4" w:rsidRPr="000D1323" w:rsidRDefault="00BF10A4" w:rsidP="000D1323">
      <w:pPr>
        <w:contextualSpacing/>
        <w:jc w:val="both"/>
        <w:rPr>
          <w:b/>
          <w:sz w:val="22"/>
          <w:szCs w:val="22"/>
        </w:rPr>
      </w:pPr>
      <w:r w:rsidRPr="000D1323">
        <w:rPr>
          <w:b/>
          <w:sz w:val="22"/>
          <w:szCs w:val="22"/>
        </w:rPr>
        <w:t xml:space="preserve">Budget Implementation for the period 2015-2017 </w:t>
      </w:r>
    </w:p>
    <w:p w:rsidR="00BF10A4" w:rsidRPr="000D1323" w:rsidRDefault="00BF10A4" w:rsidP="000D1323">
      <w:pPr>
        <w:ind w:left="360"/>
        <w:contextualSpacing/>
        <w:jc w:val="both"/>
        <w:rPr>
          <w:sz w:val="22"/>
          <w:szCs w:val="22"/>
        </w:rPr>
      </w:pPr>
    </w:p>
    <w:p w:rsidR="00BF10A4" w:rsidRPr="000D1323" w:rsidRDefault="00BF10A4" w:rsidP="000D1323">
      <w:pPr>
        <w:numPr>
          <w:ilvl w:val="0"/>
          <w:numId w:val="10"/>
        </w:numPr>
        <w:ind w:left="360"/>
        <w:contextualSpacing/>
        <w:jc w:val="both"/>
        <w:rPr>
          <w:sz w:val="22"/>
          <w:szCs w:val="22"/>
        </w:rPr>
      </w:pPr>
      <w:r w:rsidRPr="00011B1A">
        <w:rPr>
          <w:sz w:val="22"/>
          <w:szCs w:val="22"/>
        </w:rPr>
        <w:t xml:space="preserve">COP11 adopted the triennium budget for 2015-2017 amounting to </w:t>
      </w:r>
      <w:r w:rsidR="0039523C" w:rsidRPr="000D1323">
        <w:rPr>
          <w:sz w:val="22"/>
          <w:szCs w:val="22"/>
        </w:rPr>
        <w:t xml:space="preserve">€7,442,629, </w:t>
      </w:r>
      <w:r w:rsidRPr="000D1323">
        <w:rPr>
          <w:sz w:val="22"/>
          <w:szCs w:val="22"/>
        </w:rPr>
        <w:t xml:space="preserve">including </w:t>
      </w:r>
      <w:r w:rsidR="0039523C" w:rsidRPr="000D1323">
        <w:rPr>
          <w:sz w:val="22"/>
          <w:szCs w:val="22"/>
        </w:rPr>
        <w:t>Programme Support Cost (PSC)</w:t>
      </w:r>
      <w:r w:rsidR="00057B92" w:rsidRPr="000D1323">
        <w:rPr>
          <w:sz w:val="22"/>
          <w:szCs w:val="22"/>
        </w:rPr>
        <w:t xml:space="preserve"> of 13</w:t>
      </w:r>
      <w:r w:rsidR="009A37CA">
        <w:rPr>
          <w:sz w:val="22"/>
          <w:szCs w:val="22"/>
        </w:rPr>
        <w:t xml:space="preserve"> per cent</w:t>
      </w:r>
      <w:r w:rsidR="009A37CA" w:rsidRPr="000D1323">
        <w:rPr>
          <w:sz w:val="22"/>
          <w:szCs w:val="22"/>
        </w:rPr>
        <w:t xml:space="preserve">. </w:t>
      </w:r>
      <w:r w:rsidR="00057B92" w:rsidRPr="000D1323">
        <w:rPr>
          <w:sz w:val="22"/>
          <w:szCs w:val="22"/>
        </w:rPr>
        <w:t>T</w:t>
      </w:r>
      <w:r w:rsidRPr="000D1323">
        <w:rPr>
          <w:sz w:val="22"/>
          <w:szCs w:val="22"/>
        </w:rPr>
        <w:t>he 44</w:t>
      </w:r>
      <w:r w:rsidRPr="004C454A">
        <w:rPr>
          <w:sz w:val="22"/>
          <w:szCs w:val="22"/>
          <w:vertAlign w:val="superscript"/>
        </w:rPr>
        <w:t>th</w:t>
      </w:r>
      <w:r w:rsidRPr="000D1323">
        <w:rPr>
          <w:sz w:val="22"/>
          <w:szCs w:val="22"/>
        </w:rPr>
        <w:t xml:space="preserve"> </w:t>
      </w:r>
      <w:r w:rsidR="00621188" w:rsidRPr="000D1323">
        <w:rPr>
          <w:sz w:val="22"/>
          <w:szCs w:val="22"/>
        </w:rPr>
        <w:t xml:space="preserve">meeting </w:t>
      </w:r>
      <w:r w:rsidR="00621188">
        <w:rPr>
          <w:sz w:val="22"/>
          <w:szCs w:val="22"/>
        </w:rPr>
        <w:t xml:space="preserve">of the </w:t>
      </w:r>
      <w:r w:rsidRPr="000D1323">
        <w:rPr>
          <w:sz w:val="22"/>
          <w:szCs w:val="22"/>
        </w:rPr>
        <w:t xml:space="preserve">Standing Committee </w:t>
      </w:r>
      <w:r w:rsidR="00621188">
        <w:rPr>
          <w:sz w:val="22"/>
          <w:szCs w:val="22"/>
        </w:rPr>
        <w:t xml:space="preserve">(StC44) </w:t>
      </w:r>
      <w:r w:rsidRPr="000D1323">
        <w:rPr>
          <w:sz w:val="22"/>
          <w:szCs w:val="22"/>
        </w:rPr>
        <w:t>in October 2015 a</w:t>
      </w:r>
      <w:r w:rsidR="00057B92" w:rsidRPr="000D1323">
        <w:rPr>
          <w:sz w:val="22"/>
          <w:szCs w:val="22"/>
        </w:rPr>
        <w:t xml:space="preserve">uthorized </w:t>
      </w:r>
      <w:r w:rsidRPr="000D1323">
        <w:rPr>
          <w:sz w:val="22"/>
          <w:szCs w:val="22"/>
        </w:rPr>
        <w:t>the Secretariat to draw</w:t>
      </w:r>
      <w:r w:rsidR="009A37CA">
        <w:rPr>
          <w:sz w:val="22"/>
          <w:szCs w:val="22"/>
        </w:rPr>
        <w:t xml:space="preserve"> </w:t>
      </w:r>
      <w:r w:rsidRPr="000D1323">
        <w:rPr>
          <w:sz w:val="22"/>
          <w:szCs w:val="22"/>
        </w:rPr>
        <w:t>down €179,000, including P</w:t>
      </w:r>
      <w:r w:rsidR="004C454A">
        <w:rPr>
          <w:sz w:val="22"/>
          <w:szCs w:val="22"/>
        </w:rPr>
        <w:t>SC,</w:t>
      </w:r>
      <w:r w:rsidR="00057B92" w:rsidRPr="000D1323">
        <w:rPr>
          <w:sz w:val="22"/>
          <w:szCs w:val="22"/>
        </w:rPr>
        <w:t xml:space="preserve"> from the </w:t>
      </w:r>
      <w:r w:rsidR="004C454A">
        <w:rPr>
          <w:sz w:val="22"/>
          <w:szCs w:val="22"/>
        </w:rPr>
        <w:t xml:space="preserve">trust fund </w:t>
      </w:r>
      <w:r w:rsidR="00057B92" w:rsidRPr="000D1323">
        <w:rPr>
          <w:sz w:val="22"/>
          <w:szCs w:val="22"/>
        </w:rPr>
        <w:t>reserve</w:t>
      </w:r>
      <w:r w:rsidRPr="000D1323">
        <w:rPr>
          <w:sz w:val="22"/>
          <w:szCs w:val="22"/>
        </w:rPr>
        <w:t xml:space="preserve">, to cover </w:t>
      </w:r>
      <w:r w:rsidR="009A37CA">
        <w:rPr>
          <w:sz w:val="22"/>
          <w:szCs w:val="22"/>
        </w:rPr>
        <w:t xml:space="preserve">the </w:t>
      </w:r>
      <w:r w:rsidRPr="000D1323">
        <w:rPr>
          <w:sz w:val="22"/>
          <w:szCs w:val="22"/>
        </w:rPr>
        <w:t xml:space="preserve">following areas in 2016 and 2017: €35K to cover the cost of </w:t>
      </w:r>
      <w:r w:rsidRPr="00011B1A">
        <w:rPr>
          <w:sz w:val="22"/>
          <w:szCs w:val="22"/>
        </w:rPr>
        <w:t xml:space="preserve">replacing the P2 Associate Programme Officer dealing with Terrestrial Species while the incumbent </w:t>
      </w:r>
      <w:r w:rsidR="00621188">
        <w:rPr>
          <w:sz w:val="22"/>
          <w:szCs w:val="22"/>
        </w:rPr>
        <w:t>was</w:t>
      </w:r>
      <w:r w:rsidR="00621188" w:rsidRPr="00011B1A">
        <w:rPr>
          <w:sz w:val="22"/>
          <w:szCs w:val="22"/>
        </w:rPr>
        <w:t xml:space="preserve"> </w:t>
      </w:r>
      <w:r w:rsidRPr="00011B1A">
        <w:rPr>
          <w:sz w:val="22"/>
          <w:szCs w:val="22"/>
        </w:rPr>
        <w:t xml:space="preserve">on maternity leave in 2016; </w:t>
      </w:r>
      <w:r w:rsidRPr="000D1323">
        <w:rPr>
          <w:sz w:val="22"/>
          <w:szCs w:val="22"/>
        </w:rPr>
        <w:t>€104K for increasing the funding of the part</w:t>
      </w:r>
      <w:r w:rsidR="00621188">
        <w:rPr>
          <w:sz w:val="22"/>
          <w:szCs w:val="22"/>
        </w:rPr>
        <w:t>-</w:t>
      </w:r>
      <w:r w:rsidRPr="000D1323">
        <w:rPr>
          <w:sz w:val="22"/>
          <w:szCs w:val="22"/>
        </w:rPr>
        <w:t xml:space="preserve">time post of the P2 Associate Information Officer to full time to </w:t>
      </w:r>
      <w:r w:rsidRPr="00011B1A">
        <w:rPr>
          <w:sz w:val="22"/>
          <w:szCs w:val="22"/>
        </w:rPr>
        <w:t xml:space="preserve">strengthen the capacity of the Common Information Unit and </w:t>
      </w:r>
      <w:r w:rsidRPr="000D1323">
        <w:rPr>
          <w:sz w:val="22"/>
          <w:szCs w:val="22"/>
        </w:rPr>
        <w:t xml:space="preserve">€40K for </w:t>
      </w:r>
      <w:r w:rsidR="00621188">
        <w:rPr>
          <w:sz w:val="22"/>
          <w:szCs w:val="22"/>
        </w:rPr>
        <w:t xml:space="preserve">support with </w:t>
      </w:r>
      <w:r w:rsidRPr="000D1323">
        <w:rPr>
          <w:sz w:val="22"/>
          <w:szCs w:val="22"/>
        </w:rPr>
        <w:t xml:space="preserve">coordination </w:t>
      </w:r>
      <w:r w:rsidR="00621188">
        <w:rPr>
          <w:sz w:val="22"/>
          <w:szCs w:val="22"/>
        </w:rPr>
        <w:t>of</w:t>
      </w:r>
      <w:r w:rsidRPr="000D1323">
        <w:rPr>
          <w:sz w:val="22"/>
          <w:szCs w:val="22"/>
        </w:rPr>
        <w:t xml:space="preserve"> the Strategic Plan Working Group in 2016 and 2017. Th</w:t>
      </w:r>
      <w:r w:rsidR="009A37CA">
        <w:rPr>
          <w:sz w:val="22"/>
          <w:szCs w:val="22"/>
        </w:rPr>
        <w:t>i</w:t>
      </w:r>
      <w:r w:rsidRPr="000D1323">
        <w:rPr>
          <w:sz w:val="22"/>
          <w:szCs w:val="22"/>
        </w:rPr>
        <w:t xml:space="preserve">s brings </w:t>
      </w:r>
      <w:r w:rsidR="00621188">
        <w:rPr>
          <w:sz w:val="22"/>
          <w:szCs w:val="22"/>
        </w:rPr>
        <w:t xml:space="preserve">the </w:t>
      </w:r>
      <w:r w:rsidRPr="000D1323">
        <w:rPr>
          <w:sz w:val="22"/>
          <w:szCs w:val="22"/>
        </w:rPr>
        <w:t>total budget for the triennium 2015-2017 to €7,621,629.</w:t>
      </w:r>
    </w:p>
    <w:p w:rsidR="00BF10A4" w:rsidRPr="000D1323" w:rsidRDefault="00BF10A4" w:rsidP="000D1323">
      <w:pPr>
        <w:ind w:left="360"/>
        <w:contextualSpacing/>
        <w:jc w:val="both"/>
        <w:rPr>
          <w:sz w:val="22"/>
          <w:szCs w:val="22"/>
        </w:rPr>
      </w:pPr>
    </w:p>
    <w:p w:rsidR="00BF10A4" w:rsidRPr="000D1323" w:rsidRDefault="00BF10A4" w:rsidP="000D1323">
      <w:pPr>
        <w:numPr>
          <w:ilvl w:val="0"/>
          <w:numId w:val="10"/>
        </w:numPr>
        <w:ind w:left="360"/>
        <w:contextualSpacing/>
        <w:jc w:val="both"/>
        <w:rPr>
          <w:sz w:val="22"/>
          <w:szCs w:val="22"/>
        </w:rPr>
      </w:pPr>
      <w:r w:rsidRPr="000D1323">
        <w:rPr>
          <w:sz w:val="22"/>
          <w:szCs w:val="22"/>
        </w:rPr>
        <w:t>The total estimated expenditure for the trie</w:t>
      </w:r>
      <w:r w:rsidR="00057B92" w:rsidRPr="000D1323">
        <w:rPr>
          <w:sz w:val="22"/>
          <w:szCs w:val="22"/>
        </w:rPr>
        <w:t>nn</w:t>
      </w:r>
      <w:r w:rsidR="00B10614" w:rsidRPr="000D1323">
        <w:rPr>
          <w:sz w:val="22"/>
          <w:szCs w:val="22"/>
        </w:rPr>
        <w:t>ium 2015-2017 amounted to €7,</w:t>
      </w:r>
      <w:r w:rsidR="00E122BE">
        <w:rPr>
          <w:sz w:val="22"/>
          <w:szCs w:val="22"/>
        </w:rPr>
        <w:t>48</w:t>
      </w:r>
      <w:r w:rsidR="00FE2CBA">
        <w:rPr>
          <w:sz w:val="22"/>
          <w:szCs w:val="22"/>
        </w:rPr>
        <w:t>6</w:t>
      </w:r>
      <w:r w:rsidRPr="000D1323">
        <w:rPr>
          <w:sz w:val="22"/>
          <w:szCs w:val="22"/>
        </w:rPr>
        <w:t>,</w:t>
      </w:r>
      <w:r w:rsidR="00FE2CBA">
        <w:rPr>
          <w:sz w:val="22"/>
          <w:szCs w:val="22"/>
        </w:rPr>
        <w:t>318</w:t>
      </w:r>
      <w:r w:rsidRPr="000D1323">
        <w:rPr>
          <w:sz w:val="22"/>
          <w:szCs w:val="22"/>
        </w:rPr>
        <w:t>,</w:t>
      </w:r>
      <w:r w:rsidR="00BB10D2" w:rsidRPr="000D1323">
        <w:rPr>
          <w:sz w:val="22"/>
          <w:szCs w:val="22"/>
        </w:rPr>
        <w:t xml:space="preserve"> </w:t>
      </w:r>
      <w:r w:rsidRPr="000D1323">
        <w:rPr>
          <w:sz w:val="22"/>
          <w:szCs w:val="22"/>
        </w:rPr>
        <w:t>which represe</w:t>
      </w:r>
      <w:r w:rsidR="00057B92" w:rsidRPr="000D1323">
        <w:rPr>
          <w:sz w:val="22"/>
          <w:szCs w:val="22"/>
        </w:rPr>
        <w:t>nts estimated savings of €</w:t>
      </w:r>
      <w:r w:rsidR="00E122BE">
        <w:rPr>
          <w:sz w:val="22"/>
          <w:szCs w:val="22"/>
        </w:rPr>
        <w:t>135,</w:t>
      </w:r>
      <w:r w:rsidR="00FE2CBA">
        <w:rPr>
          <w:sz w:val="22"/>
          <w:szCs w:val="22"/>
        </w:rPr>
        <w:t>311</w:t>
      </w:r>
      <w:r w:rsidR="00DA57A7" w:rsidRPr="000D1323">
        <w:rPr>
          <w:sz w:val="22"/>
          <w:szCs w:val="22"/>
        </w:rPr>
        <w:t xml:space="preserve">, including </w:t>
      </w:r>
      <w:r w:rsidR="0039523C" w:rsidRPr="000D1323">
        <w:rPr>
          <w:sz w:val="22"/>
          <w:szCs w:val="22"/>
        </w:rPr>
        <w:t>PSC</w:t>
      </w:r>
      <w:r w:rsidR="00DA57A7" w:rsidRPr="000D1323">
        <w:rPr>
          <w:sz w:val="22"/>
          <w:szCs w:val="22"/>
        </w:rPr>
        <w:t>,</w:t>
      </w:r>
      <w:r w:rsidRPr="000D1323">
        <w:rPr>
          <w:sz w:val="22"/>
          <w:szCs w:val="22"/>
        </w:rPr>
        <w:t xml:space="preserve"> compared </w:t>
      </w:r>
      <w:r w:rsidR="00504B02">
        <w:rPr>
          <w:sz w:val="22"/>
          <w:szCs w:val="22"/>
        </w:rPr>
        <w:t>with</w:t>
      </w:r>
      <w:r w:rsidR="00504B02" w:rsidRPr="000D1323">
        <w:rPr>
          <w:sz w:val="22"/>
          <w:szCs w:val="22"/>
        </w:rPr>
        <w:t xml:space="preserve"> </w:t>
      </w:r>
      <w:r w:rsidRPr="000D1323">
        <w:rPr>
          <w:sz w:val="22"/>
          <w:szCs w:val="22"/>
        </w:rPr>
        <w:t xml:space="preserve">the total budget approved by the COP11 with drawdown from the reserve. </w:t>
      </w:r>
      <w:r w:rsidRPr="00011B1A">
        <w:rPr>
          <w:sz w:val="22"/>
          <w:szCs w:val="22"/>
        </w:rPr>
        <w:t>This was mainly achieved through savings in staff cost</w:t>
      </w:r>
      <w:r w:rsidR="009A37CA">
        <w:rPr>
          <w:sz w:val="22"/>
          <w:szCs w:val="22"/>
        </w:rPr>
        <w:t>s</w:t>
      </w:r>
      <w:r w:rsidRPr="00011B1A">
        <w:rPr>
          <w:sz w:val="22"/>
          <w:szCs w:val="22"/>
        </w:rPr>
        <w:t xml:space="preserve"> of </w:t>
      </w:r>
      <w:r w:rsidRPr="000D1323">
        <w:rPr>
          <w:sz w:val="22"/>
          <w:szCs w:val="22"/>
        </w:rPr>
        <w:t>€</w:t>
      </w:r>
      <w:r w:rsidR="00E122BE">
        <w:rPr>
          <w:sz w:val="22"/>
          <w:szCs w:val="22"/>
        </w:rPr>
        <w:t>164,080</w:t>
      </w:r>
      <w:r w:rsidRPr="00011B1A">
        <w:rPr>
          <w:sz w:val="22"/>
          <w:szCs w:val="22"/>
        </w:rPr>
        <w:t xml:space="preserve"> and to a lesser extent through savings </w:t>
      </w:r>
      <w:r w:rsidR="00621188">
        <w:rPr>
          <w:sz w:val="22"/>
          <w:szCs w:val="22"/>
        </w:rPr>
        <w:t>regarding</w:t>
      </w:r>
      <w:r w:rsidRPr="00011B1A">
        <w:rPr>
          <w:sz w:val="22"/>
          <w:szCs w:val="22"/>
        </w:rPr>
        <w:t xml:space="preserve"> the </w:t>
      </w:r>
      <w:r w:rsidR="00FE2CBA">
        <w:rPr>
          <w:sz w:val="22"/>
          <w:szCs w:val="22"/>
        </w:rPr>
        <w:t>I</w:t>
      </w:r>
      <w:r w:rsidR="00E122BE">
        <w:rPr>
          <w:sz w:val="22"/>
          <w:szCs w:val="22"/>
        </w:rPr>
        <w:t xml:space="preserve">ndependent analysis of synergies in the CMS </w:t>
      </w:r>
      <w:r w:rsidR="00621188">
        <w:rPr>
          <w:sz w:val="22"/>
          <w:szCs w:val="22"/>
        </w:rPr>
        <w:t>F</w:t>
      </w:r>
      <w:r w:rsidR="00E122BE">
        <w:rPr>
          <w:sz w:val="22"/>
          <w:szCs w:val="22"/>
        </w:rPr>
        <w:t>amily</w:t>
      </w:r>
      <w:r w:rsidR="00FF681B" w:rsidRPr="00011B1A">
        <w:rPr>
          <w:sz w:val="22"/>
          <w:szCs w:val="22"/>
        </w:rPr>
        <w:t xml:space="preserve"> </w:t>
      </w:r>
      <w:r w:rsidR="00CF52EE">
        <w:rPr>
          <w:sz w:val="22"/>
          <w:szCs w:val="22"/>
        </w:rPr>
        <w:t xml:space="preserve">and </w:t>
      </w:r>
      <w:r w:rsidR="009A37CA">
        <w:rPr>
          <w:sz w:val="22"/>
          <w:szCs w:val="22"/>
        </w:rPr>
        <w:t>s</w:t>
      </w:r>
      <w:r w:rsidR="009A37CA" w:rsidRPr="00011B1A">
        <w:rPr>
          <w:sz w:val="22"/>
          <w:szCs w:val="22"/>
        </w:rPr>
        <w:t xml:space="preserve">ervicing </w:t>
      </w:r>
      <w:r w:rsidRPr="00011B1A">
        <w:rPr>
          <w:sz w:val="22"/>
          <w:szCs w:val="22"/>
        </w:rPr>
        <w:t xml:space="preserve">of </w:t>
      </w:r>
      <w:r w:rsidR="009A37CA">
        <w:rPr>
          <w:sz w:val="22"/>
          <w:szCs w:val="22"/>
        </w:rPr>
        <w:t>g</w:t>
      </w:r>
      <w:r w:rsidR="009A37CA" w:rsidRPr="00011B1A">
        <w:rPr>
          <w:sz w:val="22"/>
          <w:szCs w:val="22"/>
        </w:rPr>
        <w:t xml:space="preserve">overning </w:t>
      </w:r>
      <w:r w:rsidRPr="00011B1A">
        <w:rPr>
          <w:sz w:val="22"/>
          <w:szCs w:val="22"/>
        </w:rPr>
        <w:t xml:space="preserve">bodies of </w:t>
      </w:r>
      <w:r w:rsidRPr="000D1323">
        <w:rPr>
          <w:sz w:val="22"/>
          <w:szCs w:val="22"/>
        </w:rPr>
        <w:t>€</w:t>
      </w:r>
      <w:r w:rsidR="00E122BE">
        <w:rPr>
          <w:sz w:val="22"/>
          <w:szCs w:val="22"/>
        </w:rPr>
        <w:t>15,743</w:t>
      </w:r>
      <w:r w:rsidRPr="000D1323">
        <w:rPr>
          <w:sz w:val="22"/>
          <w:szCs w:val="22"/>
        </w:rPr>
        <w:t xml:space="preserve"> and €</w:t>
      </w:r>
      <w:r w:rsidR="0050601C">
        <w:rPr>
          <w:sz w:val="22"/>
          <w:szCs w:val="22"/>
        </w:rPr>
        <w:t>36,345</w:t>
      </w:r>
      <w:r w:rsidRPr="000D1323">
        <w:rPr>
          <w:sz w:val="22"/>
          <w:szCs w:val="22"/>
        </w:rPr>
        <w:t>, respectively</w:t>
      </w:r>
      <w:r w:rsidR="00DA57A7" w:rsidRPr="000D1323">
        <w:rPr>
          <w:sz w:val="22"/>
          <w:szCs w:val="22"/>
        </w:rPr>
        <w:t xml:space="preserve">. </w:t>
      </w:r>
      <w:r w:rsidRPr="00011B1A">
        <w:rPr>
          <w:sz w:val="22"/>
          <w:szCs w:val="22"/>
        </w:rPr>
        <w:t xml:space="preserve">However, </w:t>
      </w:r>
      <w:r w:rsidR="00FF681B" w:rsidRPr="00011B1A">
        <w:rPr>
          <w:sz w:val="22"/>
          <w:szCs w:val="22"/>
        </w:rPr>
        <w:t xml:space="preserve">estimated </w:t>
      </w:r>
      <w:r w:rsidRPr="00011B1A">
        <w:rPr>
          <w:sz w:val="22"/>
          <w:szCs w:val="22"/>
        </w:rPr>
        <w:t xml:space="preserve">expenditure </w:t>
      </w:r>
      <w:r w:rsidR="00621188">
        <w:rPr>
          <w:sz w:val="22"/>
          <w:szCs w:val="22"/>
        </w:rPr>
        <w:t>on</w:t>
      </w:r>
      <w:r w:rsidR="00FF681B" w:rsidRPr="00011B1A">
        <w:rPr>
          <w:sz w:val="22"/>
          <w:szCs w:val="22"/>
        </w:rPr>
        <w:t xml:space="preserve"> </w:t>
      </w:r>
      <w:r w:rsidR="004C454A">
        <w:rPr>
          <w:sz w:val="22"/>
          <w:szCs w:val="22"/>
        </w:rPr>
        <w:t>operating cost</w:t>
      </w:r>
      <w:r w:rsidR="009A37CA">
        <w:rPr>
          <w:sz w:val="22"/>
          <w:szCs w:val="22"/>
        </w:rPr>
        <w:t>s</w:t>
      </w:r>
      <w:r w:rsidR="004C454A">
        <w:rPr>
          <w:sz w:val="22"/>
          <w:szCs w:val="22"/>
        </w:rPr>
        <w:t xml:space="preserve"> </w:t>
      </w:r>
      <w:r w:rsidR="00621188">
        <w:rPr>
          <w:sz w:val="22"/>
          <w:szCs w:val="22"/>
        </w:rPr>
        <w:t xml:space="preserve">will </w:t>
      </w:r>
      <w:r w:rsidRPr="00011B1A">
        <w:rPr>
          <w:sz w:val="22"/>
          <w:szCs w:val="22"/>
        </w:rPr>
        <w:t xml:space="preserve">exceed the allocated budget by </w:t>
      </w:r>
      <w:r w:rsidRPr="000D1323">
        <w:rPr>
          <w:sz w:val="22"/>
          <w:szCs w:val="22"/>
        </w:rPr>
        <w:t>€</w:t>
      </w:r>
      <w:r w:rsidR="00DA57A7" w:rsidRPr="000D1323">
        <w:rPr>
          <w:sz w:val="22"/>
          <w:szCs w:val="22"/>
        </w:rPr>
        <w:t>96,424</w:t>
      </w:r>
      <w:r w:rsidR="00671EBD">
        <w:rPr>
          <w:sz w:val="22"/>
          <w:szCs w:val="22"/>
        </w:rPr>
        <w:t xml:space="preserve"> </w:t>
      </w:r>
      <w:r w:rsidRPr="000D1323">
        <w:rPr>
          <w:sz w:val="22"/>
          <w:szCs w:val="22"/>
        </w:rPr>
        <w:t>which</w:t>
      </w:r>
      <w:r w:rsidR="00671EBD">
        <w:rPr>
          <w:sz w:val="22"/>
          <w:szCs w:val="22"/>
        </w:rPr>
        <w:t xml:space="preserve"> </w:t>
      </w:r>
      <w:r w:rsidR="009A37CA">
        <w:rPr>
          <w:sz w:val="22"/>
          <w:szCs w:val="22"/>
        </w:rPr>
        <w:t xml:space="preserve">is </w:t>
      </w:r>
      <w:r w:rsidR="00671EBD">
        <w:rPr>
          <w:sz w:val="22"/>
          <w:szCs w:val="22"/>
        </w:rPr>
        <w:t>to be c</w:t>
      </w:r>
      <w:r w:rsidR="004C454A">
        <w:rPr>
          <w:sz w:val="22"/>
          <w:szCs w:val="22"/>
        </w:rPr>
        <w:t xml:space="preserve">overed </w:t>
      </w:r>
      <w:r w:rsidR="00671EBD">
        <w:rPr>
          <w:sz w:val="22"/>
          <w:szCs w:val="22"/>
        </w:rPr>
        <w:t xml:space="preserve">by </w:t>
      </w:r>
      <w:r w:rsidR="00621188">
        <w:rPr>
          <w:sz w:val="22"/>
          <w:szCs w:val="22"/>
        </w:rPr>
        <w:t xml:space="preserve">the </w:t>
      </w:r>
      <w:r w:rsidR="00E769AD">
        <w:rPr>
          <w:sz w:val="22"/>
          <w:szCs w:val="22"/>
        </w:rPr>
        <w:t>above</w:t>
      </w:r>
      <w:r w:rsidR="00621188">
        <w:rPr>
          <w:sz w:val="22"/>
          <w:szCs w:val="22"/>
        </w:rPr>
        <w:t>-mentioned</w:t>
      </w:r>
      <w:r w:rsidR="00E769AD">
        <w:rPr>
          <w:sz w:val="22"/>
          <w:szCs w:val="22"/>
        </w:rPr>
        <w:t xml:space="preserve"> </w:t>
      </w:r>
      <w:r w:rsidR="00671EBD">
        <w:rPr>
          <w:sz w:val="22"/>
          <w:szCs w:val="22"/>
        </w:rPr>
        <w:t>savings under other budget item</w:t>
      </w:r>
      <w:r w:rsidR="009A37CA">
        <w:rPr>
          <w:sz w:val="22"/>
          <w:szCs w:val="22"/>
        </w:rPr>
        <w:t>s</w:t>
      </w:r>
      <w:r w:rsidR="00671EBD">
        <w:rPr>
          <w:sz w:val="22"/>
          <w:szCs w:val="22"/>
        </w:rPr>
        <w:t xml:space="preserve"> </w:t>
      </w:r>
      <w:r w:rsidRPr="000D1323">
        <w:rPr>
          <w:sz w:val="22"/>
          <w:szCs w:val="22"/>
        </w:rPr>
        <w:t>for the triennium 2015-2017. The</w:t>
      </w:r>
      <w:r w:rsidRPr="00011B1A">
        <w:rPr>
          <w:sz w:val="22"/>
          <w:szCs w:val="22"/>
        </w:rPr>
        <w:t xml:space="preserve"> </w:t>
      </w:r>
      <w:r w:rsidR="00DA57A7" w:rsidRPr="00011B1A">
        <w:rPr>
          <w:sz w:val="22"/>
          <w:szCs w:val="22"/>
        </w:rPr>
        <w:t>details</w:t>
      </w:r>
      <w:r w:rsidR="00FE2CBA">
        <w:rPr>
          <w:sz w:val="22"/>
          <w:szCs w:val="22"/>
        </w:rPr>
        <w:t xml:space="preserve"> of t</w:t>
      </w:r>
      <w:r w:rsidR="0050601C">
        <w:rPr>
          <w:sz w:val="22"/>
          <w:szCs w:val="22"/>
        </w:rPr>
        <w:t>he estimated savings and shortfalls</w:t>
      </w:r>
      <w:r w:rsidR="00FE2CBA">
        <w:rPr>
          <w:sz w:val="22"/>
          <w:szCs w:val="22"/>
        </w:rPr>
        <w:t xml:space="preserve"> are </w:t>
      </w:r>
      <w:r w:rsidR="00FE2CBA" w:rsidRPr="00011B1A">
        <w:rPr>
          <w:sz w:val="22"/>
          <w:szCs w:val="22"/>
        </w:rPr>
        <w:t>provided in following paragraphs</w:t>
      </w:r>
      <w:r w:rsidR="00FE2CBA">
        <w:rPr>
          <w:sz w:val="22"/>
          <w:szCs w:val="22"/>
        </w:rPr>
        <w:t xml:space="preserve"> as per table in Annex 2</w:t>
      </w:r>
      <w:r w:rsidR="00FF681B" w:rsidRPr="00011B1A">
        <w:rPr>
          <w:sz w:val="22"/>
          <w:szCs w:val="22"/>
        </w:rPr>
        <w:t xml:space="preserve">. </w:t>
      </w:r>
      <w:r w:rsidRPr="00011B1A">
        <w:rPr>
          <w:sz w:val="22"/>
          <w:szCs w:val="22"/>
        </w:rPr>
        <w:t xml:space="preserve"> </w:t>
      </w:r>
    </w:p>
    <w:p w:rsidR="00BF10A4" w:rsidRPr="000D1323" w:rsidRDefault="00BF10A4" w:rsidP="000D1323">
      <w:pPr>
        <w:ind w:left="360"/>
        <w:contextualSpacing/>
        <w:jc w:val="both"/>
        <w:rPr>
          <w:sz w:val="22"/>
          <w:szCs w:val="22"/>
        </w:rPr>
      </w:pPr>
    </w:p>
    <w:p w:rsidR="00724FE5" w:rsidRDefault="0050601C" w:rsidP="00724FE5">
      <w:pPr>
        <w:contextualSpacing/>
        <w:jc w:val="both"/>
        <w:rPr>
          <w:b/>
          <w:sz w:val="22"/>
          <w:szCs w:val="22"/>
        </w:rPr>
      </w:pPr>
      <w:r>
        <w:rPr>
          <w:b/>
          <w:sz w:val="22"/>
          <w:szCs w:val="22"/>
        </w:rPr>
        <w:t>Estimated s</w:t>
      </w:r>
      <w:r w:rsidR="00724FE5">
        <w:rPr>
          <w:b/>
          <w:sz w:val="22"/>
          <w:szCs w:val="22"/>
        </w:rPr>
        <w:t>avings</w:t>
      </w:r>
      <w:r w:rsidR="00801EA4">
        <w:rPr>
          <w:b/>
          <w:sz w:val="22"/>
          <w:szCs w:val="22"/>
        </w:rPr>
        <w:t xml:space="preserve"> for the triennium 2015-2017</w:t>
      </w:r>
      <w:r w:rsidR="00724FE5">
        <w:rPr>
          <w:b/>
          <w:sz w:val="22"/>
          <w:szCs w:val="22"/>
        </w:rPr>
        <w:t xml:space="preserve">: </w:t>
      </w:r>
    </w:p>
    <w:p w:rsidR="00724FE5" w:rsidRDefault="00724FE5" w:rsidP="00724FE5">
      <w:pPr>
        <w:ind w:firstLine="360"/>
        <w:contextualSpacing/>
        <w:jc w:val="both"/>
        <w:rPr>
          <w:b/>
          <w:sz w:val="22"/>
          <w:szCs w:val="22"/>
        </w:rPr>
      </w:pPr>
    </w:p>
    <w:p w:rsidR="00BF10A4" w:rsidRPr="000D1323" w:rsidRDefault="00724FE5" w:rsidP="00724FE5">
      <w:pPr>
        <w:ind w:firstLine="360"/>
        <w:contextualSpacing/>
        <w:jc w:val="both"/>
        <w:rPr>
          <w:b/>
          <w:sz w:val="22"/>
          <w:szCs w:val="22"/>
        </w:rPr>
      </w:pPr>
      <w:r>
        <w:rPr>
          <w:b/>
          <w:sz w:val="22"/>
          <w:szCs w:val="22"/>
        </w:rPr>
        <w:t>Staff</w:t>
      </w:r>
    </w:p>
    <w:p w:rsidR="00BF10A4" w:rsidRPr="00BF10A4" w:rsidRDefault="00BF10A4" w:rsidP="000D1323">
      <w:pPr>
        <w:ind w:left="360"/>
        <w:contextualSpacing/>
        <w:jc w:val="both"/>
        <w:rPr>
          <w:sz w:val="22"/>
          <w:szCs w:val="22"/>
        </w:rPr>
      </w:pPr>
    </w:p>
    <w:p w:rsidR="00BF10A4" w:rsidRDefault="00BF10A4" w:rsidP="000D1323">
      <w:pPr>
        <w:numPr>
          <w:ilvl w:val="0"/>
          <w:numId w:val="10"/>
        </w:numPr>
        <w:ind w:left="360"/>
        <w:contextualSpacing/>
        <w:jc w:val="both"/>
        <w:rPr>
          <w:sz w:val="22"/>
          <w:szCs w:val="22"/>
        </w:rPr>
      </w:pPr>
      <w:r w:rsidRPr="00BF10A4">
        <w:rPr>
          <w:sz w:val="22"/>
          <w:szCs w:val="22"/>
        </w:rPr>
        <w:t>COP Resolution 11.1 provided a budget</w:t>
      </w:r>
      <w:r w:rsidR="0039523C">
        <w:rPr>
          <w:sz w:val="22"/>
          <w:szCs w:val="22"/>
        </w:rPr>
        <w:t xml:space="preserve">, </w:t>
      </w:r>
      <w:r w:rsidRPr="00BF10A4">
        <w:rPr>
          <w:sz w:val="22"/>
          <w:szCs w:val="22"/>
        </w:rPr>
        <w:t>excluding P</w:t>
      </w:r>
      <w:r w:rsidR="0039523C">
        <w:rPr>
          <w:sz w:val="22"/>
          <w:szCs w:val="22"/>
        </w:rPr>
        <w:t>SC,</w:t>
      </w:r>
      <w:r w:rsidRPr="00BF10A4">
        <w:rPr>
          <w:sz w:val="22"/>
          <w:szCs w:val="22"/>
        </w:rPr>
        <w:t xml:space="preserve"> of €5,137,346 for staff for the triennium 2015-2017. From the reserve, </w:t>
      </w:r>
      <w:r w:rsidR="00621188">
        <w:rPr>
          <w:sz w:val="22"/>
          <w:szCs w:val="22"/>
        </w:rPr>
        <w:t>StC44</w:t>
      </w:r>
      <w:r w:rsidRPr="00BF10A4">
        <w:rPr>
          <w:sz w:val="22"/>
          <w:szCs w:val="22"/>
        </w:rPr>
        <w:t xml:space="preserve"> in October 2015 agreed to increase personnel budget by €123,009 for replacing </w:t>
      </w:r>
      <w:r w:rsidR="004F0DF8">
        <w:rPr>
          <w:sz w:val="22"/>
          <w:szCs w:val="22"/>
        </w:rPr>
        <w:t xml:space="preserve">the </w:t>
      </w:r>
      <w:r w:rsidRPr="00BF10A4">
        <w:rPr>
          <w:sz w:val="22"/>
          <w:szCs w:val="22"/>
        </w:rPr>
        <w:t xml:space="preserve">P2 Associate Programme Officer dealing with Terrestrial Species while the incumbent </w:t>
      </w:r>
      <w:r w:rsidR="004F0DF8">
        <w:rPr>
          <w:sz w:val="22"/>
          <w:szCs w:val="22"/>
        </w:rPr>
        <w:t>was</w:t>
      </w:r>
      <w:r w:rsidR="004F0DF8" w:rsidRPr="00BF10A4">
        <w:rPr>
          <w:sz w:val="22"/>
          <w:szCs w:val="22"/>
        </w:rPr>
        <w:t xml:space="preserve"> </w:t>
      </w:r>
      <w:r w:rsidRPr="00BF10A4">
        <w:rPr>
          <w:sz w:val="22"/>
          <w:szCs w:val="22"/>
        </w:rPr>
        <w:t xml:space="preserve">on maternity leave in 2016 and </w:t>
      </w:r>
      <w:r w:rsidRPr="000D1323">
        <w:rPr>
          <w:sz w:val="22"/>
          <w:szCs w:val="22"/>
        </w:rPr>
        <w:t>for increasing the funding of the part</w:t>
      </w:r>
      <w:r w:rsidR="004F0DF8">
        <w:rPr>
          <w:sz w:val="22"/>
          <w:szCs w:val="22"/>
        </w:rPr>
        <w:t>-</w:t>
      </w:r>
      <w:r w:rsidRPr="000D1323">
        <w:rPr>
          <w:sz w:val="22"/>
          <w:szCs w:val="22"/>
        </w:rPr>
        <w:t>time post of the P2 Associate Information Officer to full</w:t>
      </w:r>
      <w:r w:rsidR="004F0DF8">
        <w:rPr>
          <w:sz w:val="22"/>
          <w:szCs w:val="22"/>
        </w:rPr>
        <w:t>-</w:t>
      </w:r>
      <w:r w:rsidRPr="000D1323">
        <w:rPr>
          <w:sz w:val="22"/>
          <w:szCs w:val="22"/>
        </w:rPr>
        <w:t xml:space="preserve">time to </w:t>
      </w:r>
      <w:r w:rsidRPr="00BF10A4">
        <w:rPr>
          <w:sz w:val="22"/>
          <w:szCs w:val="22"/>
        </w:rPr>
        <w:t xml:space="preserve">strengthen the capacity of the Common Information Unit. </w:t>
      </w:r>
    </w:p>
    <w:p w:rsidR="000D1323" w:rsidRPr="00BF10A4" w:rsidRDefault="000D1323" w:rsidP="000D1323">
      <w:pPr>
        <w:ind w:left="360"/>
        <w:contextualSpacing/>
        <w:jc w:val="both"/>
        <w:rPr>
          <w:sz w:val="22"/>
          <w:szCs w:val="22"/>
        </w:rPr>
      </w:pPr>
    </w:p>
    <w:p w:rsidR="00FE2CBA" w:rsidRDefault="00BF10A4" w:rsidP="000D1323">
      <w:pPr>
        <w:numPr>
          <w:ilvl w:val="0"/>
          <w:numId w:val="10"/>
        </w:numPr>
        <w:ind w:left="360"/>
        <w:contextualSpacing/>
        <w:jc w:val="both"/>
        <w:rPr>
          <w:sz w:val="22"/>
          <w:szCs w:val="22"/>
        </w:rPr>
      </w:pPr>
      <w:r w:rsidRPr="00BF10A4">
        <w:rPr>
          <w:sz w:val="22"/>
          <w:szCs w:val="22"/>
        </w:rPr>
        <w:t>Estimated expenditure on staff for the triennium 2015-2017 amounted to €5,0</w:t>
      </w:r>
      <w:r w:rsidR="00FE2CBA">
        <w:rPr>
          <w:sz w:val="22"/>
          <w:szCs w:val="22"/>
        </w:rPr>
        <w:t>96</w:t>
      </w:r>
      <w:r w:rsidR="00FF681B">
        <w:rPr>
          <w:sz w:val="22"/>
          <w:szCs w:val="22"/>
        </w:rPr>
        <w:t>,</w:t>
      </w:r>
      <w:r w:rsidR="00FE2CBA">
        <w:rPr>
          <w:sz w:val="22"/>
          <w:szCs w:val="22"/>
        </w:rPr>
        <w:t>275</w:t>
      </w:r>
      <w:r w:rsidRPr="00BF10A4">
        <w:rPr>
          <w:sz w:val="22"/>
          <w:szCs w:val="22"/>
        </w:rPr>
        <w:t xml:space="preserve"> against the total personnel budget of €5,260,356 provi</w:t>
      </w:r>
      <w:r w:rsidR="00FE2CBA">
        <w:rPr>
          <w:sz w:val="22"/>
          <w:szCs w:val="22"/>
        </w:rPr>
        <w:t>ding the estimated balance of €164,080</w:t>
      </w:r>
      <w:r w:rsidRPr="00BF10A4">
        <w:rPr>
          <w:sz w:val="22"/>
          <w:szCs w:val="22"/>
        </w:rPr>
        <w:t xml:space="preserve"> by end of December 2017. </w:t>
      </w:r>
    </w:p>
    <w:p w:rsidR="00FE2CBA" w:rsidRDefault="00FE2CBA" w:rsidP="00FE2CBA">
      <w:pPr>
        <w:pStyle w:val="ListParagraph"/>
        <w:rPr>
          <w:sz w:val="22"/>
          <w:szCs w:val="22"/>
        </w:rPr>
      </w:pPr>
    </w:p>
    <w:p w:rsidR="009114A4" w:rsidRDefault="00FE2CBA" w:rsidP="000D1323">
      <w:pPr>
        <w:numPr>
          <w:ilvl w:val="0"/>
          <w:numId w:val="10"/>
        </w:numPr>
        <w:ind w:left="360"/>
        <w:contextualSpacing/>
        <w:jc w:val="both"/>
        <w:rPr>
          <w:sz w:val="22"/>
          <w:szCs w:val="22"/>
        </w:rPr>
      </w:pPr>
      <w:r>
        <w:rPr>
          <w:sz w:val="22"/>
          <w:szCs w:val="22"/>
        </w:rPr>
        <w:t>Due to underestimated entitlement</w:t>
      </w:r>
      <w:r w:rsidR="00621188">
        <w:rPr>
          <w:sz w:val="22"/>
          <w:szCs w:val="22"/>
        </w:rPr>
        <w:t>s</w:t>
      </w:r>
      <w:r>
        <w:rPr>
          <w:sz w:val="22"/>
          <w:szCs w:val="22"/>
        </w:rPr>
        <w:t xml:space="preserve"> applied to the internationally recruited staff members, </w:t>
      </w:r>
      <w:r w:rsidR="00621188">
        <w:rPr>
          <w:sz w:val="22"/>
          <w:szCs w:val="22"/>
        </w:rPr>
        <w:t xml:space="preserve">a </w:t>
      </w:r>
      <w:r>
        <w:rPr>
          <w:sz w:val="22"/>
          <w:szCs w:val="22"/>
        </w:rPr>
        <w:t xml:space="preserve">total of five </w:t>
      </w:r>
      <w:r w:rsidR="00BF10A4" w:rsidRPr="00BF10A4">
        <w:rPr>
          <w:sz w:val="22"/>
          <w:szCs w:val="22"/>
        </w:rPr>
        <w:t xml:space="preserve">professional </w:t>
      </w:r>
      <w:r w:rsidR="004F0DF8" w:rsidRPr="00BF10A4">
        <w:rPr>
          <w:sz w:val="22"/>
          <w:szCs w:val="22"/>
        </w:rPr>
        <w:t>officer</w:t>
      </w:r>
      <w:r w:rsidR="004F0DF8">
        <w:rPr>
          <w:sz w:val="22"/>
          <w:szCs w:val="22"/>
        </w:rPr>
        <w:t>s’</w:t>
      </w:r>
      <w:r w:rsidR="004F0DF8" w:rsidRPr="00BF10A4">
        <w:rPr>
          <w:sz w:val="22"/>
          <w:szCs w:val="22"/>
        </w:rPr>
        <w:t xml:space="preserve"> </w:t>
      </w:r>
      <w:r>
        <w:rPr>
          <w:sz w:val="22"/>
          <w:szCs w:val="22"/>
        </w:rPr>
        <w:t xml:space="preserve">estimated expenditure </w:t>
      </w:r>
      <w:r w:rsidR="007B6C50">
        <w:rPr>
          <w:sz w:val="22"/>
          <w:szCs w:val="22"/>
        </w:rPr>
        <w:t>is f</w:t>
      </w:r>
      <w:r w:rsidR="00E769AD">
        <w:rPr>
          <w:sz w:val="22"/>
          <w:szCs w:val="22"/>
        </w:rPr>
        <w:t xml:space="preserve">oreseen to </w:t>
      </w:r>
      <w:r>
        <w:rPr>
          <w:sz w:val="22"/>
          <w:szCs w:val="22"/>
        </w:rPr>
        <w:t>exceed the allocated budget by €2</w:t>
      </w:r>
      <w:r w:rsidR="00CC68BE">
        <w:rPr>
          <w:sz w:val="22"/>
          <w:szCs w:val="22"/>
        </w:rPr>
        <w:t xml:space="preserve">18,872 </w:t>
      </w:r>
      <w:r w:rsidR="00724FE5">
        <w:rPr>
          <w:sz w:val="22"/>
          <w:szCs w:val="22"/>
        </w:rPr>
        <w:t xml:space="preserve">by </w:t>
      </w:r>
      <w:r w:rsidR="00621188">
        <w:rPr>
          <w:sz w:val="22"/>
          <w:szCs w:val="22"/>
        </w:rPr>
        <w:t xml:space="preserve">the </w:t>
      </w:r>
      <w:r w:rsidR="00724FE5">
        <w:rPr>
          <w:sz w:val="22"/>
          <w:szCs w:val="22"/>
        </w:rPr>
        <w:t>end of December 2017</w:t>
      </w:r>
      <w:r w:rsidR="00E769AD">
        <w:rPr>
          <w:sz w:val="22"/>
          <w:szCs w:val="22"/>
        </w:rPr>
        <w:t>.</w:t>
      </w:r>
      <w:r w:rsidR="003848BD">
        <w:rPr>
          <w:sz w:val="22"/>
          <w:szCs w:val="22"/>
        </w:rPr>
        <w:t xml:space="preserve"> </w:t>
      </w:r>
      <w:r w:rsidR="00621188">
        <w:rPr>
          <w:sz w:val="22"/>
          <w:szCs w:val="22"/>
        </w:rPr>
        <w:t xml:space="preserve"> This over</w:t>
      </w:r>
      <w:r w:rsidR="00D30296">
        <w:rPr>
          <w:sz w:val="22"/>
          <w:szCs w:val="22"/>
        </w:rPr>
        <w:t>-</w:t>
      </w:r>
      <w:r w:rsidR="00621188">
        <w:rPr>
          <w:sz w:val="22"/>
          <w:szCs w:val="22"/>
        </w:rPr>
        <w:t>expenditure</w:t>
      </w:r>
      <w:r w:rsidR="003848BD">
        <w:rPr>
          <w:sz w:val="22"/>
          <w:szCs w:val="22"/>
        </w:rPr>
        <w:t xml:space="preserve"> relates to the staff line under budget item</w:t>
      </w:r>
      <w:r w:rsidR="00621188">
        <w:rPr>
          <w:sz w:val="22"/>
          <w:szCs w:val="22"/>
        </w:rPr>
        <w:t>s</w:t>
      </w:r>
      <w:r w:rsidR="003848BD">
        <w:rPr>
          <w:sz w:val="22"/>
          <w:szCs w:val="22"/>
        </w:rPr>
        <w:t xml:space="preserve"> 1, 2, 10 and 14 </w:t>
      </w:r>
      <w:r w:rsidR="00621188">
        <w:rPr>
          <w:sz w:val="22"/>
          <w:szCs w:val="22"/>
        </w:rPr>
        <w:t>in</w:t>
      </w:r>
      <w:r w:rsidR="009114A4">
        <w:rPr>
          <w:sz w:val="22"/>
          <w:szCs w:val="22"/>
        </w:rPr>
        <w:t xml:space="preserve"> the</w:t>
      </w:r>
      <w:r w:rsidR="003848BD">
        <w:rPr>
          <w:sz w:val="22"/>
          <w:szCs w:val="22"/>
        </w:rPr>
        <w:t xml:space="preserve"> table in Annex 2. </w:t>
      </w:r>
      <w:r w:rsidR="009114A4">
        <w:rPr>
          <w:sz w:val="22"/>
          <w:szCs w:val="22"/>
        </w:rPr>
        <w:t>However</w:t>
      </w:r>
      <w:r w:rsidR="00621188">
        <w:rPr>
          <w:sz w:val="22"/>
          <w:szCs w:val="22"/>
        </w:rPr>
        <w:t>,</w:t>
      </w:r>
      <w:r w:rsidR="009114A4">
        <w:rPr>
          <w:sz w:val="22"/>
          <w:szCs w:val="22"/>
        </w:rPr>
        <w:t xml:space="preserve"> savings</w:t>
      </w:r>
      <w:r w:rsidR="00D574F0">
        <w:rPr>
          <w:sz w:val="22"/>
          <w:szCs w:val="22"/>
        </w:rPr>
        <w:t xml:space="preserve"> of </w:t>
      </w:r>
      <w:r w:rsidR="00D574F0" w:rsidRPr="000D1323">
        <w:rPr>
          <w:sz w:val="22"/>
          <w:szCs w:val="22"/>
        </w:rPr>
        <w:t>€</w:t>
      </w:r>
      <w:r w:rsidR="00D574F0">
        <w:rPr>
          <w:sz w:val="22"/>
          <w:szCs w:val="22"/>
        </w:rPr>
        <w:t>229,529</w:t>
      </w:r>
      <w:r w:rsidR="001D7FE5">
        <w:rPr>
          <w:sz w:val="22"/>
          <w:szCs w:val="22"/>
        </w:rPr>
        <w:t xml:space="preserve"> </w:t>
      </w:r>
      <w:r w:rsidR="009114A4">
        <w:rPr>
          <w:sz w:val="22"/>
          <w:szCs w:val="22"/>
        </w:rPr>
        <w:t xml:space="preserve">are expected from </w:t>
      </w:r>
      <w:r w:rsidR="0001430A">
        <w:rPr>
          <w:sz w:val="22"/>
          <w:szCs w:val="22"/>
        </w:rPr>
        <w:t xml:space="preserve">salaries </w:t>
      </w:r>
      <w:r w:rsidR="009114A4">
        <w:rPr>
          <w:sz w:val="22"/>
          <w:szCs w:val="22"/>
        </w:rPr>
        <w:t xml:space="preserve">of other professionals due to </w:t>
      </w:r>
      <w:r w:rsidR="0001430A">
        <w:rPr>
          <w:sz w:val="22"/>
          <w:szCs w:val="22"/>
        </w:rPr>
        <w:t xml:space="preserve">the </w:t>
      </w:r>
      <w:r w:rsidR="009114A4">
        <w:rPr>
          <w:sz w:val="22"/>
          <w:szCs w:val="22"/>
        </w:rPr>
        <w:t xml:space="preserve">reasons stated below: </w:t>
      </w:r>
    </w:p>
    <w:p w:rsidR="009114A4" w:rsidRPr="009114A4" w:rsidRDefault="009114A4" w:rsidP="009114A4">
      <w:pPr>
        <w:pStyle w:val="ListParagraph"/>
        <w:rPr>
          <w:sz w:val="22"/>
          <w:szCs w:val="22"/>
        </w:rPr>
      </w:pPr>
    </w:p>
    <w:p w:rsidR="00747F8B" w:rsidRDefault="009114A4" w:rsidP="00DF1882">
      <w:pPr>
        <w:pStyle w:val="ListParagraph"/>
        <w:numPr>
          <w:ilvl w:val="0"/>
          <w:numId w:val="17"/>
        </w:numPr>
        <w:jc w:val="both"/>
        <w:rPr>
          <w:sz w:val="22"/>
          <w:szCs w:val="22"/>
        </w:rPr>
      </w:pPr>
      <w:r>
        <w:rPr>
          <w:sz w:val="22"/>
          <w:szCs w:val="22"/>
        </w:rPr>
        <w:t>P2 Associate Programme Officer</w:t>
      </w:r>
      <w:r w:rsidR="0003178F" w:rsidRPr="0003178F">
        <w:rPr>
          <w:sz w:val="22"/>
          <w:szCs w:val="22"/>
        </w:rPr>
        <w:t xml:space="preserve"> </w:t>
      </w:r>
      <w:r w:rsidR="0003178F">
        <w:rPr>
          <w:sz w:val="22"/>
          <w:szCs w:val="22"/>
        </w:rPr>
        <w:t>dealing with Terrestrial Species</w:t>
      </w:r>
      <w:r w:rsidR="00E07522">
        <w:rPr>
          <w:sz w:val="22"/>
          <w:szCs w:val="22"/>
        </w:rPr>
        <w:t xml:space="preserve"> </w:t>
      </w:r>
      <w:r w:rsidR="00E07522" w:rsidRPr="00DF1882">
        <w:rPr>
          <w:sz w:val="22"/>
          <w:szCs w:val="22"/>
        </w:rPr>
        <w:t xml:space="preserve">(budget item </w:t>
      </w:r>
      <w:r w:rsidR="00DF1882">
        <w:rPr>
          <w:sz w:val="22"/>
          <w:szCs w:val="22"/>
        </w:rPr>
        <w:t>12</w:t>
      </w:r>
      <w:r w:rsidR="00E07522" w:rsidRPr="00DF1882">
        <w:rPr>
          <w:sz w:val="22"/>
          <w:szCs w:val="22"/>
        </w:rPr>
        <w:t>)</w:t>
      </w:r>
      <w:r w:rsidR="00E07522">
        <w:rPr>
          <w:sz w:val="22"/>
          <w:szCs w:val="22"/>
        </w:rPr>
        <w:t xml:space="preserve"> </w:t>
      </w:r>
      <w:r w:rsidR="0003178F">
        <w:rPr>
          <w:sz w:val="22"/>
          <w:szCs w:val="22"/>
        </w:rPr>
        <w:t xml:space="preserve">: </w:t>
      </w:r>
      <w:r w:rsidR="00912253">
        <w:rPr>
          <w:sz w:val="22"/>
          <w:szCs w:val="22"/>
        </w:rPr>
        <w:t xml:space="preserve">the incumbent was on special leave without pay for three months in 2015. During this period, no salary was paid, therefore </w:t>
      </w:r>
      <w:r w:rsidR="00E07522">
        <w:rPr>
          <w:sz w:val="22"/>
          <w:szCs w:val="22"/>
        </w:rPr>
        <w:t xml:space="preserve">a </w:t>
      </w:r>
      <w:r w:rsidR="00912253">
        <w:rPr>
          <w:sz w:val="22"/>
          <w:szCs w:val="22"/>
        </w:rPr>
        <w:t xml:space="preserve">total of €20,398 was saved in 2015. For 2016, </w:t>
      </w:r>
      <w:r w:rsidR="006D620C">
        <w:rPr>
          <w:sz w:val="22"/>
          <w:szCs w:val="22"/>
        </w:rPr>
        <w:t xml:space="preserve">the Secretariat pursued </w:t>
      </w:r>
      <w:r w:rsidR="00E07522">
        <w:rPr>
          <w:sz w:val="22"/>
          <w:szCs w:val="22"/>
        </w:rPr>
        <w:t xml:space="preserve">the </w:t>
      </w:r>
      <w:r w:rsidR="006D620C">
        <w:rPr>
          <w:sz w:val="22"/>
          <w:szCs w:val="22"/>
        </w:rPr>
        <w:t>recruit</w:t>
      </w:r>
      <w:r w:rsidR="00E07522">
        <w:rPr>
          <w:sz w:val="22"/>
          <w:szCs w:val="22"/>
        </w:rPr>
        <w:t xml:space="preserve">ment of a </w:t>
      </w:r>
      <w:r w:rsidR="006D620C">
        <w:rPr>
          <w:sz w:val="22"/>
          <w:szCs w:val="22"/>
        </w:rPr>
        <w:t xml:space="preserve">new staff </w:t>
      </w:r>
      <w:r w:rsidR="00E07522">
        <w:rPr>
          <w:sz w:val="22"/>
          <w:szCs w:val="22"/>
        </w:rPr>
        <w:t xml:space="preserve">member </w:t>
      </w:r>
      <w:r w:rsidR="006D620C">
        <w:rPr>
          <w:sz w:val="22"/>
          <w:szCs w:val="22"/>
        </w:rPr>
        <w:t>to cover the incumbent on maternity leave</w:t>
      </w:r>
      <w:r w:rsidR="00E07522">
        <w:rPr>
          <w:sz w:val="22"/>
          <w:szCs w:val="22"/>
        </w:rPr>
        <w:t xml:space="preserve"> in</w:t>
      </w:r>
      <w:r w:rsidR="006D620C">
        <w:rPr>
          <w:sz w:val="22"/>
          <w:szCs w:val="22"/>
        </w:rPr>
        <w:t xml:space="preserve"> anticipation of having </w:t>
      </w:r>
      <w:r w:rsidR="00E07522">
        <w:rPr>
          <w:sz w:val="22"/>
          <w:szCs w:val="22"/>
        </w:rPr>
        <w:t xml:space="preserve">a </w:t>
      </w:r>
      <w:r w:rsidR="006D620C">
        <w:rPr>
          <w:sz w:val="22"/>
          <w:szCs w:val="22"/>
        </w:rPr>
        <w:t>three</w:t>
      </w:r>
      <w:r w:rsidR="00E07522">
        <w:rPr>
          <w:sz w:val="22"/>
          <w:szCs w:val="22"/>
        </w:rPr>
        <w:t>-</w:t>
      </w:r>
      <w:r w:rsidR="006D620C">
        <w:rPr>
          <w:sz w:val="22"/>
          <w:szCs w:val="22"/>
        </w:rPr>
        <w:t xml:space="preserve"> month overlapping period. For this purpose, €</w:t>
      </w:r>
      <w:r w:rsidR="00912253">
        <w:rPr>
          <w:sz w:val="22"/>
          <w:szCs w:val="22"/>
        </w:rPr>
        <w:t>30,677 was additionally authorized by StC</w:t>
      </w:r>
      <w:r w:rsidR="00E07522">
        <w:rPr>
          <w:sz w:val="22"/>
          <w:szCs w:val="22"/>
        </w:rPr>
        <w:t>44</w:t>
      </w:r>
      <w:r w:rsidR="006D620C">
        <w:rPr>
          <w:sz w:val="22"/>
          <w:szCs w:val="22"/>
        </w:rPr>
        <w:t xml:space="preserve"> in 2016</w:t>
      </w:r>
      <w:r w:rsidR="00747F8B">
        <w:rPr>
          <w:sz w:val="22"/>
          <w:szCs w:val="22"/>
        </w:rPr>
        <w:t xml:space="preserve"> but it was</w:t>
      </w:r>
      <w:r w:rsidR="00E07522">
        <w:rPr>
          <w:sz w:val="22"/>
          <w:szCs w:val="22"/>
        </w:rPr>
        <w:t xml:space="preserve"> </w:t>
      </w:r>
      <w:r w:rsidR="00747F8B">
        <w:rPr>
          <w:sz w:val="22"/>
          <w:szCs w:val="22"/>
        </w:rPr>
        <w:t>n</w:t>
      </w:r>
      <w:r w:rsidR="00E07522">
        <w:rPr>
          <w:sz w:val="22"/>
          <w:szCs w:val="22"/>
        </w:rPr>
        <w:t>o</w:t>
      </w:r>
      <w:r w:rsidR="00747F8B">
        <w:rPr>
          <w:sz w:val="22"/>
          <w:szCs w:val="22"/>
        </w:rPr>
        <w:t xml:space="preserve">t used at all since </w:t>
      </w:r>
      <w:r w:rsidR="00E07522">
        <w:rPr>
          <w:sz w:val="22"/>
          <w:szCs w:val="22"/>
        </w:rPr>
        <w:t xml:space="preserve">the </w:t>
      </w:r>
      <w:r w:rsidR="00747F8B">
        <w:rPr>
          <w:sz w:val="22"/>
          <w:szCs w:val="22"/>
        </w:rPr>
        <w:t>n</w:t>
      </w:r>
      <w:r w:rsidR="006D620C">
        <w:rPr>
          <w:sz w:val="22"/>
          <w:szCs w:val="22"/>
        </w:rPr>
        <w:t xml:space="preserve">ew staff member </w:t>
      </w:r>
      <w:r w:rsidR="00E07522">
        <w:rPr>
          <w:sz w:val="22"/>
          <w:szCs w:val="22"/>
        </w:rPr>
        <w:t xml:space="preserve">only </w:t>
      </w:r>
      <w:r w:rsidR="006D620C">
        <w:rPr>
          <w:sz w:val="22"/>
          <w:szCs w:val="22"/>
        </w:rPr>
        <w:t>came on board in M</w:t>
      </w:r>
      <w:r w:rsidR="00747F8B">
        <w:rPr>
          <w:sz w:val="22"/>
          <w:szCs w:val="22"/>
        </w:rPr>
        <w:t>ay 2016 whe</w:t>
      </w:r>
      <w:r w:rsidR="00E07522">
        <w:rPr>
          <w:sz w:val="22"/>
          <w:szCs w:val="22"/>
        </w:rPr>
        <w:t>reas</w:t>
      </w:r>
      <w:r w:rsidR="00747F8B">
        <w:rPr>
          <w:sz w:val="22"/>
          <w:szCs w:val="22"/>
        </w:rPr>
        <w:t xml:space="preserve"> </w:t>
      </w:r>
      <w:r w:rsidR="006D620C">
        <w:rPr>
          <w:sz w:val="22"/>
          <w:szCs w:val="22"/>
        </w:rPr>
        <w:t>the incumbent w</w:t>
      </w:r>
      <w:r w:rsidR="00747F8B">
        <w:rPr>
          <w:sz w:val="22"/>
          <w:szCs w:val="22"/>
        </w:rPr>
        <w:t>as</w:t>
      </w:r>
      <w:r w:rsidR="006D620C">
        <w:rPr>
          <w:sz w:val="22"/>
          <w:szCs w:val="22"/>
        </w:rPr>
        <w:t xml:space="preserve"> </w:t>
      </w:r>
      <w:r w:rsidR="00747F8B">
        <w:rPr>
          <w:sz w:val="22"/>
          <w:szCs w:val="22"/>
        </w:rPr>
        <w:t xml:space="preserve">already </w:t>
      </w:r>
      <w:r w:rsidR="006D620C">
        <w:rPr>
          <w:sz w:val="22"/>
          <w:szCs w:val="22"/>
        </w:rPr>
        <w:t>on maternity leave</w:t>
      </w:r>
      <w:r w:rsidR="00747F8B">
        <w:rPr>
          <w:sz w:val="22"/>
          <w:szCs w:val="22"/>
        </w:rPr>
        <w:t xml:space="preserve"> starting from April. Additionally, due to </w:t>
      </w:r>
      <w:r w:rsidR="00E07522">
        <w:rPr>
          <w:sz w:val="22"/>
          <w:szCs w:val="22"/>
        </w:rPr>
        <w:t xml:space="preserve">the </w:t>
      </w:r>
      <w:r w:rsidR="00747F8B">
        <w:rPr>
          <w:sz w:val="22"/>
          <w:szCs w:val="22"/>
        </w:rPr>
        <w:t>entry</w:t>
      </w:r>
      <w:r w:rsidR="00E07522">
        <w:rPr>
          <w:sz w:val="22"/>
          <w:szCs w:val="22"/>
        </w:rPr>
        <w:t>-</w:t>
      </w:r>
      <w:r w:rsidR="00747F8B">
        <w:rPr>
          <w:sz w:val="22"/>
          <w:szCs w:val="22"/>
        </w:rPr>
        <w:t xml:space="preserve">level salary scale as well as differences in the staff entitlement applied to new staff, €30,756 </w:t>
      </w:r>
      <w:r w:rsidR="00747F8B">
        <w:rPr>
          <w:sz w:val="22"/>
          <w:szCs w:val="22"/>
        </w:rPr>
        <w:lastRenderedPageBreak/>
        <w:t xml:space="preserve">was estimated to be underspent by end of December 2017. In overall, total savings are estimated at </w:t>
      </w:r>
      <w:r w:rsidR="0003178F">
        <w:rPr>
          <w:sz w:val="22"/>
          <w:szCs w:val="22"/>
        </w:rPr>
        <w:t xml:space="preserve">€81,831 </w:t>
      </w:r>
      <w:r w:rsidR="00747F8B">
        <w:rPr>
          <w:sz w:val="22"/>
          <w:szCs w:val="22"/>
        </w:rPr>
        <w:t xml:space="preserve">for </w:t>
      </w:r>
      <w:r w:rsidR="00E07522">
        <w:rPr>
          <w:sz w:val="22"/>
          <w:szCs w:val="22"/>
        </w:rPr>
        <w:t xml:space="preserve">the </w:t>
      </w:r>
      <w:r w:rsidR="00747F8B">
        <w:rPr>
          <w:sz w:val="22"/>
          <w:szCs w:val="22"/>
        </w:rPr>
        <w:t xml:space="preserve">P2 Associate Programme Officer for entire triennium. </w:t>
      </w:r>
    </w:p>
    <w:p w:rsidR="00E07522" w:rsidRDefault="00E07522" w:rsidP="00DF1882">
      <w:pPr>
        <w:pStyle w:val="ListParagraph"/>
        <w:rPr>
          <w:sz w:val="22"/>
          <w:szCs w:val="22"/>
        </w:rPr>
      </w:pPr>
    </w:p>
    <w:p w:rsidR="00203D3A" w:rsidRDefault="00E07522" w:rsidP="008C5742">
      <w:pPr>
        <w:pStyle w:val="ListParagraph"/>
        <w:numPr>
          <w:ilvl w:val="0"/>
          <w:numId w:val="17"/>
        </w:numPr>
        <w:jc w:val="both"/>
        <w:rPr>
          <w:sz w:val="22"/>
          <w:szCs w:val="22"/>
        </w:rPr>
      </w:pPr>
      <w:r>
        <w:rPr>
          <w:sz w:val="22"/>
          <w:szCs w:val="22"/>
        </w:rPr>
        <w:t xml:space="preserve">The </w:t>
      </w:r>
      <w:r w:rsidR="00747F8B" w:rsidRPr="00203D3A">
        <w:rPr>
          <w:sz w:val="22"/>
          <w:szCs w:val="22"/>
        </w:rPr>
        <w:t xml:space="preserve">P2 Associate Programme Officer dealing with </w:t>
      </w:r>
      <w:r>
        <w:rPr>
          <w:sz w:val="22"/>
          <w:szCs w:val="22"/>
        </w:rPr>
        <w:t xml:space="preserve">the </w:t>
      </w:r>
      <w:r w:rsidR="005465B9" w:rsidRPr="00203D3A">
        <w:rPr>
          <w:sz w:val="22"/>
          <w:szCs w:val="22"/>
        </w:rPr>
        <w:t>C</w:t>
      </w:r>
      <w:r w:rsidR="00747F8B" w:rsidRPr="00203D3A">
        <w:rPr>
          <w:sz w:val="22"/>
          <w:szCs w:val="22"/>
        </w:rPr>
        <w:t>entral Asian Mammals Initiative</w:t>
      </w:r>
      <w:r w:rsidR="005465B9" w:rsidRPr="00203D3A">
        <w:rPr>
          <w:sz w:val="22"/>
          <w:szCs w:val="22"/>
        </w:rPr>
        <w:t xml:space="preserve"> (</w:t>
      </w:r>
      <w:r w:rsidR="00DF1882" w:rsidRPr="00DF1882">
        <w:rPr>
          <w:sz w:val="22"/>
          <w:szCs w:val="22"/>
        </w:rPr>
        <w:t xml:space="preserve">budget item </w:t>
      </w:r>
      <w:r w:rsidR="00DF1882">
        <w:rPr>
          <w:sz w:val="22"/>
          <w:szCs w:val="22"/>
        </w:rPr>
        <w:t>13</w:t>
      </w:r>
      <w:r w:rsidR="005465B9" w:rsidRPr="00203D3A">
        <w:rPr>
          <w:sz w:val="22"/>
          <w:szCs w:val="22"/>
        </w:rPr>
        <w:t>)</w:t>
      </w:r>
      <w:r w:rsidR="00747F8B" w:rsidRPr="00203D3A">
        <w:rPr>
          <w:sz w:val="22"/>
          <w:szCs w:val="22"/>
        </w:rPr>
        <w:t xml:space="preserve">: </w:t>
      </w:r>
      <w:r w:rsidR="005465B9" w:rsidRPr="00203D3A">
        <w:rPr>
          <w:sz w:val="22"/>
          <w:szCs w:val="22"/>
        </w:rPr>
        <w:t>While the recruitment of P2 officer was under way, two</w:t>
      </w:r>
      <w:r w:rsidR="0001430A" w:rsidRPr="00203D3A">
        <w:rPr>
          <w:sz w:val="22"/>
          <w:szCs w:val="22"/>
        </w:rPr>
        <w:t xml:space="preserve"> short</w:t>
      </w:r>
      <w:r>
        <w:rPr>
          <w:sz w:val="22"/>
          <w:szCs w:val="22"/>
        </w:rPr>
        <w:t>-</w:t>
      </w:r>
      <w:r w:rsidR="0001430A" w:rsidRPr="00203D3A">
        <w:rPr>
          <w:sz w:val="22"/>
          <w:szCs w:val="22"/>
        </w:rPr>
        <w:t>term</w:t>
      </w:r>
      <w:r w:rsidR="005465B9" w:rsidRPr="00203D3A">
        <w:rPr>
          <w:sz w:val="22"/>
          <w:szCs w:val="22"/>
        </w:rPr>
        <w:t xml:space="preserve"> </w:t>
      </w:r>
      <w:r w:rsidR="0001430A" w:rsidRPr="00203D3A">
        <w:rPr>
          <w:sz w:val="22"/>
          <w:szCs w:val="22"/>
        </w:rPr>
        <w:t xml:space="preserve">individual </w:t>
      </w:r>
      <w:r w:rsidR="005465B9" w:rsidRPr="00203D3A">
        <w:rPr>
          <w:sz w:val="22"/>
          <w:szCs w:val="22"/>
        </w:rPr>
        <w:t xml:space="preserve">consultants were recruited to cover the position </w:t>
      </w:r>
      <w:r w:rsidR="009A6101">
        <w:rPr>
          <w:sz w:val="22"/>
          <w:szCs w:val="22"/>
        </w:rPr>
        <w:t xml:space="preserve">in 2015 and 2016 respectively. </w:t>
      </w:r>
      <w:r w:rsidR="00203D3A" w:rsidRPr="00203D3A">
        <w:rPr>
          <w:sz w:val="22"/>
          <w:szCs w:val="22"/>
        </w:rPr>
        <w:t xml:space="preserve">Since </w:t>
      </w:r>
      <w:r w:rsidR="0001430A" w:rsidRPr="00203D3A">
        <w:rPr>
          <w:sz w:val="22"/>
          <w:szCs w:val="22"/>
        </w:rPr>
        <w:t>staff entitlement</w:t>
      </w:r>
      <w:r>
        <w:rPr>
          <w:sz w:val="22"/>
          <w:szCs w:val="22"/>
        </w:rPr>
        <w:t>s</w:t>
      </w:r>
      <w:r w:rsidR="0001430A" w:rsidRPr="00203D3A">
        <w:rPr>
          <w:sz w:val="22"/>
          <w:szCs w:val="22"/>
        </w:rPr>
        <w:t xml:space="preserve"> such as UN pension fund, medical insurance</w:t>
      </w:r>
      <w:r w:rsidR="00203D3A" w:rsidRPr="00203D3A">
        <w:rPr>
          <w:sz w:val="22"/>
          <w:szCs w:val="22"/>
        </w:rPr>
        <w:t>, etc</w:t>
      </w:r>
      <w:r w:rsidR="0001430A" w:rsidRPr="00203D3A">
        <w:rPr>
          <w:sz w:val="22"/>
          <w:szCs w:val="22"/>
        </w:rPr>
        <w:t xml:space="preserve"> </w:t>
      </w:r>
      <w:r>
        <w:rPr>
          <w:sz w:val="22"/>
          <w:szCs w:val="22"/>
        </w:rPr>
        <w:t>are</w:t>
      </w:r>
      <w:r w:rsidRPr="00203D3A">
        <w:rPr>
          <w:sz w:val="22"/>
          <w:szCs w:val="22"/>
        </w:rPr>
        <w:t xml:space="preserve"> </w:t>
      </w:r>
      <w:r w:rsidR="0001430A" w:rsidRPr="00203D3A">
        <w:rPr>
          <w:sz w:val="22"/>
          <w:szCs w:val="22"/>
        </w:rPr>
        <w:t>not applicable to the consultan</w:t>
      </w:r>
      <w:r w:rsidR="00B43850">
        <w:rPr>
          <w:sz w:val="22"/>
          <w:szCs w:val="22"/>
        </w:rPr>
        <w:t>t</w:t>
      </w:r>
      <w:r w:rsidR="00203D3A" w:rsidRPr="00203D3A">
        <w:rPr>
          <w:sz w:val="22"/>
          <w:szCs w:val="22"/>
        </w:rPr>
        <w:t xml:space="preserve"> which resulted </w:t>
      </w:r>
      <w:r>
        <w:rPr>
          <w:sz w:val="22"/>
          <w:szCs w:val="22"/>
        </w:rPr>
        <w:t>in</w:t>
      </w:r>
      <w:r w:rsidRPr="00203D3A">
        <w:rPr>
          <w:sz w:val="22"/>
          <w:szCs w:val="22"/>
        </w:rPr>
        <w:t xml:space="preserve"> </w:t>
      </w:r>
      <w:r w:rsidR="00203D3A" w:rsidRPr="00203D3A">
        <w:rPr>
          <w:sz w:val="22"/>
          <w:szCs w:val="22"/>
        </w:rPr>
        <w:t>savings of €46,734 for t</w:t>
      </w:r>
      <w:r w:rsidR="009A6101">
        <w:rPr>
          <w:sz w:val="22"/>
          <w:szCs w:val="22"/>
        </w:rPr>
        <w:t>he period 2015-2016.</w:t>
      </w:r>
      <w:r w:rsidR="00203D3A" w:rsidRPr="00203D3A">
        <w:rPr>
          <w:sz w:val="22"/>
          <w:szCs w:val="22"/>
        </w:rPr>
        <w:t xml:space="preserve"> </w:t>
      </w:r>
      <w:r w:rsidR="009A6101">
        <w:rPr>
          <w:sz w:val="22"/>
          <w:szCs w:val="22"/>
        </w:rPr>
        <w:t xml:space="preserve">Because </w:t>
      </w:r>
      <w:r>
        <w:rPr>
          <w:sz w:val="22"/>
          <w:szCs w:val="22"/>
        </w:rPr>
        <w:t xml:space="preserve">the </w:t>
      </w:r>
      <w:r w:rsidR="009A6101">
        <w:rPr>
          <w:sz w:val="22"/>
          <w:szCs w:val="22"/>
        </w:rPr>
        <w:t xml:space="preserve">P2 officer was </w:t>
      </w:r>
      <w:r>
        <w:rPr>
          <w:sz w:val="22"/>
          <w:szCs w:val="22"/>
        </w:rPr>
        <w:t xml:space="preserve">only </w:t>
      </w:r>
      <w:r w:rsidR="009A6101">
        <w:rPr>
          <w:sz w:val="22"/>
          <w:szCs w:val="22"/>
        </w:rPr>
        <w:t xml:space="preserve">recruited in March 2017, </w:t>
      </w:r>
      <w:r w:rsidR="009A6101" w:rsidRPr="00203D3A">
        <w:rPr>
          <w:sz w:val="22"/>
          <w:szCs w:val="22"/>
        </w:rPr>
        <w:t>€3,350</w:t>
      </w:r>
      <w:r w:rsidR="009A6101">
        <w:rPr>
          <w:sz w:val="22"/>
          <w:szCs w:val="22"/>
        </w:rPr>
        <w:t xml:space="preserve"> </w:t>
      </w:r>
      <w:r>
        <w:rPr>
          <w:sz w:val="22"/>
          <w:szCs w:val="22"/>
        </w:rPr>
        <w:t xml:space="preserve">was </w:t>
      </w:r>
      <w:r w:rsidR="009A6101">
        <w:rPr>
          <w:sz w:val="22"/>
          <w:szCs w:val="22"/>
        </w:rPr>
        <w:t xml:space="preserve">saved in addition to savings recorded in 2015-2016. </w:t>
      </w:r>
      <w:r w:rsidR="00203D3A" w:rsidRPr="00203D3A">
        <w:rPr>
          <w:sz w:val="22"/>
          <w:szCs w:val="22"/>
        </w:rPr>
        <w:t xml:space="preserve"> </w:t>
      </w:r>
    </w:p>
    <w:p w:rsidR="00203D3A" w:rsidRPr="00203D3A" w:rsidRDefault="00203D3A" w:rsidP="00203D3A">
      <w:pPr>
        <w:pStyle w:val="ListParagraph"/>
        <w:jc w:val="both"/>
        <w:rPr>
          <w:sz w:val="22"/>
          <w:szCs w:val="22"/>
        </w:rPr>
      </w:pPr>
    </w:p>
    <w:p w:rsidR="00E769AD" w:rsidRDefault="00271050" w:rsidP="009114A4">
      <w:pPr>
        <w:pStyle w:val="ListParagraph"/>
        <w:numPr>
          <w:ilvl w:val="0"/>
          <w:numId w:val="17"/>
        </w:numPr>
        <w:jc w:val="both"/>
        <w:rPr>
          <w:sz w:val="22"/>
          <w:szCs w:val="22"/>
        </w:rPr>
      </w:pPr>
      <w:r>
        <w:rPr>
          <w:sz w:val="22"/>
          <w:szCs w:val="22"/>
        </w:rPr>
        <w:t>Senior Adviser and Head of IOSEA Secretariat</w:t>
      </w:r>
      <w:r w:rsidR="00DF1882">
        <w:rPr>
          <w:sz w:val="22"/>
          <w:szCs w:val="22"/>
        </w:rPr>
        <w:t xml:space="preserve"> </w:t>
      </w:r>
      <w:r w:rsidR="00DF1882" w:rsidRPr="00203D3A">
        <w:rPr>
          <w:sz w:val="22"/>
          <w:szCs w:val="22"/>
        </w:rPr>
        <w:t>(</w:t>
      </w:r>
      <w:r w:rsidR="00DF1882" w:rsidRPr="00DF1882">
        <w:rPr>
          <w:sz w:val="22"/>
          <w:szCs w:val="22"/>
        </w:rPr>
        <w:t xml:space="preserve">budget item </w:t>
      </w:r>
      <w:r w:rsidR="00DF1882">
        <w:rPr>
          <w:sz w:val="22"/>
          <w:szCs w:val="22"/>
        </w:rPr>
        <w:t>9</w:t>
      </w:r>
      <w:r w:rsidR="00DF1882" w:rsidRPr="00203D3A">
        <w:rPr>
          <w:sz w:val="22"/>
          <w:szCs w:val="22"/>
        </w:rPr>
        <w:t>)</w:t>
      </w:r>
      <w:r w:rsidR="00C30060">
        <w:rPr>
          <w:sz w:val="22"/>
          <w:szCs w:val="22"/>
        </w:rPr>
        <w:t>:</w:t>
      </w:r>
      <w:r>
        <w:rPr>
          <w:sz w:val="22"/>
          <w:szCs w:val="22"/>
        </w:rPr>
        <w:t xml:space="preserve"> </w:t>
      </w:r>
      <w:r w:rsidR="00E07522">
        <w:rPr>
          <w:sz w:val="22"/>
          <w:szCs w:val="22"/>
        </w:rPr>
        <w:t xml:space="preserve">A </w:t>
      </w:r>
      <w:r w:rsidR="0056647D">
        <w:rPr>
          <w:sz w:val="22"/>
          <w:szCs w:val="22"/>
        </w:rPr>
        <w:t xml:space="preserve">P3 </w:t>
      </w:r>
      <w:r w:rsidR="009A6101">
        <w:rPr>
          <w:sz w:val="22"/>
          <w:szCs w:val="22"/>
        </w:rPr>
        <w:t>O</w:t>
      </w:r>
      <w:r>
        <w:rPr>
          <w:sz w:val="22"/>
          <w:szCs w:val="22"/>
        </w:rPr>
        <w:t xml:space="preserve">fficer </w:t>
      </w:r>
      <w:r w:rsidR="00E07522">
        <w:rPr>
          <w:sz w:val="22"/>
          <w:szCs w:val="22"/>
        </w:rPr>
        <w:t xml:space="preserve">within </w:t>
      </w:r>
      <w:r w:rsidR="0056647D">
        <w:rPr>
          <w:sz w:val="22"/>
          <w:szCs w:val="22"/>
        </w:rPr>
        <w:t xml:space="preserve">the Secretariat </w:t>
      </w:r>
      <w:r w:rsidR="009A6101">
        <w:rPr>
          <w:sz w:val="22"/>
          <w:szCs w:val="22"/>
        </w:rPr>
        <w:t xml:space="preserve">acted as a Head of the IOSEA Secretariat </w:t>
      </w:r>
      <w:r w:rsidR="00E07522">
        <w:rPr>
          <w:sz w:val="22"/>
          <w:szCs w:val="22"/>
        </w:rPr>
        <w:t xml:space="preserve">while </w:t>
      </w:r>
      <w:r w:rsidR="009A6101">
        <w:rPr>
          <w:sz w:val="22"/>
          <w:szCs w:val="22"/>
        </w:rPr>
        <w:t xml:space="preserve">the incumbent was </w:t>
      </w:r>
      <w:r w:rsidR="00E07522">
        <w:rPr>
          <w:sz w:val="22"/>
          <w:szCs w:val="22"/>
        </w:rPr>
        <w:t>on</w:t>
      </w:r>
      <w:r w:rsidR="009A6101">
        <w:rPr>
          <w:sz w:val="22"/>
          <w:szCs w:val="22"/>
        </w:rPr>
        <w:t xml:space="preserve"> special leave without pay </w:t>
      </w:r>
      <w:r w:rsidR="00E07522">
        <w:rPr>
          <w:sz w:val="22"/>
          <w:szCs w:val="22"/>
        </w:rPr>
        <w:t xml:space="preserve">until </w:t>
      </w:r>
      <w:r w:rsidR="009A6101">
        <w:rPr>
          <w:sz w:val="22"/>
          <w:szCs w:val="22"/>
        </w:rPr>
        <w:t>October 2015.</w:t>
      </w:r>
      <w:r w:rsidR="00692F08">
        <w:rPr>
          <w:sz w:val="22"/>
          <w:szCs w:val="22"/>
        </w:rPr>
        <w:t xml:space="preserve"> </w:t>
      </w:r>
      <w:r w:rsidR="00E07522">
        <w:rPr>
          <w:sz w:val="22"/>
          <w:szCs w:val="22"/>
        </w:rPr>
        <w:t>The i</w:t>
      </w:r>
      <w:r w:rsidR="009A6101">
        <w:rPr>
          <w:sz w:val="22"/>
          <w:szCs w:val="22"/>
        </w:rPr>
        <w:t>ncumbent’s salary at P5 level was mistakenly and fully charged in 2015</w:t>
      </w:r>
      <w:r w:rsidR="00692F08">
        <w:rPr>
          <w:sz w:val="22"/>
          <w:szCs w:val="22"/>
        </w:rPr>
        <w:t xml:space="preserve"> </w:t>
      </w:r>
      <w:r w:rsidR="009A6101">
        <w:rPr>
          <w:sz w:val="22"/>
          <w:szCs w:val="22"/>
        </w:rPr>
        <w:t xml:space="preserve">which resulted </w:t>
      </w:r>
      <w:r w:rsidR="00E07522">
        <w:rPr>
          <w:sz w:val="22"/>
          <w:szCs w:val="22"/>
        </w:rPr>
        <w:t xml:space="preserve">in </w:t>
      </w:r>
      <w:r w:rsidR="009A6101">
        <w:rPr>
          <w:sz w:val="22"/>
          <w:szCs w:val="22"/>
        </w:rPr>
        <w:t>over-expenditure in 2015. However</w:t>
      </w:r>
      <w:r w:rsidR="005D0E1D">
        <w:rPr>
          <w:sz w:val="22"/>
          <w:szCs w:val="22"/>
        </w:rPr>
        <w:t>,</w:t>
      </w:r>
      <w:r w:rsidR="00692F08">
        <w:rPr>
          <w:sz w:val="22"/>
          <w:szCs w:val="22"/>
        </w:rPr>
        <w:t xml:space="preserve"> a </w:t>
      </w:r>
      <w:r w:rsidR="009A6101">
        <w:rPr>
          <w:sz w:val="22"/>
          <w:szCs w:val="22"/>
        </w:rPr>
        <w:t>correction</w:t>
      </w:r>
      <w:r w:rsidR="005D0E1D">
        <w:rPr>
          <w:sz w:val="22"/>
          <w:szCs w:val="22"/>
        </w:rPr>
        <w:t xml:space="preserve"> was made </w:t>
      </w:r>
      <w:r w:rsidR="009A6101">
        <w:rPr>
          <w:sz w:val="22"/>
          <w:szCs w:val="22"/>
        </w:rPr>
        <w:t xml:space="preserve">in 2016 based on </w:t>
      </w:r>
      <w:r w:rsidR="005D0E1D">
        <w:rPr>
          <w:sz w:val="22"/>
          <w:szCs w:val="22"/>
        </w:rPr>
        <w:t>a</w:t>
      </w:r>
      <w:r w:rsidR="00692F08">
        <w:rPr>
          <w:sz w:val="22"/>
          <w:szCs w:val="22"/>
        </w:rPr>
        <w:t>ctual expenditure</w:t>
      </w:r>
      <w:r w:rsidR="00E07522">
        <w:rPr>
          <w:sz w:val="22"/>
          <w:szCs w:val="22"/>
        </w:rPr>
        <w:t xml:space="preserve"> relating to the</w:t>
      </w:r>
      <w:r w:rsidR="00692F08">
        <w:rPr>
          <w:sz w:val="22"/>
          <w:szCs w:val="22"/>
        </w:rPr>
        <w:t xml:space="preserve"> P5 salary </w:t>
      </w:r>
      <w:r w:rsidR="00E07522">
        <w:rPr>
          <w:sz w:val="22"/>
          <w:szCs w:val="22"/>
        </w:rPr>
        <w:t>of which</w:t>
      </w:r>
      <w:r w:rsidR="005D0E1D">
        <w:rPr>
          <w:sz w:val="22"/>
          <w:szCs w:val="22"/>
        </w:rPr>
        <w:t xml:space="preserve"> the Secretariat</w:t>
      </w:r>
      <w:r w:rsidR="00692F08">
        <w:rPr>
          <w:sz w:val="22"/>
          <w:szCs w:val="22"/>
        </w:rPr>
        <w:t xml:space="preserve">’s </w:t>
      </w:r>
      <w:r w:rsidR="005D0E1D">
        <w:rPr>
          <w:sz w:val="22"/>
          <w:szCs w:val="22"/>
        </w:rPr>
        <w:t xml:space="preserve">share </w:t>
      </w:r>
      <w:r w:rsidR="00E07522">
        <w:rPr>
          <w:sz w:val="22"/>
          <w:szCs w:val="22"/>
        </w:rPr>
        <w:t>was</w:t>
      </w:r>
      <w:r w:rsidR="005D0E1D">
        <w:rPr>
          <w:sz w:val="22"/>
          <w:szCs w:val="22"/>
        </w:rPr>
        <w:t xml:space="preserve"> 12.5 per</w:t>
      </w:r>
      <w:r w:rsidR="00E07522">
        <w:rPr>
          <w:sz w:val="22"/>
          <w:szCs w:val="22"/>
        </w:rPr>
        <w:t xml:space="preserve"> </w:t>
      </w:r>
      <w:r w:rsidR="005D0E1D">
        <w:rPr>
          <w:sz w:val="22"/>
          <w:szCs w:val="22"/>
        </w:rPr>
        <w:t>cent. It should be noted that the incumbent retired in October 2016 and no expenditure w</w:t>
      </w:r>
      <w:r w:rsidR="00E07522">
        <w:rPr>
          <w:sz w:val="22"/>
          <w:szCs w:val="22"/>
        </w:rPr>
        <w:t>as</w:t>
      </w:r>
      <w:r w:rsidR="005D0E1D">
        <w:rPr>
          <w:sz w:val="22"/>
          <w:szCs w:val="22"/>
        </w:rPr>
        <w:t xml:space="preserve"> reported in the last quarter of 2016. </w:t>
      </w:r>
      <w:r w:rsidR="00692F08">
        <w:rPr>
          <w:sz w:val="22"/>
          <w:szCs w:val="22"/>
        </w:rPr>
        <w:t xml:space="preserve">From January </w:t>
      </w:r>
      <w:r w:rsidR="005D0E1D">
        <w:rPr>
          <w:sz w:val="22"/>
          <w:szCs w:val="22"/>
        </w:rPr>
        <w:t xml:space="preserve">2017, </w:t>
      </w:r>
      <w:r w:rsidR="00692F08">
        <w:rPr>
          <w:sz w:val="22"/>
          <w:szCs w:val="22"/>
        </w:rPr>
        <w:t xml:space="preserve">P2 Officer was acting as the Head of the IOSEA Secretariat with anticipation of special post allowance at P3 level starting from April 2017. </w:t>
      </w:r>
      <w:r w:rsidR="004C76CC">
        <w:rPr>
          <w:sz w:val="22"/>
          <w:szCs w:val="22"/>
        </w:rPr>
        <w:t xml:space="preserve">Given the </w:t>
      </w:r>
      <w:r w:rsidR="00692F08">
        <w:rPr>
          <w:sz w:val="22"/>
          <w:szCs w:val="22"/>
        </w:rPr>
        <w:t xml:space="preserve">difference between </w:t>
      </w:r>
      <w:r w:rsidR="004C76CC">
        <w:rPr>
          <w:sz w:val="22"/>
          <w:szCs w:val="22"/>
        </w:rPr>
        <w:t xml:space="preserve">the </w:t>
      </w:r>
      <w:r w:rsidR="00692F08">
        <w:rPr>
          <w:sz w:val="22"/>
          <w:szCs w:val="22"/>
        </w:rPr>
        <w:t>P5 and P3 salary in 2017 and</w:t>
      </w:r>
      <w:r w:rsidR="004C76CC">
        <w:rPr>
          <w:sz w:val="22"/>
          <w:szCs w:val="22"/>
        </w:rPr>
        <w:t xml:space="preserve"> with</w:t>
      </w:r>
      <w:r w:rsidR="00692F08">
        <w:rPr>
          <w:sz w:val="22"/>
          <w:szCs w:val="22"/>
        </w:rPr>
        <w:t xml:space="preserve"> no salary </w:t>
      </w:r>
      <w:r w:rsidR="004C76CC">
        <w:rPr>
          <w:sz w:val="22"/>
          <w:szCs w:val="22"/>
        </w:rPr>
        <w:t xml:space="preserve">being paid </w:t>
      </w:r>
      <w:r w:rsidR="00692F08">
        <w:rPr>
          <w:sz w:val="22"/>
          <w:szCs w:val="22"/>
        </w:rPr>
        <w:t xml:space="preserve">for the period for October-December 2016, the estimated balance shows savings of </w:t>
      </w:r>
      <w:r w:rsidRPr="000D1323">
        <w:rPr>
          <w:sz w:val="22"/>
          <w:szCs w:val="22"/>
        </w:rPr>
        <w:t>€</w:t>
      </w:r>
      <w:r w:rsidR="00692F08">
        <w:rPr>
          <w:sz w:val="22"/>
          <w:szCs w:val="22"/>
        </w:rPr>
        <w:t xml:space="preserve">15,736 by end of December 2017. </w:t>
      </w:r>
      <w:r w:rsidR="00E769AD" w:rsidRPr="009114A4">
        <w:rPr>
          <w:sz w:val="22"/>
          <w:szCs w:val="22"/>
        </w:rPr>
        <w:t xml:space="preserve"> </w:t>
      </w:r>
    </w:p>
    <w:p w:rsidR="00271050" w:rsidRPr="00271050" w:rsidRDefault="00271050" w:rsidP="00271050">
      <w:pPr>
        <w:pStyle w:val="ListParagraph"/>
        <w:rPr>
          <w:sz w:val="22"/>
          <w:szCs w:val="22"/>
        </w:rPr>
      </w:pPr>
    </w:p>
    <w:p w:rsidR="00E769AD" w:rsidRDefault="00801EA4" w:rsidP="008C5742">
      <w:pPr>
        <w:pStyle w:val="ListParagraph"/>
        <w:numPr>
          <w:ilvl w:val="0"/>
          <w:numId w:val="17"/>
        </w:numPr>
        <w:jc w:val="both"/>
        <w:rPr>
          <w:sz w:val="22"/>
          <w:szCs w:val="22"/>
        </w:rPr>
      </w:pPr>
      <w:r w:rsidRPr="00801EA4">
        <w:rPr>
          <w:sz w:val="22"/>
          <w:szCs w:val="22"/>
        </w:rPr>
        <w:t>Head of the Capacity</w:t>
      </w:r>
      <w:r w:rsidR="004C76CC">
        <w:rPr>
          <w:sz w:val="22"/>
          <w:szCs w:val="22"/>
        </w:rPr>
        <w:t>-b</w:t>
      </w:r>
      <w:r w:rsidRPr="00801EA4">
        <w:rPr>
          <w:sz w:val="22"/>
          <w:szCs w:val="22"/>
        </w:rPr>
        <w:t>uilding Unit</w:t>
      </w:r>
      <w:r w:rsidR="00C30060">
        <w:rPr>
          <w:sz w:val="22"/>
          <w:szCs w:val="22"/>
        </w:rPr>
        <w:t xml:space="preserve"> (budget item 27)</w:t>
      </w:r>
      <w:r w:rsidRPr="00801EA4">
        <w:rPr>
          <w:sz w:val="22"/>
          <w:szCs w:val="22"/>
        </w:rPr>
        <w:t>:</w:t>
      </w:r>
      <w:r>
        <w:rPr>
          <w:sz w:val="22"/>
          <w:szCs w:val="22"/>
        </w:rPr>
        <w:t xml:space="preserve"> </w:t>
      </w:r>
      <w:r w:rsidR="003F22C4">
        <w:rPr>
          <w:sz w:val="22"/>
          <w:szCs w:val="22"/>
        </w:rPr>
        <w:t xml:space="preserve">in 2015, </w:t>
      </w:r>
      <w:r w:rsidR="004C76CC">
        <w:rPr>
          <w:sz w:val="22"/>
          <w:szCs w:val="22"/>
        </w:rPr>
        <w:t xml:space="preserve">the </w:t>
      </w:r>
      <w:r w:rsidR="003F22C4">
        <w:rPr>
          <w:sz w:val="22"/>
          <w:szCs w:val="22"/>
        </w:rPr>
        <w:t xml:space="preserve">P4 salary </w:t>
      </w:r>
      <w:r w:rsidR="004C76CC">
        <w:rPr>
          <w:sz w:val="22"/>
          <w:szCs w:val="22"/>
        </w:rPr>
        <w:t xml:space="preserve">line </w:t>
      </w:r>
      <w:r w:rsidR="003F22C4">
        <w:rPr>
          <w:sz w:val="22"/>
          <w:szCs w:val="22"/>
        </w:rPr>
        <w:t xml:space="preserve">was overspent by </w:t>
      </w:r>
      <w:r w:rsidR="003F22C4" w:rsidRPr="000D1323">
        <w:rPr>
          <w:sz w:val="22"/>
          <w:szCs w:val="22"/>
        </w:rPr>
        <w:t>€</w:t>
      </w:r>
      <w:r w:rsidR="003F22C4">
        <w:rPr>
          <w:sz w:val="22"/>
          <w:szCs w:val="22"/>
        </w:rPr>
        <w:t>28,951 against the</w:t>
      </w:r>
      <w:r w:rsidR="00B43850">
        <w:rPr>
          <w:sz w:val="22"/>
          <w:szCs w:val="22"/>
        </w:rPr>
        <w:t xml:space="preserve"> COP</w:t>
      </w:r>
      <w:r w:rsidR="004C76CC">
        <w:rPr>
          <w:sz w:val="22"/>
          <w:szCs w:val="22"/>
        </w:rPr>
        <w:t>-</w:t>
      </w:r>
      <w:r w:rsidR="00B43850">
        <w:rPr>
          <w:sz w:val="22"/>
          <w:szCs w:val="22"/>
        </w:rPr>
        <w:t xml:space="preserve">approved budget due to underestimated </w:t>
      </w:r>
      <w:r w:rsidR="003F22C4">
        <w:rPr>
          <w:sz w:val="22"/>
          <w:szCs w:val="22"/>
        </w:rPr>
        <w:t>staff entitlement</w:t>
      </w:r>
      <w:r w:rsidR="004C76CC">
        <w:rPr>
          <w:sz w:val="22"/>
          <w:szCs w:val="22"/>
        </w:rPr>
        <w:t>s</w:t>
      </w:r>
      <w:r w:rsidR="003F22C4">
        <w:rPr>
          <w:sz w:val="22"/>
          <w:szCs w:val="22"/>
        </w:rPr>
        <w:t xml:space="preserve">. In August 2016, the post became vacant because the incumbent joined UN Environment’s Law Division. </w:t>
      </w:r>
      <w:r w:rsidR="004C76CC">
        <w:rPr>
          <w:sz w:val="22"/>
          <w:szCs w:val="22"/>
        </w:rPr>
        <w:t xml:space="preserve"> A t</w:t>
      </w:r>
      <w:r w:rsidR="003F22C4">
        <w:rPr>
          <w:sz w:val="22"/>
          <w:szCs w:val="22"/>
        </w:rPr>
        <w:t xml:space="preserve">emporary P2 officer was recruited starting from October 2016 resulting </w:t>
      </w:r>
      <w:r w:rsidR="004C76CC">
        <w:rPr>
          <w:sz w:val="22"/>
          <w:szCs w:val="22"/>
        </w:rPr>
        <w:t xml:space="preserve">in </w:t>
      </w:r>
      <w:r w:rsidR="003F22C4">
        <w:rPr>
          <w:sz w:val="22"/>
          <w:szCs w:val="22"/>
        </w:rPr>
        <w:t>overall savings amount</w:t>
      </w:r>
      <w:r w:rsidR="004C76CC">
        <w:rPr>
          <w:sz w:val="22"/>
          <w:szCs w:val="22"/>
        </w:rPr>
        <w:t>ing</w:t>
      </w:r>
      <w:r w:rsidR="003F22C4">
        <w:rPr>
          <w:sz w:val="22"/>
          <w:szCs w:val="22"/>
        </w:rPr>
        <w:t xml:space="preserve"> to </w:t>
      </w:r>
      <w:r w:rsidR="007A54E7" w:rsidRPr="000D1323">
        <w:rPr>
          <w:sz w:val="22"/>
          <w:szCs w:val="22"/>
        </w:rPr>
        <w:t>€</w:t>
      </w:r>
      <w:r w:rsidR="007A54E7">
        <w:rPr>
          <w:sz w:val="22"/>
          <w:szCs w:val="22"/>
        </w:rPr>
        <w:t>81,878</w:t>
      </w:r>
      <w:r w:rsidR="003F22C4">
        <w:rPr>
          <w:sz w:val="22"/>
          <w:szCs w:val="22"/>
        </w:rPr>
        <w:t xml:space="preserve"> </w:t>
      </w:r>
      <w:r w:rsidR="004C76CC">
        <w:rPr>
          <w:sz w:val="22"/>
          <w:szCs w:val="22"/>
        </w:rPr>
        <w:t xml:space="preserve">explained by the </w:t>
      </w:r>
      <w:r w:rsidR="007A54E7">
        <w:rPr>
          <w:sz w:val="22"/>
          <w:szCs w:val="22"/>
        </w:rPr>
        <w:t xml:space="preserve">salary difference between P4 and P2, </w:t>
      </w:r>
      <w:r w:rsidR="004C76CC">
        <w:rPr>
          <w:sz w:val="22"/>
          <w:szCs w:val="22"/>
        </w:rPr>
        <w:t xml:space="preserve">and taking into account the </w:t>
      </w:r>
      <w:r w:rsidR="007A54E7">
        <w:rPr>
          <w:sz w:val="22"/>
          <w:szCs w:val="22"/>
        </w:rPr>
        <w:t xml:space="preserve">reported over- </w:t>
      </w:r>
      <w:r w:rsidR="00504B02">
        <w:rPr>
          <w:sz w:val="22"/>
          <w:szCs w:val="22"/>
        </w:rPr>
        <w:t xml:space="preserve">expenditure </w:t>
      </w:r>
      <w:r w:rsidR="007A54E7">
        <w:rPr>
          <w:sz w:val="22"/>
          <w:szCs w:val="22"/>
        </w:rPr>
        <w:t xml:space="preserve">in 2015. </w:t>
      </w:r>
    </w:p>
    <w:p w:rsidR="001D7FE5" w:rsidRPr="00D30296" w:rsidRDefault="001D7FE5" w:rsidP="00D30296">
      <w:pPr>
        <w:pStyle w:val="ListParagraph"/>
      </w:pPr>
    </w:p>
    <w:p w:rsidR="0043250E" w:rsidRPr="0043250E" w:rsidRDefault="0043250E" w:rsidP="007B6C50">
      <w:pPr>
        <w:numPr>
          <w:ilvl w:val="0"/>
          <w:numId w:val="10"/>
        </w:numPr>
        <w:ind w:left="360"/>
        <w:contextualSpacing/>
        <w:jc w:val="both"/>
        <w:rPr>
          <w:sz w:val="22"/>
          <w:szCs w:val="22"/>
        </w:rPr>
      </w:pPr>
      <w:r w:rsidRPr="0043250E">
        <w:rPr>
          <w:sz w:val="22"/>
          <w:szCs w:val="22"/>
        </w:rPr>
        <w:t>Further</w:t>
      </w:r>
      <w:r w:rsidR="00D30296" w:rsidRPr="0043250E">
        <w:rPr>
          <w:sz w:val="22"/>
          <w:szCs w:val="22"/>
        </w:rPr>
        <w:t xml:space="preserve"> </w:t>
      </w:r>
      <w:r w:rsidR="00567D09" w:rsidRPr="0043250E">
        <w:rPr>
          <w:sz w:val="22"/>
          <w:szCs w:val="22"/>
        </w:rPr>
        <w:t>savings</w:t>
      </w:r>
      <w:r w:rsidR="00B25725" w:rsidRPr="0043250E">
        <w:rPr>
          <w:sz w:val="22"/>
          <w:szCs w:val="22"/>
        </w:rPr>
        <w:t xml:space="preserve"> </w:t>
      </w:r>
      <w:r w:rsidR="00813D63" w:rsidRPr="0043250E">
        <w:rPr>
          <w:sz w:val="22"/>
          <w:szCs w:val="22"/>
        </w:rPr>
        <w:t xml:space="preserve">were </w:t>
      </w:r>
      <w:r w:rsidR="00567D09" w:rsidRPr="0043250E">
        <w:rPr>
          <w:sz w:val="22"/>
          <w:szCs w:val="22"/>
        </w:rPr>
        <w:t>generated</w:t>
      </w:r>
      <w:r w:rsidRPr="0043250E">
        <w:rPr>
          <w:sz w:val="22"/>
          <w:szCs w:val="22"/>
        </w:rPr>
        <w:t xml:space="preserve"> </w:t>
      </w:r>
      <w:r w:rsidR="00567D09" w:rsidRPr="0043250E">
        <w:rPr>
          <w:sz w:val="22"/>
          <w:szCs w:val="22"/>
        </w:rPr>
        <w:t>from the</w:t>
      </w:r>
      <w:r w:rsidRPr="0043250E">
        <w:rPr>
          <w:sz w:val="22"/>
          <w:szCs w:val="22"/>
        </w:rPr>
        <w:t xml:space="preserve"> salaries of general support (GS) staff during the triennium. The concept of using one </w:t>
      </w:r>
      <w:r w:rsidR="00D86EB6">
        <w:rPr>
          <w:sz w:val="22"/>
          <w:szCs w:val="22"/>
        </w:rPr>
        <w:t xml:space="preserve">salary </w:t>
      </w:r>
      <w:r w:rsidRPr="0043250E">
        <w:rPr>
          <w:sz w:val="22"/>
          <w:szCs w:val="22"/>
        </w:rPr>
        <w:t xml:space="preserve">scale </w:t>
      </w:r>
      <w:r w:rsidR="00D86EB6">
        <w:rPr>
          <w:sz w:val="22"/>
          <w:szCs w:val="22"/>
        </w:rPr>
        <w:t>based on weighted average of tw</w:t>
      </w:r>
      <w:r w:rsidRPr="0043250E">
        <w:rPr>
          <w:sz w:val="22"/>
          <w:szCs w:val="22"/>
        </w:rPr>
        <w:t xml:space="preserve">o </w:t>
      </w:r>
      <w:r w:rsidR="00D86EB6">
        <w:rPr>
          <w:sz w:val="22"/>
          <w:szCs w:val="22"/>
        </w:rPr>
        <w:t xml:space="preserve">local salary </w:t>
      </w:r>
      <w:r w:rsidR="00587EEC">
        <w:rPr>
          <w:sz w:val="22"/>
          <w:szCs w:val="22"/>
        </w:rPr>
        <w:t xml:space="preserve">scale </w:t>
      </w:r>
      <w:r w:rsidR="007B6C50">
        <w:rPr>
          <w:sz w:val="22"/>
          <w:szCs w:val="22"/>
        </w:rPr>
        <w:t xml:space="preserve">(GS4/5 and GS6/7) </w:t>
      </w:r>
      <w:r w:rsidR="00587EEC">
        <w:rPr>
          <w:sz w:val="22"/>
          <w:szCs w:val="22"/>
        </w:rPr>
        <w:t>h</w:t>
      </w:r>
      <w:r w:rsidRPr="0043250E">
        <w:rPr>
          <w:sz w:val="22"/>
          <w:szCs w:val="22"/>
        </w:rPr>
        <w:t>as an impact to the difference between the</w:t>
      </w:r>
      <w:r w:rsidR="00D86EB6">
        <w:rPr>
          <w:sz w:val="22"/>
          <w:szCs w:val="22"/>
        </w:rPr>
        <w:t xml:space="preserve"> approved</w:t>
      </w:r>
      <w:r w:rsidRPr="0043250E">
        <w:rPr>
          <w:sz w:val="22"/>
          <w:szCs w:val="22"/>
        </w:rPr>
        <w:t xml:space="preserve"> budget and estimated expenditure.</w:t>
      </w:r>
      <w:r w:rsidR="00D86EB6">
        <w:rPr>
          <w:sz w:val="22"/>
          <w:szCs w:val="22"/>
        </w:rPr>
        <w:t xml:space="preserve"> </w:t>
      </w:r>
      <w:r w:rsidRPr="0043250E">
        <w:rPr>
          <w:sz w:val="22"/>
          <w:szCs w:val="22"/>
        </w:rPr>
        <w:t xml:space="preserve">The individual differences </w:t>
      </w:r>
      <w:r w:rsidR="00D86EB6">
        <w:rPr>
          <w:sz w:val="22"/>
          <w:szCs w:val="22"/>
        </w:rPr>
        <w:t>of the</w:t>
      </w:r>
      <w:r w:rsidRPr="0043250E">
        <w:rPr>
          <w:sz w:val="22"/>
          <w:szCs w:val="22"/>
        </w:rPr>
        <w:t xml:space="preserve"> support staff’s entitlements, such as spouse and child allowances, </w:t>
      </w:r>
      <w:r w:rsidR="005F3037">
        <w:rPr>
          <w:sz w:val="22"/>
          <w:szCs w:val="22"/>
        </w:rPr>
        <w:t xml:space="preserve">and </w:t>
      </w:r>
      <w:r w:rsidRPr="0043250E">
        <w:rPr>
          <w:sz w:val="22"/>
          <w:szCs w:val="22"/>
        </w:rPr>
        <w:t xml:space="preserve">language </w:t>
      </w:r>
      <w:r w:rsidR="00587EEC">
        <w:rPr>
          <w:sz w:val="22"/>
          <w:szCs w:val="22"/>
        </w:rPr>
        <w:t>and</w:t>
      </w:r>
      <w:r w:rsidRPr="0043250E">
        <w:rPr>
          <w:sz w:val="22"/>
          <w:szCs w:val="22"/>
        </w:rPr>
        <w:t xml:space="preserve"> training allowance</w:t>
      </w:r>
      <w:r w:rsidR="005F3037">
        <w:rPr>
          <w:sz w:val="22"/>
          <w:szCs w:val="22"/>
        </w:rPr>
        <w:t>s</w:t>
      </w:r>
      <w:r w:rsidRPr="0043250E">
        <w:rPr>
          <w:sz w:val="22"/>
          <w:szCs w:val="22"/>
        </w:rPr>
        <w:t>, were</w:t>
      </w:r>
      <w:r w:rsidR="007B6C50">
        <w:rPr>
          <w:sz w:val="22"/>
          <w:szCs w:val="22"/>
        </w:rPr>
        <w:t xml:space="preserve"> also</w:t>
      </w:r>
      <w:r w:rsidRPr="0043250E">
        <w:rPr>
          <w:sz w:val="22"/>
          <w:szCs w:val="22"/>
        </w:rPr>
        <w:t xml:space="preserve"> among the reasons for the reduced support staff cost.</w:t>
      </w:r>
      <w:r w:rsidR="00D86EB6">
        <w:rPr>
          <w:sz w:val="22"/>
          <w:szCs w:val="22"/>
        </w:rPr>
        <w:t xml:space="preserve"> </w:t>
      </w:r>
      <w:r w:rsidR="00587EEC">
        <w:rPr>
          <w:sz w:val="22"/>
          <w:szCs w:val="22"/>
        </w:rPr>
        <w:t>However, i</w:t>
      </w:r>
      <w:r w:rsidR="00D86EB6">
        <w:rPr>
          <w:sz w:val="22"/>
          <w:szCs w:val="22"/>
        </w:rPr>
        <w:t xml:space="preserve">t should </w:t>
      </w:r>
      <w:r w:rsidR="00587EEC">
        <w:rPr>
          <w:sz w:val="22"/>
          <w:szCs w:val="22"/>
        </w:rPr>
        <w:t xml:space="preserve">be </w:t>
      </w:r>
      <w:r w:rsidR="00D86EB6">
        <w:rPr>
          <w:sz w:val="22"/>
          <w:szCs w:val="22"/>
        </w:rPr>
        <w:t>noted that estimated savings of the support staff by end of December</w:t>
      </w:r>
      <w:r w:rsidR="007B6C50">
        <w:rPr>
          <w:sz w:val="22"/>
          <w:szCs w:val="22"/>
        </w:rPr>
        <w:t xml:space="preserve"> 2017</w:t>
      </w:r>
      <w:r w:rsidR="00D86EB6">
        <w:rPr>
          <w:sz w:val="22"/>
          <w:szCs w:val="22"/>
        </w:rPr>
        <w:t xml:space="preserve"> </w:t>
      </w:r>
      <w:r w:rsidR="00587EEC">
        <w:rPr>
          <w:sz w:val="22"/>
          <w:szCs w:val="22"/>
        </w:rPr>
        <w:t xml:space="preserve">might need to be </w:t>
      </w:r>
      <w:r w:rsidR="007B6C50">
        <w:rPr>
          <w:sz w:val="22"/>
          <w:szCs w:val="22"/>
        </w:rPr>
        <w:t>reduced</w:t>
      </w:r>
      <w:r w:rsidR="00587EEC">
        <w:rPr>
          <w:sz w:val="22"/>
          <w:szCs w:val="22"/>
        </w:rPr>
        <w:t xml:space="preserve"> due to unexpected </w:t>
      </w:r>
      <w:r w:rsidR="00D86EB6">
        <w:rPr>
          <w:sz w:val="22"/>
          <w:szCs w:val="22"/>
        </w:rPr>
        <w:t>staff entitlement</w:t>
      </w:r>
      <w:r w:rsidR="005F3037">
        <w:rPr>
          <w:sz w:val="22"/>
          <w:szCs w:val="22"/>
        </w:rPr>
        <w:t>s</w:t>
      </w:r>
      <w:r w:rsidR="00D86EB6">
        <w:rPr>
          <w:sz w:val="22"/>
          <w:szCs w:val="22"/>
        </w:rPr>
        <w:t xml:space="preserve"> </w:t>
      </w:r>
      <w:r w:rsidR="00587EEC">
        <w:rPr>
          <w:sz w:val="22"/>
          <w:szCs w:val="22"/>
        </w:rPr>
        <w:t xml:space="preserve">caused by </w:t>
      </w:r>
      <w:r w:rsidRPr="0043250E">
        <w:rPr>
          <w:sz w:val="22"/>
          <w:szCs w:val="22"/>
        </w:rPr>
        <w:t xml:space="preserve">illness, separation, </w:t>
      </w:r>
      <w:r w:rsidR="00587EEC">
        <w:rPr>
          <w:sz w:val="22"/>
          <w:szCs w:val="22"/>
        </w:rPr>
        <w:t xml:space="preserve">or/and </w:t>
      </w:r>
      <w:r w:rsidRPr="0043250E">
        <w:rPr>
          <w:sz w:val="22"/>
          <w:szCs w:val="22"/>
        </w:rPr>
        <w:t>maternity leave</w:t>
      </w:r>
      <w:r w:rsidR="00887E65">
        <w:rPr>
          <w:sz w:val="22"/>
          <w:szCs w:val="22"/>
        </w:rPr>
        <w:t>.</w:t>
      </w:r>
      <w:r w:rsidR="00587EEC">
        <w:rPr>
          <w:sz w:val="22"/>
          <w:szCs w:val="22"/>
        </w:rPr>
        <w:t xml:space="preserve"> </w:t>
      </w:r>
      <w:r w:rsidRPr="0043250E">
        <w:rPr>
          <w:sz w:val="22"/>
          <w:szCs w:val="22"/>
        </w:rPr>
        <w:t xml:space="preserve"> </w:t>
      </w:r>
    </w:p>
    <w:p w:rsidR="00692DB7" w:rsidRPr="00692DB7" w:rsidRDefault="00692DB7" w:rsidP="00587EEC">
      <w:pPr>
        <w:ind w:left="360"/>
        <w:contextualSpacing/>
        <w:jc w:val="both"/>
        <w:rPr>
          <w:sz w:val="22"/>
          <w:szCs w:val="22"/>
        </w:rPr>
      </w:pPr>
    </w:p>
    <w:p w:rsidR="00BF10A4" w:rsidRDefault="00724FE5" w:rsidP="00724FE5">
      <w:pPr>
        <w:ind w:firstLine="360"/>
        <w:contextualSpacing/>
        <w:jc w:val="both"/>
        <w:rPr>
          <w:b/>
          <w:sz w:val="22"/>
          <w:szCs w:val="22"/>
        </w:rPr>
      </w:pPr>
      <w:r>
        <w:rPr>
          <w:b/>
          <w:sz w:val="22"/>
          <w:szCs w:val="22"/>
        </w:rPr>
        <w:t xml:space="preserve">Independent analysis of synergies in the CMS </w:t>
      </w:r>
      <w:r w:rsidR="00813D63">
        <w:rPr>
          <w:b/>
          <w:sz w:val="22"/>
          <w:szCs w:val="22"/>
        </w:rPr>
        <w:t>F</w:t>
      </w:r>
      <w:r>
        <w:rPr>
          <w:b/>
          <w:sz w:val="22"/>
          <w:szCs w:val="22"/>
        </w:rPr>
        <w:t xml:space="preserve">amily </w:t>
      </w:r>
    </w:p>
    <w:p w:rsidR="00724FE5" w:rsidRPr="000D1323" w:rsidRDefault="00724FE5" w:rsidP="00724FE5">
      <w:pPr>
        <w:ind w:firstLine="360"/>
        <w:contextualSpacing/>
        <w:jc w:val="both"/>
        <w:rPr>
          <w:sz w:val="22"/>
          <w:szCs w:val="22"/>
        </w:rPr>
      </w:pPr>
    </w:p>
    <w:p w:rsidR="00D97121" w:rsidRDefault="00813D63" w:rsidP="000D1323">
      <w:pPr>
        <w:numPr>
          <w:ilvl w:val="0"/>
          <w:numId w:val="10"/>
        </w:numPr>
        <w:ind w:left="360"/>
        <w:contextualSpacing/>
        <w:jc w:val="both"/>
        <w:rPr>
          <w:sz w:val="22"/>
          <w:szCs w:val="22"/>
        </w:rPr>
      </w:pPr>
      <w:r>
        <w:rPr>
          <w:sz w:val="22"/>
          <w:szCs w:val="22"/>
        </w:rPr>
        <w:t>An</w:t>
      </w:r>
      <w:r w:rsidRPr="00C3420A">
        <w:rPr>
          <w:sz w:val="22"/>
          <w:szCs w:val="22"/>
        </w:rPr>
        <w:t xml:space="preserve"> </w:t>
      </w:r>
      <w:r w:rsidR="00BF10A4" w:rsidRPr="00C3420A">
        <w:rPr>
          <w:sz w:val="22"/>
          <w:szCs w:val="22"/>
        </w:rPr>
        <w:t xml:space="preserve">analysis </w:t>
      </w:r>
      <w:r w:rsidR="005F3037" w:rsidRPr="00C3420A">
        <w:rPr>
          <w:sz w:val="22"/>
          <w:szCs w:val="22"/>
        </w:rPr>
        <w:t>o</w:t>
      </w:r>
      <w:r w:rsidR="005F3037">
        <w:rPr>
          <w:sz w:val="22"/>
          <w:szCs w:val="22"/>
        </w:rPr>
        <w:t xml:space="preserve">f </w:t>
      </w:r>
      <w:r w:rsidR="004F0DF8">
        <w:rPr>
          <w:sz w:val="22"/>
          <w:szCs w:val="22"/>
        </w:rPr>
        <w:t xml:space="preserve">common services </w:t>
      </w:r>
      <w:r w:rsidR="00D97121">
        <w:rPr>
          <w:sz w:val="22"/>
          <w:szCs w:val="22"/>
        </w:rPr>
        <w:t>areas among the instruments in the</w:t>
      </w:r>
      <w:r w:rsidR="00011B1A">
        <w:rPr>
          <w:sz w:val="22"/>
          <w:szCs w:val="22"/>
        </w:rPr>
        <w:t xml:space="preserve"> </w:t>
      </w:r>
      <w:r w:rsidR="00FF681B">
        <w:rPr>
          <w:sz w:val="22"/>
          <w:szCs w:val="22"/>
        </w:rPr>
        <w:t xml:space="preserve">CMS </w:t>
      </w:r>
      <w:r w:rsidR="004F0DF8">
        <w:rPr>
          <w:sz w:val="22"/>
          <w:szCs w:val="22"/>
        </w:rPr>
        <w:t>F</w:t>
      </w:r>
      <w:r w:rsidR="00FF681B">
        <w:rPr>
          <w:sz w:val="22"/>
          <w:szCs w:val="22"/>
        </w:rPr>
        <w:t>amily</w:t>
      </w:r>
      <w:r w:rsidR="00011B1A">
        <w:rPr>
          <w:sz w:val="22"/>
          <w:szCs w:val="22"/>
        </w:rPr>
        <w:t xml:space="preserve"> was </w:t>
      </w:r>
      <w:r w:rsidR="00D97121">
        <w:rPr>
          <w:sz w:val="22"/>
          <w:szCs w:val="22"/>
        </w:rPr>
        <w:t xml:space="preserve">carried out by </w:t>
      </w:r>
      <w:r w:rsidR="00C3420A">
        <w:rPr>
          <w:sz w:val="22"/>
          <w:szCs w:val="22"/>
        </w:rPr>
        <w:t>independent consultant</w:t>
      </w:r>
      <w:r w:rsidR="004F0DF8">
        <w:rPr>
          <w:sz w:val="22"/>
          <w:szCs w:val="22"/>
        </w:rPr>
        <w:t>s</w:t>
      </w:r>
      <w:r w:rsidR="00C3420A">
        <w:rPr>
          <w:sz w:val="22"/>
          <w:szCs w:val="22"/>
        </w:rPr>
        <w:t xml:space="preserve"> </w:t>
      </w:r>
      <w:r w:rsidR="00D97121">
        <w:rPr>
          <w:sz w:val="22"/>
          <w:szCs w:val="22"/>
        </w:rPr>
        <w:t xml:space="preserve">in 2015. </w:t>
      </w:r>
      <w:r w:rsidR="00F740A3">
        <w:rPr>
          <w:sz w:val="22"/>
          <w:szCs w:val="22"/>
        </w:rPr>
        <w:t>While</w:t>
      </w:r>
      <w:r w:rsidR="00CF52EE">
        <w:rPr>
          <w:sz w:val="22"/>
          <w:szCs w:val="22"/>
        </w:rPr>
        <w:t xml:space="preserve"> the analysis was completed</w:t>
      </w:r>
      <w:r w:rsidR="00F740A3">
        <w:rPr>
          <w:sz w:val="22"/>
          <w:szCs w:val="22"/>
        </w:rPr>
        <w:t xml:space="preserve"> in 2015</w:t>
      </w:r>
      <w:r w:rsidR="00CF52EE">
        <w:rPr>
          <w:sz w:val="22"/>
          <w:szCs w:val="22"/>
        </w:rPr>
        <w:t>, f</w:t>
      </w:r>
      <w:r w:rsidR="00D97121">
        <w:rPr>
          <w:sz w:val="22"/>
          <w:szCs w:val="22"/>
        </w:rPr>
        <w:t xml:space="preserve">inal payment </w:t>
      </w:r>
      <w:r w:rsidR="00CF52EE">
        <w:rPr>
          <w:sz w:val="22"/>
          <w:szCs w:val="22"/>
        </w:rPr>
        <w:t>was only made in the beginning of 2017</w:t>
      </w:r>
      <w:r w:rsidR="003E4793">
        <w:rPr>
          <w:sz w:val="22"/>
          <w:szCs w:val="22"/>
        </w:rPr>
        <w:t xml:space="preserve">. </w:t>
      </w:r>
      <w:r w:rsidR="00F740A3">
        <w:rPr>
          <w:sz w:val="22"/>
          <w:szCs w:val="22"/>
        </w:rPr>
        <w:t xml:space="preserve">Initially, </w:t>
      </w:r>
      <w:r w:rsidR="003E4793">
        <w:rPr>
          <w:sz w:val="22"/>
          <w:szCs w:val="22"/>
        </w:rPr>
        <w:t>t</w:t>
      </w:r>
      <w:r w:rsidR="00CF52EE">
        <w:rPr>
          <w:sz w:val="22"/>
          <w:szCs w:val="22"/>
        </w:rPr>
        <w:t>he cost of the analysis was</w:t>
      </w:r>
      <w:r w:rsidR="00F740A3">
        <w:rPr>
          <w:sz w:val="22"/>
          <w:szCs w:val="22"/>
        </w:rPr>
        <w:t xml:space="preserve"> </w:t>
      </w:r>
      <w:r w:rsidR="004F0DF8">
        <w:rPr>
          <w:sz w:val="22"/>
          <w:szCs w:val="22"/>
        </w:rPr>
        <w:t xml:space="preserve">expected to be </w:t>
      </w:r>
      <w:r w:rsidR="00F740A3" w:rsidRPr="00BF10A4">
        <w:rPr>
          <w:sz w:val="22"/>
          <w:szCs w:val="22"/>
        </w:rPr>
        <w:t>€</w:t>
      </w:r>
      <w:r w:rsidR="00F740A3">
        <w:rPr>
          <w:sz w:val="22"/>
          <w:szCs w:val="22"/>
        </w:rPr>
        <w:t xml:space="preserve">43,500 but </w:t>
      </w:r>
      <w:r w:rsidR="004F0DF8">
        <w:rPr>
          <w:sz w:val="22"/>
          <w:szCs w:val="22"/>
        </w:rPr>
        <w:t xml:space="preserve">the </w:t>
      </w:r>
      <w:r w:rsidR="00F740A3">
        <w:rPr>
          <w:sz w:val="22"/>
          <w:szCs w:val="22"/>
        </w:rPr>
        <w:t xml:space="preserve">actual </w:t>
      </w:r>
      <w:r w:rsidR="00DD7365">
        <w:rPr>
          <w:sz w:val="22"/>
          <w:szCs w:val="22"/>
        </w:rPr>
        <w:t>fee</w:t>
      </w:r>
      <w:r w:rsidR="00F740A3">
        <w:rPr>
          <w:sz w:val="22"/>
          <w:szCs w:val="22"/>
        </w:rPr>
        <w:t xml:space="preserve"> </w:t>
      </w:r>
      <w:r w:rsidR="00DD7365">
        <w:rPr>
          <w:sz w:val="22"/>
          <w:szCs w:val="22"/>
        </w:rPr>
        <w:t xml:space="preserve">charged </w:t>
      </w:r>
      <w:r w:rsidR="00F740A3">
        <w:rPr>
          <w:sz w:val="22"/>
          <w:szCs w:val="22"/>
        </w:rPr>
        <w:t xml:space="preserve">was far less than initial budget </w:t>
      </w:r>
      <w:r w:rsidR="003E4793">
        <w:rPr>
          <w:sz w:val="22"/>
          <w:szCs w:val="22"/>
        </w:rPr>
        <w:t xml:space="preserve">resulting </w:t>
      </w:r>
      <w:r w:rsidR="00D97121">
        <w:rPr>
          <w:sz w:val="22"/>
          <w:szCs w:val="22"/>
        </w:rPr>
        <w:t xml:space="preserve">the savings of </w:t>
      </w:r>
      <w:r w:rsidR="00D97121" w:rsidRPr="00BF10A4">
        <w:rPr>
          <w:sz w:val="22"/>
          <w:szCs w:val="22"/>
        </w:rPr>
        <w:t>€</w:t>
      </w:r>
      <w:r w:rsidR="00D97121">
        <w:rPr>
          <w:sz w:val="22"/>
          <w:szCs w:val="22"/>
        </w:rPr>
        <w:t>15,743.</w:t>
      </w:r>
      <w:r w:rsidR="0096474F">
        <w:rPr>
          <w:sz w:val="22"/>
          <w:szCs w:val="22"/>
        </w:rPr>
        <w:t xml:space="preserve"> </w:t>
      </w:r>
      <w:r w:rsidR="00C3420A">
        <w:rPr>
          <w:sz w:val="22"/>
          <w:szCs w:val="22"/>
        </w:rPr>
        <w:t xml:space="preserve"> </w:t>
      </w:r>
    </w:p>
    <w:p w:rsidR="00BF10A4" w:rsidRPr="000D1323" w:rsidRDefault="00BF10A4" w:rsidP="000D1323">
      <w:pPr>
        <w:ind w:left="360"/>
        <w:contextualSpacing/>
        <w:jc w:val="both"/>
        <w:rPr>
          <w:sz w:val="22"/>
          <w:szCs w:val="22"/>
        </w:rPr>
      </w:pPr>
    </w:p>
    <w:p w:rsidR="00BF10A4" w:rsidRPr="000D1323" w:rsidRDefault="00724FE5" w:rsidP="000D1323">
      <w:pPr>
        <w:ind w:firstLine="360"/>
        <w:contextualSpacing/>
        <w:jc w:val="both"/>
        <w:rPr>
          <w:b/>
          <w:sz w:val="22"/>
          <w:szCs w:val="22"/>
        </w:rPr>
      </w:pPr>
      <w:r>
        <w:rPr>
          <w:b/>
          <w:sz w:val="22"/>
          <w:szCs w:val="22"/>
        </w:rPr>
        <w:t>Servicing of g</w:t>
      </w:r>
      <w:r w:rsidR="00BF10A4" w:rsidRPr="000D1323">
        <w:rPr>
          <w:b/>
          <w:sz w:val="22"/>
          <w:szCs w:val="22"/>
        </w:rPr>
        <w:t xml:space="preserve">overning </w:t>
      </w:r>
      <w:r>
        <w:rPr>
          <w:b/>
          <w:sz w:val="22"/>
          <w:szCs w:val="22"/>
        </w:rPr>
        <w:t>b</w:t>
      </w:r>
      <w:r w:rsidR="00BF10A4" w:rsidRPr="000D1323">
        <w:rPr>
          <w:b/>
          <w:sz w:val="22"/>
          <w:szCs w:val="22"/>
        </w:rPr>
        <w:t xml:space="preserve">odies </w:t>
      </w:r>
    </w:p>
    <w:p w:rsidR="00BF10A4" w:rsidRPr="00BF10A4" w:rsidRDefault="00BF10A4" w:rsidP="000D1323">
      <w:pPr>
        <w:ind w:left="360"/>
        <w:contextualSpacing/>
        <w:jc w:val="both"/>
        <w:rPr>
          <w:sz w:val="22"/>
          <w:szCs w:val="22"/>
        </w:rPr>
      </w:pPr>
    </w:p>
    <w:p w:rsidR="00BF10A4" w:rsidRPr="00BF10A4" w:rsidRDefault="00BF10A4" w:rsidP="000D1323">
      <w:pPr>
        <w:numPr>
          <w:ilvl w:val="0"/>
          <w:numId w:val="10"/>
        </w:numPr>
        <w:ind w:left="360"/>
        <w:contextualSpacing/>
        <w:jc w:val="both"/>
        <w:rPr>
          <w:sz w:val="22"/>
          <w:szCs w:val="22"/>
        </w:rPr>
      </w:pPr>
      <w:r w:rsidRPr="00BF10A4">
        <w:rPr>
          <w:sz w:val="22"/>
          <w:szCs w:val="22"/>
        </w:rPr>
        <w:t>COP Resolution 11.1 approved</w:t>
      </w:r>
      <w:r w:rsidR="00767DAE">
        <w:rPr>
          <w:sz w:val="22"/>
          <w:szCs w:val="22"/>
        </w:rPr>
        <w:t xml:space="preserve"> a budget</w:t>
      </w:r>
      <w:r w:rsidR="0039523C">
        <w:rPr>
          <w:sz w:val="22"/>
          <w:szCs w:val="22"/>
        </w:rPr>
        <w:t xml:space="preserve">, </w:t>
      </w:r>
      <w:r w:rsidR="00767DAE">
        <w:rPr>
          <w:sz w:val="22"/>
          <w:szCs w:val="22"/>
        </w:rPr>
        <w:t>excluding P</w:t>
      </w:r>
      <w:r w:rsidR="0039523C">
        <w:rPr>
          <w:sz w:val="22"/>
          <w:szCs w:val="22"/>
        </w:rPr>
        <w:t>SC,</w:t>
      </w:r>
      <w:r w:rsidR="0050601C">
        <w:rPr>
          <w:sz w:val="22"/>
          <w:szCs w:val="22"/>
        </w:rPr>
        <w:t xml:space="preserve"> </w:t>
      </w:r>
      <w:r w:rsidRPr="00BF10A4">
        <w:rPr>
          <w:sz w:val="22"/>
          <w:szCs w:val="22"/>
        </w:rPr>
        <w:t xml:space="preserve">of €487,318 for </w:t>
      </w:r>
      <w:r w:rsidR="004F0DF8">
        <w:rPr>
          <w:sz w:val="22"/>
          <w:szCs w:val="22"/>
        </w:rPr>
        <w:t>s</w:t>
      </w:r>
      <w:r w:rsidR="004F0DF8" w:rsidRPr="00BF10A4">
        <w:rPr>
          <w:sz w:val="22"/>
          <w:szCs w:val="22"/>
        </w:rPr>
        <w:t xml:space="preserve">ervicing </w:t>
      </w:r>
      <w:r w:rsidR="004F0DF8">
        <w:rPr>
          <w:sz w:val="22"/>
          <w:szCs w:val="22"/>
        </w:rPr>
        <w:t>g</w:t>
      </w:r>
      <w:r w:rsidRPr="00BF10A4">
        <w:rPr>
          <w:sz w:val="22"/>
          <w:szCs w:val="22"/>
        </w:rPr>
        <w:t xml:space="preserve">overning </w:t>
      </w:r>
      <w:r w:rsidR="004F0DF8">
        <w:rPr>
          <w:sz w:val="22"/>
          <w:szCs w:val="22"/>
        </w:rPr>
        <w:t>b</w:t>
      </w:r>
      <w:r w:rsidRPr="00BF10A4">
        <w:rPr>
          <w:sz w:val="22"/>
          <w:szCs w:val="22"/>
        </w:rPr>
        <w:t>odies for the triennium 2015-2017. It covers all costs related to translation of meeting documents, report writing of the COP and relevant consultancy services required for the COP. Moreover, the budget covers all meeting</w:t>
      </w:r>
      <w:r w:rsidR="004F0DF8">
        <w:rPr>
          <w:sz w:val="22"/>
          <w:szCs w:val="22"/>
        </w:rPr>
        <w:t>-</w:t>
      </w:r>
      <w:r w:rsidRPr="00BF10A4">
        <w:rPr>
          <w:sz w:val="22"/>
          <w:szCs w:val="22"/>
        </w:rPr>
        <w:t>related cost</w:t>
      </w:r>
      <w:r w:rsidR="004F0DF8">
        <w:rPr>
          <w:sz w:val="22"/>
          <w:szCs w:val="22"/>
        </w:rPr>
        <w:t>s</w:t>
      </w:r>
      <w:r w:rsidRPr="00BF10A4">
        <w:rPr>
          <w:sz w:val="22"/>
          <w:szCs w:val="22"/>
        </w:rPr>
        <w:t xml:space="preserve"> such as travel of meeting participants, rental of technical </w:t>
      </w:r>
      <w:r w:rsidR="008216A2">
        <w:rPr>
          <w:sz w:val="22"/>
          <w:szCs w:val="22"/>
        </w:rPr>
        <w:t xml:space="preserve">equipment and </w:t>
      </w:r>
      <w:r w:rsidRPr="00BF10A4">
        <w:rPr>
          <w:sz w:val="22"/>
          <w:szCs w:val="22"/>
        </w:rPr>
        <w:t xml:space="preserve">cost of coffee breaks provided during </w:t>
      </w:r>
      <w:r w:rsidR="004F0DF8">
        <w:rPr>
          <w:sz w:val="22"/>
          <w:szCs w:val="22"/>
        </w:rPr>
        <w:t>g</w:t>
      </w:r>
      <w:r w:rsidR="004F0DF8" w:rsidRPr="00BF10A4">
        <w:rPr>
          <w:sz w:val="22"/>
          <w:szCs w:val="22"/>
        </w:rPr>
        <w:t xml:space="preserve">overning </w:t>
      </w:r>
      <w:r w:rsidR="004F0DF8">
        <w:rPr>
          <w:sz w:val="22"/>
          <w:szCs w:val="22"/>
        </w:rPr>
        <w:t>b</w:t>
      </w:r>
      <w:r w:rsidR="004F0DF8" w:rsidRPr="00BF10A4">
        <w:rPr>
          <w:sz w:val="22"/>
          <w:szCs w:val="22"/>
        </w:rPr>
        <w:t>odies</w:t>
      </w:r>
      <w:r w:rsidR="004F0DF8">
        <w:rPr>
          <w:sz w:val="22"/>
          <w:szCs w:val="22"/>
        </w:rPr>
        <w:t>’</w:t>
      </w:r>
      <w:r w:rsidR="004F0DF8" w:rsidRPr="00BF10A4">
        <w:rPr>
          <w:sz w:val="22"/>
          <w:szCs w:val="22"/>
        </w:rPr>
        <w:t xml:space="preserve"> </w:t>
      </w:r>
      <w:r w:rsidRPr="00BF10A4">
        <w:rPr>
          <w:sz w:val="22"/>
          <w:szCs w:val="22"/>
        </w:rPr>
        <w:t xml:space="preserve">meetings. Estimated expenditure of </w:t>
      </w:r>
      <w:r w:rsidR="004F0DF8" w:rsidRPr="00BF10A4">
        <w:rPr>
          <w:sz w:val="22"/>
          <w:szCs w:val="22"/>
        </w:rPr>
        <w:t xml:space="preserve">servicing of governing bodies </w:t>
      </w:r>
      <w:r w:rsidRPr="00BF10A4">
        <w:rPr>
          <w:sz w:val="22"/>
          <w:szCs w:val="22"/>
        </w:rPr>
        <w:lastRenderedPageBreak/>
        <w:t>for the tri</w:t>
      </w:r>
      <w:r w:rsidR="00B10614">
        <w:rPr>
          <w:sz w:val="22"/>
          <w:szCs w:val="22"/>
        </w:rPr>
        <w:t>ennium 2015-2017 amounted to €4</w:t>
      </w:r>
      <w:r w:rsidR="00724FE5">
        <w:rPr>
          <w:sz w:val="22"/>
          <w:szCs w:val="22"/>
        </w:rPr>
        <w:t>50</w:t>
      </w:r>
      <w:r w:rsidRPr="00BF10A4">
        <w:rPr>
          <w:sz w:val="22"/>
          <w:szCs w:val="22"/>
        </w:rPr>
        <w:t>,</w:t>
      </w:r>
      <w:r w:rsidR="00724FE5">
        <w:rPr>
          <w:sz w:val="22"/>
          <w:szCs w:val="22"/>
        </w:rPr>
        <w:t>973</w:t>
      </w:r>
      <w:r w:rsidRPr="00BF10A4">
        <w:rPr>
          <w:sz w:val="22"/>
          <w:szCs w:val="22"/>
        </w:rPr>
        <w:t xml:space="preserve"> providing the estimated balance of €</w:t>
      </w:r>
      <w:r w:rsidR="00724FE5">
        <w:rPr>
          <w:sz w:val="22"/>
          <w:szCs w:val="22"/>
        </w:rPr>
        <w:t>36,345</w:t>
      </w:r>
      <w:r w:rsidRPr="00BF10A4">
        <w:rPr>
          <w:sz w:val="22"/>
          <w:szCs w:val="22"/>
        </w:rPr>
        <w:t xml:space="preserve"> by </w:t>
      </w:r>
      <w:r w:rsidR="004F0DF8">
        <w:rPr>
          <w:sz w:val="22"/>
          <w:szCs w:val="22"/>
        </w:rPr>
        <w:t xml:space="preserve">the </w:t>
      </w:r>
      <w:r w:rsidRPr="00BF10A4">
        <w:rPr>
          <w:sz w:val="22"/>
          <w:szCs w:val="22"/>
        </w:rPr>
        <w:t xml:space="preserve">end of December 2017. </w:t>
      </w:r>
      <w:r w:rsidR="00724FE5">
        <w:rPr>
          <w:sz w:val="22"/>
          <w:szCs w:val="22"/>
        </w:rPr>
        <w:t>Out of all budget items under s</w:t>
      </w:r>
      <w:r w:rsidR="00C3420A">
        <w:rPr>
          <w:sz w:val="22"/>
          <w:szCs w:val="22"/>
        </w:rPr>
        <w:t xml:space="preserve">ervicing </w:t>
      </w:r>
      <w:r w:rsidR="00724FE5">
        <w:rPr>
          <w:sz w:val="22"/>
          <w:szCs w:val="22"/>
        </w:rPr>
        <w:t>of governing b</w:t>
      </w:r>
      <w:r w:rsidR="00C3420A">
        <w:rPr>
          <w:sz w:val="22"/>
          <w:szCs w:val="22"/>
        </w:rPr>
        <w:t xml:space="preserve">odies, </w:t>
      </w:r>
      <w:r w:rsidR="00694C5A">
        <w:rPr>
          <w:sz w:val="22"/>
          <w:szCs w:val="22"/>
        </w:rPr>
        <w:t xml:space="preserve">only </w:t>
      </w:r>
      <w:r w:rsidR="00C3420A">
        <w:rPr>
          <w:sz w:val="22"/>
          <w:szCs w:val="22"/>
        </w:rPr>
        <w:t xml:space="preserve">the expenditure </w:t>
      </w:r>
      <w:r w:rsidR="00DD7365">
        <w:rPr>
          <w:sz w:val="22"/>
          <w:szCs w:val="22"/>
        </w:rPr>
        <w:t>on</w:t>
      </w:r>
      <w:r w:rsidR="00C3420A">
        <w:rPr>
          <w:sz w:val="22"/>
          <w:szCs w:val="22"/>
        </w:rPr>
        <w:t xml:space="preserve"> Standing Committee meeting</w:t>
      </w:r>
      <w:r w:rsidR="004F0DF8">
        <w:rPr>
          <w:sz w:val="22"/>
          <w:szCs w:val="22"/>
        </w:rPr>
        <w:t>s</w:t>
      </w:r>
      <w:r w:rsidR="00694C5A">
        <w:rPr>
          <w:sz w:val="22"/>
          <w:szCs w:val="22"/>
        </w:rPr>
        <w:t xml:space="preserve"> </w:t>
      </w:r>
      <w:r w:rsidR="00C3420A">
        <w:rPr>
          <w:sz w:val="22"/>
          <w:szCs w:val="22"/>
        </w:rPr>
        <w:t>overr</w:t>
      </w:r>
      <w:r w:rsidR="004F0DF8">
        <w:rPr>
          <w:sz w:val="22"/>
          <w:szCs w:val="22"/>
        </w:rPr>
        <w:t>a</w:t>
      </w:r>
      <w:r w:rsidR="00C3420A">
        <w:rPr>
          <w:sz w:val="22"/>
          <w:szCs w:val="22"/>
        </w:rPr>
        <w:t xml:space="preserve">n by </w:t>
      </w:r>
      <w:r w:rsidR="00C3420A" w:rsidRPr="00BF10A4">
        <w:rPr>
          <w:sz w:val="22"/>
          <w:szCs w:val="22"/>
        </w:rPr>
        <w:t>€19,</w:t>
      </w:r>
      <w:r w:rsidR="00B10614">
        <w:rPr>
          <w:sz w:val="22"/>
          <w:szCs w:val="22"/>
        </w:rPr>
        <w:t>694</w:t>
      </w:r>
      <w:r w:rsidR="00C3420A" w:rsidRPr="00BF10A4">
        <w:rPr>
          <w:sz w:val="22"/>
          <w:szCs w:val="22"/>
        </w:rPr>
        <w:t xml:space="preserve"> </w:t>
      </w:r>
      <w:r w:rsidR="00C3420A">
        <w:rPr>
          <w:sz w:val="22"/>
          <w:szCs w:val="22"/>
        </w:rPr>
        <w:t xml:space="preserve">for </w:t>
      </w:r>
      <w:r w:rsidR="00B10614">
        <w:rPr>
          <w:sz w:val="22"/>
          <w:szCs w:val="22"/>
        </w:rPr>
        <w:t xml:space="preserve">the </w:t>
      </w:r>
      <w:r w:rsidR="00C3420A">
        <w:rPr>
          <w:sz w:val="22"/>
          <w:szCs w:val="22"/>
        </w:rPr>
        <w:t xml:space="preserve">triennium due to the </w:t>
      </w:r>
      <w:r w:rsidR="00694C5A">
        <w:rPr>
          <w:sz w:val="22"/>
          <w:szCs w:val="22"/>
        </w:rPr>
        <w:t>cost associated with translation o</w:t>
      </w:r>
      <w:r w:rsidRPr="00BF10A4">
        <w:rPr>
          <w:sz w:val="22"/>
          <w:szCs w:val="22"/>
        </w:rPr>
        <w:t xml:space="preserve">f </w:t>
      </w:r>
      <w:r w:rsidR="00C3420A">
        <w:rPr>
          <w:sz w:val="22"/>
          <w:szCs w:val="22"/>
        </w:rPr>
        <w:t xml:space="preserve">the </w:t>
      </w:r>
      <w:r w:rsidRPr="00BF10A4">
        <w:rPr>
          <w:sz w:val="22"/>
          <w:szCs w:val="22"/>
        </w:rPr>
        <w:t>meeting document</w:t>
      </w:r>
      <w:r w:rsidR="00C3420A">
        <w:rPr>
          <w:sz w:val="22"/>
          <w:szCs w:val="22"/>
        </w:rPr>
        <w:t xml:space="preserve">s. </w:t>
      </w:r>
      <w:r w:rsidR="00504B02">
        <w:rPr>
          <w:sz w:val="22"/>
          <w:szCs w:val="22"/>
        </w:rPr>
        <w:t>T</w:t>
      </w:r>
      <w:r w:rsidR="00504B02" w:rsidRPr="00BF10A4">
        <w:rPr>
          <w:sz w:val="22"/>
          <w:szCs w:val="22"/>
        </w:rPr>
        <w:t>h</w:t>
      </w:r>
      <w:r w:rsidR="00504B02">
        <w:rPr>
          <w:sz w:val="22"/>
          <w:szCs w:val="22"/>
        </w:rPr>
        <w:t>is</w:t>
      </w:r>
      <w:r w:rsidR="00504B02" w:rsidRPr="00BF10A4">
        <w:rPr>
          <w:sz w:val="22"/>
          <w:szCs w:val="22"/>
        </w:rPr>
        <w:t xml:space="preserve"> </w:t>
      </w:r>
      <w:r w:rsidRPr="00BF10A4">
        <w:rPr>
          <w:sz w:val="22"/>
          <w:szCs w:val="22"/>
        </w:rPr>
        <w:t xml:space="preserve">over-expenditure will be covered by </w:t>
      </w:r>
      <w:r w:rsidR="004F0DF8">
        <w:rPr>
          <w:sz w:val="22"/>
          <w:szCs w:val="22"/>
        </w:rPr>
        <w:t xml:space="preserve">the </w:t>
      </w:r>
      <w:r w:rsidRPr="00BF10A4">
        <w:rPr>
          <w:sz w:val="22"/>
          <w:szCs w:val="22"/>
        </w:rPr>
        <w:t>unused budget fo</w:t>
      </w:r>
      <w:r w:rsidR="00C3420A">
        <w:rPr>
          <w:sz w:val="22"/>
          <w:szCs w:val="22"/>
        </w:rPr>
        <w:t>r COP12 travel of CMS staff</w:t>
      </w:r>
      <w:r w:rsidR="00AE04EA">
        <w:rPr>
          <w:sz w:val="22"/>
          <w:szCs w:val="22"/>
        </w:rPr>
        <w:t xml:space="preserve"> since</w:t>
      </w:r>
      <w:r w:rsidR="00C3420A">
        <w:rPr>
          <w:sz w:val="22"/>
          <w:szCs w:val="22"/>
        </w:rPr>
        <w:t xml:space="preserve"> </w:t>
      </w:r>
      <w:r w:rsidR="005F3037">
        <w:rPr>
          <w:sz w:val="22"/>
          <w:szCs w:val="22"/>
        </w:rPr>
        <w:t xml:space="preserve">this element will be covered by </w:t>
      </w:r>
      <w:r w:rsidR="00B10614">
        <w:rPr>
          <w:sz w:val="22"/>
          <w:szCs w:val="22"/>
        </w:rPr>
        <w:t xml:space="preserve">the Government of </w:t>
      </w:r>
      <w:r w:rsidR="004F0DF8">
        <w:rPr>
          <w:sz w:val="22"/>
          <w:szCs w:val="22"/>
        </w:rPr>
        <w:t xml:space="preserve">the </w:t>
      </w:r>
      <w:r w:rsidR="00B10614">
        <w:rPr>
          <w:sz w:val="22"/>
          <w:szCs w:val="22"/>
        </w:rPr>
        <w:t>Philippine</w:t>
      </w:r>
      <w:r w:rsidR="004F0DF8">
        <w:rPr>
          <w:sz w:val="22"/>
          <w:szCs w:val="22"/>
        </w:rPr>
        <w:t>s</w:t>
      </w:r>
      <w:r w:rsidR="00D55DDD">
        <w:rPr>
          <w:sz w:val="22"/>
          <w:szCs w:val="22"/>
        </w:rPr>
        <w:t>,</w:t>
      </w:r>
      <w:r w:rsidR="00B10614">
        <w:rPr>
          <w:sz w:val="22"/>
          <w:szCs w:val="22"/>
        </w:rPr>
        <w:t xml:space="preserve"> </w:t>
      </w:r>
      <w:r w:rsidR="005F3037">
        <w:rPr>
          <w:sz w:val="22"/>
          <w:szCs w:val="22"/>
        </w:rPr>
        <w:t xml:space="preserve">which </w:t>
      </w:r>
      <w:r w:rsidR="004F0DF8">
        <w:rPr>
          <w:sz w:val="22"/>
          <w:szCs w:val="22"/>
        </w:rPr>
        <w:t xml:space="preserve">is </w:t>
      </w:r>
      <w:r w:rsidR="0096474F">
        <w:rPr>
          <w:sz w:val="22"/>
          <w:szCs w:val="22"/>
        </w:rPr>
        <w:t>provid</w:t>
      </w:r>
      <w:r w:rsidR="004F0DF8">
        <w:rPr>
          <w:sz w:val="22"/>
          <w:szCs w:val="22"/>
        </w:rPr>
        <w:t xml:space="preserve">ing a </w:t>
      </w:r>
      <w:r w:rsidR="0096474F">
        <w:rPr>
          <w:sz w:val="22"/>
          <w:szCs w:val="22"/>
        </w:rPr>
        <w:t xml:space="preserve">generous contribution </w:t>
      </w:r>
      <w:r w:rsidR="005F3037">
        <w:rPr>
          <w:sz w:val="22"/>
          <w:szCs w:val="22"/>
        </w:rPr>
        <w:t>relating to</w:t>
      </w:r>
      <w:r w:rsidR="00CA131F">
        <w:rPr>
          <w:sz w:val="22"/>
          <w:szCs w:val="22"/>
        </w:rPr>
        <w:t xml:space="preserve"> the cost of </w:t>
      </w:r>
      <w:r w:rsidRPr="00BF10A4">
        <w:rPr>
          <w:sz w:val="22"/>
          <w:szCs w:val="22"/>
        </w:rPr>
        <w:t>hosting the COP12 in Manila</w:t>
      </w:r>
      <w:r w:rsidR="0096474F">
        <w:rPr>
          <w:sz w:val="22"/>
          <w:szCs w:val="22"/>
        </w:rPr>
        <w:t xml:space="preserve">. </w:t>
      </w:r>
      <w:r w:rsidRPr="00BF10A4">
        <w:rPr>
          <w:sz w:val="22"/>
          <w:szCs w:val="22"/>
        </w:rPr>
        <w:t xml:space="preserve">    </w:t>
      </w:r>
    </w:p>
    <w:p w:rsidR="00BF10A4" w:rsidRDefault="00BF10A4" w:rsidP="0050601C">
      <w:pPr>
        <w:contextualSpacing/>
        <w:jc w:val="both"/>
        <w:rPr>
          <w:sz w:val="22"/>
          <w:szCs w:val="22"/>
        </w:rPr>
      </w:pPr>
    </w:p>
    <w:p w:rsidR="0050601C" w:rsidRDefault="0050601C" w:rsidP="0050601C">
      <w:pPr>
        <w:contextualSpacing/>
        <w:jc w:val="both"/>
        <w:rPr>
          <w:b/>
          <w:sz w:val="22"/>
          <w:szCs w:val="22"/>
        </w:rPr>
      </w:pPr>
      <w:r>
        <w:rPr>
          <w:b/>
          <w:sz w:val="22"/>
          <w:szCs w:val="22"/>
        </w:rPr>
        <w:t>Estimated s</w:t>
      </w:r>
      <w:r w:rsidR="00801EA4">
        <w:rPr>
          <w:b/>
          <w:sz w:val="22"/>
          <w:szCs w:val="22"/>
        </w:rPr>
        <w:t>hortfall for the triennium 2015-2017</w:t>
      </w:r>
      <w:r w:rsidR="00AC4554">
        <w:rPr>
          <w:b/>
          <w:sz w:val="22"/>
          <w:szCs w:val="22"/>
        </w:rPr>
        <w:t>:</w:t>
      </w:r>
    </w:p>
    <w:p w:rsidR="0050601C" w:rsidRPr="00BF10A4" w:rsidRDefault="0050601C" w:rsidP="0050601C">
      <w:pPr>
        <w:contextualSpacing/>
        <w:jc w:val="both"/>
        <w:rPr>
          <w:sz w:val="22"/>
          <w:szCs w:val="22"/>
        </w:rPr>
      </w:pPr>
    </w:p>
    <w:p w:rsidR="00BF10A4" w:rsidRPr="000D1323" w:rsidRDefault="00BF10A4" w:rsidP="000D1323">
      <w:pPr>
        <w:ind w:firstLine="360"/>
        <w:contextualSpacing/>
        <w:jc w:val="both"/>
        <w:rPr>
          <w:b/>
          <w:sz w:val="22"/>
          <w:szCs w:val="22"/>
        </w:rPr>
      </w:pPr>
      <w:r w:rsidRPr="000D1323">
        <w:rPr>
          <w:b/>
          <w:sz w:val="22"/>
          <w:szCs w:val="22"/>
        </w:rPr>
        <w:t xml:space="preserve">Operating costs </w:t>
      </w:r>
    </w:p>
    <w:p w:rsidR="00BF10A4" w:rsidRPr="00BF10A4" w:rsidRDefault="00BF10A4" w:rsidP="000D1323">
      <w:pPr>
        <w:ind w:left="360"/>
        <w:contextualSpacing/>
        <w:jc w:val="both"/>
        <w:rPr>
          <w:sz w:val="22"/>
          <w:szCs w:val="22"/>
        </w:rPr>
      </w:pPr>
    </w:p>
    <w:p w:rsidR="003E4793" w:rsidRPr="000D1323" w:rsidRDefault="00BF10A4" w:rsidP="000D1323">
      <w:pPr>
        <w:numPr>
          <w:ilvl w:val="0"/>
          <w:numId w:val="10"/>
        </w:numPr>
        <w:ind w:left="360"/>
        <w:contextualSpacing/>
        <w:jc w:val="both"/>
        <w:rPr>
          <w:sz w:val="22"/>
          <w:szCs w:val="22"/>
        </w:rPr>
      </w:pPr>
      <w:r w:rsidRPr="000D1323">
        <w:rPr>
          <w:sz w:val="22"/>
          <w:szCs w:val="22"/>
        </w:rPr>
        <w:t>With respect to operating cost</w:t>
      </w:r>
      <w:r w:rsidR="004F0DF8">
        <w:rPr>
          <w:sz w:val="22"/>
          <w:szCs w:val="22"/>
        </w:rPr>
        <w:t>s</w:t>
      </w:r>
      <w:r w:rsidRPr="000D1323">
        <w:rPr>
          <w:sz w:val="22"/>
          <w:szCs w:val="22"/>
        </w:rPr>
        <w:t xml:space="preserve">, </w:t>
      </w:r>
      <w:r w:rsidRPr="0096474F">
        <w:rPr>
          <w:sz w:val="22"/>
          <w:szCs w:val="22"/>
        </w:rPr>
        <w:t>€847,233 was approved as a triennium budget by COP11. Estimated expenditure under operating costs stood at €9</w:t>
      </w:r>
      <w:r w:rsidR="00CF52EE">
        <w:rPr>
          <w:sz w:val="22"/>
          <w:szCs w:val="22"/>
        </w:rPr>
        <w:t>43,657</w:t>
      </w:r>
      <w:r w:rsidRPr="0096474F">
        <w:rPr>
          <w:sz w:val="22"/>
          <w:szCs w:val="22"/>
        </w:rPr>
        <w:t xml:space="preserve"> for th</w:t>
      </w:r>
      <w:r w:rsidR="0096474F">
        <w:rPr>
          <w:sz w:val="22"/>
          <w:szCs w:val="22"/>
        </w:rPr>
        <w:t>e triennium which result</w:t>
      </w:r>
      <w:r w:rsidR="004F0DF8">
        <w:rPr>
          <w:sz w:val="22"/>
          <w:szCs w:val="22"/>
        </w:rPr>
        <w:t xml:space="preserve">ed in </w:t>
      </w:r>
      <w:r w:rsidR="0096474F">
        <w:rPr>
          <w:sz w:val="22"/>
          <w:szCs w:val="22"/>
        </w:rPr>
        <w:t xml:space="preserve">exceeding </w:t>
      </w:r>
      <w:r w:rsidR="004F0DF8">
        <w:rPr>
          <w:sz w:val="22"/>
          <w:szCs w:val="22"/>
        </w:rPr>
        <w:t xml:space="preserve">the </w:t>
      </w:r>
      <w:r w:rsidRPr="0096474F">
        <w:rPr>
          <w:sz w:val="22"/>
          <w:szCs w:val="22"/>
        </w:rPr>
        <w:t>approved budget by 1</w:t>
      </w:r>
      <w:r w:rsidR="00CF52EE">
        <w:rPr>
          <w:sz w:val="22"/>
          <w:szCs w:val="22"/>
        </w:rPr>
        <w:t>1</w:t>
      </w:r>
      <w:r w:rsidR="0050601C">
        <w:rPr>
          <w:sz w:val="22"/>
          <w:szCs w:val="22"/>
        </w:rPr>
        <w:t>.3</w:t>
      </w:r>
      <w:r w:rsidRPr="0096474F">
        <w:rPr>
          <w:sz w:val="22"/>
          <w:szCs w:val="22"/>
        </w:rPr>
        <w:t xml:space="preserve"> per</w:t>
      </w:r>
      <w:r w:rsidR="00CF52EE">
        <w:rPr>
          <w:sz w:val="22"/>
          <w:szCs w:val="22"/>
        </w:rPr>
        <w:t xml:space="preserve"> </w:t>
      </w:r>
      <w:r w:rsidRPr="0096474F">
        <w:rPr>
          <w:sz w:val="22"/>
          <w:szCs w:val="22"/>
        </w:rPr>
        <w:t>cent</w:t>
      </w:r>
      <w:r w:rsidR="00FA5D4C">
        <w:rPr>
          <w:sz w:val="22"/>
          <w:szCs w:val="22"/>
        </w:rPr>
        <w:t xml:space="preserve"> </w:t>
      </w:r>
      <w:r w:rsidR="00787797">
        <w:rPr>
          <w:sz w:val="22"/>
          <w:szCs w:val="22"/>
        </w:rPr>
        <w:t>or</w:t>
      </w:r>
      <w:r w:rsidR="00FA5D4C">
        <w:rPr>
          <w:sz w:val="22"/>
          <w:szCs w:val="22"/>
        </w:rPr>
        <w:t xml:space="preserve"> </w:t>
      </w:r>
      <w:r w:rsidR="00E769AD">
        <w:rPr>
          <w:sz w:val="22"/>
          <w:szCs w:val="22"/>
        </w:rPr>
        <w:t>€</w:t>
      </w:r>
      <w:r w:rsidR="00FA5D4C">
        <w:rPr>
          <w:sz w:val="22"/>
          <w:szCs w:val="22"/>
        </w:rPr>
        <w:t>96,424</w:t>
      </w:r>
      <w:r w:rsidRPr="0096474F">
        <w:rPr>
          <w:sz w:val="22"/>
          <w:szCs w:val="22"/>
        </w:rPr>
        <w:t xml:space="preserve">. </w:t>
      </w:r>
      <w:r w:rsidR="004F0DF8">
        <w:rPr>
          <w:sz w:val="22"/>
          <w:szCs w:val="22"/>
        </w:rPr>
        <w:t xml:space="preserve">The </w:t>
      </w:r>
      <w:r w:rsidR="0050601C">
        <w:rPr>
          <w:sz w:val="22"/>
          <w:szCs w:val="22"/>
        </w:rPr>
        <w:t>reasons</w:t>
      </w:r>
      <w:r w:rsidR="0068667B">
        <w:rPr>
          <w:sz w:val="22"/>
          <w:szCs w:val="22"/>
        </w:rPr>
        <w:t xml:space="preserve"> </w:t>
      </w:r>
      <w:r w:rsidR="00787797">
        <w:rPr>
          <w:sz w:val="22"/>
          <w:szCs w:val="22"/>
        </w:rPr>
        <w:t xml:space="preserve">for the </w:t>
      </w:r>
      <w:r w:rsidR="0068667B">
        <w:rPr>
          <w:sz w:val="22"/>
          <w:szCs w:val="22"/>
        </w:rPr>
        <w:t xml:space="preserve">estimated over-expenditure for the triennium </w:t>
      </w:r>
      <w:r w:rsidR="0050601C">
        <w:rPr>
          <w:sz w:val="22"/>
          <w:szCs w:val="22"/>
        </w:rPr>
        <w:t>are</w:t>
      </w:r>
      <w:r w:rsidR="0068667B">
        <w:rPr>
          <w:sz w:val="22"/>
          <w:szCs w:val="22"/>
        </w:rPr>
        <w:t xml:space="preserve"> explained in following paragraphs. </w:t>
      </w:r>
    </w:p>
    <w:p w:rsidR="003E4793" w:rsidRDefault="003E4793" w:rsidP="000D1323">
      <w:pPr>
        <w:ind w:left="360"/>
        <w:contextualSpacing/>
        <w:jc w:val="both"/>
        <w:rPr>
          <w:sz w:val="22"/>
          <w:szCs w:val="22"/>
        </w:rPr>
      </w:pPr>
    </w:p>
    <w:p w:rsidR="00B10614" w:rsidRPr="000D1323" w:rsidRDefault="00787797" w:rsidP="000D1323">
      <w:pPr>
        <w:numPr>
          <w:ilvl w:val="0"/>
          <w:numId w:val="10"/>
        </w:numPr>
        <w:ind w:left="360"/>
        <w:contextualSpacing/>
        <w:jc w:val="both"/>
        <w:rPr>
          <w:sz w:val="22"/>
          <w:szCs w:val="22"/>
        </w:rPr>
      </w:pPr>
      <w:r>
        <w:rPr>
          <w:sz w:val="22"/>
          <w:szCs w:val="22"/>
        </w:rPr>
        <w:t>One</w:t>
      </w:r>
      <w:r w:rsidR="00BF10A4" w:rsidRPr="0096474F">
        <w:rPr>
          <w:sz w:val="22"/>
          <w:szCs w:val="22"/>
        </w:rPr>
        <w:t xml:space="preserve"> significant </w:t>
      </w:r>
      <w:r w:rsidR="00B52FB0">
        <w:rPr>
          <w:sz w:val="22"/>
          <w:szCs w:val="22"/>
        </w:rPr>
        <w:t>over-</w:t>
      </w:r>
      <w:r w:rsidR="00BF10A4" w:rsidRPr="0096474F">
        <w:rPr>
          <w:sz w:val="22"/>
          <w:szCs w:val="22"/>
        </w:rPr>
        <w:t xml:space="preserve">expenditure </w:t>
      </w:r>
      <w:r w:rsidR="00604C5B">
        <w:rPr>
          <w:sz w:val="22"/>
          <w:szCs w:val="22"/>
        </w:rPr>
        <w:t>(</w:t>
      </w:r>
      <w:r w:rsidR="00604C5B" w:rsidRPr="0096474F">
        <w:rPr>
          <w:sz w:val="22"/>
          <w:szCs w:val="22"/>
        </w:rPr>
        <w:t>€</w:t>
      </w:r>
      <w:r w:rsidR="00604C5B">
        <w:rPr>
          <w:sz w:val="22"/>
          <w:szCs w:val="22"/>
        </w:rPr>
        <w:t xml:space="preserve">36,202) </w:t>
      </w:r>
      <w:r w:rsidR="00BF10A4" w:rsidRPr="0096474F">
        <w:rPr>
          <w:sz w:val="22"/>
          <w:szCs w:val="22"/>
        </w:rPr>
        <w:t>arose from Information Technology</w:t>
      </w:r>
      <w:r w:rsidR="00D55DDD">
        <w:rPr>
          <w:sz w:val="22"/>
          <w:szCs w:val="22"/>
        </w:rPr>
        <w:t xml:space="preserve"> (IT)</w:t>
      </w:r>
      <w:r w:rsidR="00BF10A4" w:rsidRPr="0096474F">
        <w:rPr>
          <w:sz w:val="22"/>
          <w:szCs w:val="22"/>
        </w:rPr>
        <w:t xml:space="preserve"> Services provided by United Nations Volunteers (UNV). Through </w:t>
      </w:r>
      <w:r w:rsidR="004F0DF8">
        <w:rPr>
          <w:sz w:val="22"/>
          <w:szCs w:val="22"/>
        </w:rPr>
        <w:t xml:space="preserve">a </w:t>
      </w:r>
      <w:r w:rsidR="00BF10A4" w:rsidRPr="0096474F">
        <w:rPr>
          <w:sz w:val="22"/>
          <w:szCs w:val="22"/>
        </w:rPr>
        <w:t>service level agreement, U</w:t>
      </w:r>
      <w:r w:rsidR="00BF10A4" w:rsidRPr="000D1323">
        <w:rPr>
          <w:sz w:val="22"/>
          <w:szCs w:val="22"/>
        </w:rPr>
        <w:t>NV provides the CMS Secretariat with IT services, including help desk, local area network, internet security, DNS services, server hosting and subscriptions to Microsoft Office 365 Enterprise E3. Charges from UNV are based on number of users and subscriptions</w:t>
      </w:r>
      <w:r w:rsidR="0096474F" w:rsidRPr="000D1323">
        <w:rPr>
          <w:sz w:val="22"/>
          <w:szCs w:val="22"/>
        </w:rPr>
        <w:t xml:space="preserve"> to the Microsoft Office</w:t>
      </w:r>
      <w:r w:rsidR="00BF10A4" w:rsidRPr="000D1323">
        <w:rPr>
          <w:sz w:val="22"/>
          <w:szCs w:val="22"/>
        </w:rPr>
        <w:t>. In 2015</w:t>
      </w:r>
      <w:r w:rsidR="00B10614" w:rsidRPr="000D1323">
        <w:rPr>
          <w:sz w:val="22"/>
          <w:szCs w:val="22"/>
        </w:rPr>
        <w:t>,</w:t>
      </w:r>
      <w:r w:rsidR="00BF10A4" w:rsidRPr="000D1323">
        <w:rPr>
          <w:sz w:val="22"/>
          <w:szCs w:val="22"/>
        </w:rPr>
        <w:t xml:space="preserve"> the UNV charge on IT services was </w:t>
      </w:r>
      <w:r w:rsidR="00BF10A4" w:rsidRPr="0096474F">
        <w:rPr>
          <w:sz w:val="22"/>
          <w:szCs w:val="22"/>
        </w:rPr>
        <w:t>€</w:t>
      </w:r>
      <w:r w:rsidR="00BF10A4" w:rsidRPr="000D1323">
        <w:rPr>
          <w:sz w:val="22"/>
          <w:szCs w:val="22"/>
        </w:rPr>
        <w:t>52,</w:t>
      </w:r>
      <w:r w:rsidR="00B10614" w:rsidRPr="000D1323">
        <w:rPr>
          <w:sz w:val="22"/>
          <w:szCs w:val="22"/>
        </w:rPr>
        <w:t>258</w:t>
      </w:r>
      <w:r w:rsidR="00BF10A4" w:rsidRPr="000D1323">
        <w:rPr>
          <w:sz w:val="22"/>
          <w:szCs w:val="22"/>
        </w:rPr>
        <w:t xml:space="preserve">; in 2016 it increased to </w:t>
      </w:r>
      <w:r w:rsidR="0096474F" w:rsidRPr="0096474F">
        <w:rPr>
          <w:sz w:val="22"/>
          <w:szCs w:val="22"/>
        </w:rPr>
        <w:t>€</w:t>
      </w:r>
      <w:r w:rsidR="00CF52EE" w:rsidRPr="000D1323">
        <w:rPr>
          <w:sz w:val="22"/>
          <w:szCs w:val="22"/>
        </w:rPr>
        <w:t>102</w:t>
      </w:r>
      <w:r w:rsidR="00B10614" w:rsidRPr="000D1323">
        <w:rPr>
          <w:sz w:val="22"/>
          <w:szCs w:val="22"/>
        </w:rPr>
        <w:t>,</w:t>
      </w:r>
      <w:r w:rsidR="00604C5B" w:rsidRPr="000D1323">
        <w:rPr>
          <w:sz w:val="22"/>
          <w:szCs w:val="22"/>
        </w:rPr>
        <w:t>051</w:t>
      </w:r>
      <w:r w:rsidR="00B10614" w:rsidRPr="000D1323">
        <w:rPr>
          <w:sz w:val="22"/>
          <w:szCs w:val="22"/>
        </w:rPr>
        <w:t xml:space="preserve"> owing to </w:t>
      </w:r>
      <w:r w:rsidR="00BF10A4" w:rsidRPr="000D1323">
        <w:rPr>
          <w:sz w:val="22"/>
          <w:szCs w:val="22"/>
        </w:rPr>
        <w:t xml:space="preserve">an increase in the number of users as well as an increase in the help desk fee. </w:t>
      </w:r>
      <w:r w:rsidR="00C87661" w:rsidRPr="000D1323">
        <w:rPr>
          <w:sz w:val="22"/>
          <w:szCs w:val="22"/>
        </w:rPr>
        <w:t>Due to UNV’s unexpected increase of IT charge</w:t>
      </w:r>
      <w:r w:rsidR="004F0DF8">
        <w:rPr>
          <w:sz w:val="22"/>
          <w:szCs w:val="22"/>
        </w:rPr>
        <w:t>s</w:t>
      </w:r>
      <w:r w:rsidR="00C87661" w:rsidRPr="000D1323">
        <w:rPr>
          <w:sz w:val="22"/>
          <w:szCs w:val="22"/>
        </w:rPr>
        <w:t xml:space="preserve"> associated with </w:t>
      </w:r>
      <w:r w:rsidR="004F0DF8">
        <w:rPr>
          <w:sz w:val="22"/>
          <w:szCs w:val="22"/>
        </w:rPr>
        <w:t xml:space="preserve">the </w:t>
      </w:r>
      <w:r w:rsidR="00C87661" w:rsidRPr="000D1323">
        <w:rPr>
          <w:sz w:val="22"/>
          <w:szCs w:val="22"/>
        </w:rPr>
        <w:t>help desk fee, t</w:t>
      </w:r>
      <w:r w:rsidR="0096474F" w:rsidRPr="000D1323">
        <w:rPr>
          <w:sz w:val="22"/>
          <w:szCs w:val="22"/>
        </w:rPr>
        <w:t xml:space="preserve">he Secretariat has explored </w:t>
      </w:r>
      <w:r w:rsidR="00C87661" w:rsidRPr="000D1323">
        <w:rPr>
          <w:sz w:val="22"/>
          <w:szCs w:val="22"/>
        </w:rPr>
        <w:t xml:space="preserve">an option </w:t>
      </w:r>
      <w:r w:rsidR="0096474F" w:rsidRPr="000D1323">
        <w:rPr>
          <w:sz w:val="22"/>
          <w:szCs w:val="22"/>
        </w:rPr>
        <w:t xml:space="preserve">of engaging </w:t>
      </w:r>
      <w:r w:rsidR="0050601C">
        <w:rPr>
          <w:sz w:val="22"/>
          <w:szCs w:val="22"/>
        </w:rPr>
        <w:t xml:space="preserve">other </w:t>
      </w:r>
      <w:r w:rsidR="0096474F" w:rsidRPr="000D1323">
        <w:rPr>
          <w:sz w:val="22"/>
          <w:szCs w:val="22"/>
        </w:rPr>
        <w:t>UN agenc</w:t>
      </w:r>
      <w:r w:rsidR="0050601C">
        <w:rPr>
          <w:sz w:val="22"/>
          <w:szCs w:val="22"/>
        </w:rPr>
        <w:t xml:space="preserve">ies </w:t>
      </w:r>
      <w:r w:rsidR="0096474F" w:rsidRPr="000D1323">
        <w:rPr>
          <w:sz w:val="22"/>
          <w:szCs w:val="22"/>
        </w:rPr>
        <w:t>as a provider of IT services</w:t>
      </w:r>
      <w:r w:rsidR="00C87661" w:rsidRPr="000D1323">
        <w:rPr>
          <w:sz w:val="22"/>
          <w:szCs w:val="22"/>
        </w:rPr>
        <w:t xml:space="preserve">. </w:t>
      </w:r>
      <w:r w:rsidR="00CF52EE" w:rsidRPr="000D1323">
        <w:rPr>
          <w:sz w:val="22"/>
          <w:szCs w:val="22"/>
        </w:rPr>
        <w:t>Unfortunately,</w:t>
      </w:r>
      <w:r w:rsidR="0050601C">
        <w:rPr>
          <w:sz w:val="22"/>
          <w:szCs w:val="22"/>
        </w:rPr>
        <w:t xml:space="preserve"> </w:t>
      </w:r>
      <w:r w:rsidR="00E769AD">
        <w:rPr>
          <w:sz w:val="22"/>
          <w:szCs w:val="22"/>
        </w:rPr>
        <w:t>the U</w:t>
      </w:r>
      <w:r w:rsidR="0050601C">
        <w:rPr>
          <w:sz w:val="22"/>
          <w:szCs w:val="22"/>
        </w:rPr>
        <w:t xml:space="preserve">N agencies that were contacted by the Secretariat did not show interest </w:t>
      </w:r>
      <w:r>
        <w:rPr>
          <w:sz w:val="22"/>
          <w:szCs w:val="22"/>
        </w:rPr>
        <w:t xml:space="preserve">in </w:t>
      </w:r>
      <w:r w:rsidR="0050601C">
        <w:rPr>
          <w:sz w:val="22"/>
          <w:szCs w:val="22"/>
        </w:rPr>
        <w:t>tak</w:t>
      </w:r>
      <w:r>
        <w:rPr>
          <w:sz w:val="22"/>
          <w:szCs w:val="22"/>
        </w:rPr>
        <w:t>ing</w:t>
      </w:r>
      <w:r w:rsidR="0050601C">
        <w:rPr>
          <w:sz w:val="22"/>
          <w:szCs w:val="22"/>
        </w:rPr>
        <w:t xml:space="preserve"> </w:t>
      </w:r>
      <w:r>
        <w:rPr>
          <w:sz w:val="22"/>
          <w:szCs w:val="22"/>
        </w:rPr>
        <w:t xml:space="preserve">over </w:t>
      </w:r>
      <w:r w:rsidR="0050601C">
        <w:rPr>
          <w:sz w:val="22"/>
          <w:szCs w:val="22"/>
        </w:rPr>
        <w:t xml:space="preserve">the IT services from UNV at lower costs to </w:t>
      </w:r>
      <w:r w:rsidR="00E769AD">
        <w:rPr>
          <w:sz w:val="22"/>
          <w:szCs w:val="22"/>
        </w:rPr>
        <w:t xml:space="preserve">the Secretariat. </w:t>
      </w:r>
      <w:r w:rsidR="0096474F" w:rsidRPr="000D1323">
        <w:rPr>
          <w:sz w:val="22"/>
          <w:szCs w:val="22"/>
        </w:rPr>
        <w:t xml:space="preserve">For 2017, </w:t>
      </w:r>
      <w:r w:rsidR="003E4793" w:rsidRPr="000D1323">
        <w:rPr>
          <w:sz w:val="22"/>
          <w:szCs w:val="22"/>
        </w:rPr>
        <w:t xml:space="preserve">UNV’s charge on IT is going to be reduced to </w:t>
      </w:r>
      <w:r w:rsidR="003E4793" w:rsidRPr="0096474F">
        <w:rPr>
          <w:sz w:val="22"/>
          <w:szCs w:val="22"/>
        </w:rPr>
        <w:t>€</w:t>
      </w:r>
      <w:r w:rsidR="003E4793">
        <w:rPr>
          <w:sz w:val="22"/>
          <w:szCs w:val="22"/>
        </w:rPr>
        <w:t>91,893</w:t>
      </w:r>
      <w:r w:rsidR="00D20281">
        <w:rPr>
          <w:sz w:val="22"/>
          <w:szCs w:val="22"/>
        </w:rPr>
        <w:t xml:space="preserve"> because of </w:t>
      </w:r>
      <w:r w:rsidR="00604C5B">
        <w:rPr>
          <w:sz w:val="22"/>
          <w:szCs w:val="22"/>
        </w:rPr>
        <w:t>another UN agency</w:t>
      </w:r>
      <w:r w:rsidR="00D20281">
        <w:rPr>
          <w:sz w:val="22"/>
          <w:szCs w:val="22"/>
        </w:rPr>
        <w:t xml:space="preserve">, which </w:t>
      </w:r>
      <w:r w:rsidR="004F0DF8">
        <w:rPr>
          <w:sz w:val="22"/>
          <w:szCs w:val="22"/>
        </w:rPr>
        <w:t xml:space="preserve">is </w:t>
      </w:r>
      <w:r w:rsidR="00604C5B">
        <w:rPr>
          <w:sz w:val="22"/>
          <w:szCs w:val="22"/>
        </w:rPr>
        <w:t>join</w:t>
      </w:r>
      <w:r w:rsidR="004F0DF8">
        <w:rPr>
          <w:sz w:val="22"/>
          <w:szCs w:val="22"/>
        </w:rPr>
        <w:t>ing the</w:t>
      </w:r>
      <w:r w:rsidR="00D20281">
        <w:rPr>
          <w:sz w:val="22"/>
          <w:szCs w:val="22"/>
        </w:rPr>
        <w:t xml:space="preserve"> same </w:t>
      </w:r>
      <w:r w:rsidR="00604C5B">
        <w:rPr>
          <w:sz w:val="22"/>
          <w:szCs w:val="22"/>
        </w:rPr>
        <w:t>service agreement sharing some commo</w:t>
      </w:r>
      <w:r w:rsidR="00671EBD">
        <w:rPr>
          <w:sz w:val="22"/>
          <w:szCs w:val="22"/>
        </w:rPr>
        <w:t>n costs generated by UNV on IT.</w:t>
      </w:r>
      <w:r w:rsidR="00C7159A">
        <w:rPr>
          <w:sz w:val="22"/>
          <w:szCs w:val="22"/>
        </w:rPr>
        <w:t xml:space="preserve"> The 2016 charges on IT services were reflected in the financial year 2017 in addition to estimated cost of 2017 IT Services due to delayed approval of </w:t>
      </w:r>
      <w:r>
        <w:rPr>
          <w:sz w:val="22"/>
          <w:szCs w:val="22"/>
        </w:rPr>
        <w:t xml:space="preserve">the </w:t>
      </w:r>
      <w:r w:rsidR="00C7159A">
        <w:rPr>
          <w:sz w:val="22"/>
          <w:szCs w:val="22"/>
        </w:rPr>
        <w:t xml:space="preserve">purchase order in </w:t>
      </w:r>
      <w:r>
        <w:rPr>
          <w:sz w:val="22"/>
          <w:szCs w:val="22"/>
        </w:rPr>
        <w:t xml:space="preserve">Umoja </w:t>
      </w:r>
      <w:r w:rsidR="00C7159A">
        <w:rPr>
          <w:sz w:val="22"/>
          <w:szCs w:val="22"/>
        </w:rPr>
        <w:t xml:space="preserve">in 2016.   </w:t>
      </w:r>
    </w:p>
    <w:p w:rsidR="00B10614" w:rsidRPr="000D1323" w:rsidRDefault="00B10614" w:rsidP="000D1323">
      <w:pPr>
        <w:ind w:left="360"/>
        <w:contextualSpacing/>
        <w:jc w:val="both"/>
        <w:rPr>
          <w:sz w:val="22"/>
          <w:szCs w:val="22"/>
        </w:rPr>
      </w:pPr>
    </w:p>
    <w:p w:rsidR="00F740A3" w:rsidRPr="000D1323" w:rsidRDefault="00D20281" w:rsidP="000D1323">
      <w:pPr>
        <w:numPr>
          <w:ilvl w:val="0"/>
          <w:numId w:val="10"/>
        </w:numPr>
        <w:ind w:left="360"/>
        <w:contextualSpacing/>
        <w:jc w:val="both"/>
        <w:rPr>
          <w:sz w:val="22"/>
          <w:szCs w:val="22"/>
        </w:rPr>
      </w:pPr>
      <w:r w:rsidRPr="000D1323">
        <w:rPr>
          <w:sz w:val="22"/>
          <w:szCs w:val="22"/>
        </w:rPr>
        <w:t>During the triennium 2015-2017, a</w:t>
      </w:r>
      <w:r w:rsidR="00604C5B" w:rsidRPr="000D1323">
        <w:rPr>
          <w:sz w:val="22"/>
          <w:szCs w:val="22"/>
        </w:rPr>
        <w:t>nother significant over-expenditure (</w:t>
      </w:r>
      <w:r w:rsidR="00604C5B" w:rsidRPr="00B178DE">
        <w:rPr>
          <w:sz w:val="22"/>
          <w:szCs w:val="22"/>
        </w:rPr>
        <w:t>€45,765)</w:t>
      </w:r>
      <w:r w:rsidR="00604C5B" w:rsidRPr="000D1323">
        <w:rPr>
          <w:sz w:val="22"/>
          <w:szCs w:val="22"/>
        </w:rPr>
        <w:t xml:space="preserve"> </w:t>
      </w:r>
      <w:r w:rsidR="004F0DF8">
        <w:rPr>
          <w:sz w:val="22"/>
          <w:szCs w:val="22"/>
        </w:rPr>
        <w:t>was</w:t>
      </w:r>
      <w:r w:rsidR="004F0DF8" w:rsidRPr="000D1323">
        <w:rPr>
          <w:sz w:val="22"/>
          <w:szCs w:val="22"/>
        </w:rPr>
        <w:t xml:space="preserve"> </w:t>
      </w:r>
      <w:r w:rsidR="00604C5B" w:rsidRPr="000D1323">
        <w:rPr>
          <w:sz w:val="22"/>
          <w:szCs w:val="22"/>
        </w:rPr>
        <w:t xml:space="preserve">reported </w:t>
      </w:r>
      <w:r w:rsidR="00F740A3" w:rsidRPr="000D1323">
        <w:rPr>
          <w:sz w:val="22"/>
          <w:szCs w:val="22"/>
        </w:rPr>
        <w:t xml:space="preserve">on </w:t>
      </w:r>
      <w:r w:rsidR="0068667B" w:rsidRPr="000D1323">
        <w:rPr>
          <w:sz w:val="22"/>
          <w:szCs w:val="22"/>
        </w:rPr>
        <w:t xml:space="preserve">contractual services, including </w:t>
      </w:r>
      <w:r w:rsidR="00604C5B" w:rsidRPr="000D1323">
        <w:rPr>
          <w:sz w:val="22"/>
          <w:szCs w:val="22"/>
        </w:rPr>
        <w:t>translation of</w:t>
      </w:r>
      <w:r w:rsidR="00F740A3" w:rsidRPr="000D1323">
        <w:rPr>
          <w:sz w:val="22"/>
          <w:szCs w:val="22"/>
        </w:rPr>
        <w:t xml:space="preserve"> </w:t>
      </w:r>
      <w:r w:rsidR="00604C5B" w:rsidRPr="000D1323">
        <w:rPr>
          <w:sz w:val="22"/>
          <w:szCs w:val="22"/>
        </w:rPr>
        <w:t>meeting documents</w:t>
      </w:r>
      <w:r w:rsidR="0068667B" w:rsidRPr="000D1323">
        <w:rPr>
          <w:sz w:val="22"/>
          <w:szCs w:val="22"/>
        </w:rPr>
        <w:t>/</w:t>
      </w:r>
      <w:r w:rsidR="00F740A3" w:rsidRPr="000D1323">
        <w:rPr>
          <w:sz w:val="22"/>
          <w:szCs w:val="22"/>
        </w:rPr>
        <w:t>official correspondence</w:t>
      </w:r>
      <w:r w:rsidR="0068667B" w:rsidRPr="000D1323">
        <w:rPr>
          <w:sz w:val="22"/>
          <w:szCs w:val="22"/>
        </w:rPr>
        <w:t xml:space="preserve"> of the Secretariat</w:t>
      </w:r>
      <w:r w:rsidR="00F740A3" w:rsidRPr="000D1323">
        <w:rPr>
          <w:sz w:val="22"/>
          <w:szCs w:val="22"/>
        </w:rPr>
        <w:t xml:space="preserve"> </w:t>
      </w:r>
      <w:r w:rsidR="00604C5B" w:rsidRPr="000D1323">
        <w:rPr>
          <w:sz w:val="22"/>
          <w:szCs w:val="22"/>
        </w:rPr>
        <w:t>a</w:t>
      </w:r>
      <w:r w:rsidR="00F740A3" w:rsidRPr="000D1323">
        <w:rPr>
          <w:sz w:val="22"/>
          <w:szCs w:val="22"/>
        </w:rPr>
        <w:t xml:space="preserve">s well as </w:t>
      </w:r>
      <w:r w:rsidR="00604C5B" w:rsidRPr="000D1323">
        <w:rPr>
          <w:sz w:val="22"/>
          <w:szCs w:val="22"/>
        </w:rPr>
        <w:t>report writing</w:t>
      </w:r>
      <w:r w:rsidRPr="000D1323">
        <w:rPr>
          <w:sz w:val="22"/>
          <w:szCs w:val="22"/>
        </w:rPr>
        <w:t xml:space="preserve"> of the meetings of the </w:t>
      </w:r>
      <w:r w:rsidR="004F0DF8">
        <w:rPr>
          <w:sz w:val="22"/>
          <w:szCs w:val="22"/>
        </w:rPr>
        <w:t>g</w:t>
      </w:r>
      <w:r w:rsidR="004F0DF8" w:rsidRPr="000D1323">
        <w:rPr>
          <w:sz w:val="22"/>
          <w:szCs w:val="22"/>
        </w:rPr>
        <w:t xml:space="preserve">overning </w:t>
      </w:r>
      <w:r w:rsidR="004F0DF8">
        <w:rPr>
          <w:sz w:val="22"/>
          <w:szCs w:val="22"/>
        </w:rPr>
        <w:t>b</w:t>
      </w:r>
      <w:r w:rsidR="004F0DF8" w:rsidRPr="000D1323">
        <w:rPr>
          <w:sz w:val="22"/>
          <w:szCs w:val="22"/>
        </w:rPr>
        <w:t>odies</w:t>
      </w:r>
      <w:r w:rsidRPr="000D1323">
        <w:rPr>
          <w:sz w:val="22"/>
          <w:szCs w:val="22"/>
        </w:rPr>
        <w:t xml:space="preserve">. The Secretariat made an effort to keep </w:t>
      </w:r>
      <w:r w:rsidR="00A07230" w:rsidRPr="000D1323">
        <w:rPr>
          <w:sz w:val="22"/>
          <w:szCs w:val="22"/>
        </w:rPr>
        <w:t>cost</w:t>
      </w:r>
      <w:r w:rsidR="009B6D1B">
        <w:rPr>
          <w:sz w:val="22"/>
          <w:szCs w:val="22"/>
        </w:rPr>
        <w:t>s</w:t>
      </w:r>
      <w:r w:rsidR="00A07230" w:rsidRPr="000D1323">
        <w:rPr>
          <w:sz w:val="22"/>
          <w:szCs w:val="22"/>
        </w:rPr>
        <w:t xml:space="preserve"> of </w:t>
      </w:r>
      <w:r w:rsidRPr="000D1323">
        <w:rPr>
          <w:sz w:val="22"/>
          <w:szCs w:val="22"/>
        </w:rPr>
        <w:t>translation within COP</w:t>
      </w:r>
      <w:r w:rsidR="009B6D1B">
        <w:rPr>
          <w:sz w:val="22"/>
          <w:szCs w:val="22"/>
        </w:rPr>
        <w:t>-</w:t>
      </w:r>
      <w:r w:rsidRPr="000D1323">
        <w:rPr>
          <w:sz w:val="22"/>
          <w:szCs w:val="22"/>
        </w:rPr>
        <w:t>approved budget using in-house translations to the extent allowed.</w:t>
      </w:r>
      <w:r w:rsidR="00B178DE" w:rsidRPr="000D1323">
        <w:rPr>
          <w:sz w:val="22"/>
          <w:szCs w:val="22"/>
        </w:rPr>
        <w:t xml:space="preserve"> </w:t>
      </w:r>
      <w:r w:rsidRPr="000D1323">
        <w:rPr>
          <w:sz w:val="22"/>
          <w:szCs w:val="22"/>
        </w:rPr>
        <w:t>However</w:t>
      </w:r>
      <w:r w:rsidR="009B6D1B">
        <w:rPr>
          <w:sz w:val="22"/>
          <w:szCs w:val="22"/>
        </w:rPr>
        <w:t>,</w:t>
      </w:r>
      <w:r w:rsidRPr="000D1323">
        <w:rPr>
          <w:sz w:val="22"/>
          <w:szCs w:val="22"/>
        </w:rPr>
        <w:t xml:space="preserve"> </w:t>
      </w:r>
      <w:r w:rsidR="00F740A3" w:rsidRPr="000D1323">
        <w:rPr>
          <w:sz w:val="22"/>
          <w:szCs w:val="22"/>
        </w:rPr>
        <w:t xml:space="preserve">with </w:t>
      </w:r>
      <w:r w:rsidR="009B6D1B">
        <w:rPr>
          <w:sz w:val="22"/>
          <w:szCs w:val="22"/>
        </w:rPr>
        <w:t xml:space="preserve">the </w:t>
      </w:r>
      <w:r w:rsidR="00F740A3" w:rsidRPr="000D1323">
        <w:rPr>
          <w:sz w:val="22"/>
          <w:szCs w:val="22"/>
        </w:rPr>
        <w:t xml:space="preserve">increased </w:t>
      </w:r>
      <w:r w:rsidRPr="000D1323">
        <w:rPr>
          <w:sz w:val="22"/>
          <w:szCs w:val="22"/>
        </w:rPr>
        <w:t xml:space="preserve">number of documents for both Standing Committee meetings and </w:t>
      </w:r>
      <w:r w:rsidR="009B6D1B">
        <w:rPr>
          <w:sz w:val="22"/>
          <w:szCs w:val="22"/>
        </w:rPr>
        <w:t xml:space="preserve">the </w:t>
      </w:r>
      <w:r w:rsidRPr="000D1323">
        <w:rPr>
          <w:sz w:val="22"/>
          <w:szCs w:val="22"/>
        </w:rPr>
        <w:t>Sessional Committee meeting of Scientific Council</w:t>
      </w:r>
      <w:r w:rsidR="0068667B" w:rsidRPr="000D1323">
        <w:rPr>
          <w:sz w:val="22"/>
          <w:szCs w:val="22"/>
        </w:rPr>
        <w:t xml:space="preserve"> in 2015-2016</w:t>
      </w:r>
      <w:r w:rsidRPr="000D1323">
        <w:rPr>
          <w:sz w:val="22"/>
          <w:szCs w:val="22"/>
        </w:rPr>
        <w:t>, the Secretariat had to engage individua</w:t>
      </w:r>
      <w:r w:rsidR="00B178DE" w:rsidRPr="000D1323">
        <w:rPr>
          <w:sz w:val="22"/>
          <w:szCs w:val="22"/>
        </w:rPr>
        <w:t xml:space="preserve">l translators resulting </w:t>
      </w:r>
      <w:r w:rsidR="009B6D1B">
        <w:rPr>
          <w:sz w:val="22"/>
          <w:szCs w:val="22"/>
        </w:rPr>
        <w:t xml:space="preserve">in </w:t>
      </w:r>
      <w:r w:rsidR="00B178DE" w:rsidRPr="000D1323">
        <w:rPr>
          <w:sz w:val="22"/>
          <w:szCs w:val="22"/>
        </w:rPr>
        <w:t xml:space="preserve">over-expenditure of </w:t>
      </w:r>
      <w:r w:rsidR="00B178DE" w:rsidRPr="00B178DE">
        <w:rPr>
          <w:sz w:val="22"/>
          <w:szCs w:val="22"/>
        </w:rPr>
        <w:t>€45,765</w:t>
      </w:r>
      <w:r w:rsidR="0068667B">
        <w:rPr>
          <w:sz w:val="22"/>
          <w:szCs w:val="22"/>
        </w:rPr>
        <w:t>. While the Secretariat is expected to provide meeting documents in official languages (English, French and Spanish) of the Convention, it should be noted that the approved budget for 2015-2017</w:t>
      </w:r>
      <w:r w:rsidR="000E1C9B">
        <w:rPr>
          <w:sz w:val="22"/>
          <w:szCs w:val="22"/>
        </w:rPr>
        <w:t xml:space="preserve"> </w:t>
      </w:r>
      <w:r w:rsidR="00787797">
        <w:rPr>
          <w:sz w:val="22"/>
          <w:szCs w:val="22"/>
        </w:rPr>
        <w:t xml:space="preserve">proved to be </w:t>
      </w:r>
      <w:r w:rsidR="009B6D1B">
        <w:rPr>
          <w:sz w:val="22"/>
          <w:szCs w:val="22"/>
        </w:rPr>
        <w:t>in</w:t>
      </w:r>
      <w:r w:rsidR="00C7159A">
        <w:rPr>
          <w:sz w:val="22"/>
          <w:szCs w:val="22"/>
        </w:rPr>
        <w:t>sufficient</w:t>
      </w:r>
      <w:r w:rsidR="0068667B">
        <w:rPr>
          <w:sz w:val="22"/>
          <w:szCs w:val="22"/>
        </w:rPr>
        <w:t xml:space="preserve">.    </w:t>
      </w:r>
    </w:p>
    <w:p w:rsidR="00B178DE" w:rsidRPr="000D1323" w:rsidRDefault="00B178DE" w:rsidP="000D1323">
      <w:pPr>
        <w:ind w:left="360"/>
        <w:contextualSpacing/>
        <w:jc w:val="both"/>
        <w:rPr>
          <w:sz w:val="22"/>
          <w:szCs w:val="22"/>
        </w:rPr>
      </w:pPr>
    </w:p>
    <w:p w:rsidR="0086018A" w:rsidRDefault="009B6D1B" w:rsidP="000D1323">
      <w:pPr>
        <w:numPr>
          <w:ilvl w:val="0"/>
          <w:numId w:val="10"/>
        </w:numPr>
        <w:ind w:left="360"/>
        <w:contextualSpacing/>
        <w:jc w:val="both"/>
        <w:rPr>
          <w:sz w:val="22"/>
          <w:szCs w:val="22"/>
        </w:rPr>
      </w:pPr>
      <w:r>
        <w:rPr>
          <w:sz w:val="22"/>
          <w:szCs w:val="22"/>
        </w:rPr>
        <w:t>The r</w:t>
      </w:r>
      <w:r w:rsidR="0068667B" w:rsidRPr="000D1323">
        <w:rPr>
          <w:sz w:val="22"/>
          <w:szCs w:val="22"/>
        </w:rPr>
        <w:t xml:space="preserve">emaining estimated </w:t>
      </w:r>
      <w:r w:rsidR="00A5641C" w:rsidRPr="000D1323">
        <w:rPr>
          <w:sz w:val="22"/>
          <w:szCs w:val="22"/>
        </w:rPr>
        <w:t>over-expenditure</w:t>
      </w:r>
      <w:r w:rsidR="00504B02">
        <w:rPr>
          <w:sz w:val="22"/>
          <w:szCs w:val="22"/>
        </w:rPr>
        <w:t xml:space="preserve"> has</w:t>
      </w:r>
      <w:r>
        <w:rPr>
          <w:sz w:val="22"/>
          <w:szCs w:val="22"/>
        </w:rPr>
        <w:t xml:space="preserve"> been</w:t>
      </w:r>
      <w:r w:rsidRPr="000D1323">
        <w:rPr>
          <w:sz w:val="22"/>
          <w:szCs w:val="22"/>
        </w:rPr>
        <w:t xml:space="preserve"> </w:t>
      </w:r>
      <w:r w:rsidR="00A5641C" w:rsidRPr="000D1323">
        <w:rPr>
          <w:sz w:val="22"/>
          <w:szCs w:val="22"/>
        </w:rPr>
        <w:t>incurred</w:t>
      </w:r>
      <w:r w:rsidR="0068667B" w:rsidRPr="000D1323">
        <w:rPr>
          <w:sz w:val="22"/>
          <w:szCs w:val="22"/>
        </w:rPr>
        <w:t xml:space="preserve"> on Secretariat travel (</w:t>
      </w:r>
      <w:r w:rsidR="0068667B" w:rsidRPr="00B178DE">
        <w:rPr>
          <w:sz w:val="22"/>
          <w:szCs w:val="22"/>
        </w:rPr>
        <w:t>€</w:t>
      </w:r>
      <w:r w:rsidR="0068667B">
        <w:rPr>
          <w:sz w:val="22"/>
          <w:szCs w:val="22"/>
        </w:rPr>
        <w:t xml:space="preserve">12,434) and </w:t>
      </w:r>
      <w:r>
        <w:rPr>
          <w:sz w:val="22"/>
          <w:szCs w:val="22"/>
        </w:rPr>
        <w:t>s</w:t>
      </w:r>
      <w:r w:rsidRPr="000D1323">
        <w:rPr>
          <w:sz w:val="22"/>
          <w:szCs w:val="22"/>
        </w:rPr>
        <w:t xml:space="preserve">taff </w:t>
      </w:r>
      <w:r w:rsidR="0068667B" w:rsidRPr="000D1323">
        <w:rPr>
          <w:sz w:val="22"/>
          <w:szCs w:val="22"/>
        </w:rPr>
        <w:t>development (</w:t>
      </w:r>
      <w:r w:rsidR="0068667B" w:rsidRPr="00B178DE">
        <w:rPr>
          <w:sz w:val="22"/>
          <w:szCs w:val="22"/>
        </w:rPr>
        <w:t>€</w:t>
      </w:r>
      <w:r w:rsidR="0068667B">
        <w:rPr>
          <w:sz w:val="22"/>
          <w:szCs w:val="22"/>
        </w:rPr>
        <w:t xml:space="preserve">16,465), respectively as stated in the </w:t>
      </w:r>
      <w:r w:rsidR="00671EBD">
        <w:rPr>
          <w:sz w:val="22"/>
          <w:szCs w:val="22"/>
        </w:rPr>
        <w:t xml:space="preserve">table in </w:t>
      </w:r>
      <w:r w:rsidR="0068667B">
        <w:rPr>
          <w:sz w:val="22"/>
          <w:szCs w:val="22"/>
        </w:rPr>
        <w:t xml:space="preserve">Annex 2. In </w:t>
      </w:r>
      <w:r w:rsidR="00A5641C">
        <w:rPr>
          <w:sz w:val="22"/>
          <w:szCs w:val="22"/>
        </w:rPr>
        <w:t xml:space="preserve">May 2015, the UN Secretariat deployed </w:t>
      </w:r>
      <w:r>
        <w:rPr>
          <w:sz w:val="22"/>
          <w:szCs w:val="22"/>
        </w:rPr>
        <w:t xml:space="preserve">the </w:t>
      </w:r>
      <w:r w:rsidR="00A5641C">
        <w:rPr>
          <w:sz w:val="22"/>
          <w:szCs w:val="22"/>
        </w:rPr>
        <w:t xml:space="preserve">new enterprise resource planning system “Umoja”. </w:t>
      </w:r>
      <w:r w:rsidR="00671EBD">
        <w:rPr>
          <w:sz w:val="22"/>
          <w:szCs w:val="22"/>
        </w:rPr>
        <w:t>Due to technical difficult</w:t>
      </w:r>
      <w:r>
        <w:rPr>
          <w:sz w:val="22"/>
          <w:szCs w:val="22"/>
        </w:rPr>
        <w:t>ies</w:t>
      </w:r>
      <w:r w:rsidR="00671EBD">
        <w:rPr>
          <w:sz w:val="22"/>
          <w:szCs w:val="22"/>
        </w:rPr>
        <w:t>,</w:t>
      </w:r>
      <w:r w:rsidR="00A5641C">
        <w:rPr>
          <w:sz w:val="22"/>
          <w:szCs w:val="22"/>
        </w:rPr>
        <w:t xml:space="preserve"> </w:t>
      </w:r>
      <w:r>
        <w:rPr>
          <w:sz w:val="22"/>
          <w:szCs w:val="22"/>
        </w:rPr>
        <w:t xml:space="preserve">the </w:t>
      </w:r>
      <w:r w:rsidR="0086018A">
        <w:rPr>
          <w:sz w:val="22"/>
          <w:szCs w:val="22"/>
        </w:rPr>
        <w:t>local</w:t>
      </w:r>
      <w:r w:rsidR="00A5641C">
        <w:rPr>
          <w:sz w:val="22"/>
          <w:szCs w:val="22"/>
        </w:rPr>
        <w:t xml:space="preserve"> travel agent</w:t>
      </w:r>
      <w:r w:rsidR="0086018A">
        <w:rPr>
          <w:sz w:val="22"/>
          <w:szCs w:val="22"/>
        </w:rPr>
        <w:t>s</w:t>
      </w:r>
      <w:r>
        <w:rPr>
          <w:sz w:val="22"/>
          <w:szCs w:val="22"/>
        </w:rPr>
        <w:t>’</w:t>
      </w:r>
      <w:r w:rsidR="00A5641C">
        <w:rPr>
          <w:sz w:val="22"/>
          <w:szCs w:val="22"/>
        </w:rPr>
        <w:t xml:space="preserve"> contract was not recognized in the system</w:t>
      </w:r>
      <w:r>
        <w:rPr>
          <w:sz w:val="22"/>
          <w:szCs w:val="22"/>
        </w:rPr>
        <w:t>.  T</w:t>
      </w:r>
      <w:r w:rsidR="00A5641C">
        <w:rPr>
          <w:sz w:val="22"/>
          <w:szCs w:val="22"/>
        </w:rPr>
        <w:t>herefore, the Sec</w:t>
      </w:r>
      <w:r w:rsidR="00FF6DC5">
        <w:rPr>
          <w:sz w:val="22"/>
          <w:szCs w:val="22"/>
        </w:rPr>
        <w:t>retariat had to obtain tickets for</w:t>
      </w:r>
      <w:r w:rsidR="00A5641C">
        <w:rPr>
          <w:sz w:val="22"/>
          <w:szCs w:val="22"/>
        </w:rPr>
        <w:t xml:space="preserve"> official </w:t>
      </w:r>
      <w:r w:rsidR="00FF6DC5">
        <w:rPr>
          <w:sz w:val="22"/>
          <w:szCs w:val="22"/>
        </w:rPr>
        <w:t xml:space="preserve">missions </w:t>
      </w:r>
      <w:r w:rsidR="00A5641C">
        <w:rPr>
          <w:sz w:val="22"/>
          <w:szCs w:val="22"/>
        </w:rPr>
        <w:t>through</w:t>
      </w:r>
      <w:r w:rsidR="00FF6DC5">
        <w:rPr>
          <w:sz w:val="22"/>
          <w:szCs w:val="22"/>
        </w:rPr>
        <w:t xml:space="preserve"> a</w:t>
      </w:r>
      <w:r w:rsidR="00A5641C">
        <w:rPr>
          <w:sz w:val="22"/>
          <w:szCs w:val="22"/>
        </w:rPr>
        <w:t xml:space="preserve"> travel agent based in Geneva</w:t>
      </w:r>
      <w:r w:rsidR="00FF6DC5" w:rsidRPr="00FF6DC5">
        <w:rPr>
          <w:sz w:val="22"/>
          <w:szCs w:val="22"/>
        </w:rPr>
        <w:t xml:space="preserve"> </w:t>
      </w:r>
      <w:r w:rsidR="00FF6DC5">
        <w:rPr>
          <w:sz w:val="22"/>
          <w:szCs w:val="22"/>
        </w:rPr>
        <w:t xml:space="preserve">contracted by UN Environment. </w:t>
      </w:r>
      <w:r w:rsidR="0086018A">
        <w:rPr>
          <w:sz w:val="22"/>
          <w:szCs w:val="22"/>
        </w:rPr>
        <w:t xml:space="preserve">Since the tickets were issued in </w:t>
      </w:r>
      <w:r>
        <w:rPr>
          <w:sz w:val="22"/>
          <w:szCs w:val="22"/>
        </w:rPr>
        <w:t>Swiss francs</w:t>
      </w:r>
      <w:r w:rsidR="0086018A">
        <w:rPr>
          <w:sz w:val="22"/>
          <w:szCs w:val="22"/>
        </w:rPr>
        <w:t xml:space="preserve">, the fares were </w:t>
      </w:r>
      <w:r>
        <w:rPr>
          <w:sz w:val="22"/>
          <w:szCs w:val="22"/>
        </w:rPr>
        <w:t xml:space="preserve">more </w:t>
      </w:r>
      <w:r w:rsidR="0086018A">
        <w:rPr>
          <w:sz w:val="22"/>
          <w:szCs w:val="22"/>
        </w:rPr>
        <w:t xml:space="preserve">expensive than </w:t>
      </w:r>
      <w:r>
        <w:rPr>
          <w:sz w:val="22"/>
          <w:szCs w:val="22"/>
        </w:rPr>
        <w:t xml:space="preserve">the </w:t>
      </w:r>
      <w:r w:rsidR="0086018A">
        <w:rPr>
          <w:sz w:val="22"/>
          <w:szCs w:val="22"/>
        </w:rPr>
        <w:t>local travel agent</w:t>
      </w:r>
      <w:r>
        <w:rPr>
          <w:sz w:val="22"/>
          <w:szCs w:val="22"/>
        </w:rPr>
        <w:t>s’</w:t>
      </w:r>
      <w:r w:rsidR="0086018A">
        <w:rPr>
          <w:sz w:val="22"/>
          <w:szCs w:val="22"/>
        </w:rPr>
        <w:t xml:space="preserve"> fare. </w:t>
      </w:r>
      <w:r>
        <w:rPr>
          <w:sz w:val="22"/>
          <w:szCs w:val="22"/>
        </w:rPr>
        <w:t xml:space="preserve">This </w:t>
      </w:r>
      <w:r w:rsidR="0086018A">
        <w:rPr>
          <w:sz w:val="22"/>
          <w:szCs w:val="22"/>
        </w:rPr>
        <w:t xml:space="preserve">continued till June 2016 when the contract of the local travel agent was set up in the system but it already </w:t>
      </w:r>
      <w:r>
        <w:rPr>
          <w:sz w:val="22"/>
          <w:szCs w:val="22"/>
        </w:rPr>
        <w:t xml:space="preserve">resulted in </w:t>
      </w:r>
      <w:r w:rsidR="00FF6DC5">
        <w:rPr>
          <w:sz w:val="22"/>
          <w:szCs w:val="22"/>
        </w:rPr>
        <w:t>over-</w:t>
      </w:r>
      <w:r w:rsidR="0086018A">
        <w:rPr>
          <w:sz w:val="22"/>
          <w:szCs w:val="22"/>
        </w:rPr>
        <w:t xml:space="preserve">expenditure of </w:t>
      </w:r>
      <w:r w:rsidR="0086018A" w:rsidRPr="00B178DE">
        <w:rPr>
          <w:sz w:val="22"/>
          <w:szCs w:val="22"/>
        </w:rPr>
        <w:t>€</w:t>
      </w:r>
      <w:r w:rsidR="0086018A">
        <w:rPr>
          <w:sz w:val="22"/>
          <w:szCs w:val="22"/>
        </w:rPr>
        <w:t xml:space="preserve">12,434 for entire triennium. </w:t>
      </w:r>
    </w:p>
    <w:p w:rsidR="000D1323" w:rsidRDefault="000D1323" w:rsidP="000D1323">
      <w:pPr>
        <w:pStyle w:val="ListParagraph"/>
        <w:rPr>
          <w:sz w:val="22"/>
          <w:szCs w:val="22"/>
        </w:rPr>
      </w:pPr>
    </w:p>
    <w:p w:rsidR="00B52FB0" w:rsidRDefault="00A5641C" w:rsidP="000D1323">
      <w:pPr>
        <w:numPr>
          <w:ilvl w:val="0"/>
          <w:numId w:val="10"/>
        </w:numPr>
        <w:ind w:left="360"/>
        <w:contextualSpacing/>
        <w:jc w:val="both"/>
        <w:rPr>
          <w:sz w:val="22"/>
          <w:szCs w:val="22"/>
        </w:rPr>
      </w:pPr>
      <w:r w:rsidRPr="0086018A">
        <w:rPr>
          <w:sz w:val="22"/>
          <w:szCs w:val="22"/>
        </w:rPr>
        <w:t xml:space="preserve">In relation to the deployment </w:t>
      </w:r>
      <w:r w:rsidR="0086018A" w:rsidRPr="0086018A">
        <w:rPr>
          <w:sz w:val="22"/>
          <w:szCs w:val="22"/>
        </w:rPr>
        <w:t xml:space="preserve">of Umoja, </w:t>
      </w:r>
      <w:r w:rsidR="00A07230">
        <w:rPr>
          <w:sz w:val="22"/>
          <w:szCs w:val="22"/>
        </w:rPr>
        <w:t xml:space="preserve">staff under </w:t>
      </w:r>
      <w:r w:rsidR="009B6D1B">
        <w:rPr>
          <w:sz w:val="22"/>
          <w:szCs w:val="22"/>
        </w:rPr>
        <w:t xml:space="preserve">the </w:t>
      </w:r>
      <w:r w:rsidR="00A07230">
        <w:rPr>
          <w:sz w:val="22"/>
          <w:szCs w:val="22"/>
        </w:rPr>
        <w:t xml:space="preserve">Administrative and </w:t>
      </w:r>
      <w:r w:rsidRPr="0086018A">
        <w:rPr>
          <w:sz w:val="22"/>
          <w:szCs w:val="22"/>
        </w:rPr>
        <w:t xml:space="preserve">Fund Management Unit </w:t>
      </w:r>
      <w:r w:rsidR="0086018A" w:rsidRPr="0086018A">
        <w:rPr>
          <w:sz w:val="22"/>
          <w:szCs w:val="22"/>
        </w:rPr>
        <w:t>of the Secretariat were</w:t>
      </w:r>
      <w:r w:rsidR="0086018A">
        <w:rPr>
          <w:sz w:val="22"/>
          <w:szCs w:val="22"/>
        </w:rPr>
        <w:t xml:space="preserve"> required to attend </w:t>
      </w:r>
      <w:r w:rsidR="009B6D1B">
        <w:rPr>
          <w:sz w:val="22"/>
          <w:szCs w:val="22"/>
        </w:rPr>
        <w:t xml:space="preserve">a </w:t>
      </w:r>
      <w:r w:rsidRPr="0086018A">
        <w:rPr>
          <w:sz w:val="22"/>
          <w:szCs w:val="22"/>
        </w:rPr>
        <w:t xml:space="preserve">series of </w:t>
      </w:r>
      <w:r w:rsidR="00FF6DC5">
        <w:rPr>
          <w:sz w:val="22"/>
          <w:szCs w:val="22"/>
        </w:rPr>
        <w:t>training</w:t>
      </w:r>
      <w:r w:rsidR="009B6D1B">
        <w:rPr>
          <w:sz w:val="22"/>
          <w:szCs w:val="22"/>
        </w:rPr>
        <w:t xml:space="preserve"> course</w:t>
      </w:r>
      <w:r w:rsidR="00FF6DC5">
        <w:rPr>
          <w:sz w:val="22"/>
          <w:szCs w:val="22"/>
        </w:rPr>
        <w:t xml:space="preserve">s </w:t>
      </w:r>
      <w:r w:rsidR="0086018A" w:rsidRPr="0086018A">
        <w:rPr>
          <w:sz w:val="22"/>
          <w:szCs w:val="22"/>
        </w:rPr>
        <w:t xml:space="preserve">in </w:t>
      </w:r>
      <w:r w:rsidR="0086018A" w:rsidRPr="0086018A">
        <w:rPr>
          <w:sz w:val="22"/>
          <w:szCs w:val="22"/>
        </w:rPr>
        <w:lastRenderedPageBreak/>
        <w:t xml:space="preserve">order to operate </w:t>
      </w:r>
      <w:r w:rsidR="009B6D1B">
        <w:rPr>
          <w:sz w:val="22"/>
          <w:szCs w:val="22"/>
        </w:rPr>
        <w:t xml:space="preserve">efficiently </w:t>
      </w:r>
      <w:r w:rsidR="0086018A" w:rsidRPr="0086018A">
        <w:rPr>
          <w:sz w:val="22"/>
          <w:szCs w:val="22"/>
        </w:rPr>
        <w:t>in the system</w:t>
      </w:r>
      <w:r w:rsidR="00FF6DC5">
        <w:rPr>
          <w:sz w:val="22"/>
          <w:szCs w:val="22"/>
        </w:rPr>
        <w:t xml:space="preserve">. </w:t>
      </w:r>
      <w:r w:rsidR="0086018A">
        <w:rPr>
          <w:sz w:val="22"/>
          <w:szCs w:val="22"/>
        </w:rPr>
        <w:t xml:space="preserve">Four </w:t>
      </w:r>
      <w:r w:rsidR="0086018A" w:rsidRPr="000D1323">
        <w:rPr>
          <w:sz w:val="22"/>
          <w:szCs w:val="22"/>
        </w:rPr>
        <w:t xml:space="preserve">staff members </w:t>
      </w:r>
      <w:r w:rsidR="00A07230" w:rsidRPr="000D1323">
        <w:rPr>
          <w:sz w:val="22"/>
          <w:szCs w:val="22"/>
        </w:rPr>
        <w:t xml:space="preserve">attended the </w:t>
      </w:r>
      <w:r w:rsidR="009B6D1B" w:rsidRPr="000D1323">
        <w:rPr>
          <w:sz w:val="22"/>
          <w:szCs w:val="22"/>
        </w:rPr>
        <w:t>U</w:t>
      </w:r>
      <w:r w:rsidR="009B6D1B">
        <w:rPr>
          <w:sz w:val="22"/>
          <w:szCs w:val="22"/>
        </w:rPr>
        <w:t>moja</w:t>
      </w:r>
      <w:r w:rsidR="009B6D1B" w:rsidRPr="000D1323">
        <w:rPr>
          <w:sz w:val="22"/>
          <w:szCs w:val="22"/>
        </w:rPr>
        <w:t xml:space="preserve"> </w:t>
      </w:r>
      <w:r w:rsidR="0086018A" w:rsidRPr="000D1323">
        <w:rPr>
          <w:sz w:val="22"/>
          <w:szCs w:val="22"/>
        </w:rPr>
        <w:t>training</w:t>
      </w:r>
      <w:r w:rsidR="009B6D1B">
        <w:rPr>
          <w:sz w:val="22"/>
          <w:szCs w:val="22"/>
        </w:rPr>
        <w:t xml:space="preserve"> course</w:t>
      </w:r>
      <w:r w:rsidR="0086018A" w:rsidRPr="000D1323">
        <w:rPr>
          <w:sz w:val="22"/>
          <w:szCs w:val="22"/>
        </w:rPr>
        <w:t>s</w:t>
      </w:r>
      <w:r w:rsidR="00A07230" w:rsidRPr="000D1323">
        <w:rPr>
          <w:sz w:val="22"/>
          <w:szCs w:val="22"/>
        </w:rPr>
        <w:t xml:space="preserve">, organized by UN Environment, </w:t>
      </w:r>
      <w:r w:rsidR="0086018A" w:rsidRPr="000D1323">
        <w:rPr>
          <w:sz w:val="22"/>
          <w:szCs w:val="22"/>
        </w:rPr>
        <w:t>in Paris and Geneva</w:t>
      </w:r>
      <w:r w:rsidR="00A07230" w:rsidRPr="000D1323">
        <w:rPr>
          <w:sz w:val="22"/>
          <w:szCs w:val="22"/>
        </w:rPr>
        <w:t xml:space="preserve"> in 2015 which resulted </w:t>
      </w:r>
      <w:r w:rsidR="009B6D1B">
        <w:rPr>
          <w:sz w:val="22"/>
          <w:szCs w:val="22"/>
        </w:rPr>
        <w:t xml:space="preserve">in </w:t>
      </w:r>
      <w:r w:rsidR="00A07230" w:rsidRPr="000D1323">
        <w:rPr>
          <w:sz w:val="22"/>
          <w:szCs w:val="22"/>
        </w:rPr>
        <w:t xml:space="preserve">over-expenditure of </w:t>
      </w:r>
      <w:r w:rsidR="00A07230" w:rsidRPr="00B178DE">
        <w:rPr>
          <w:sz w:val="22"/>
          <w:szCs w:val="22"/>
        </w:rPr>
        <w:t>€</w:t>
      </w:r>
      <w:r w:rsidR="00A07230">
        <w:rPr>
          <w:sz w:val="22"/>
          <w:szCs w:val="22"/>
        </w:rPr>
        <w:t>1</w:t>
      </w:r>
      <w:r w:rsidR="00FA5D4C">
        <w:rPr>
          <w:sz w:val="22"/>
          <w:szCs w:val="22"/>
        </w:rPr>
        <w:t xml:space="preserve">6,465 in overall in the staff development (training, retreat) budget line. </w:t>
      </w:r>
    </w:p>
    <w:p w:rsidR="00A07230" w:rsidRPr="000D1323" w:rsidRDefault="00A07230" w:rsidP="000D1323">
      <w:pPr>
        <w:contextualSpacing/>
        <w:jc w:val="both"/>
        <w:rPr>
          <w:sz w:val="22"/>
          <w:szCs w:val="22"/>
        </w:rPr>
      </w:pPr>
    </w:p>
    <w:p w:rsidR="00A07230" w:rsidRPr="000D1323" w:rsidRDefault="00A07230" w:rsidP="000D1323">
      <w:pPr>
        <w:contextualSpacing/>
        <w:jc w:val="both"/>
        <w:rPr>
          <w:b/>
          <w:sz w:val="22"/>
          <w:szCs w:val="22"/>
        </w:rPr>
      </w:pPr>
      <w:r w:rsidRPr="000D1323">
        <w:rPr>
          <w:b/>
          <w:sz w:val="22"/>
          <w:szCs w:val="22"/>
        </w:rPr>
        <w:t xml:space="preserve">Status of Trust Fund </w:t>
      </w:r>
      <w:r w:rsidR="00767DAE" w:rsidRPr="000D1323">
        <w:rPr>
          <w:b/>
          <w:sz w:val="22"/>
          <w:szCs w:val="22"/>
        </w:rPr>
        <w:t>balance</w:t>
      </w:r>
    </w:p>
    <w:p w:rsidR="00A07230" w:rsidRPr="000D1323" w:rsidRDefault="00A07230" w:rsidP="000D1323">
      <w:pPr>
        <w:ind w:left="360"/>
        <w:contextualSpacing/>
        <w:jc w:val="both"/>
        <w:rPr>
          <w:sz w:val="22"/>
          <w:szCs w:val="22"/>
        </w:rPr>
      </w:pPr>
    </w:p>
    <w:p w:rsidR="000E1C9B" w:rsidRPr="000D1323" w:rsidRDefault="00767DAE" w:rsidP="000D1323">
      <w:pPr>
        <w:numPr>
          <w:ilvl w:val="0"/>
          <w:numId w:val="10"/>
        </w:numPr>
        <w:ind w:left="360"/>
        <w:contextualSpacing/>
        <w:jc w:val="both"/>
        <w:rPr>
          <w:sz w:val="22"/>
          <w:szCs w:val="22"/>
        </w:rPr>
      </w:pPr>
      <w:r w:rsidRPr="0039523C">
        <w:rPr>
          <w:sz w:val="22"/>
          <w:szCs w:val="22"/>
        </w:rPr>
        <w:t>At the closure on the UNEP accounts on 31 December 2014</w:t>
      </w:r>
      <w:r w:rsidR="000E1C9B">
        <w:rPr>
          <w:sz w:val="22"/>
          <w:szCs w:val="22"/>
        </w:rPr>
        <w:t>, the total f</w:t>
      </w:r>
      <w:r w:rsidRPr="0039523C">
        <w:rPr>
          <w:sz w:val="22"/>
          <w:szCs w:val="22"/>
        </w:rPr>
        <w:t xml:space="preserve">und </w:t>
      </w:r>
      <w:r w:rsidR="000E1C9B">
        <w:rPr>
          <w:sz w:val="22"/>
          <w:szCs w:val="22"/>
        </w:rPr>
        <w:t>b</w:t>
      </w:r>
      <w:r w:rsidRPr="0039523C">
        <w:rPr>
          <w:sz w:val="22"/>
          <w:szCs w:val="22"/>
        </w:rPr>
        <w:t>alance for the CMS Trust Fund for assessed contributions stood at €</w:t>
      </w:r>
      <w:r w:rsidR="0039523C" w:rsidRPr="0039523C">
        <w:rPr>
          <w:sz w:val="22"/>
          <w:szCs w:val="22"/>
        </w:rPr>
        <w:t>774,191</w:t>
      </w:r>
      <w:r w:rsidRPr="00DA6FFA">
        <w:rPr>
          <w:vertAlign w:val="superscript"/>
        </w:rPr>
        <w:footnoteReference w:id="1"/>
      </w:r>
      <w:r w:rsidRPr="0039523C">
        <w:rPr>
          <w:sz w:val="22"/>
          <w:szCs w:val="22"/>
        </w:rPr>
        <w:t xml:space="preserve"> </w:t>
      </w:r>
      <w:r w:rsidR="00A14C6C">
        <w:rPr>
          <w:sz w:val="22"/>
          <w:szCs w:val="22"/>
        </w:rPr>
        <w:t xml:space="preserve">including </w:t>
      </w:r>
      <w:r w:rsidR="005F3037">
        <w:rPr>
          <w:sz w:val="22"/>
          <w:szCs w:val="22"/>
        </w:rPr>
        <w:t xml:space="preserve">an </w:t>
      </w:r>
      <w:r w:rsidR="00A14C6C">
        <w:rPr>
          <w:sz w:val="22"/>
          <w:szCs w:val="22"/>
        </w:rPr>
        <w:t xml:space="preserve">operating reserve of </w:t>
      </w:r>
      <w:r w:rsidR="00A14C6C" w:rsidRPr="0039523C">
        <w:rPr>
          <w:sz w:val="22"/>
          <w:szCs w:val="22"/>
        </w:rPr>
        <w:t>€410,000</w:t>
      </w:r>
      <w:r w:rsidR="00A14C6C">
        <w:rPr>
          <w:sz w:val="22"/>
          <w:szCs w:val="22"/>
        </w:rPr>
        <w:t>. The operating reserve is intend</w:t>
      </w:r>
      <w:r w:rsidR="005F3037">
        <w:rPr>
          <w:sz w:val="22"/>
          <w:szCs w:val="22"/>
        </w:rPr>
        <w:t>ed</w:t>
      </w:r>
      <w:r w:rsidR="00A14C6C">
        <w:rPr>
          <w:sz w:val="22"/>
          <w:szCs w:val="22"/>
        </w:rPr>
        <w:t xml:space="preserve"> to cover uneven inward cashflows caused by delayed payment of assessed contributions as well as unanticipated programme budget fluctuations during the triennium</w:t>
      </w:r>
      <w:r w:rsidR="00E26B7A">
        <w:rPr>
          <w:sz w:val="22"/>
          <w:szCs w:val="22"/>
        </w:rPr>
        <w:t>.</w:t>
      </w:r>
      <w:r w:rsidR="00A14C6C">
        <w:rPr>
          <w:sz w:val="22"/>
          <w:szCs w:val="22"/>
        </w:rPr>
        <w:t xml:space="preserve"> </w:t>
      </w:r>
    </w:p>
    <w:p w:rsidR="000E1C9B" w:rsidRPr="000D1323" w:rsidRDefault="000E1C9B" w:rsidP="000D1323">
      <w:pPr>
        <w:ind w:left="360"/>
        <w:contextualSpacing/>
        <w:jc w:val="both"/>
        <w:rPr>
          <w:sz w:val="22"/>
          <w:szCs w:val="22"/>
        </w:rPr>
      </w:pPr>
    </w:p>
    <w:p w:rsidR="000E1C9B" w:rsidRPr="000D1323" w:rsidRDefault="000E1C9B" w:rsidP="000D1323">
      <w:pPr>
        <w:numPr>
          <w:ilvl w:val="0"/>
          <w:numId w:val="10"/>
        </w:numPr>
        <w:ind w:left="360"/>
        <w:contextualSpacing/>
        <w:jc w:val="both"/>
        <w:rPr>
          <w:sz w:val="22"/>
          <w:szCs w:val="22"/>
        </w:rPr>
      </w:pPr>
      <w:r>
        <w:rPr>
          <w:sz w:val="22"/>
          <w:szCs w:val="22"/>
        </w:rPr>
        <w:t>From the reserve, t</w:t>
      </w:r>
      <w:r w:rsidR="0039523C">
        <w:rPr>
          <w:sz w:val="22"/>
          <w:szCs w:val="22"/>
        </w:rPr>
        <w:t xml:space="preserve">he </w:t>
      </w:r>
      <w:r w:rsidR="00787797">
        <w:rPr>
          <w:sz w:val="22"/>
          <w:szCs w:val="22"/>
        </w:rPr>
        <w:t>StC45</w:t>
      </w:r>
      <w:r w:rsidR="0039523C">
        <w:rPr>
          <w:sz w:val="22"/>
          <w:szCs w:val="22"/>
        </w:rPr>
        <w:t xml:space="preserve"> in November 2016 authorized the Secretariat </w:t>
      </w:r>
      <w:r>
        <w:rPr>
          <w:sz w:val="22"/>
          <w:szCs w:val="22"/>
        </w:rPr>
        <w:t xml:space="preserve">to draw down </w:t>
      </w:r>
      <w:r w:rsidRPr="0039523C">
        <w:rPr>
          <w:sz w:val="22"/>
          <w:szCs w:val="22"/>
        </w:rPr>
        <w:t>€</w:t>
      </w:r>
      <w:r>
        <w:rPr>
          <w:sz w:val="22"/>
          <w:szCs w:val="22"/>
        </w:rPr>
        <w:t xml:space="preserve">76,788 to cover </w:t>
      </w:r>
      <w:r w:rsidR="00EF6F27">
        <w:rPr>
          <w:sz w:val="22"/>
          <w:szCs w:val="22"/>
        </w:rPr>
        <w:t xml:space="preserve">prior year’s </w:t>
      </w:r>
      <w:r>
        <w:rPr>
          <w:sz w:val="22"/>
          <w:szCs w:val="22"/>
        </w:rPr>
        <w:t>contractual obligation</w:t>
      </w:r>
      <w:r w:rsidR="009B6D1B">
        <w:rPr>
          <w:sz w:val="22"/>
          <w:szCs w:val="22"/>
        </w:rPr>
        <w:t>s</w:t>
      </w:r>
      <w:r w:rsidR="00EF6F27">
        <w:rPr>
          <w:sz w:val="22"/>
          <w:szCs w:val="22"/>
        </w:rPr>
        <w:t xml:space="preserve"> </w:t>
      </w:r>
      <w:r>
        <w:rPr>
          <w:sz w:val="22"/>
          <w:szCs w:val="22"/>
        </w:rPr>
        <w:t xml:space="preserve">for technical advice to prepare a Concerted </w:t>
      </w:r>
      <w:r w:rsidR="009B6D1B">
        <w:rPr>
          <w:sz w:val="22"/>
          <w:szCs w:val="22"/>
        </w:rPr>
        <w:t xml:space="preserve">Action </w:t>
      </w:r>
      <w:r>
        <w:rPr>
          <w:sz w:val="22"/>
          <w:szCs w:val="22"/>
        </w:rPr>
        <w:t xml:space="preserve">of CMS for Central Asian Aridland Mammals and to cover the cost of additional work required by the Joint </w:t>
      </w:r>
      <w:r w:rsidR="00EF6F27">
        <w:rPr>
          <w:sz w:val="22"/>
          <w:szCs w:val="22"/>
        </w:rPr>
        <w:t xml:space="preserve">Information Management, Communication and Outreach Unit in 2016.     </w:t>
      </w:r>
    </w:p>
    <w:p w:rsidR="00EF6F27" w:rsidRPr="000D1323" w:rsidRDefault="00EF6F27" w:rsidP="000D1323">
      <w:pPr>
        <w:ind w:left="360"/>
        <w:contextualSpacing/>
        <w:jc w:val="both"/>
        <w:rPr>
          <w:sz w:val="22"/>
          <w:szCs w:val="22"/>
        </w:rPr>
      </w:pPr>
    </w:p>
    <w:p w:rsidR="00DE5300" w:rsidRPr="00D123F8" w:rsidRDefault="005927B2" w:rsidP="000D1323">
      <w:pPr>
        <w:numPr>
          <w:ilvl w:val="0"/>
          <w:numId w:val="10"/>
        </w:numPr>
        <w:ind w:left="360"/>
        <w:contextualSpacing/>
        <w:jc w:val="both"/>
        <w:rPr>
          <w:sz w:val="22"/>
          <w:szCs w:val="22"/>
        </w:rPr>
      </w:pPr>
      <w:r w:rsidRPr="000D1323">
        <w:rPr>
          <w:sz w:val="22"/>
          <w:szCs w:val="22"/>
        </w:rPr>
        <w:t>Taking into account paid</w:t>
      </w:r>
      <w:r w:rsidR="00FF6DC5">
        <w:rPr>
          <w:sz w:val="22"/>
          <w:szCs w:val="22"/>
        </w:rPr>
        <w:t xml:space="preserve"> and </w:t>
      </w:r>
      <w:r w:rsidRPr="000D1323">
        <w:rPr>
          <w:sz w:val="22"/>
          <w:szCs w:val="22"/>
        </w:rPr>
        <w:t xml:space="preserve">due contributions as at 17 August 2017 and estimated expenditure for </w:t>
      </w:r>
      <w:r w:rsidR="00452419">
        <w:rPr>
          <w:sz w:val="22"/>
          <w:szCs w:val="22"/>
        </w:rPr>
        <w:t xml:space="preserve">the triennium </w:t>
      </w:r>
      <w:r w:rsidRPr="000D1323">
        <w:rPr>
          <w:sz w:val="22"/>
          <w:szCs w:val="22"/>
        </w:rPr>
        <w:t xml:space="preserve">2015-2017, </w:t>
      </w:r>
      <w:r w:rsidR="00DE5300" w:rsidRPr="000D1323">
        <w:rPr>
          <w:sz w:val="22"/>
          <w:szCs w:val="22"/>
        </w:rPr>
        <w:t xml:space="preserve">the trust fund balance at the end of December 2017 is projected at the level of </w:t>
      </w:r>
      <w:r w:rsidR="00801EA4">
        <w:rPr>
          <w:sz w:val="22"/>
          <w:szCs w:val="22"/>
        </w:rPr>
        <w:t>€243</w:t>
      </w:r>
      <w:r w:rsidR="00DE5300" w:rsidRPr="00D123F8">
        <w:rPr>
          <w:sz w:val="22"/>
          <w:szCs w:val="22"/>
        </w:rPr>
        <w:t>,</w:t>
      </w:r>
      <w:r w:rsidR="00801EA4">
        <w:rPr>
          <w:sz w:val="22"/>
          <w:szCs w:val="22"/>
        </w:rPr>
        <w:t>715</w:t>
      </w:r>
      <w:r w:rsidR="00DE5300" w:rsidRPr="00D123F8">
        <w:rPr>
          <w:sz w:val="22"/>
          <w:szCs w:val="22"/>
        </w:rPr>
        <w:t xml:space="preserve"> as shown in the table 1.</w:t>
      </w:r>
    </w:p>
    <w:tbl>
      <w:tblPr>
        <w:tblStyle w:val="ListTable1Light-Accent5"/>
        <w:tblW w:w="8264" w:type="dxa"/>
        <w:tblInd w:w="412" w:type="dxa"/>
        <w:tblLook w:val="04A0" w:firstRow="1" w:lastRow="0" w:firstColumn="1" w:lastColumn="0" w:noHBand="0" w:noVBand="1"/>
      </w:tblPr>
      <w:tblGrid>
        <w:gridCol w:w="5314"/>
        <w:gridCol w:w="1500"/>
        <w:gridCol w:w="1450"/>
      </w:tblGrid>
      <w:tr w:rsidR="00D123F8" w:rsidRPr="00F05394" w:rsidTr="00C30060">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264" w:type="dxa"/>
            <w:gridSpan w:val="3"/>
            <w:noWrap/>
            <w:hideMark/>
          </w:tcPr>
          <w:p w:rsidR="004568D3" w:rsidRDefault="004568D3" w:rsidP="00EF6F27">
            <w:pPr>
              <w:widowControl/>
              <w:autoSpaceDE/>
              <w:autoSpaceDN/>
              <w:adjustRightInd/>
              <w:rPr>
                <w:rFonts w:cs="Arial"/>
                <w:sz w:val="20"/>
                <w:szCs w:val="20"/>
              </w:rPr>
            </w:pPr>
          </w:p>
          <w:p w:rsidR="00D123F8" w:rsidRPr="00F05394" w:rsidRDefault="00DA6FFA" w:rsidP="00EF6F27">
            <w:pPr>
              <w:widowControl/>
              <w:autoSpaceDE/>
              <w:autoSpaceDN/>
              <w:adjustRightInd/>
              <w:rPr>
                <w:rFonts w:cs="Arial"/>
                <w:sz w:val="20"/>
                <w:szCs w:val="20"/>
              </w:rPr>
            </w:pPr>
            <w:r w:rsidRPr="00F05394">
              <w:rPr>
                <w:rFonts w:cs="Arial"/>
                <w:sz w:val="20"/>
                <w:szCs w:val="20"/>
              </w:rPr>
              <w:t>Table 1. Status of Trust F</w:t>
            </w:r>
            <w:r w:rsidR="00D123F8" w:rsidRPr="00F05394">
              <w:rPr>
                <w:rFonts w:cs="Arial"/>
                <w:sz w:val="20"/>
                <w:szCs w:val="20"/>
              </w:rPr>
              <w:t xml:space="preserve">und balance as at 31 December 2017 </w:t>
            </w:r>
          </w:p>
          <w:p w:rsidR="00D123F8" w:rsidRPr="00F05394" w:rsidRDefault="00D123F8" w:rsidP="00D123F8">
            <w:pPr>
              <w:widowControl/>
              <w:autoSpaceDE/>
              <w:autoSpaceDN/>
              <w:adjustRightInd/>
              <w:jc w:val="right"/>
              <w:rPr>
                <w:rFonts w:cs="Arial"/>
                <w:color w:val="000000"/>
                <w:sz w:val="20"/>
                <w:szCs w:val="20"/>
              </w:rPr>
            </w:pPr>
            <w:r w:rsidRPr="00F05394">
              <w:rPr>
                <w:rFonts w:cs="Arial"/>
                <w:color w:val="000000"/>
                <w:sz w:val="20"/>
                <w:szCs w:val="20"/>
              </w:rPr>
              <w:t>EUR</w:t>
            </w:r>
          </w:p>
        </w:tc>
      </w:tr>
      <w:tr w:rsidR="009B0DD3" w:rsidRPr="00F05394" w:rsidTr="004568D3">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EF6F27" w:rsidRPr="00F05394" w:rsidRDefault="00EF6F27" w:rsidP="009B0DD3">
            <w:pPr>
              <w:widowControl/>
              <w:autoSpaceDE/>
              <w:autoSpaceDN/>
              <w:adjustRightInd/>
              <w:rPr>
                <w:rFonts w:cs="Arial"/>
                <w:color w:val="000000"/>
                <w:sz w:val="20"/>
                <w:szCs w:val="20"/>
              </w:rPr>
            </w:pPr>
            <w:r w:rsidRPr="00F05394">
              <w:rPr>
                <w:rFonts w:cs="Arial"/>
                <w:color w:val="000000"/>
                <w:sz w:val="20"/>
                <w:szCs w:val="20"/>
              </w:rPr>
              <w:t>Total trust fund balance as at 31 December 2014</w:t>
            </w:r>
            <w:r w:rsidRPr="00F05394">
              <w:rPr>
                <w:rFonts w:cs="Arial"/>
                <w:bCs w:val="0"/>
                <w:color w:val="000000"/>
                <w:sz w:val="20"/>
                <w:szCs w:val="20"/>
              </w:rPr>
              <w:t>, excl</w:t>
            </w:r>
            <w:r w:rsidR="009B6D1B" w:rsidRPr="00F05394">
              <w:rPr>
                <w:rFonts w:cs="Arial"/>
                <w:bCs w:val="0"/>
                <w:color w:val="000000"/>
                <w:sz w:val="20"/>
                <w:szCs w:val="20"/>
              </w:rPr>
              <w:t>uding</w:t>
            </w:r>
            <w:r w:rsidRPr="00F05394">
              <w:rPr>
                <w:rFonts w:cs="Arial"/>
                <w:bCs w:val="0"/>
                <w:color w:val="000000"/>
                <w:sz w:val="20"/>
                <w:szCs w:val="20"/>
              </w:rPr>
              <w:t xml:space="preserve"> operating reserve</w:t>
            </w:r>
          </w:p>
        </w:tc>
        <w:tc>
          <w:tcPr>
            <w:tcW w:w="1500" w:type="dxa"/>
            <w:noWrap/>
            <w:vAlign w:val="center"/>
          </w:tcPr>
          <w:p w:rsidR="00EF6F27" w:rsidRPr="00F05394" w:rsidRDefault="00EF6F27" w:rsidP="009B0DD3">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p>
        </w:tc>
        <w:tc>
          <w:tcPr>
            <w:tcW w:w="1450" w:type="dxa"/>
            <w:noWrap/>
            <w:vAlign w:val="center"/>
            <w:hideMark/>
          </w:tcPr>
          <w:p w:rsidR="00EF6F27" w:rsidRPr="00F05394" w:rsidRDefault="009B0DD3" w:rsidP="009B0DD3">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F05394">
              <w:rPr>
                <w:rFonts w:cs="Arial"/>
                <w:b/>
                <w:bCs/>
                <w:color w:val="000000"/>
                <w:sz w:val="20"/>
                <w:szCs w:val="20"/>
              </w:rPr>
              <w:t>364</w:t>
            </w:r>
            <w:r w:rsidR="00EF6F27" w:rsidRPr="00F05394">
              <w:rPr>
                <w:rFonts w:cs="Arial"/>
                <w:b/>
                <w:bCs/>
                <w:color w:val="000000"/>
                <w:sz w:val="20"/>
                <w:szCs w:val="20"/>
              </w:rPr>
              <w:t>,191</w:t>
            </w:r>
          </w:p>
        </w:tc>
      </w:tr>
      <w:tr w:rsidR="009B0DD3" w:rsidRPr="00F05394" w:rsidTr="004568D3">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F05394" w:rsidRDefault="00FA5D4C" w:rsidP="009B0DD3">
            <w:pPr>
              <w:widowControl/>
              <w:autoSpaceDE/>
              <w:autoSpaceDN/>
              <w:adjustRightInd/>
              <w:rPr>
                <w:rFonts w:cs="Arial"/>
                <w:b w:val="0"/>
                <w:color w:val="000000"/>
                <w:sz w:val="20"/>
                <w:szCs w:val="20"/>
              </w:rPr>
            </w:pPr>
            <w:r w:rsidRPr="00F05394">
              <w:rPr>
                <w:rFonts w:cs="Arial"/>
                <w:b w:val="0"/>
                <w:color w:val="000000"/>
                <w:sz w:val="20"/>
                <w:szCs w:val="20"/>
              </w:rPr>
              <w:t xml:space="preserve">Approved Trust Fund </w:t>
            </w:r>
            <w:r w:rsidR="00EF6F27" w:rsidRPr="00F05394">
              <w:rPr>
                <w:rFonts w:cs="Arial"/>
                <w:b w:val="0"/>
                <w:color w:val="000000"/>
                <w:sz w:val="20"/>
                <w:szCs w:val="20"/>
              </w:rPr>
              <w:t>reserve</w:t>
            </w:r>
            <w:r w:rsidRPr="00F05394">
              <w:rPr>
                <w:rFonts w:cs="Arial"/>
                <w:b w:val="0"/>
                <w:color w:val="000000"/>
                <w:sz w:val="20"/>
                <w:szCs w:val="20"/>
              </w:rPr>
              <w:t xml:space="preserve"> drawdown to fund </w:t>
            </w:r>
            <w:r w:rsidR="00801EA4" w:rsidRPr="00F05394">
              <w:rPr>
                <w:rFonts w:cs="Arial"/>
                <w:b w:val="0"/>
                <w:color w:val="000000"/>
                <w:sz w:val="20"/>
                <w:szCs w:val="20"/>
              </w:rPr>
              <w:t xml:space="preserve"> </w:t>
            </w:r>
          </w:p>
          <w:p w:rsidR="00EF6F27" w:rsidRPr="00F05394" w:rsidRDefault="00FA5D4C" w:rsidP="009B0DD3">
            <w:pPr>
              <w:widowControl/>
              <w:autoSpaceDE/>
              <w:autoSpaceDN/>
              <w:adjustRightInd/>
              <w:rPr>
                <w:rFonts w:cs="Arial"/>
                <w:b w:val="0"/>
                <w:color w:val="000000"/>
                <w:sz w:val="20"/>
                <w:szCs w:val="20"/>
              </w:rPr>
            </w:pPr>
            <w:r w:rsidRPr="00F05394">
              <w:rPr>
                <w:rFonts w:cs="Arial"/>
                <w:b w:val="0"/>
                <w:color w:val="000000"/>
                <w:sz w:val="20"/>
                <w:szCs w:val="20"/>
              </w:rPr>
              <w:t xml:space="preserve">prior-year </w:t>
            </w:r>
            <w:r w:rsidR="00EF6F27" w:rsidRPr="00F05394">
              <w:rPr>
                <w:rFonts w:cs="Arial"/>
                <w:b w:val="0"/>
                <w:color w:val="000000"/>
                <w:sz w:val="20"/>
                <w:szCs w:val="20"/>
              </w:rPr>
              <w:t>commitments</w:t>
            </w:r>
            <w:r w:rsidR="009B0DD3" w:rsidRPr="00F05394">
              <w:rPr>
                <w:rFonts w:cs="Arial"/>
                <w:b w:val="0"/>
                <w:color w:val="000000"/>
                <w:sz w:val="20"/>
                <w:szCs w:val="20"/>
              </w:rPr>
              <w:t xml:space="preserve"> (paragraph 21)</w:t>
            </w:r>
          </w:p>
        </w:tc>
        <w:tc>
          <w:tcPr>
            <w:tcW w:w="1500" w:type="dxa"/>
            <w:noWrap/>
            <w:vAlign w:val="center"/>
          </w:tcPr>
          <w:p w:rsidR="00EF6F27" w:rsidRPr="00F05394" w:rsidRDefault="00EF6F27" w:rsidP="009B0DD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450" w:type="dxa"/>
            <w:noWrap/>
            <w:vAlign w:val="center"/>
            <w:hideMark/>
          </w:tcPr>
          <w:p w:rsidR="00EF6F27" w:rsidRPr="00F05394" w:rsidRDefault="009B0DD3" w:rsidP="009B0DD3">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F05394">
              <w:rPr>
                <w:rFonts w:cs="Arial"/>
                <w:color w:val="000000"/>
                <w:sz w:val="20"/>
                <w:szCs w:val="20"/>
              </w:rPr>
              <w:t>(</w:t>
            </w:r>
            <w:r w:rsidR="00EF6F27" w:rsidRPr="00F05394">
              <w:rPr>
                <w:rFonts w:cs="Arial"/>
                <w:color w:val="000000"/>
                <w:sz w:val="20"/>
                <w:szCs w:val="20"/>
              </w:rPr>
              <w:t>76,788</w:t>
            </w:r>
            <w:r w:rsidRPr="00F05394">
              <w:rPr>
                <w:rFonts w:cs="Arial"/>
                <w:color w:val="000000"/>
                <w:sz w:val="20"/>
                <w:szCs w:val="20"/>
              </w:rPr>
              <w:t>)</w:t>
            </w:r>
          </w:p>
        </w:tc>
      </w:tr>
      <w:tr w:rsidR="009B0DD3" w:rsidRPr="00F05394" w:rsidTr="004568D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EF6F27" w:rsidRPr="00F05394" w:rsidRDefault="009B0DD3" w:rsidP="009B0DD3">
            <w:pPr>
              <w:widowControl/>
              <w:autoSpaceDE/>
              <w:autoSpaceDN/>
              <w:adjustRightInd/>
              <w:rPr>
                <w:rFonts w:cs="Arial"/>
                <w:b w:val="0"/>
                <w:color w:val="000000"/>
                <w:sz w:val="20"/>
                <w:szCs w:val="20"/>
              </w:rPr>
            </w:pPr>
            <w:r w:rsidRPr="00F05394">
              <w:rPr>
                <w:rFonts w:cs="Arial"/>
                <w:b w:val="0"/>
                <w:color w:val="000000"/>
                <w:sz w:val="20"/>
                <w:szCs w:val="20"/>
              </w:rPr>
              <w:t xml:space="preserve">Paid </w:t>
            </w:r>
            <w:r w:rsidR="00EF6F27" w:rsidRPr="00F05394">
              <w:rPr>
                <w:rFonts w:cs="Arial"/>
                <w:b w:val="0"/>
                <w:color w:val="000000"/>
                <w:sz w:val="20"/>
                <w:szCs w:val="20"/>
              </w:rPr>
              <w:t xml:space="preserve">contributions </w:t>
            </w:r>
            <w:r w:rsidR="00DA6FFA" w:rsidRPr="00F05394">
              <w:rPr>
                <w:rFonts w:cs="Arial"/>
                <w:b w:val="0"/>
                <w:color w:val="000000"/>
                <w:sz w:val="20"/>
                <w:szCs w:val="20"/>
              </w:rPr>
              <w:t xml:space="preserve">for the triennium </w:t>
            </w:r>
            <w:r w:rsidR="00EF6F27" w:rsidRPr="00F05394">
              <w:rPr>
                <w:rFonts w:cs="Arial"/>
                <w:b w:val="0"/>
                <w:color w:val="000000"/>
                <w:sz w:val="20"/>
                <w:szCs w:val="20"/>
              </w:rPr>
              <w:t xml:space="preserve">2015-2017 </w:t>
            </w:r>
            <w:r w:rsidR="005927B2" w:rsidRPr="00F05394">
              <w:rPr>
                <w:rFonts w:cs="Arial"/>
                <w:b w:val="0"/>
                <w:color w:val="000000"/>
                <w:sz w:val="20"/>
                <w:szCs w:val="20"/>
              </w:rPr>
              <w:t xml:space="preserve">as at 17 August 2017 </w:t>
            </w:r>
            <w:r w:rsidR="00EF6F27" w:rsidRPr="00F05394">
              <w:rPr>
                <w:rFonts w:cs="Arial"/>
                <w:b w:val="0"/>
                <w:color w:val="000000"/>
                <w:sz w:val="20"/>
                <w:szCs w:val="20"/>
              </w:rPr>
              <w:t>(</w:t>
            </w:r>
            <w:r w:rsidRPr="00F05394">
              <w:rPr>
                <w:rFonts w:cs="Arial"/>
                <w:b w:val="0"/>
                <w:color w:val="000000"/>
                <w:sz w:val="20"/>
                <w:szCs w:val="20"/>
              </w:rPr>
              <w:t>paragraph 3)</w:t>
            </w:r>
          </w:p>
        </w:tc>
        <w:tc>
          <w:tcPr>
            <w:tcW w:w="1500" w:type="dxa"/>
            <w:noWrap/>
            <w:vAlign w:val="center"/>
          </w:tcPr>
          <w:p w:rsidR="00EF6F27" w:rsidRPr="00F05394" w:rsidRDefault="00EF6F27" w:rsidP="009B0DD3">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450" w:type="dxa"/>
            <w:noWrap/>
            <w:vAlign w:val="center"/>
            <w:hideMark/>
          </w:tcPr>
          <w:p w:rsidR="00EF6F27" w:rsidRPr="00F05394" w:rsidRDefault="009B0DD3" w:rsidP="009B0DD3">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F05394">
              <w:rPr>
                <w:rFonts w:cs="Arial"/>
                <w:color w:val="000000"/>
                <w:sz w:val="20"/>
                <w:szCs w:val="20"/>
              </w:rPr>
              <w:t>6</w:t>
            </w:r>
            <w:r w:rsidR="00EF6F27" w:rsidRPr="00F05394">
              <w:rPr>
                <w:rFonts w:cs="Arial"/>
                <w:color w:val="000000"/>
                <w:sz w:val="20"/>
                <w:szCs w:val="20"/>
              </w:rPr>
              <w:t>,</w:t>
            </w:r>
            <w:r w:rsidRPr="00F05394">
              <w:rPr>
                <w:rFonts w:cs="Arial"/>
                <w:color w:val="000000"/>
                <w:sz w:val="20"/>
                <w:szCs w:val="20"/>
              </w:rPr>
              <w:t>5</w:t>
            </w:r>
            <w:r w:rsidR="00820C54">
              <w:rPr>
                <w:rFonts w:cs="Arial"/>
                <w:color w:val="000000"/>
                <w:sz w:val="20"/>
                <w:szCs w:val="20"/>
              </w:rPr>
              <w:t>68,434</w:t>
            </w:r>
          </w:p>
        </w:tc>
      </w:tr>
      <w:tr w:rsidR="009B0DD3" w:rsidRPr="00F05394" w:rsidTr="004568D3">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tcPr>
          <w:p w:rsidR="009B0DD3" w:rsidRPr="00F05394" w:rsidRDefault="009B0DD3" w:rsidP="009B0DD3">
            <w:pPr>
              <w:widowControl/>
              <w:autoSpaceDE/>
              <w:autoSpaceDN/>
              <w:adjustRightInd/>
              <w:rPr>
                <w:rFonts w:cs="Arial"/>
                <w:b w:val="0"/>
                <w:color w:val="000000"/>
                <w:sz w:val="20"/>
                <w:szCs w:val="20"/>
              </w:rPr>
            </w:pPr>
            <w:r w:rsidRPr="00F05394">
              <w:rPr>
                <w:rFonts w:cs="Arial"/>
                <w:b w:val="0"/>
                <w:color w:val="000000"/>
                <w:sz w:val="20"/>
                <w:szCs w:val="20"/>
              </w:rPr>
              <w:t xml:space="preserve">Due contributions </w:t>
            </w:r>
            <w:r w:rsidR="00DA6FFA" w:rsidRPr="00F05394">
              <w:rPr>
                <w:rFonts w:cs="Arial"/>
                <w:b w:val="0"/>
                <w:color w:val="000000"/>
                <w:sz w:val="20"/>
                <w:szCs w:val="20"/>
              </w:rPr>
              <w:t xml:space="preserve">for the triennium </w:t>
            </w:r>
            <w:r w:rsidRPr="00F05394">
              <w:rPr>
                <w:rFonts w:cs="Arial"/>
                <w:b w:val="0"/>
                <w:color w:val="000000"/>
                <w:sz w:val="20"/>
                <w:szCs w:val="20"/>
              </w:rPr>
              <w:t>2015-2017 (paragraph 3 &amp; Annex 1)</w:t>
            </w:r>
          </w:p>
        </w:tc>
        <w:tc>
          <w:tcPr>
            <w:tcW w:w="1500" w:type="dxa"/>
            <w:noWrap/>
            <w:vAlign w:val="center"/>
          </w:tcPr>
          <w:p w:rsidR="009B0DD3" w:rsidRPr="00F05394" w:rsidRDefault="009B0DD3" w:rsidP="009B0DD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c>
          <w:tcPr>
            <w:tcW w:w="1450" w:type="dxa"/>
            <w:noWrap/>
            <w:vAlign w:val="center"/>
          </w:tcPr>
          <w:p w:rsidR="009B0DD3" w:rsidRPr="00F05394" w:rsidRDefault="009B0DD3" w:rsidP="009B0DD3">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F05394">
              <w:rPr>
                <w:rFonts w:cs="Arial"/>
                <w:color w:val="000000"/>
                <w:sz w:val="20"/>
                <w:szCs w:val="20"/>
              </w:rPr>
              <w:t>8</w:t>
            </w:r>
            <w:r w:rsidR="00820C54">
              <w:rPr>
                <w:rFonts w:cs="Arial"/>
                <w:color w:val="000000"/>
                <w:sz w:val="20"/>
                <w:szCs w:val="20"/>
              </w:rPr>
              <w:t>74,196</w:t>
            </w:r>
          </w:p>
        </w:tc>
      </w:tr>
      <w:tr w:rsidR="009B0DD3" w:rsidRPr="00F05394" w:rsidTr="004568D3">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EF6F27" w:rsidRPr="00F05394" w:rsidRDefault="00EF6F27" w:rsidP="009B0DD3">
            <w:pPr>
              <w:widowControl/>
              <w:autoSpaceDE/>
              <w:autoSpaceDN/>
              <w:adjustRightInd/>
              <w:rPr>
                <w:rFonts w:cs="Arial"/>
                <w:b w:val="0"/>
                <w:color w:val="000000"/>
                <w:sz w:val="20"/>
                <w:szCs w:val="20"/>
              </w:rPr>
            </w:pPr>
            <w:r w:rsidRPr="00F05394">
              <w:rPr>
                <w:rFonts w:cs="Arial"/>
                <w:b w:val="0"/>
                <w:color w:val="000000"/>
                <w:sz w:val="20"/>
                <w:szCs w:val="20"/>
              </w:rPr>
              <w:t xml:space="preserve">Estimated expenditure </w:t>
            </w:r>
            <w:r w:rsidR="00DA6FFA" w:rsidRPr="00F05394">
              <w:rPr>
                <w:rFonts w:cs="Arial"/>
                <w:b w:val="0"/>
                <w:color w:val="000000"/>
                <w:sz w:val="20"/>
                <w:szCs w:val="20"/>
              </w:rPr>
              <w:t xml:space="preserve">for the triennium </w:t>
            </w:r>
            <w:r w:rsidRPr="00F05394">
              <w:rPr>
                <w:rFonts w:cs="Arial"/>
                <w:b w:val="0"/>
                <w:color w:val="000000"/>
                <w:sz w:val="20"/>
                <w:szCs w:val="20"/>
              </w:rPr>
              <w:t>2015-2017</w:t>
            </w:r>
            <w:r w:rsidR="009B0DD3" w:rsidRPr="00F05394">
              <w:rPr>
                <w:rFonts w:cs="Arial"/>
                <w:b w:val="0"/>
                <w:color w:val="000000"/>
                <w:sz w:val="20"/>
                <w:szCs w:val="20"/>
              </w:rPr>
              <w:t xml:space="preserve"> (Annex 2)</w:t>
            </w:r>
          </w:p>
        </w:tc>
        <w:tc>
          <w:tcPr>
            <w:tcW w:w="1500" w:type="dxa"/>
            <w:noWrap/>
            <w:vAlign w:val="center"/>
          </w:tcPr>
          <w:p w:rsidR="00EF6F27" w:rsidRPr="00F05394" w:rsidRDefault="00EF6F27" w:rsidP="009B0DD3">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450" w:type="dxa"/>
            <w:noWrap/>
            <w:vAlign w:val="center"/>
            <w:hideMark/>
          </w:tcPr>
          <w:p w:rsidR="00EF6F27" w:rsidRPr="00F05394" w:rsidRDefault="009B0DD3" w:rsidP="009B0DD3">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F05394">
              <w:rPr>
                <w:rFonts w:cs="Arial"/>
                <w:color w:val="000000"/>
                <w:sz w:val="20"/>
                <w:szCs w:val="20"/>
              </w:rPr>
              <w:t>(</w:t>
            </w:r>
            <w:r w:rsidR="00EF6F27" w:rsidRPr="00F05394">
              <w:rPr>
                <w:rFonts w:cs="Arial"/>
                <w:color w:val="000000"/>
                <w:sz w:val="20"/>
                <w:szCs w:val="20"/>
              </w:rPr>
              <w:t>7,</w:t>
            </w:r>
            <w:r w:rsidR="00271050" w:rsidRPr="00F05394">
              <w:rPr>
                <w:rFonts w:cs="Arial"/>
                <w:color w:val="000000"/>
                <w:sz w:val="20"/>
                <w:szCs w:val="20"/>
              </w:rPr>
              <w:t>486</w:t>
            </w:r>
            <w:r w:rsidR="00EF6F27" w:rsidRPr="00F05394">
              <w:rPr>
                <w:rFonts w:cs="Arial"/>
                <w:color w:val="000000"/>
                <w:sz w:val="20"/>
                <w:szCs w:val="20"/>
              </w:rPr>
              <w:t>,</w:t>
            </w:r>
            <w:r w:rsidR="00271050" w:rsidRPr="00F05394">
              <w:rPr>
                <w:rFonts w:cs="Arial"/>
                <w:color w:val="000000"/>
                <w:sz w:val="20"/>
                <w:szCs w:val="20"/>
              </w:rPr>
              <w:t>318</w:t>
            </w:r>
            <w:r w:rsidRPr="00F05394">
              <w:rPr>
                <w:rFonts w:cs="Arial"/>
                <w:color w:val="000000"/>
                <w:sz w:val="20"/>
                <w:szCs w:val="20"/>
              </w:rPr>
              <w:t>)</w:t>
            </w:r>
          </w:p>
        </w:tc>
      </w:tr>
      <w:tr w:rsidR="009B0DD3" w:rsidRPr="00F05394" w:rsidTr="004568D3">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9B0DD3" w:rsidRPr="00F05394" w:rsidRDefault="00DA6FFA" w:rsidP="009B0DD3">
            <w:pPr>
              <w:widowControl/>
              <w:autoSpaceDE/>
              <w:autoSpaceDN/>
              <w:adjustRightInd/>
              <w:rPr>
                <w:rFonts w:cs="Arial"/>
                <w:b w:val="0"/>
                <w:color w:val="000000"/>
                <w:sz w:val="20"/>
                <w:szCs w:val="20"/>
                <w:u w:val="single"/>
              </w:rPr>
            </w:pPr>
            <w:r w:rsidRPr="00F05394">
              <w:rPr>
                <w:rFonts w:cs="Arial"/>
                <w:color w:val="000000"/>
                <w:sz w:val="20"/>
                <w:szCs w:val="20"/>
                <w:u w:val="single"/>
              </w:rPr>
              <w:t>Estimated T</w:t>
            </w:r>
            <w:r w:rsidR="009B0DD3" w:rsidRPr="00F05394">
              <w:rPr>
                <w:rFonts w:cs="Arial"/>
                <w:color w:val="000000"/>
                <w:sz w:val="20"/>
                <w:szCs w:val="20"/>
                <w:u w:val="single"/>
              </w:rPr>
              <w:t xml:space="preserve">rust </w:t>
            </w:r>
            <w:r w:rsidRPr="00F05394">
              <w:rPr>
                <w:rFonts w:cs="Arial"/>
                <w:color w:val="000000"/>
                <w:sz w:val="20"/>
                <w:szCs w:val="20"/>
                <w:u w:val="single"/>
              </w:rPr>
              <w:t>F</w:t>
            </w:r>
            <w:r w:rsidR="009B0DD3" w:rsidRPr="00F05394">
              <w:rPr>
                <w:rFonts w:cs="Arial"/>
                <w:color w:val="000000"/>
                <w:sz w:val="20"/>
                <w:szCs w:val="20"/>
                <w:u w:val="single"/>
              </w:rPr>
              <w:t>und balance as at 31 December 2017</w:t>
            </w:r>
            <w:r w:rsidR="00DE5300" w:rsidRPr="00F05394">
              <w:rPr>
                <w:rFonts w:cs="Arial"/>
                <w:color w:val="000000"/>
                <w:sz w:val="20"/>
                <w:szCs w:val="20"/>
                <w:u w:val="single"/>
              </w:rPr>
              <w:t>, excl</w:t>
            </w:r>
            <w:r w:rsidR="009B6D1B" w:rsidRPr="00F05394">
              <w:rPr>
                <w:rFonts w:cs="Arial"/>
                <w:color w:val="000000"/>
                <w:sz w:val="20"/>
                <w:szCs w:val="20"/>
                <w:u w:val="single"/>
              </w:rPr>
              <w:t>uding</w:t>
            </w:r>
            <w:r w:rsidR="00DE5300" w:rsidRPr="00F05394">
              <w:rPr>
                <w:rFonts w:cs="Arial"/>
                <w:color w:val="000000"/>
                <w:sz w:val="20"/>
                <w:szCs w:val="20"/>
                <w:u w:val="single"/>
              </w:rPr>
              <w:t xml:space="preserve"> operating reserve </w:t>
            </w:r>
          </w:p>
        </w:tc>
        <w:tc>
          <w:tcPr>
            <w:tcW w:w="1500" w:type="dxa"/>
            <w:noWrap/>
            <w:vAlign w:val="center"/>
          </w:tcPr>
          <w:p w:rsidR="009B0DD3" w:rsidRPr="00F05394" w:rsidRDefault="009B0DD3" w:rsidP="009B0DD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 w:val="20"/>
                <w:szCs w:val="20"/>
                <w:u w:val="single"/>
              </w:rPr>
            </w:pPr>
          </w:p>
        </w:tc>
        <w:tc>
          <w:tcPr>
            <w:tcW w:w="1450" w:type="dxa"/>
            <w:noWrap/>
            <w:vAlign w:val="center"/>
            <w:hideMark/>
          </w:tcPr>
          <w:p w:rsidR="009B0DD3" w:rsidRPr="00F05394" w:rsidRDefault="00271050" w:rsidP="009B0DD3">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F05394">
              <w:rPr>
                <w:rFonts w:cs="Arial"/>
                <w:b/>
                <w:bCs/>
                <w:color w:val="000000"/>
                <w:sz w:val="20"/>
                <w:szCs w:val="20"/>
                <w:u w:val="single"/>
              </w:rPr>
              <w:t>243</w:t>
            </w:r>
            <w:r w:rsidR="009B0DD3" w:rsidRPr="00F05394">
              <w:rPr>
                <w:rFonts w:cs="Arial"/>
                <w:b/>
                <w:bCs/>
                <w:color w:val="000000"/>
                <w:sz w:val="20"/>
                <w:szCs w:val="20"/>
                <w:u w:val="single"/>
              </w:rPr>
              <w:t>,</w:t>
            </w:r>
            <w:r w:rsidRPr="00F05394">
              <w:rPr>
                <w:rFonts w:cs="Arial"/>
                <w:b/>
                <w:bCs/>
                <w:color w:val="000000"/>
                <w:sz w:val="20"/>
                <w:szCs w:val="20"/>
                <w:u w:val="single"/>
              </w:rPr>
              <w:t>715</w:t>
            </w:r>
          </w:p>
        </w:tc>
      </w:tr>
    </w:tbl>
    <w:p w:rsidR="00A07230" w:rsidRDefault="00A07230" w:rsidP="000E1C9B">
      <w:pPr>
        <w:pBdr>
          <w:top w:val="single" w:sz="6" w:space="0" w:color="FFFFFF"/>
          <w:left w:val="single" w:sz="6" w:space="0" w:color="FFFFFF"/>
          <w:bottom w:val="single" w:sz="6" w:space="0" w:color="FFFFFF"/>
          <w:right w:val="single" w:sz="6" w:space="0" w:color="FFFFFF"/>
        </w:pBdr>
        <w:outlineLvl w:val="1"/>
        <w:rPr>
          <w:sz w:val="22"/>
          <w:szCs w:val="22"/>
        </w:rPr>
      </w:pPr>
    </w:p>
    <w:p w:rsidR="00D123F8" w:rsidRDefault="00D123F8" w:rsidP="000D1323">
      <w:pPr>
        <w:ind w:left="360"/>
        <w:contextualSpacing/>
        <w:jc w:val="both"/>
        <w:rPr>
          <w:color w:val="000000"/>
          <w:sz w:val="22"/>
          <w:szCs w:val="22"/>
          <w:lang w:val="en-GB"/>
        </w:rPr>
      </w:pPr>
      <w:r>
        <w:rPr>
          <w:color w:val="000000"/>
          <w:sz w:val="22"/>
          <w:szCs w:val="22"/>
          <w:lang w:val="en-GB"/>
        </w:rPr>
        <w:t xml:space="preserve">However, </w:t>
      </w:r>
      <w:r w:rsidR="009B6D1B">
        <w:rPr>
          <w:color w:val="000000"/>
          <w:sz w:val="22"/>
          <w:szCs w:val="22"/>
          <w:lang w:val="en-GB"/>
        </w:rPr>
        <w:t xml:space="preserve">the </w:t>
      </w:r>
      <w:r w:rsidR="005367C3">
        <w:rPr>
          <w:color w:val="000000"/>
          <w:sz w:val="22"/>
          <w:szCs w:val="22"/>
          <w:lang w:val="en-GB"/>
        </w:rPr>
        <w:t xml:space="preserve">estimated </w:t>
      </w:r>
      <w:r>
        <w:rPr>
          <w:color w:val="000000"/>
          <w:sz w:val="22"/>
          <w:szCs w:val="22"/>
          <w:lang w:val="en-GB"/>
        </w:rPr>
        <w:t xml:space="preserve">fund balance includes unpaid pledges of </w:t>
      </w:r>
      <w:r w:rsidRPr="00DE5300">
        <w:rPr>
          <w:sz w:val="22"/>
          <w:szCs w:val="22"/>
        </w:rPr>
        <w:t>€</w:t>
      </w:r>
      <w:r>
        <w:rPr>
          <w:color w:val="000000"/>
          <w:sz w:val="22"/>
          <w:szCs w:val="22"/>
          <w:lang w:val="en-GB"/>
        </w:rPr>
        <w:t>109,136 for prior years till 2015</w:t>
      </w:r>
      <w:r w:rsidR="00DA6FFA">
        <w:rPr>
          <w:color w:val="000000"/>
          <w:sz w:val="22"/>
          <w:szCs w:val="22"/>
          <w:lang w:val="en-GB"/>
        </w:rPr>
        <w:t xml:space="preserve">. </w:t>
      </w:r>
      <w:r w:rsidR="009B6D1B">
        <w:rPr>
          <w:color w:val="000000"/>
          <w:sz w:val="22"/>
          <w:szCs w:val="22"/>
          <w:lang w:val="en-GB"/>
        </w:rPr>
        <w:t>T</w:t>
      </w:r>
      <w:r>
        <w:rPr>
          <w:color w:val="000000"/>
          <w:sz w:val="22"/>
          <w:szCs w:val="22"/>
          <w:lang w:val="en-GB"/>
        </w:rPr>
        <w:t xml:space="preserve">herefore, if </w:t>
      </w:r>
      <w:r w:rsidR="00DA6FFA">
        <w:rPr>
          <w:color w:val="000000"/>
          <w:sz w:val="22"/>
          <w:szCs w:val="22"/>
          <w:lang w:val="en-GB"/>
        </w:rPr>
        <w:t>no contributions</w:t>
      </w:r>
      <w:r w:rsidR="00F05394">
        <w:rPr>
          <w:color w:val="000000"/>
          <w:sz w:val="22"/>
          <w:szCs w:val="22"/>
          <w:lang w:val="en-GB"/>
        </w:rPr>
        <w:t xml:space="preserve"> are collected from the Parties with arrears related to prior</w:t>
      </w:r>
      <w:r w:rsidR="00DA6FFA">
        <w:rPr>
          <w:color w:val="000000"/>
          <w:sz w:val="22"/>
          <w:szCs w:val="22"/>
          <w:lang w:val="en-GB"/>
        </w:rPr>
        <w:t xml:space="preserve"> </w:t>
      </w:r>
      <w:r w:rsidR="00F05394">
        <w:rPr>
          <w:color w:val="000000"/>
          <w:sz w:val="22"/>
          <w:szCs w:val="22"/>
          <w:lang w:val="en-GB"/>
        </w:rPr>
        <w:t>years by en</w:t>
      </w:r>
      <w:r w:rsidR="00DA6FFA">
        <w:rPr>
          <w:color w:val="000000"/>
          <w:sz w:val="22"/>
          <w:szCs w:val="22"/>
          <w:lang w:val="en-GB"/>
        </w:rPr>
        <w:t xml:space="preserve">d of </w:t>
      </w:r>
      <w:r>
        <w:rPr>
          <w:color w:val="000000"/>
          <w:sz w:val="22"/>
          <w:szCs w:val="22"/>
          <w:lang w:val="en-GB"/>
        </w:rPr>
        <w:t xml:space="preserve">December 2017, </w:t>
      </w:r>
      <w:r w:rsidR="000D1323">
        <w:rPr>
          <w:color w:val="000000"/>
          <w:sz w:val="22"/>
          <w:szCs w:val="22"/>
          <w:lang w:val="en-GB"/>
        </w:rPr>
        <w:t xml:space="preserve">the </w:t>
      </w:r>
      <w:r>
        <w:rPr>
          <w:color w:val="000000"/>
          <w:sz w:val="22"/>
          <w:szCs w:val="22"/>
          <w:lang w:val="en-GB"/>
        </w:rPr>
        <w:t xml:space="preserve">trust fund balance will be further reduced to </w:t>
      </w:r>
      <w:r w:rsidRPr="00DE5300">
        <w:rPr>
          <w:sz w:val="22"/>
          <w:szCs w:val="22"/>
        </w:rPr>
        <w:t>€</w:t>
      </w:r>
      <w:r w:rsidR="00271050">
        <w:rPr>
          <w:sz w:val="22"/>
          <w:szCs w:val="22"/>
        </w:rPr>
        <w:t>134,579</w:t>
      </w:r>
      <w:r w:rsidR="0026334B">
        <w:rPr>
          <w:sz w:val="22"/>
          <w:szCs w:val="22"/>
        </w:rPr>
        <w:t xml:space="preserve"> excluding operating reserve. </w:t>
      </w:r>
      <w:r w:rsidR="00E26B7A" w:rsidRPr="00C30060">
        <w:rPr>
          <w:sz w:val="22"/>
          <w:szCs w:val="22"/>
        </w:rPr>
        <w:t>With the implementation of Umoja</w:t>
      </w:r>
      <w:r w:rsidR="00E26B7A">
        <w:rPr>
          <w:sz w:val="22"/>
          <w:szCs w:val="22"/>
        </w:rPr>
        <w:t>,</w:t>
      </w:r>
      <w:r w:rsidR="00E26B7A" w:rsidRPr="00C30060">
        <w:rPr>
          <w:sz w:val="22"/>
          <w:szCs w:val="22"/>
        </w:rPr>
        <w:t xml:space="preserve"> </w:t>
      </w:r>
      <w:r w:rsidR="00E26B7A">
        <w:rPr>
          <w:sz w:val="22"/>
          <w:szCs w:val="22"/>
        </w:rPr>
        <w:t xml:space="preserve">healthy financial </w:t>
      </w:r>
      <w:r w:rsidR="00E26B7A" w:rsidRPr="00C30060">
        <w:rPr>
          <w:sz w:val="22"/>
          <w:szCs w:val="22"/>
        </w:rPr>
        <w:t>Trust Fun</w:t>
      </w:r>
      <w:r w:rsidR="00BD3467">
        <w:rPr>
          <w:sz w:val="22"/>
          <w:szCs w:val="22"/>
        </w:rPr>
        <w:t>ds</w:t>
      </w:r>
      <w:r w:rsidR="00E26B7A" w:rsidRPr="00C30060">
        <w:rPr>
          <w:sz w:val="22"/>
          <w:szCs w:val="22"/>
        </w:rPr>
        <w:t xml:space="preserve"> ha</w:t>
      </w:r>
      <w:r w:rsidR="00E26B7A">
        <w:rPr>
          <w:sz w:val="22"/>
          <w:szCs w:val="22"/>
        </w:rPr>
        <w:t>ve</w:t>
      </w:r>
      <w:r w:rsidR="00E26B7A" w:rsidRPr="00C30060">
        <w:rPr>
          <w:sz w:val="22"/>
          <w:szCs w:val="22"/>
        </w:rPr>
        <w:t xml:space="preserve"> become</w:t>
      </w:r>
      <w:r w:rsidR="00E26B7A">
        <w:rPr>
          <w:sz w:val="22"/>
          <w:szCs w:val="22"/>
        </w:rPr>
        <w:t xml:space="preserve"> </w:t>
      </w:r>
      <w:r w:rsidR="00E26B7A" w:rsidRPr="00C30060">
        <w:rPr>
          <w:sz w:val="22"/>
          <w:szCs w:val="22"/>
        </w:rPr>
        <w:t>prerequisite</w:t>
      </w:r>
      <w:r w:rsidR="00E26B7A">
        <w:rPr>
          <w:sz w:val="22"/>
          <w:szCs w:val="22"/>
        </w:rPr>
        <w:t>s</w:t>
      </w:r>
      <w:r w:rsidR="00E26B7A" w:rsidRPr="00C30060">
        <w:rPr>
          <w:sz w:val="22"/>
          <w:szCs w:val="22"/>
        </w:rPr>
        <w:t xml:space="preserve"> for continuing the operation of t</w:t>
      </w:r>
      <w:r w:rsidR="00E26B7A">
        <w:rPr>
          <w:sz w:val="22"/>
          <w:szCs w:val="22"/>
        </w:rPr>
        <w:t>h</w:t>
      </w:r>
      <w:r w:rsidR="00E26B7A" w:rsidRPr="00C30060">
        <w:rPr>
          <w:sz w:val="22"/>
          <w:szCs w:val="22"/>
        </w:rPr>
        <w:t>e Secretariat</w:t>
      </w:r>
      <w:r w:rsidR="00BD3467">
        <w:rPr>
          <w:sz w:val="22"/>
          <w:szCs w:val="22"/>
        </w:rPr>
        <w:t>.        Th</w:t>
      </w:r>
      <w:r w:rsidR="00E26B7A">
        <w:rPr>
          <w:sz w:val="22"/>
          <w:szCs w:val="22"/>
        </w:rPr>
        <w:t>erefore</w:t>
      </w:r>
      <w:r w:rsidR="00FC27D5">
        <w:rPr>
          <w:sz w:val="22"/>
          <w:szCs w:val="22"/>
        </w:rPr>
        <w:t>,</w:t>
      </w:r>
      <w:r w:rsidR="00E26B7A">
        <w:rPr>
          <w:sz w:val="22"/>
          <w:szCs w:val="22"/>
        </w:rPr>
        <w:t xml:space="preserve"> the Secretariat would like </w:t>
      </w:r>
      <w:r w:rsidR="005367C3">
        <w:rPr>
          <w:sz w:val="22"/>
          <w:szCs w:val="22"/>
        </w:rPr>
        <w:t>to</w:t>
      </w:r>
      <w:r w:rsidR="00BD3467">
        <w:rPr>
          <w:sz w:val="22"/>
          <w:szCs w:val="22"/>
        </w:rPr>
        <w:t xml:space="preserve"> urge </w:t>
      </w:r>
      <w:r w:rsidR="00FC27D5">
        <w:rPr>
          <w:sz w:val="22"/>
          <w:szCs w:val="22"/>
        </w:rPr>
        <w:t>t</w:t>
      </w:r>
      <w:r w:rsidR="00E26B7A">
        <w:rPr>
          <w:sz w:val="22"/>
          <w:szCs w:val="22"/>
        </w:rPr>
        <w:t>he Parties with arrears to settle their contributions before the</w:t>
      </w:r>
      <w:r w:rsidR="00FC27D5">
        <w:rPr>
          <w:sz w:val="22"/>
          <w:szCs w:val="22"/>
        </w:rPr>
        <w:t xml:space="preserve"> current</w:t>
      </w:r>
      <w:r w:rsidR="00E26B7A">
        <w:rPr>
          <w:sz w:val="22"/>
          <w:szCs w:val="22"/>
        </w:rPr>
        <w:t xml:space="preserve"> triennium ends in December 2017. </w:t>
      </w:r>
    </w:p>
    <w:p w:rsidR="00FC27D5" w:rsidRDefault="00FC27D5" w:rsidP="00D123F8">
      <w:pPr>
        <w:rPr>
          <w:rFonts w:cs="Arial"/>
          <w:sz w:val="22"/>
          <w:szCs w:val="22"/>
          <w:u w:val="single"/>
          <w:lang w:val="en-GB"/>
        </w:rPr>
      </w:pPr>
    </w:p>
    <w:p w:rsidR="00D123F8" w:rsidRDefault="00D123F8" w:rsidP="00D123F8">
      <w:pPr>
        <w:rPr>
          <w:rFonts w:cs="Arial"/>
          <w:sz w:val="22"/>
          <w:szCs w:val="22"/>
          <w:lang w:val="en-GB"/>
        </w:rPr>
      </w:pPr>
      <w:r>
        <w:rPr>
          <w:rFonts w:cs="Arial"/>
          <w:sz w:val="22"/>
          <w:szCs w:val="22"/>
          <w:u w:val="single"/>
          <w:lang w:val="en-GB"/>
        </w:rPr>
        <w:t>Recommended actions</w:t>
      </w:r>
    </w:p>
    <w:p w:rsidR="00D123F8" w:rsidRDefault="00D123F8" w:rsidP="000E1C9B">
      <w:pPr>
        <w:pBdr>
          <w:top w:val="single" w:sz="6" w:space="0" w:color="FFFFFF"/>
          <w:left w:val="single" w:sz="6" w:space="0" w:color="FFFFFF"/>
          <w:bottom w:val="single" w:sz="6" w:space="0" w:color="FFFFFF"/>
          <w:right w:val="single" w:sz="6" w:space="0" w:color="FFFFFF"/>
        </w:pBdr>
        <w:outlineLvl w:val="1"/>
        <w:rPr>
          <w:color w:val="000000"/>
          <w:sz w:val="22"/>
          <w:szCs w:val="22"/>
          <w:lang w:val="en-GB"/>
        </w:rPr>
      </w:pPr>
    </w:p>
    <w:p w:rsidR="000D1323" w:rsidRPr="000D1323" w:rsidRDefault="000D1323" w:rsidP="000D1323">
      <w:pPr>
        <w:pStyle w:val="ListParagraph"/>
        <w:numPr>
          <w:ilvl w:val="0"/>
          <w:numId w:val="10"/>
        </w:numPr>
        <w:jc w:val="both"/>
        <w:rPr>
          <w:color w:val="000000"/>
          <w:sz w:val="22"/>
          <w:szCs w:val="22"/>
          <w:lang w:val="en-GB"/>
        </w:rPr>
        <w:sectPr w:rsidR="000D1323" w:rsidRPr="000D1323" w:rsidSect="004568D3">
          <w:head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r w:rsidRPr="000D1323">
        <w:rPr>
          <w:sz w:val="22"/>
          <w:szCs w:val="22"/>
        </w:rPr>
        <w:t>The Conference of the Parties is recommended to take note of this document and give</w:t>
      </w:r>
      <w:r w:rsidR="00F15E4A">
        <w:rPr>
          <w:sz w:val="22"/>
          <w:szCs w:val="22"/>
        </w:rPr>
        <w:t xml:space="preserve"> comments and advice as necessary</w:t>
      </w:r>
      <w:r w:rsidR="00EB4DBE">
        <w:rPr>
          <w:sz w:val="22"/>
          <w:szCs w:val="22"/>
        </w:rPr>
        <w:t xml:space="preserve"> to the Secretariat</w:t>
      </w:r>
      <w:r w:rsidRPr="000D1323">
        <w:rPr>
          <w:sz w:val="22"/>
          <w:szCs w:val="22"/>
        </w:rPr>
        <w:t>.</w:t>
      </w:r>
    </w:p>
    <w:p w:rsidR="00256787" w:rsidRDefault="00256787" w:rsidP="00C87661">
      <w:pPr>
        <w:widowControl/>
        <w:autoSpaceDE/>
        <w:autoSpaceDN/>
        <w:adjustRightInd/>
        <w:ind w:left="360"/>
        <w:jc w:val="center"/>
        <w:rPr>
          <w:b/>
          <w:bCs/>
          <w:sz w:val="22"/>
          <w:szCs w:val="22"/>
        </w:rPr>
      </w:pPr>
    </w:p>
    <w:p w:rsidR="00C87661" w:rsidRPr="00C87661" w:rsidRDefault="00C87661" w:rsidP="00C87661">
      <w:pPr>
        <w:widowControl/>
        <w:autoSpaceDE/>
        <w:autoSpaceDN/>
        <w:adjustRightInd/>
        <w:ind w:left="360"/>
        <w:jc w:val="center"/>
        <w:rPr>
          <w:b/>
          <w:sz w:val="22"/>
          <w:szCs w:val="22"/>
          <w:lang w:val="en-GB"/>
        </w:rPr>
      </w:pPr>
      <w:r w:rsidRPr="00C87661">
        <w:rPr>
          <w:b/>
          <w:bCs/>
          <w:sz w:val="22"/>
          <w:szCs w:val="22"/>
        </w:rPr>
        <w:t xml:space="preserve">Annex </w:t>
      </w:r>
      <w:r w:rsidR="0049506C">
        <w:rPr>
          <w:b/>
          <w:bCs/>
          <w:sz w:val="22"/>
          <w:szCs w:val="22"/>
        </w:rPr>
        <w:t>1.</w:t>
      </w:r>
      <w:r w:rsidRPr="00C87661">
        <w:rPr>
          <w:b/>
          <w:bCs/>
          <w:sz w:val="22"/>
          <w:szCs w:val="22"/>
        </w:rPr>
        <w:t xml:space="preserve"> </w:t>
      </w:r>
      <w:r w:rsidRPr="00C87661">
        <w:rPr>
          <w:b/>
          <w:sz w:val="22"/>
          <w:szCs w:val="22"/>
          <w:lang w:val="en-GB"/>
        </w:rPr>
        <w:t>Trust Fund for the Convention on Migratory Species of Wild Animals</w:t>
      </w:r>
    </w:p>
    <w:p w:rsidR="00C87661" w:rsidRPr="0049506C" w:rsidRDefault="00C87661" w:rsidP="0049506C">
      <w:pPr>
        <w:widowControl/>
        <w:autoSpaceDE/>
        <w:autoSpaceDN/>
        <w:adjustRightInd/>
        <w:jc w:val="center"/>
        <w:rPr>
          <w:b/>
          <w:sz w:val="22"/>
          <w:szCs w:val="22"/>
          <w:lang w:val="en-GB"/>
        </w:rPr>
      </w:pPr>
      <w:r w:rsidRPr="0049506C">
        <w:rPr>
          <w:b/>
          <w:sz w:val="22"/>
          <w:szCs w:val="22"/>
          <w:lang w:val="en-GB"/>
        </w:rPr>
        <w:t xml:space="preserve">Status of Contributions as at 17 August 2017 </w:t>
      </w:r>
      <w:r w:rsidRPr="0049506C">
        <w:rPr>
          <w:sz w:val="22"/>
          <w:szCs w:val="22"/>
          <w:lang w:val="en-GB"/>
        </w:rPr>
        <w:t>(</w:t>
      </w:r>
      <w:r w:rsidRPr="0049506C">
        <w:rPr>
          <w:i/>
          <w:sz w:val="22"/>
          <w:szCs w:val="22"/>
          <w:lang w:val="en-GB"/>
        </w:rPr>
        <w:t>in Euros</w:t>
      </w:r>
      <w:r w:rsidRPr="0049506C">
        <w:rPr>
          <w:sz w:val="22"/>
          <w:szCs w:val="22"/>
          <w:lang w:val="en-GB"/>
        </w:rPr>
        <w:t>)</w:t>
      </w:r>
    </w:p>
    <w:p w:rsidR="00C87661" w:rsidRPr="00C87661" w:rsidRDefault="00C87661" w:rsidP="00C87661">
      <w:pPr>
        <w:pStyle w:val="ListParagraph"/>
        <w:widowControl/>
        <w:autoSpaceDE/>
        <w:autoSpaceDN/>
        <w:adjustRightInd/>
        <w:rPr>
          <w:b/>
          <w:sz w:val="24"/>
          <w:lang w:val="en-GB"/>
        </w:rPr>
      </w:pPr>
    </w:p>
    <w:tbl>
      <w:tblPr>
        <w:tblW w:w="5000" w:type="pct"/>
        <w:tblLook w:val="04A0" w:firstRow="1" w:lastRow="0" w:firstColumn="1" w:lastColumn="0" w:noHBand="0" w:noVBand="1"/>
      </w:tblPr>
      <w:tblGrid>
        <w:gridCol w:w="489"/>
        <w:gridCol w:w="2417"/>
        <w:gridCol w:w="1387"/>
        <w:gridCol w:w="1387"/>
        <w:gridCol w:w="1387"/>
        <w:gridCol w:w="1387"/>
        <w:gridCol w:w="1387"/>
        <w:gridCol w:w="1387"/>
        <w:gridCol w:w="1387"/>
        <w:gridCol w:w="1387"/>
        <w:gridCol w:w="1375"/>
      </w:tblGrid>
      <w:tr w:rsidR="00C87661" w:rsidRPr="009612B9" w:rsidTr="001C63E3">
        <w:trPr>
          <w:trHeight w:val="936"/>
          <w:tblHeader/>
        </w:trPr>
        <w:tc>
          <w:tcPr>
            <w:tcW w:w="159" w:type="pct"/>
            <w:tcBorders>
              <w:top w:val="single" w:sz="18" w:space="0" w:color="auto"/>
              <w:left w:val="single" w:sz="8" w:space="0" w:color="auto"/>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No</w:t>
            </w:r>
          </w:p>
        </w:tc>
        <w:tc>
          <w:tcPr>
            <w:tcW w:w="786"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rPr>
                <w:rFonts w:cs="Arial"/>
                <w:b/>
                <w:bCs/>
                <w:color w:val="000000" w:themeColor="text1"/>
                <w:sz w:val="16"/>
                <w:szCs w:val="16"/>
              </w:rPr>
            </w:pPr>
            <w:r w:rsidRPr="009612B9">
              <w:rPr>
                <w:rFonts w:cs="Arial"/>
                <w:b/>
                <w:bCs/>
                <w:color w:val="000000" w:themeColor="text1"/>
                <w:sz w:val="16"/>
                <w:szCs w:val="16"/>
              </w:rPr>
              <w:t>Parties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Unpaid Pledges for 2016 &amp; Prior Years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Advanced Payments for Future Years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Pledges for 2017</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Collections in 2017 for 2016 &amp; Prior Years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Collections in 2017 for 2017</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Collections during 2017 for Future Years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Unpaid Pledges for 2016 &amp; Prior Years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Unpaid Pledges for 2017</w:t>
            </w:r>
          </w:p>
        </w:tc>
        <w:tc>
          <w:tcPr>
            <w:tcW w:w="451" w:type="pct"/>
            <w:tcBorders>
              <w:top w:val="single" w:sz="18" w:space="0" w:color="auto"/>
              <w:left w:val="nil"/>
              <w:bottom w:val="single" w:sz="18" w:space="0" w:color="auto"/>
              <w:right w:val="single" w:sz="8" w:space="0" w:color="auto"/>
            </w:tcBorders>
            <w:shd w:val="clear" w:color="auto" w:fill="DEEAF6" w:themeFill="accent1" w:themeFillTint="33"/>
            <w:vAlign w:val="center"/>
            <w:hideMark/>
          </w:tcPr>
          <w:p w:rsidR="00C87661" w:rsidRPr="009612B9" w:rsidRDefault="00C87661" w:rsidP="006F4B3F">
            <w:pPr>
              <w:widowControl/>
              <w:autoSpaceDE/>
              <w:autoSpaceDN/>
              <w:adjustRightInd/>
              <w:jc w:val="center"/>
              <w:rPr>
                <w:rFonts w:cs="Arial"/>
                <w:b/>
                <w:bCs/>
                <w:color w:val="000000" w:themeColor="text1"/>
                <w:sz w:val="16"/>
                <w:szCs w:val="16"/>
              </w:rPr>
            </w:pPr>
            <w:r w:rsidRPr="009612B9">
              <w:rPr>
                <w:rFonts w:cs="Arial"/>
                <w:b/>
                <w:bCs/>
                <w:color w:val="000000" w:themeColor="text1"/>
                <w:sz w:val="16"/>
                <w:szCs w:val="16"/>
              </w:rPr>
              <w:t>Advanced Payments for Future Years</w:t>
            </w:r>
          </w:p>
        </w:tc>
      </w:tr>
      <w:tr w:rsidR="00C87661" w:rsidRPr="009612B9" w:rsidTr="006F4B3F">
        <w:trPr>
          <w:trHeight w:val="255"/>
        </w:trPr>
        <w:tc>
          <w:tcPr>
            <w:tcW w:w="159" w:type="pct"/>
            <w:tcBorders>
              <w:top w:val="single" w:sz="18" w:space="0" w:color="auto"/>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w:t>
            </w:r>
          </w:p>
        </w:tc>
        <w:tc>
          <w:tcPr>
            <w:tcW w:w="786"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rPr>
                <w:rFonts w:cs="Arial"/>
                <w:b/>
                <w:bCs/>
                <w:color w:val="000000"/>
                <w:sz w:val="16"/>
                <w:szCs w:val="16"/>
              </w:rPr>
            </w:pPr>
            <w:r w:rsidRPr="009612B9">
              <w:rPr>
                <w:rFonts w:cs="Arial"/>
                <w:b/>
                <w:bCs/>
                <w:color w:val="000000"/>
                <w:sz w:val="16"/>
                <w:szCs w:val="16"/>
              </w:rPr>
              <w:t> </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8" w:space="0" w:color="auto"/>
            </w:tcBorders>
            <w:shd w:val="clear" w:color="auto" w:fill="auto"/>
            <w:vAlign w:val="center"/>
            <w:hideMark/>
          </w:tcPr>
          <w:p w:rsidR="00C87661" w:rsidRPr="009612B9" w:rsidRDefault="00C87661" w:rsidP="006F4B3F">
            <w:pPr>
              <w:widowControl/>
              <w:autoSpaceDE/>
              <w:autoSpaceDN/>
              <w:adjustRightInd/>
              <w:jc w:val="center"/>
              <w:rPr>
                <w:rFonts w:cs="Arial"/>
                <w:b/>
                <w:bCs/>
                <w:color w:val="000000"/>
                <w:sz w:val="16"/>
                <w:szCs w:val="16"/>
              </w:rPr>
            </w:pPr>
            <w:r w:rsidRPr="009612B9">
              <w:rPr>
                <w:rFonts w:cs="Arial"/>
                <w:b/>
                <w:bCs/>
                <w:color w:val="000000"/>
                <w:sz w:val="16"/>
                <w:szCs w:val="16"/>
              </w:rPr>
              <w:t>EUR</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xml:space="preserve">Albania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Algeria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8,136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8,136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Angola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567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567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Antigua &amp; Barbuda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Argentina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22,231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25,657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22,231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25,657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Armenia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Australia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123,177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123,177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Austria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47,394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47,394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Bangladesh</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Belarus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Belgium</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w:t>
            </w:r>
            <w:r w:rsidR="001C63E3" w:rsidRPr="009612B9">
              <w:rPr>
                <w:rFonts w:cs="Arial"/>
                <w:color w:val="000000"/>
                <w:sz w:val="16"/>
                <w:szCs w:val="16"/>
              </w:rPr>
              <w:t>12,00</w:t>
            </w:r>
            <w:r w:rsidR="00811BCC">
              <w:rPr>
                <w:rFonts w:cs="Arial"/>
                <w:color w:val="000000"/>
                <w:sz w:val="16"/>
                <w:szCs w:val="16"/>
              </w:rPr>
              <w:t>7</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xml:space="preserve">59,271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xml:space="preserve">59,271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1C63E3" w:rsidP="001C63E3">
            <w:pPr>
              <w:widowControl/>
              <w:autoSpaceDE/>
              <w:autoSpaceDN/>
              <w:adjustRightInd/>
              <w:jc w:val="right"/>
              <w:rPr>
                <w:rFonts w:cs="Arial"/>
                <w:color w:val="000000"/>
                <w:sz w:val="16"/>
                <w:szCs w:val="16"/>
              </w:rPr>
            </w:pPr>
            <w:r w:rsidRPr="009612B9">
              <w:rPr>
                <w:rFonts w:cs="Arial"/>
                <w:color w:val="000000"/>
                <w:sz w:val="16"/>
                <w:szCs w:val="16"/>
              </w:rPr>
              <w:t>12,00</w:t>
            </w:r>
            <w:r w:rsidR="00811BCC">
              <w:rPr>
                <w:rFonts w:cs="Arial"/>
                <w:color w:val="000000"/>
                <w:sz w:val="16"/>
                <w:szCs w:val="16"/>
              </w:rPr>
              <w:t>7</w:t>
            </w:r>
            <w:r w:rsidR="00C87661"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1C63E3">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Benin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144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Bolivia (Plurinational State of)</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noWrap/>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Bulgaria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Burkina Faso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57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Burundi</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311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Cabo Verde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xml:space="preserve">Cameroon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1,244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1,244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Chad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1,319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1,319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Chile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19,837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19,306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Congo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xml:space="preserve">Cook Islands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Costa Rica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1,666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Côte d’Ivoire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22,792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654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22,138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Croatia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7,485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7,485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Cuba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26,782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4,099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26,782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4,099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Cyprus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Czech Republic</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22,926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22,926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29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Dem.</w:t>
            </w:r>
            <w:r w:rsidR="005F3037">
              <w:rPr>
                <w:rFonts w:cs="Arial"/>
                <w:color w:val="000000"/>
                <w:sz w:val="16"/>
                <w:szCs w:val="16"/>
              </w:rPr>
              <w:t xml:space="preserve"> </w:t>
            </w:r>
            <w:r w:rsidRPr="009612B9">
              <w:rPr>
                <w:rFonts w:cs="Arial"/>
                <w:color w:val="000000"/>
                <w:sz w:val="16"/>
                <w:szCs w:val="16"/>
              </w:rPr>
              <w:t>Rep</w:t>
            </w:r>
            <w:r w:rsidR="005F3037">
              <w:rPr>
                <w:rFonts w:cs="Arial"/>
                <w:color w:val="000000"/>
                <w:sz w:val="16"/>
                <w:szCs w:val="16"/>
              </w:rPr>
              <w:t>.</w:t>
            </w:r>
            <w:r w:rsidRPr="009612B9">
              <w:rPr>
                <w:rFonts w:cs="Arial"/>
                <w:color w:val="000000"/>
                <w:sz w:val="16"/>
                <w:szCs w:val="16"/>
              </w:rPr>
              <w:t xml:space="preserve"> of the Congo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3,446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3,446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Denmark</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75,169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40,089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35,080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lastRenderedPageBreak/>
              <w:t>31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Djibouti</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557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557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Ecuador</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4,403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4,403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2,614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Egypt</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6,897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7,960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6,897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7,960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Equatorial Guinea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2,311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2,311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Eritrea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164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Estonia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Ethiopia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European Union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67,869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67,869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39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Fiji</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Finland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30,823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30,823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France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332,176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332,176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Gabon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1,189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1,189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Gambia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Georgia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Germany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424,114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424,114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Ghana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831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831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FA5D4C">
              <w:rPr>
                <w:rFonts w:cs="Arial"/>
                <w:color w:val="000000" w:themeColor="text1"/>
                <w:sz w:val="16"/>
                <w:szCs w:val="16"/>
              </w:rPr>
              <w:t>(0)</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Greece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101,911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37,893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69,078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32,833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37,893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Guinea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1,219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1,219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49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Guinea-Bissau</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Honduras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413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Hungary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15,797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15,797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India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34,302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39,554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34,302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39,554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Iran (Islamic Republic of)</w:t>
            </w:r>
            <w:r w:rsidR="00FA5D4C">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E215E7" w:rsidP="006F4B3F">
            <w:pPr>
              <w:widowControl/>
              <w:autoSpaceDE/>
              <w:autoSpaceDN/>
              <w:adjustRightInd/>
              <w:jc w:val="right"/>
              <w:rPr>
                <w:rFonts w:cs="Arial"/>
                <w:color w:val="000000"/>
                <w:sz w:val="16"/>
                <w:szCs w:val="16"/>
              </w:rPr>
            </w:pPr>
            <w:r>
              <w:rPr>
                <w:rFonts w:cs="Arial"/>
                <w:color w:val="000000"/>
                <w:sz w:val="16"/>
                <w:szCs w:val="16"/>
              </w:rPr>
              <w:t>39,932</w:t>
            </w:r>
            <w:r w:rsidR="00C87661"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21,143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18,319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E215E7" w:rsidP="006F4B3F">
            <w:pPr>
              <w:widowControl/>
              <w:autoSpaceDE/>
              <w:autoSpaceDN/>
              <w:adjustRightInd/>
              <w:jc w:val="right"/>
              <w:rPr>
                <w:rFonts w:cs="Arial"/>
                <w:color w:val="000000"/>
                <w:sz w:val="16"/>
                <w:szCs w:val="16"/>
              </w:rPr>
            </w:pPr>
            <w:r>
              <w:rPr>
                <w:rFonts w:cs="Arial"/>
                <w:color w:val="000000"/>
                <w:sz w:val="16"/>
                <w:szCs w:val="16"/>
              </w:rPr>
              <w:t>21,613</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21,143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Ireland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24,827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24,827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Israel</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23,518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23,518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Italy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264,174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264,174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Jordan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1,776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1,306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1,776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1,306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Kazakhstan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7,186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7,186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59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Kenya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Kyrgyzstan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Latvia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Liberia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xml:space="preserve">Libya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66,031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8,435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66,031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8,435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Liechtenstein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Lithuania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4,335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4,335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lastRenderedPageBreak/>
              <w:t>66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Luxembourg</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8,906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4,811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8,906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4,811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Madagascar</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199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Mali</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69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Malta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950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950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Mauritania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637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637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Mauritius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Monaco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Mongolia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Montenegro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256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256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Morocco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3,681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3,681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Mozambique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Netherlands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98,234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98,234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New Zealand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15,026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15,026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79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Niger</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2,105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2,105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Nigeria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9,309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5,345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9,309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5,345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Norway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50,541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50,541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Pakistan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1,139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5,049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3,910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Palau</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4,380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4,320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Panama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1,545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1,513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32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Paraguay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Peru</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3,397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6,950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3,553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1,532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1,532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Philippines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9,581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435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Poland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54,700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54,700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89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Portugal</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50,956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28,152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24,393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26,563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28,152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Republic of Moldova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Romania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13,422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13,422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Rwanda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208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208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Samoa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Sao Tome &amp; Principe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650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650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Saudi Arabia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44,397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51,314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44,397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51,314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Senegal</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1,682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1,682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267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Serbia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Seychelles</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99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Slovakia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10,156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10,156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Slovenia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5,940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5,940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lastRenderedPageBreak/>
              <w:t>101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xml:space="preserve">Somalia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South Africa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22,093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22,093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Spain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176,571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176,571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Sri Lanka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1,485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1,485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Swaziland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312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312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Sweden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57,016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57,016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Switzerland</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62,182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62,182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Syrian Arab Republic</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8,009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8,009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109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Tajikistan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(0)</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110</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The FYR of Macedonia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2,309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475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2,309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475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111</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Togo</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300"/>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112</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Tunisia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8,119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3,726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4,393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113</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Uganda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FA5D4C" w:rsidRDefault="00C87661" w:rsidP="006F4B3F">
            <w:pPr>
              <w:widowControl/>
              <w:autoSpaceDE/>
              <w:autoSpaceDN/>
              <w:adjustRightInd/>
              <w:jc w:val="right"/>
              <w:rPr>
                <w:rFonts w:cs="Arial"/>
                <w:color w:val="000000" w:themeColor="text1"/>
                <w:sz w:val="16"/>
                <w:szCs w:val="16"/>
              </w:rPr>
            </w:pPr>
            <w:r w:rsidRPr="00FA5D4C">
              <w:rPr>
                <w:rFonts w:cs="Arial"/>
                <w:color w:val="000000" w:themeColor="text1"/>
                <w:sz w:val="16"/>
                <w:szCs w:val="16"/>
              </w:rPr>
              <w:t>(0)</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114</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Ukraine</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5,880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5,880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115</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United Kingdom</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307,588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307,588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116</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United Republic of Tanzania</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931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931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72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117</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Uruguay</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5,380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3,089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5,380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3,089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118</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Uzbekistan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3,445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890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772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2,673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890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119</w:t>
            </w:r>
          </w:p>
        </w:tc>
        <w:tc>
          <w:tcPr>
            <w:tcW w:w="786" w:type="pct"/>
            <w:tcBorders>
              <w:top w:val="nil"/>
              <w:left w:val="nil"/>
              <w:bottom w:val="single" w:sz="4"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Yemen</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1,752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1,752 </w:t>
            </w:r>
          </w:p>
        </w:tc>
        <w:tc>
          <w:tcPr>
            <w:tcW w:w="451" w:type="pct"/>
            <w:tcBorders>
              <w:top w:val="nil"/>
              <w:left w:val="nil"/>
              <w:bottom w:val="single" w:sz="4"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255"/>
        </w:trPr>
        <w:tc>
          <w:tcPr>
            <w:tcW w:w="159" w:type="pct"/>
            <w:tcBorders>
              <w:top w:val="nil"/>
              <w:left w:val="single" w:sz="8" w:space="0" w:color="auto"/>
              <w:bottom w:val="single" w:sz="12"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120</w:t>
            </w:r>
          </w:p>
        </w:tc>
        <w:tc>
          <w:tcPr>
            <w:tcW w:w="786" w:type="pct"/>
            <w:tcBorders>
              <w:top w:val="nil"/>
              <w:left w:val="nil"/>
              <w:bottom w:val="single" w:sz="12" w:space="0" w:color="auto"/>
              <w:right w:val="single" w:sz="4" w:space="0" w:color="auto"/>
            </w:tcBorders>
            <w:shd w:val="clear" w:color="000000" w:fill="FFFFFF"/>
            <w:noWrap/>
            <w:vAlign w:val="center"/>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Zimbabwe</w:t>
            </w:r>
          </w:p>
        </w:tc>
        <w:tc>
          <w:tcPr>
            <w:tcW w:w="451" w:type="pct"/>
            <w:tcBorders>
              <w:top w:val="nil"/>
              <w:left w:val="nil"/>
              <w:bottom w:val="single" w:sz="12"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12"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12"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4" w:space="0" w:color="auto"/>
            </w:tcBorders>
            <w:shd w:val="clear" w:color="000000" w:fill="FFFFFF"/>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C87661" w:rsidRPr="009612B9" w:rsidTr="006F4B3F">
        <w:trPr>
          <w:trHeight w:val="300"/>
        </w:trPr>
        <w:tc>
          <w:tcPr>
            <w:tcW w:w="159" w:type="pct"/>
            <w:tcBorders>
              <w:top w:val="single" w:sz="12" w:space="0" w:color="auto"/>
              <w:left w:val="single" w:sz="8" w:space="0" w:color="auto"/>
              <w:bottom w:val="single" w:sz="18" w:space="0" w:color="auto"/>
              <w:right w:val="single" w:sz="4" w:space="0" w:color="auto"/>
            </w:tcBorders>
            <w:shd w:val="clear" w:color="auto" w:fill="auto"/>
            <w:noWrap/>
            <w:vAlign w:val="bottom"/>
            <w:hideMark/>
          </w:tcPr>
          <w:p w:rsidR="00C87661" w:rsidRPr="009612B9" w:rsidRDefault="00C87661" w:rsidP="006F4B3F">
            <w:pPr>
              <w:widowControl/>
              <w:autoSpaceDE/>
              <w:autoSpaceDN/>
              <w:adjustRightInd/>
              <w:jc w:val="right"/>
              <w:rPr>
                <w:rFonts w:cs="Arial"/>
                <w:color w:val="000000"/>
                <w:sz w:val="16"/>
                <w:szCs w:val="16"/>
              </w:rPr>
            </w:pPr>
            <w:r w:rsidRPr="009612B9">
              <w:rPr>
                <w:rFonts w:cs="Arial"/>
                <w:color w:val="000000"/>
                <w:sz w:val="16"/>
                <w:szCs w:val="16"/>
              </w:rPr>
              <w:t> </w:t>
            </w:r>
          </w:p>
        </w:tc>
        <w:tc>
          <w:tcPr>
            <w:tcW w:w="786"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rPr>
                <w:rFonts w:cs="Arial"/>
                <w:b/>
                <w:bCs/>
                <w:color w:val="000000"/>
                <w:sz w:val="16"/>
                <w:szCs w:val="16"/>
              </w:rPr>
            </w:pPr>
            <w:r w:rsidRPr="009612B9">
              <w:rPr>
                <w:rFonts w:cs="Arial"/>
                <w:b/>
                <w:bCs/>
                <w:color w:val="000000"/>
                <w:sz w:val="16"/>
                <w:szCs w:val="16"/>
              </w:rPr>
              <w:t>Total</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E215E7" w:rsidP="006F4B3F">
            <w:pPr>
              <w:widowControl/>
              <w:autoSpaceDE/>
              <w:autoSpaceDN/>
              <w:adjustRightInd/>
              <w:jc w:val="right"/>
              <w:rPr>
                <w:rFonts w:cs="Arial"/>
                <w:b/>
                <w:bCs/>
                <w:color w:val="000000"/>
                <w:sz w:val="16"/>
                <w:szCs w:val="16"/>
              </w:rPr>
            </w:pPr>
            <w:r>
              <w:rPr>
                <w:rFonts w:cs="Arial"/>
                <w:b/>
                <w:bCs/>
                <w:color w:val="000000"/>
                <w:sz w:val="16"/>
                <w:szCs w:val="16"/>
              </w:rPr>
              <w:t>497,741</w:t>
            </w:r>
            <w:r w:rsidR="00C87661" w:rsidRPr="009612B9">
              <w:rPr>
                <w:rFonts w:cs="Arial"/>
                <w:b/>
                <w:bCs/>
                <w:color w:val="000000"/>
                <w:sz w:val="16"/>
                <w:szCs w:val="16"/>
              </w:rPr>
              <w:t xml:space="preserve">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494,009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2,714,794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158,787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1,638,440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2,250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E215E7" w:rsidP="006F4B3F">
            <w:pPr>
              <w:widowControl/>
              <w:autoSpaceDE/>
              <w:autoSpaceDN/>
              <w:adjustRightInd/>
              <w:jc w:val="right"/>
              <w:rPr>
                <w:rFonts w:cs="Arial"/>
                <w:b/>
                <w:bCs/>
                <w:color w:val="000000"/>
                <w:sz w:val="16"/>
                <w:szCs w:val="16"/>
              </w:rPr>
            </w:pPr>
            <w:r>
              <w:rPr>
                <w:rFonts w:cs="Arial"/>
                <w:b/>
                <w:bCs/>
                <w:color w:val="000000"/>
                <w:sz w:val="16"/>
                <w:szCs w:val="16"/>
              </w:rPr>
              <w:t>338,954</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644,378 </w:t>
            </w:r>
          </w:p>
        </w:tc>
        <w:tc>
          <w:tcPr>
            <w:tcW w:w="451" w:type="pct"/>
            <w:tcBorders>
              <w:top w:val="single" w:sz="12" w:space="0" w:color="auto"/>
              <w:left w:val="nil"/>
              <w:bottom w:val="single" w:sz="18" w:space="0" w:color="auto"/>
              <w:right w:val="single" w:sz="8" w:space="0" w:color="auto"/>
            </w:tcBorders>
            <w:shd w:val="clear" w:color="000000" w:fill="FFFFFF"/>
            <w:noWrap/>
            <w:vAlign w:val="bottom"/>
            <w:hideMark/>
          </w:tcPr>
          <w:p w:rsidR="00C87661" w:rsidRPr="009612B9" w:rsidRDefault="00C87661" w:rsidP="006F4B3F">
            <w:pPr>
              <w:widowControl/>
              <w:autoSpaceDE/>
              <w:autoSpaceDN/>
              <w:adjustRightInd/>
              <w:jc w:val="right"/>
              <w:rPr>
                <w:rFonts w:cs="Arial"/>
                <w:b/>
                <w:bCs/>
                <w:color w:val="000000"/>
                <w:sz w:val="16"/>
                <w:szCs w:val="16"/>
              </w:rPr>
            </w:pPr>
            <w:r w:rsidRPr="009612B9">
              <w:rPr>
                <w:rFonts w:cs="Arial"/>
                <w:b/>
                <w:bCs/>
                <w:color w:val="000000"/>
                <w:sz w:val="16"/>
                <w:szCs w:val="16"/>
              </w:rPr>
              <w:t xml:space="preserve">64,283 </w:t>
            </w:r>
          </w:p>
        </w:tc>
      </w:tr>
    </w:tbl>
    <w:p w:rsidR="00DA6FFA" w:rsidRDefault="00DA6FFA" w:rsidP="00DA6FFA">
      <w:pPr>
        <w:pBdr>
          <w:top w:val="single" w:sz="6" w:space="0" w:color="FFFFFF"/>
          <w:left w:val="single" w:sz="6" w:space="0" w:color="FFFFFF"/>
          <w:bottom w:val="single" w:sz="6" w:space="0" w:color="FFFFFF"/>
          <w:right w:val="single" w:sz="6" w:space="0" w:color="FFFFFF"/>
        </w:pBdr>
        <w:outlineLvl w:val="1"/>
        <w:rPr>
          <w:rFonts w:cs="Arial"/>
          <w:sz w:val="16"/>
          <w:szCs w:val="16"/>
          <w:lang w:val="en-GB"/>
        </w:rPr>
      </w:pPr>
    </w:p>
    <w:p w:rsidR="004568D3" w:rsidRDefault="004568D3" w:rsidP="00FA5D4C">
      <w:pPr>
        <w:pBdr>
          <w:top w:val="single" w:sz="6" w:space="0" w:color="FFFFFF"/>
          <w:left w:val="single" w:sz="6" w:space="0" w:color="FFFFFF"/>
          <w:bottom w:val="single" w:sz="6" w:space="0" w:color="FFFFFF"/>
          <w:right w:val="single" w:sz="6" w:space="0" w:color="FFFFFF"/>
        </w:pBdr>
        <w:outlineLvl w:val="1"/>
        <w:rPr>
          <w:rFonts w:cs="Arial"/>
          <w:b/>
          <w:caps/>
          <w:sz w:val="22"/>
          <w:szCs w:val="22"/>
          <w:lang w:val="en-GB"/>
        </w:rPr>
        <w:sectPr w:rsidR="004568D3" w:rsidSect="00256787">
          <w:headerReference w:type="even" r:id="rId18"/>
          <w:headerReference w:type="default" r:id="rId19"/>
          <w:headerReference w:type="first" r:id="rId20"/>
          <w:endnotePr>
            <w:numFmt w:val="decimal"/>
          </w:endnotePr>
          <w:pgSz w:w="16837" w:h="11905" w:orient="landscape" w:code="9"/>
          <w:pgMar w:top="720" w:right="720" w:bottom="720" w:left="720" w:header="432" w:footer="432" w:gutter="0"/>
          <w:cols w:space="720"/>
          <w:noEndnote/>
          <w:titlePg/>
          <w:docGrid w:linePitch="272"/>
        </w:sectPr>
      </w:pPr>
    </w:p>
    <w:p w:rsidR="006F4B3F" w:rsidRPr="00324BB2" w:rsidRDefault="00256787" w:rsidP="001C63E3">
      <w:pPr>
        <w:widowControl/>
        <w:autoSpaceDE/>
        <w:autoSpaceDN/>
        <w:adjustRightInd/>
        <w:jc w:val="center"/>
        <w:rPr>
          <w:b/>
          <w:sz w:val="22"/>
          <w:szCs w:val="22"/>
          <w:lang w:val="en-GB"/>
        </w:rPr>
      </w:pPr>
      <w:r>
        <w:rPr>
          <w:b/>
          <w:bCs/>
          <w:sz w:val="22"/>
          <w:szCs w:val="22"/>
        </w:rPr>
        <w:lastRenderedPageBreak/>
        <w:t>An</w:t>
      </w:r>
      <w:r w:rsidR="006F4B3F" w:rsidRPr="00324BB2">
        <w:rPr>
          <w:b/>
          <w:bCs/>
          <w:sz w:val="22"/>
          <w:szCs w:val="22"/>
        </w:rPr>
        <w:t xml:space="preserve">nex 2. Implementation of the 2015-2017 budget </w:t>
      </w:r>
      <w:r w:rsidR="006F4B3F" w:rsidRPr="00324BB2">
        <w:rPr>
          <w:b/>
          <w:sz w:val="22"/>
          <w:szCs w:val="22"/>
          <w:lang w:val="en-GB"/>
        </w:rPr>
        <w:t>(in Euros)</w:t>
      </w:r>
    </w:p>
    <w:p w:rsidR="00E4795A" w:rsidRDefault="00E4795A" w:rsidP="00C87661">
      <w:pPr>
        <w:pStyle w:val="ListParagraph"/>
        <w:pBdr>
          <w:top w:val="single" w:sz="6" w:space="0" w:color="FFFFFF"/>
          <w:left w:val="single" w:sz="6" w:space="0" w:color="FFFFFF"/>
          <w:bottom w:val="single" w:sz="6" w:space="0" w:color="FFFFFF"/>
          <w:right w:val="single" w:sz="6" w:space="0" w:color="FFFFFF"/>
        </w:pBdr>
        <w:ind w:left="0"/>
        <w:outlineLvl w:val="1"/>
        <w:rPr>
          <w:rFonts w:cs="Arial"/>
          <w:b/>
          <w:caps/>
          <w:sz w:val="22"/>
          <w:szCs w:val="22"/>
          <w:lang w:val="en-GB"/>
        </w:rPr>
      </w:pPr>
    </w:p>
    <w:tbl>
      <w:tblPr>
        <w:tblW w:w="5000" w:type="pct"/>
        <w:tblBorders>
          <w:top w:val="single" w:sz="12" w:space="0" w:color="auto"/>
          <w:bottom w:val="single" w:sz="12" w:space="0" w:color="auto"/>
        </w:tblBorders>
        <w:tblLook w:val="04A0" w:firstRow="1" w:lastRow="0" w:firstColumn="1" w:lastColumn="0" w:noHBand="0" w:noVBand="1"/>
      </w:tblPr>
      <w:tblGrid>
        <w:gridCol w:w="447"/>
        <w:gridCol w:w="431"/>
        <w:gridCol w:w="4086"/>
        <w:gridCol w:w="973"/>
        <w:gridCol w:w="976"/>
        <w:gridCol w:w="1010"/>
        <w:gridCol w:w="835"/>
        <w:gridCol w:w="1112"/>
        <w:gridCol w:w="1013"/>
        <w:gridCol w:w="825"/>
        <w:gridCol w:w="1189"/>
        <w:gridCol w:w="976"/>
        <w:gridCol w:w="1524"/>
      </w:tblGrid>
      <w:tr w:rsidR="00922335" w:rsidRPr="002E771F" w:rsidTr="0097730E">
        <w:trPr>
          <w:trHeight w:val="242"/>
          <w:tblHeader/>
        </w:trPr>
        <w:tc>
          <w:tcPr>
            <w:tcW w:w="145" w:type="pct"/>
            <w:tcBorders>
              <w:bottom w:val="nil"/>
            </w:tcBorders>
            <w:shd w:val="clear" w:color="000000" w:fill="DCE6F1"/>
            <w:noWrap/>
            <w:hideMark/>
          </w:tcPr>
          <w:p w:rsidR="00B40693" w:rsidRPr="002E771F" w:rsidRDefault="00B40693" w:rsidP="00B40693">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tcBorders>
              <w:bottom w:val="nil"/>
            </w:tcBorders>
            <w:shd w:val="clear" w:color="000000" w:fill="DCE6F1"/>
            <w:noWrap/>
            <w:hideMark/>
          </w:tcPr>
          <w:p w:rsidR="00B40693" w:rsidRPr="002E771F" w:rsidRDefault="00B40693" w:rsidP="00B40693">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bottom w:val="nil"/>
              <w:right w:val="single" w:sz="4" w:space="0" w:color="auto"/>
            </w:tcBorders>
            <w:shd w:val="clear" w:color="000000" w:fill="DCE6F1"/>
            <w:noWrap/>
            <w:hideMark/>
          </w:tcPr>
          <w:p w:rsidR="00B40693" w:rsidRPr="002E771F" w:rsidRDefault="00B40693" w:rsidP="00B40693">
            <w:pPr>
              <w:widowControl/>
              <w:autoSpaceDE/>
              <w:autoSpaceDN/>
              <w:adjustRightInd/>
              <w:rPr>
                <w:rFonts w:cs="Arial"/>
                <w:b/>
                <w:bCs/>
                <w:color w:val="000000"/>
                <w:sz w:val="16"/>
                <w:szCs w:val="16"/>
              </w:rPr>
            </w:pPr>
            <w:r w:rsidRPr="002E771F">
              <w:rPr>
                <w:rFonts w:cs="Arial"/>
                <w:b/>
                <w:bCs/>
                <w:color w:val="000000"/>
                <w:sz w:val="16"/>
                <w:szCs w:val="16"/>
              </w:rPr>
              <w:t> </w:t>
            </w:r>
          </w:p>
        </w:tc>
        <w:tc>
          <w:tcPr>
            <w:tcW w:w="633" w:type="pct"/>
            <w:gridSpan w:val="2"/>
            <w:tcBorders>
              <w:top w:val="single" w:sz="12" w:space="0" w:color="auto"/>
              <w:left w:val="single" w:sz="4" w:space="0" w:color="auto"/>
              <w:bottom w:val="single" w:sz="4" w:space="0" w:color="auto"/>
              <w:right w:val="single" w:sz="4" w:space="0" w:color="auto"/>
            </w:tcBorders>
            <w:shd w:val="clear" w:color="000000" w:fill="DCE6F1"/>
            <w:noWrap/>
            <w:hideMark/>
          </w:tcPr>
          <w:p w:rsidR="00B40693" w:rsidRPr="002E771F" w:rsidRDefault="00B40693" w:rsidP="001C63E3">
            <w:pPr>
              <w:widowControl/>
              <w:autoSpaceDE/>
              <w:autoSpaceDN/>
              <w:adjustRightInd/>
              <w:jc w:val="center"/>
              <w:rPr>
                <w:rFonts w:cs="Arial"/>
                <w:b/>
                <w:bCs/>
                <w:color w:val="000000"/>
                <w:sz w:val="16"/>
                <w:szCs w:val="16"/>
              </w:rPr>
            </w:pPr>
            <w:r w:rsidRPr="002E771F">
              <w:rPr>
                <w:rFonts w:cs="Arial"/>
                <w:b/>
                <w:bCs/>
                <w:color w:val="000000"/>
                <w:sz w:val="16"/>
                <w:szCs w:val="16"/>
              </w:rPr>
              <w:t>2015</w:t>
            </w:r>
          </w:p>
        </w:tc>
        <w:tc>
          <w:tcPr>
            <w:tcW w:w="960" w:type="pct"/>
            <w:gridSpan w:val="3"/>
            <w:tcBorders>
              <w:top w:val="single" w:sz="12" w:space="0" w:color="auto"/>
              <w:left w:val="single" w:sz="4" w:space="0" w:color="auto"/>
              <w:bottom w:val="single" w:sz="4" w:space="0" w:color="auto"/>
              <w:right w:val="single" w:sz="4" w:space="0" w:color="auto"/>
            </w:tcBorders>
            <w:shd w:val="clear" w:color="000000" w:fill="DCE6F1"/>
            <w:noWrap/>
            <w:hideMark/>
          </w:tcPr>
          <w:p w:rsidR="00B40693" w:rsidRPr="002E771F" w:rsidRDefault="00B40693" w:rsidP="001C63E3">
            <w:pPr>
              <w:widowControl/>
              <w:autoSpaceDE/>
              <w:autoSpaceDN/>
              <w:adjustRightInd/>
              <w:jc w:val="center"/>
              <w:rPr>
                <w:rFonts w:cs="Arial"/>
                <w:b/>
                <w:bCs/>
                <w:color w:val="000000"/>
                <w:sz w:val="16"/>
                <w:szCs w:val="16"/>
              </w:rPr>
            </w:pPr>
            <w:r w:rsidRPr="002E771F">
              <w:rPr>
                <w:rFonts w:cs="Arial"/>
                <w:b/>
                <w:bCs/>
                <w:color w:val="000000"/>
                <w:sz w:val="16"/>
                <w:szCs w:val="16"/>
              </w:rPr>
              <w:t>2016</w:t>
            </w:r>
          </w:p>
        </w:tc>
        <w:tc>
          <w:tcPr>
            <w:tcW w:w="983" w:type="pct"/>
            <w:gridSpan w:val="3"/>
            <w:tcBorders>
              <w:top w:val="single" w:sz="12" w:space="0" w:color="auto"/>
              <w:left w:val="single" w:sz="4" w:space="0" w:color="auto"/>
              <w:bottom w:val="single" w:sz="4" w:space="0" w:color="auto"/>
              <w:right w:val="single" w:sz="4" w:space="0" w:color="auto"/>
            </w:tcBorders>
            <w:shd w:val="clear" w:color="000000" w:fill="DCE6F1"/>
            <w:noWrap/>
            <w:hideMark/>
          </w:tcPr>
          <w:p w:rsidR="00B40693" w:rsidRPr="002E771F" w:rsidRDefault="00B40693" w:rsidP="001C63E3">
            <w:pPr>
              <w:widowControl/>
              <w:autoSpaceDE/>
              <w:autoSpaceDN/>
              <w:adjustRightInd/>
              <w:jc w:val="center"/>
              <w:rPr>
                <w:rFonts w:cs="Arial"/>
                <w:b/>
                <w:bCs/>
                <w:color w:val="000000"/>
                <w:sz w:val="16"/>
                <w:szCs w:val="16"/>
              </w:rPr>
            </w:pPr>
            <w:r w:rsidRPr="002E771F">
              <w:rPr>
                <w:rFonts w:cs="Arial"/>
                <w:b/>
                <w:bCs/>
                <w:color w:val="000000"/>
                <w:sz w:val="16"/>
                <w:szCs w:val="16"/>
              </w:rPr>
              <w:t>2017</w:t>
            </w:r>
          </w:p>
        </w:tc>
        <w:tc>
          <w:tcPr>
            <w:tcW w:w="812" w:type="pct"/>
            <w:gridSpan w:val="2"/>
            <w:tcBorders>
              <w:top w:val="single" w:sz="12" w:space="0" w:color="auto"/>
              <w:left w:val="single" w:sz="4" w:space="0" w:color="auto"/>
              <w:bottom w:val="single" w:sz="4" w:space="0" w:color="auto"/>
            </w:tcBorders>
            <w:shd w:val="clear" w:color="000000" w:fill="DCE6F1"/>
            <w:noWrap/>
            <w:hideMark/>
          </w:tcPr>
          <w:p w:rsidR="00B40693" w:rsidRPr="002E771F" w:rsidRDefault="00B40693" w:rsidP="001C63E3">
            <w:pPr>
              <w:widowControl/>
              <w:autoSpaceDE/>
              <w:autoSpaceDN/>
              <w:adjustRightInd/>
              <w:jc w:val="center"/>
              <w:rPr>
                <w:rFonts w:cs="Arial"/>
                <w:b/>
                <w:bCs/>
                <w:color w:val="000000"/>
                <w:sz w:val="16"/>
                <w:szCs w:val="16"/>
              </w:rPr>
            </w:pPr>
            <w:r w:rsidRPr="002E771F">
              <w:rPr>
                <w:rFonts w:cs="Arial"/>
                <w:b/>
                <w:bCs/>
                <w:color w:val="000000"/>
                <w:sz w:val="16"/>
                <w:szCs w:val="16"/>
              </w:rPr>
              <w:t>2015 - 2017 TOTAL</w:t>
            </w:r>
          </w:p>
        </w:tc>
      </w:tr>
      <w:tr w:rsidR="00922335" w:rsidRPr="002E771F" w:rsidTr="0097730E">
        <w:trPr>
          <w:trHeight w:val="225"/>
          <w:tblHeader/>
        </w:trPr>
        <w:tc>
          <w:tcPr>
            <w:tcW w:w="145" w:type="pct"/>
            <w:tcBorders>
              <w:top w:val="nil"/>
              <w:bottom w:val="nil"/>
            </w:tcBorders>
            <w:shd w:val="clear" w:color="000000" w:fill="DCE6F1"/>
            <w:noWrap/>
            <w:hideMark/>
          </w:tcPr>
          <w:p w:rsidR="00B40693" w:rsidRPr="002E771F" w:rsidRDefault="00B40693" w:rsidP="00B40693">
            <w:pPr>
              <w:widowControl/>
              <w:autoSpaceDE/>
              <w:autoSpaceDN/>
              <w:adjustRightInd/>
              <w:jc w:val="center"/>
              <w:rPr>
                <w:rFonts w:cs="Arial"/>
                <w:b/>
                <w:bCs/>
                <w:i/>
                <w:iCs/>
                <w:color w:val="000000"/>
                <w:sz w:val="16"/>
                <w:szCs w:val="16"/>
              </w:rPr>
            </w:pPr>
            <w:r w:rsidRPr="002E771F">
              <w:rPr>
                <w:rFonts w:cs="Arial"/>
                <w:b/>
                <w:bCs/>
                <w:i/>
                <w:iCs/>
                <w:color w:val="000000"/>
                <w:sz w:val="16"/>
                <w:szCs w:val="16"/>
              </w:rPr>
              <w:t> </w:t>
            </w:r>
          </w:p>
        </w:tc>
        <w:tc>
          <w:tcPr>
            <w:tcW w:w="140" w:type="pct"/>
            <w:tcBorders>
              <w:top w:val="nil"/>
              <w:bottom w:val="nil"/>
            </w:tcBorders>
            <w:shd w:val="clear" w:color="000000" w:fill="DCE6F1"/>
            <w:noWrap/>
            <w:hideMark/>
          </w:tcPr>
          <w:p w:rsidR="00B40693" w:rsidRPr="002E3987" w:rsidRDefault="002E3987" w:rsidP="00B40693">
            <w:pPr>
              <w:widowControl/>
              <w:autoSpaceDE/>
              <w:autoSpaceDN/>
              <w:adjustRightInd/>
              <w:jc w:val="center"/>
              <w:rPr>
                <w:rFonts w:cs="Arial"/>
                <w:b/>
                <w:bCs/>
                <w:iCs/>
                <w:color w:val="000000"/>
                <w:sz w:val="16"/>
                <w:szCs w:val="16"/>
              </w:rPr>
            </w:pPr>
            <w:r w:rsidRPr="002E3987">
              <w:rPr>
                <w:rFonts w:cs="Arial"/>
                <w:b/>
                <w:bCs/>
                <w:iCs/>
                <w:color w:val="000000"/>
                <w:sz w:val="16"/>
                <w:szCs w:val="16"/>
              </w:rPr>
              <w:t>No</w:t>
            </w:r>
          </w:p>
        </w:tc>
        <w:tc>
          <w:tcPr>
            <w:tcW w:w="1327" w:type="pct"/>
            <w:tcBorders>
              <w:top w:val="nil"/>
              <w:bottom w:val="nil"/>
              <w:right w:val="single" w:sz="4" w:space="0" w:color="auto"/>
            </w:tcBorders>
            <w:shd w:val="clear" w:color="000000" w:fill="DCE6F1"/>
            <w:noWrap/>
            <w:hideMark/>
          </w:tcPr>
          <w:p w:rsidR="00B40693" w:rsidRPr="002E3987" w:rsidRDefault="001C63E3" w:rsidP="001C63E3">
            <w:pPr>
              <w:widowControl/>
              <w:autoSpaceDE/>
              <w:autoSpaceDN/>
              <w:adjustRightInd/>
              <w:rPr>
                <w:rFonts w:cs="Arial"/>
                <w:b/>
                <w:bCs/>
                <w:iCs/>
                <w:color w:val="000000"/>
                <w:sz w:val="16"/>
                <w:szCs w:val="16"/>
              </w:rPr>
            </w:pPr>
            <w:r w:rsidRPr="002E3987">
              <w:rPr>
                <w:rFonts w:cs="Arial"/>
                <w:b/>
                <w:bCs/>
                <w:iCs/>
                <w:color w:val="000000"/>
                <w:sz w:val="16"/>
                <w:szCs w:val="16"/>
              </w:rPr>
              <w:t>Budget item</w:t>
            </w:r>
            <w:r w:rsidR="00B40693" w:rsidRPr="002E3987">
              <w:rPr>
                <w:rFonts w:cs="Arial"/>
                <w:b/>
                <w:bCs/>
                <w:iCs/>
                <w:color w:val="000000"/>
                <w:sz w:val="16"/>
                <w:szCs w:val="16"/>
              </w:rPr>
              <w:t> </w:t>
            </w:r>
          </w:p>
        </w:tc>
        <w:tc>
          <w:tcPr>
            <w:tcW w:w="316" w:type="pct"/>
            <w:tcBorders>
              <w:top w:val="single" w:sz="4" w:space="0" w:color="auto"/>
              <w:left w:val="single" w:sz="4" w:space="0" w:color="auto"/>
              <w:bottom w:val="nil"/>
            </w:tcBorders>
            <w:shd w:val="clear" w:color="000000" w:fill="DCE6F1"/>
            <w:hideMark/>
          </w:tcPr>
          <w:p w:rsidR="00B40693" w:rsidRPr="002E771F" w:rsidRDefault="00B40693" w:rsidP="001C63E3">
            <w:pPr>
              <w:widowControl/>
              <w:autoSpaceDE/>
              <w:autoSpaceDN/>
              <w:adjustRightInd/>
              <w:jc w:val="center"/>
              <w:rPr>
                <w:rFonts w:cs="Arial"/>
                <w:b/>
                <w:bCs/>
                <w:sz w:val="16"/>
                <w:szCs w:val="16"/>
              </w:rPr>
            </w:pPr>
            <w:r w:rsidRPr="002E771F">
              <w:rPr>
                <w:rFonts w:cs="Arial"/>
                <w:b/>
                <w:bCs/>
                <w:sz w:val="16"/>
                <w:szCs w:val="16"/>
              </w:rPr>
              <w:t>BUDGET</w:t>
            </w:r>
          </w:p>
        </w:tc>
        <w:tc>
          <w:tcPr>
            <w:tcW w:w="317" w:type="pct"/>
            <w:vMerge w:val="restart"/>
            <w:tcBorders>
              <w:top w:val="single" w:sz="4" w:space="0" w:color="auto"/>
              <w:bottom w:val="nil"/>
              <w:right w:val="single" w:sz="4" w:space="0" w:color="auto"/>
            </w:tcBorders>
            <w:shd w:val="clear" w:color="000000" w:fill="DCE6F1"/>
            <w:hideMark/>
          </w:tcPr>
          <w:p w:rsidR="008A34C5" w:rsidRPr="002E771F" w:rsidRDefault="00B40693" w:rsidP="001C63E3">
            <w:pPr>
              <w:widowControl/>
              <w:autoSpaceDE/>
              <w:autoSpaceDN/>
              <w:adjustRightInd/>
              <w:jc w:val="center"/>
              <w:rPr>
                <w:rFonts w:cs="Arial"/>
                <w:b/>
                <w:bCs/>
                <w:sz w:val="16"/>
                <w:szCs w:val="16"/>
              </w:rPr>
            </w:pPr>
            <w:r w:rsidRPr="002E771F">
              <w:rPr>
                <w:rFonts w:cs="Arial"/>
                <w:b/>
                <w:bCs/>
                <w:sz w:val="16"/>
                <w:szCs w:val="16"/>
              </w:rPr>
              <w:t>EXPEN</w:t>
            </w:r>
            <w:r w:rsidR="006F2A9B">
              <w:rPr>
                <w:rFonts w:cs="Arial"/>
                <w:b/>
                <w:bCs/>
                <w:sz w:val="16"/>
                <w:szCs w:val="16"/>
              </w:rPr>
              <w:t>DI</w:t>
            </w:r>
            <w:r w:rsidR="008A34C5" w:rsidRPr="002E771F">
              <w:rPr>
                <w:rFonts w:cs="Arial"/>
                <w:b/>
                <w:bCs/>
                <w:sz w:val="16"/>
                <w:szCs w:val="16"/>
              </w:rPr>
              <w:t>-</w:t>
            </w:r>
          </w:p>
          <w:p w:rsidR="00B40693" w:rsidRPr="002E771F" w:rsidRDefault="00B40693" w:rsidP="001C63E3">
            <w:pPr>
              <w:widowControl/>
              <w:autoSpaceDE/>
              <w:autoSpaceDN/>
              <w:adjustRightInd/>
              <w:jc w:val="center"/>
              <w:rPr>
                <w:rFonts w:cs="Arial"/>
                <w:b/>
                <w:bCs/>
                <w:sz w:val="16"/>
                <w:szCs w:val="16"/>
              </w:rPr>
            </w:pPr>
            <w:r w:rsidRPr="002E771F">
              <w:rPr>
                <w:rFonts w:cs="Arial"/>
                <w:b/>
                <w:bCs/>
                <w:sz w:val="16"/>
                <w:szCs w:val="16"/>
              </w:rPr>
              <w:t>TURES</w:t>
            </w:r>
            <w:r w:rsidR="00476CA8">
              <w:rPr>
                <w:rFonts w:cs="Arial"/>
                <w:b/>
                <w:bCs/>
                <w:sz w:val="16"/>
                <w:szCs w:val="16"/>
              </w:rPr>
              <w:t xml:space="preserve"> </w:t>
            </w:r>
            <w:r w:rsidR="00476CA8" w:rsidRPr="00476CA8">
              <w:rPr>
                <w:rFonts w:cs="Arial"/>
                <w:b/>
                <w:bCs/>
                <w:sz w:val="16"/>
                <w:szCs w:val="16"/>
                <w:vertAlign w:val="superscript"/>
              </w:rPr>
              <w:t>3</w:t>
            </w:r>
          </w:p>
        </w:tc>
        <w:tc>
          <w:tcPr>
            <w:tcW w:w="599" w:type="pct"/>
            <w:gridSpan w:val="2"/>
            <w:tcBorders>
              <w:top w:val="single" w:sz="4" w:space="0" w:color="auto"/>
              <w:left w:val="single" w:sz="4" w:space="0" w:color="auto"/>
              <w:bottom w:val="nil"/>
            </w:tcBorders>
            <w:shd w:val="clear" w:color="000000" w:fill="DCE6F1"/>
            <w:hideMark/>
          </w:tcPr>
          <w:p w:rsidR="00B40693" w:rsidRPr="002E3987" w:rsidRDefault="00B40693" w:rsidP="001C63E3">
            <w:pPr>
              <w:widowControl/>
              <w:autoSpaceDE/>
              <w:autoSpaceDN/>
              <w:adjustRightInd/>
              <w:jc w:val="center"/>
              <w:rPr>
                <w:rFonts w:cs="Arial"/>
                <w:b/>
                <w:bCs/>
                <w:color w:val="000000" w:themeColor="text1"/>
                <w:sz w:val="16"/>
                <w:szCs w:val="16"/>
              </w:rPr>
            </w:pPr>
            <w:r w:rsidRPr="002E3987">
              <w:rPr>
                <w:rFonts w:cs="Arial"/>
                <w:b/>
                <w:bCs/>
                <w:color w:val="000000" w:themeColor="text1"/>
                <w:sz w:val="16"/>
                <w:szCs w:val="16"/>
              </w:rPr>
              <w:t>BUDGET</w:t>
            </w:r>
          </w:p>
        </w:tc>
        <w:tc>
          <w:tcPr>
            <w:tcW w:w="361" w:type="pct"/>
            <w:vMerge w:val="restart"/>
            <w:tcBorders>
              <w:top w:val="single" w:sz="4" w:space="0" w:color="auto"/>
              <w:bottom w:val="nil"/>
              <w:right w:val="single" w:sz="4" w:space="0" w:color="auto"/>
            </w:tcBorders>
            <w:shd w:val="clear" w:color="000000" w:fill="DCE6F1"/>
            <w:hideMark/>
          </w:tcPr>
          <w:p w:rsidR="008A34C5" w:rsidRPr="002E3987" w:rsidRDefault="00B40693" w:rsidP="001C63E3">
            <w:pPr>
              <w:widowControl/>
              <w:autoSpaceDE/>
              <w:autoSpaceDN/>
              <w:adjustRightInd/>
              <w:jc w:val="center"/>
              <w:rPr>
                <w:rFonts w:cs="Arial"/>
                <w:b/>
                <w:bCs/>
                <w:color w:val="000000" w:themeColor="text1"/>
                <w:sz w:val="16"/>
                <w:szCs w:val="16"/>
              </w:rPr>
            </w:pPr>
            <w:r w:rsidRPr="002E3987">
              <w:rPr>
                <w:rFonts w:cs="Arial"/>
                <w:b/>
                <w:bCs/>
                <w:color w:val="000000" w:themeColor="text1"/>
                <w:sz w:val="16"/>
                <w:szCs w:val="16"/>
              </w:rPr>
              <w:t>EXPEN</w:t>
            </w:r>
            <w:r w:rsidR="000359F8">
              <w:rPr>
                <w:rFonts w:cs="Arial"/>
                <w:b/>
                <w:bCs/>
                <w:color w:val="000000" w:themeColor="text1"/>
                <w:sz w:val="16"/>
                <w:szCs w:val="16"/>
              </w:rPr>
              <w:t>DI-</w:t>
            </w:r>
          </w:p>
          <w:p w:rsidR="00B40693" w:rsidRPr="002E3987" w:rsidRDefault="00B40693" w:rsidP="001C63E3">
            <w:pPr>
              <w:widowControl/>
              <w:autoSpaceDE/>
              <w:autoSpaceDN/>
              <w:adjustRightInd/>
              <w:jc w:val="center"/>
              <w:rPr>
                <w:rFonts w:cs="Arial"/>
                <w:b/>
                <w:bCs/>
                <w:color w:val="000000" w:themeColor="text1"/>
                <w:sz w:val="16"/>
                <w:szCs w:val="16"/>
              </w:rPr>
            </w:pPr>
            <w:r w:rsidRPr="002E3987">
              <w:rPr>
                <w:rFonts w:cs="Arial"/>
                <w:b/>
                <w:bCs/>
                <w:color w:val="000000" w:themeColor="text1"/>
                <w:sz w:val="16"/>
                <w:szCs w:val="16"/>
              </w:rPr>
              <w:t>TURES</w:t>
            </w:r>
            <w:r w:rsidR="00476CA8">
              <w:rPr>
                <w:rFonts w:cs="Arial"/>
                <w:b/>
                <w:bCs/>
                <w:color w:val="000000" w:themeColor="text1"/>
                <w:sz w:val="16"/>
                <w:szCs w:val="16"/>
              </w:rPr>
              <w:t xml:space="preserve"> </w:t>
            </w:r>
            <w:r w:rsidR="00476CA8" w:rsidRPr="00476CA8">
              <w:rPr>
                <w:rFonts w:cs="Arial"/>
                <w:b/>
                <w:bCs/>
                <w:color w:val="000000" w:themeColor="text1"/>
                <w:sz w:val="16"/>
                <w:szCs w:val="16"/>
                <w:vertAlign w:val="superscript"/>
              </w:rPr>
              <w:t>3</w:t>
            </w:r>
          </w:p>
        </w:tc>
        <w:tc>
          <w:tcPr>
            <w:tcW w:w="597" w:type="pct"/>
            <w:gridSpan w:val="2"/>
            <w:tcBorders>
              <w:top w:val="single" w:sz="4" w:space="0" w:color="auto"/>
              <w:left w:val="single" w:sz="4" w:space="0" w:color="auto"/>
              <w:bottom w:val="nil"/>
            </w:tcBorders>
            <w:shd w:val="clear" w:color="000000" w:fill="DCE6F1"/>
            <w:noWrap/>
            <w:hideMark/>
          </w:tcPr>
          <w:p w:rsidR="00B40693" w:rsidRPr="002E3987" w:rsidRDefault="00B40693" w:rsidP="001C63E3">
            <w:pPr>
              <w:widowControl/>
              <w:autoSpaceDE/>
              <w:autoSpaceDN/>
              <w:adjustRightInd/>
              <w:jc w:val="center"/>
              <w:rPr>
                <w:rFonts w:cs="Arial"/>
                <w:b/>
                <w:bCs/>
                <w:color w:val="000000" w:themeColor="text1"/>
                <w:sz w:val="16"/>
                <w:szCs w:val="16"/>
              </w:rPr>
            </w:pPr>
            <w:r w:rsidRPr="002E3987">
              <w:rPr>
                <w:rFonts w:cs="Arial"/>
                <w:b/>
                <w:bCs/>
                <w:color w:val="000000" w:themeColor="text1"/>
                <w:sz w:val="16"/>
                <w:szCs w:val="16"/>
              </w:rPr>
              <w:t>BUDGET</w:t>
            </w:r>
          </w:p>
        </w:tc>
        <w:tc>
          <w:tcPr>
            <w:tcW w:w="386" w:type="pct"/>
            <w:vMerge w:val="restart"/>
            <w:tcBorders>
              <w:top w:val="single" w:sz="4" w:space="0" w:color="auto"/>
              <w:bottom w:val="nil"/>
              <w:right w:val="single" w:sz="4" w:space="0" w:color="auto"/>
            </w:tcBorders>
            <w:shd w:val="clear" w:color="000000" w:fill="DCE6F1"/>
            <w:hideMark/>
          </w:tcPr>
          <w:p w:rsidR="008A34C5" w:rsidRPr="009A37CA" w:rsidRDefault="00B40693" w:rsidP="001C63E3">
            <w:pPr>
              <w:widowControl/>
              <w:autoSpaceDE/>
              <w:autoSpaceDN/>
              <w:adjustRightInd/>
              <w:jc w:val="center"/>
              <w:rPr>
                <w:rFonts w:cs="Arial"/>
                <w:b/>
                <w:bCs/>
                <w:color w:val="000000" w:themeColor="text1"/>
                <w:sz w:val="16"/>
                <w:szCs w:val="16"/>
                <w:lang w:val="fr-FR"/>
              </w:rPr>
            </w:pPr>
            <w:r w:rsidRPr="009A37CA">
              <w:rPr>
                <w:rFonts w:cs="Arial"/>
                <w:b/>
                <w:bCs/>
                <w:color w:val="000000" w:themeColor="text1"/>
                <w:sz w:val="16"/>
                <w:szCs w:val="16"/>
                <w:lang w:val="fr-FR"/>
              </w:rPr>
              <w:t>EST</w:t>
            </w:r>
            <w:r w:rsidR="002E771F" w:rsidRPr="009A37CA">
              <w:rPr>
                <w:rFonts w:cs="Arial"/>
                <w:b/>
                <w:bCs/>
                <w:color w:val="000000" w:themeColor="text1"/>
                <w:sz w:val="16"/>
                <w:szCs w:val="16"/>
                <w:lang w:val="fr-FR"/>
              </w:rPr>
              <w:t>.</w:t>
            </w:r>
            <w:r w:rsidR="008A34C5" w:rsidRPr="009A37CA">
              <w:rPr>
                <w:rFonts w:cs="Arial"/>
                <w:b/>
                <w:bCs/>
                <w:color w:val="000000" w:themeColor="text1"/>
                <w:sz w:val="16"/>
                <w:szCs w:val="16"/>
                <w:lang w:val="fr-FR"/>
              </w:rPr>
              <w:t xml:space="preserve"> E</w:t>
            </w:r>
            <w:r w:rsidRPr="009A37CA">
              <w:rPr>
                <w:rFonts w:cs="Arial"/>
                <w:b/>
                <w:bCs/>
                <w:color w:val="000000" w:themeColor="text1"/>
                <w:sz w:val="16"/>
                <w:szCs w:val="16"/>
                <w:lang w:val="fr-FR"/>
              </w:rPr>
              <w:t>XPEN</w:t>
            </w:r>
            <w:r w:rsidR="000359F8" w:rsidRPr="009A37CA">
              <w:rPr>
                <w:rFonts w:cs="Arial"/>
                <w:b/>
                <w:bCs/>
                <w:color w:val="000000" w:themeColor="text1"/>
                <w:sz w:val="16"/>
                <w:szCs w:val="16"/>
                <w:lang w:val="fr-FR"/>
              </w:rPr>
              <w:t>DI</w:t>
            </w:r>
            <w:r w:rsidR="008A34C5" w:rsidRPr="009A37CA">
              <w:rPr>
                <w:rFonts w:cs="Arial"/>
                <w:b/>
                <w:bCs/>
                <w:color w:val="000000" w:themeColor="text1"/>
                <w:sz w:val="16"/>
                <w:szCs w:val="16"/>
                <w:lang w:val="fr-FR"/>
              </w:rPr>
              <w:t>-</w:t>
            </w:r>
          </w:p>
          <w:p w:rsidR="000359F8" w:rsidRPr="009A37CA" w:rsidRDefault="00B40693" w:rsidP="001C63E3">
            <w:pPr>
              <w:widowControl/>
              <w:autoSpaceDE/>
              <w:autoSpaceDN/>
              <w:adjustRightInd/>
              <w:jc w:val="center"/>
              <w:rPr>
                <w:rFonts w:cs="Arial"/>
                <w:b/>
                <w:bCs/>
                <w:color w:val="000000" w:themeColor="text1"/>
                <w:sz w:val="16"/>
                <w:szCs w:val="16"/>
                <w:lang w:val="fr-FR"/>
              </w:rPr>
            </w:pPr>
            <w:r w:rsidRPr="009A37CA">
              <w:rPr>
                <w:rFonts w:cs="Arial"/>
                <w:b/>
                <w:bCs/>
                <w:color w:val="000000" w:themeColor="text1"/>
                <w:sz w:val="16"/>
                <w:szCs w:val="16"/>
                <w:lang w:val="fr-FR"/>
              </w:rPr>
              <w:t>TURES</w:t>
            </w:r>
            <w:r w:rsidRPr="00476CA8">
              <w:rPr>
                <w:rFonts w:cs="Arial"/>
                <w:b/>
                <w:bCs/>
                <w:color w:val="000000" w:themeColor="text1"/>
                <w:sz w:val="16"/>
                <w:szCs w:val="16"/>
                <w:vertAlign w:val="superscript"/>
                <w:lang w:val="fr-FR"/>
              </w:rPr>
              <w:t xml:space="preserve"> </w:t>
            </w:r>
            <w:r w:rsidR="00476CA8" w:rsidRPr="00476CA8">
              <w:rPr>
                <w:rFonts w:cs="Arial"/>
                <w:b/>
                <w:bCs/>
                <w:color w:val="000000" w:themeColor="text1"/>
                <w:sz w:val="16"/>
                <w:szCs w:val="16"/>
                <w:vertAlign w:val="superscript"/>
                <w:lang w:val="fr-FR"/>
              </w:rPr>
              <w:t>3</w:t>
            </w:r>
          </w:p>
          <w:p w:rsidR="00B40693" w:rsidRPr="009A37CA" w:rsidRDefault="00B40693" w:rsidP="001C63E3">
            <w:pPr>
              <w:widowControl/>
              <w:autoSpaceDE/>
              <w:autoSpaceDN/>
              <w:adjustRightInd/>
              <w:jc w:val="center"/>
              <w:rPr>
                <w:rFonts w:cs="Arial"/>
                <w:b/>
                <w:bCs/>
                <w:color w:val="000000" w:themeColor="text1"/>
                <w:sz w:val="16"/>
                <w:szCs w:val="16"/>
                <w:lang w:val="fr-FR"/>
              </w:rPr>
            </w:pPr>
            <w:r w:rsidRPr="009A37CA">
              <w:rPr>
                <w:rFonts w:cs="Arial"/>
                <w:b/>
                <w:bCs/>
                <w:color w:val="000000" w:themeColor="text1"/>
                <w:sz w:val="16"/>
                <w:szCs w:val="16"/>
                <w:lang w:val="fr-FR"/>
              </w:rPr>
              <w:t>(Jan-Dec</w:t>
            </w:r>
            <w:r w:rsidRPr="009A37CA">
              <w:rPr>
                <w:rFonts w:cs="Arial"/>
                <w:b/>
                <w:bCs/>
                <w:i/>
                <w:iCs/>
                <w:color w:val="000000" w:themeColor="text1"/>
                <w:sz w:val="16"/>
                <w:szCs w:val="16"/>
                <w:lang w:val="fr-FR"/>
              </w:rPr>
              <w:t>)</w:t>
            </w:r>
          </w:p>
        </w:tc>
        <w:tc>
          <w:tcPr>
            <w:tcW w:w="317" w:type="pct"/>
            <w:vMerge w:val="restart"/>
            <w:tcBorders>
              <w:top w:val="single" w:sz="4" w:space="0" w:color="auto"/>
              <w:left w:val="single" w:sz="4" w:space="0" w:color="auto"/>
              <w:bottom w:val="nil"/>
            </w:tcBorders>
            <w:shd w:val="clear" w:color="000000" w:fill="DCE6F1"/>
            <w:hideMark/>
          </w:tcPr>
          <w:p w:rsidR="00B40693" w:rsidRPr="002E771F" w:rsidRDefault="00B40693" w:rsidP="001C63E3">
            <w:pPr>
              <w:widowControl/>
              <w:autoSpaceDE/>
              <w:autoSpaceDN/>
              <w:adjustRightInd/>
              <w:jc w:val="center"/>
              <w:rPr>
                <w:rFonts w:cs="Arial"/>
                <w:b/>
                <w:bCs/>
                <w:sz w:val="16"/>
                <w:szCs w:val="16"/>
              </w:rPr>
            </w:pPr>
            <w:r w:rsidRPr="002E771F">
              <w:rPr>
                <w:rFonts w:cs="Arial"/>
                <w:b/>
                <w:bCs/>
                <w:sz w:val="16"/>
                <w:szCs w:val="16"/>
              </w:rPr>
              <w:t>BUDGET</w:t>
            </w:r>
          </w:p>
        </w:tc>
        <w:tc>
          <w:tcPr>
            <w:tcW w:w="495" w:type="pct"/>
            <w:vMerge w:val="restart"/>
            <w:tcBorders>
              <w:top w:val="single" w:sz="4" w:space="0" w:color="auto"/>
              <w:bottom w:val="nil"/>
            </w:tcBorders>
            <w:shd w:val="clear" w:color="000000" w:fill="DCE6F1"/>
            <w:hideMark/>
          </w:tcPr>
          <w:p w:rsidR="00B40693" w:rsidRPr="002E771F" w:rsidRDefault="00B40693" w:rsidP="001C63E3">
            <w:pPr>
              <w:widowControl/>
              <w:autoSpaceDE/>
              <w:autoSpaceDN/>
              <w:adjustRightInd/>
              <w:jc w:val="center"/>
              <w:rPr>
                <w:rFonts w:cs="Arial"/>
                <w:b/>
                <w:bCs/>
                <w:sz w:val="16"/>
                <w:szCs w:val="16"/>
              </w:rPr>
            </w:pPr>
            <w:r w:rsidRPr="002E771F">
              <w:rPr>
                <w:rFonts w:cs="Arial"/>
                <w:b/>
                <w:bCs/>
                <w:sz w:val="16"/>
                <w:szCs w:val="16"/>
              </w:rPr>
              <w:t>ESTIMATED EXPENDITURE</w:t>
            </w:r>
          </w:p>
        </w:tc>
      </w:tr>
      <w:tr w:rsidR="002E3987" w:rsidRPr="002E771F" w:rsidTr="0097730E">
        <w:trPr>
          <w:trHeight w:val="317"/>
          <w:tblHeader/>
        </w:trPr>
        <w:tc>
          <w:tcPr>
            <w:tcW w:w="145" w:type="pct"/>
            <w:tcBorders>
              <w:top w:val="nil"/>
              <w:bottom w:val="single" w:sz="12" w:space="0" w:color="auto"/>
            </w:tcBorders>
            <w:shd w:val="clear" w:color="000000" w:fill="DCE6F1"/>
            <w:noWrap/>
            <w:hideMark/>
          </w:tcPr>
          <w:p w:rsidR="00B40693" w:rsidRPr="002E771F" w:rsidRDefault="00B40693" w:rsidP="00B40693">
            <w:pPr>
              <w:widowControl/>
              <w:autoSpaceDE/>
              <w:autoSpaceDN/>
              <w:adjustRightInd/>
              <w:jc w:val="center"/>
              <w:rPr>
                <w:rFonts w:cs="Arial"/>
                <w:b/>
                <w:bCs/>
                <w:i/>
                <w:iCs/>
                <w:color w:val="000000"/>
                <w:sz w:val="16"/>
                <w:szCs w:val="16"/>
              </w:rPr>
            </w:pPr>
            <w:r w:rsidRPr="002E771F">
              <w:rPr>
                <w:rFonts w:cs="Arial"/>
                <w:b/>
                <w:bCs/>
                <w:i/>
                <w:iCs/>
                <w:color w:val="000000"/>
                <w:sz w:val="16"/>
                <w:szCs w:val="16"/>
              </w:rPr>
              <w:t> </w:t>
            </w:r>
          </w:p>
        </w:tc>
        <w:tc>
          <w:tcPr>
            <w:tcW w:w="140" w:type="pct"/>
            <w:tcBorders>
              <w:top w:val="nil"/>
              <w:bottom w:val="single" w:sz="12" w:space="0" w:color="auto"/>
            </w:tcBorders>
            <w:shd w:val="clear" w:color="000000" w:fill="DCE6F1"/>
            <w:noWrap/>
            <w:hideMark/>
          </w:tcPr>
          <w:p w:rsidR="00B40693" w:rsidRPr="002E771F" w:rsidRDefault="00B40693" w:rsidP="00B40693">
            <w:pPr>
              <w:widowControl/>
              <w:autoSpaceDE/>
              <w:autoSpaceDN/>
              <w:adjustRightInd/>
              <w:jc w:val="center"/>
              <w:rPr>
                <w:rFonts w:cs="Arial"/>
                <w:b/>
                <w:bCs/>
                <w:i/>
                <w:iCs/>
                <w:color w:val="000000"/>
                <w:sz w:val="16"/>
                <w:szCs w:val="16"/>
              </w:rPr>
            </w:pPr>
            <w:r w:rsidRPr="002E771F">
              <w:rPr>
                <w:rFonts w:cs="Arial"/>
                <w:b/>
                <w:bCs/>
                <w:i/>
                <w:iCs/>
                <w:color w:val="000000"/>
                <w:sz w:val="16"/>
                <w:szCs w:val="16"/>
              </w:rPr>
              <w:t> </w:t>
            </w:r>
          </w:p>
        </w:tc>
        <w:tc>
          <w:tcPr>
            <w:tcW w:w="1327" w:type="pct"/>
            <w:tcBorders>
              <w:top w:val="nil"/>
              <w:bottom w:val="single" w:sz="12" w:space="0" w:color="auto"/>
              <w:right w:val="single" w:sz="4" w:space="0" w:color="auto"/>
            </w:tcBorders>
            <w:shd w:val="clear" w:color="000000" w:fill="DCE6F1"/>
            <w:noWrap/>
            <w:hideMark/>
          </w:tcPr>
          <w:p w:rsidR="00B40693" w:rsidRPr="002E771F" w:rsidRDefault="00B40693" w:rsidP="00B40693">
            <w:pPr>
              <w:widowControl/>
              <w:autoSpaceDE/>
              <w:autoSpaceDN/>
              <w:adjustRightInd/>
              <w:jc w:val="center"/>
              <w:rPr>
                <w:rFonts w:cs="Arial"/>
                <w:b/>
                <w:bCs/>
                <w:i/>
                <w:iCs/>
                <w:color w:val="000000"/>
                <w:sz w:val="16"/>
                <w:szCs w:val="16"/>
              </w:rPr>
            </w:pPr>
          </w:p>
        </w:tc>
        <w:tc>
          <w:tcPr>
            <w:tcW w:w="316" w:type="pct"/>
            <w:tcBorders>
              <w:top w:val="nil"/>
              <w:left w:val="single" w:sz="4" w:space="0" w:color="auto"/>
              <w:bottom w:val="single" w:sz="12" w:space="0" w:color="auto"/>
            </w:tcBorders>
            <w:shd w:val="clear" w:color="000000" w:fill="DCE6F1"/>
            <w:hideMark/>
          </w:tcPr>
          <w:p w:rsidR="00B40693" w:rsidRPr="002E771F" w:rsidRDefault="00B40693" w:rsidP="00B40693">
            <w:pPr>
              <w:widowControl/>
              <w:autoSpaceDE/>
              <w:autoSpaceDN/>
              <w:adjustRightInd/>
              <w:jc w:val="center"/>
              <w:rPr>
                <w:rFonts w:cs="Arial"/>
                <w:b/>
                <w:bCs/>
                <w:sz w:val="16"/>
                <w:szCs w:val="16"/>
              </w:rPr>
            </w:pPr>
            <w:r w:rsidRPr="002E771F">
              <w:rPr>
                <w:rFonts w:cs="Arial"/>
                <w:b/>
                <w:bCs/>
                <w:sz w:val="16"/>
                <w:szCs w:val="16"/>
              </w:rPr>
              <w:t> </w:t>
            </w:r>
          </w:p>
        </w:tc>
        <w:tc>
          <w:tcPr>
            <w:tcW w:w="317" w:type="pct"/>
            <w:vMerge/>
            <w:tcBorders>
              <w:top w:val="nil"/>
              <w:bottom w:val="single" w:sz="12" w:space="0" w:color="auto"/>
              <w:right w:val="single" w:sz="4" w:space="0" w:color="auto"/>
            </w:tcBorders>
            <w:vAlign w:val="center"/>
            <w:hideMark/>
          </w:tcPr>
          <w:p w:rsidR="00B40693" w:rsidRPr="002E771F" w:rsidRDefault="00B40693" w:rsidP="00B40693">
            <w:pPr>
              <w:widowControl/>
              <w:autoSpaceDE/>
              <w:autoSpaceDN/>
              <w:adjustRightInd/>
              <w:rPr>
                <w:rFonts w:cs="Arial"/>
                <w:b/>
                <w:bCs/>
                <w:sz w:val="16"/>
                <w:szCs w:val="16"/>
              </w:rPr>
            </w:pPr>
          </w:p>
        </w:tc>
        <w:tc>
          <w:tcPr>
            <w:tcW w:w="328" w:type="pct"/>
            <w:tcBorders>
              <w:top w:val="nil"/>
              <w:left w:val="single" w:sz="4" w:space="0" w:color="auto"/>
              <w:bottom w:val="single" w:sz="12" w:space="0" w:color="auto"/>
            </w:tcBorders>
            <w:shd w:val="clear" w:color="000000" w:fill="DCE6F1"/>
            <w:hideMark/>
          </w:tcPr>
          <w:p w:rsidR="00B40693" w:rsidRPr="002E3987" w:rsidRDefault="008A34C5" w:rsidP="00B40693">
            <w:pPr>
              <w:widowControl/>
              <w:autoSpaceDE/>
              <w:autoSpaceDN/>
              <w:adjustRightInd/>
              <w:jc w:val="center"/>
              <w:rPr>
                <w:rFonts w:cs="Arial"/>
                <w:b/>
                <w:bCs/>
                <w:iCs/>
                <w:color w:val="000000" w:themeColor="text1"/>
                <w:sz w:val="16"/>
                <w:szCs w:val="16"/>
              </w:rPr>
            </w:pPr>
            <w:r w:rsidRPr="002E3987">
              <w:rPr>
                <w:rFonts w:cs="Arial"/>
                <w:b/>
                <w:bCs/>
                <w:iCs/>
                <w:color w:val="000000" w:themeColor="text1"/>
                <w:sz w:val="16"/>
                <w:szCs w:val="16"/>
              </w:rPr>
              <w:t>A</w:t>
            </w:r>
            <w:r w:rsidR="00B40693" w:rsidRPr="002E3987">
              <w:rPr>
                <w:rFonts w:cs="Arial"/>
                <w:b/>
                <w:bCs/>
                <w:iCs/>
                <w:color w:val="000000" w:themeColor="text1"/>
                <w:sz w:val="16"/>
                <w:szCs w:val="16"/>
              </w:rPr>
              <w:t>pproved by COP11</w:t>
            </w:r>
          </w:p>
        </w:tc>
        <w:tc>
          <w:tcPr>
            <w:tcW w:w="271" w:type="pct"/>
            <w:tcBorders>
              <w:top w:val="nil"/>
              <w:bottom w:val="single" w:sz="12" w:space="0" w:color="auto"/>
            </w:tcBorders>
            <w:shd w:val="clear" w:color="000000" w:fill="DCE6F1"/>
            <w:hideMark/>
          </w:tcPr>
          <w:p w:rsidR="00B40693" w:rsidRPr="002E3987" w:rsidRDefault="002E3987" w:rsidP="00B40693">
            <w:pPr>
              <w:widowControl/>
              <w:autoSpaceDE/>
              <w:autoSpaceDN/>
              <w:adjustRightInd/>
              <w:jc w:val="center"/>
              <w:rPr>
                <w:rFonts w:cs="Arial"/>
                <w:b/>
                <w:bCs/>
                <w:iCs/>
                <w:color w:val="000000" w:themeColor="text1"/>
                <w:sz w:val="16"/>
                <w:szCs w:val="16"/>
              </w:rPr>
            </w:pPr>
            <w:r w:rsidRPr="002E3987">
              <w:rPr>
                <w:rFonts w:cs="Arial"/>
                <w:b/>
                <w:bCs/>
                <w:iCs/>
                <w:color w:val="000000" w:themeColor="text1"/>
                <w:sz w:val="16"/>
                <w:szCs w:val="16"/>
              </w:rPr>
              <w:t xml:space="preserve">From </w:t>
            </w:r>
            <w:r w:rsidR="00B40693" w:rsidRPr="002E3987">
              <w:rPr>
                <w:rFonts w:cs="Arial"/>
                <w:b/>
                <w:bCs/>
                <w:iCs/>
                <w:color w:val="000000" w:themeColor="text1"/>
                <w:sz w:val="16"/>
                <w:szCs w:val="16"/>
              </w:rPr>
              <w:t xml:space="preserve">TF </w:t>
            </w:r>
            <w:r w:rsidR="008A34C5" w:rsidRPr="002E3987">
              <w:rPr>
                <w:rFonts w:cs="Arial"/>
                <w:b/>
                <w:bCs/>
                <w:iCs/>
                <w:color w:val="000000" w:themeColor="text1"/>
                <w:sz w:val="16"/>
                <w:szCs w:val="16"/>
              </w:rPr>
              <w:t>reserve</w:t>
            </w:r>
          </w:p>
        </w:tc>
        <w:tc>
          <w:tcPr>
            <w:tcW w:w="361" w:type="pct"/>
            <w:vMerge/>
            <w:tcBorders>
              <w:top w:val="nil"/>
              <w:bottom w:val="single" w:sz="12" w:space="0" w:color="auto"/>
              <w:right w:val="single" w:sz="4" w:space="0" w:color="auto"/>
            </w:tcBorders>
            <w:vAlign w:val="center"/>
            <w:hideMark/>
          </w:tcPr>
          <w:p w:rsidR="00B40693" w:rsidRPr="002E3987" w:rsidRDefault="00B40693" w:rsidP="00B40693">
            <w:pPr>
              <w:widowControl/>
              <w:autoSpaceDE/>
              <w:autoSpaceDN/>
              <w:adjustRightInd/>
              <w:rPr>
                <w:rFonts w:cs="Arial"/>
                <w:b/>
                <w:bCs/>
                <w:color w:val="000000" w:themeColor="text1"/>
                <w:sz w:val="16"/>
                <w:szCs w:val="16"/>
              </w:rPr>
            </w:pPr>
          </w:p>
        </w:tc>
        <w:tc>
          <w:tcPr>
            <w:tcW w:w="329" w:type="pct"/>
            <w:tcBorders>
              <w:top w:val="nil"/>
              <w:left w:val="single" w:sz="4" w:space="0" w:color="auto"/>
              <w:bottom w:val="single" w:sz="12" w:space="0" w:color="auto"/>
            </w:tcBorders>
            <w:shd w:val="clear" w:color="000000" w:fill="DCE6F1"/>
            <w:hideMark/>
          </w:tcPr>
          <w:p w:rsidR="00B40693" w:rsidRPr="002E3987" w:rsidRDefault="008A34C5" w:rsidP="00B40693">
            <w:pPr>
              <w:widowControl/>
              <w:autoSpaceDE/>
              <w:autoSpaceDN/>
              <w:adjustRightInd/>
              <w:jc w:val="center"/>
              <w:rPr>
                <w:rFonts w:cs="Arial"/>
                <w:b/>
                <w:bCs/>
                <w:iCs/>
                <w:color w:val="000000" w:themeColor="text1"/>
                <w:sz w:val="16"/>
                <w:szCs w:val="16"/>
              </w:rPr>
            </w:pPr>
            <w:r w:rsidRPr="002E3987">
              <w:rPr>
                <w:rFonts w:cs="Arial"/>
                <w:b/>
                <w:bCs/>
                <w:iCs/>
                <w:color w:val="000000" w:themeColor="text1"/>
                <w:sz w:val="16"/>
                <w:szCs w:val="16"/>
              </w:rPr>
              <w:t>A</w:t>
            </w:r>
            <w:r w:rsidR="00B40693" w:rsidRPr="002E3987">
              <w:rPr>
                <w:rFonts w:cs="Arial"/>
                <w:b/>
                <w:bCs/>
                <w:iCs/>
                <w:color w:val="000000" w:themeColor="text1"/>
                <w:sz w:val="16"/>
                <w:szCs w:val="16"/>
              </w:rPr>
              <w:t>pproved by COP11</w:t>
            </w:r>
          </w:p>
        </w:tc>
        <w:tc>
          <w:tcPr>
            <w:tcW w:w="268" w:type="pct"/>
            <w:tcBorders>
              <w:top w:val="nil"/>
              <w:bottom w:val="single" w:sz="12" w:space="0" w:color="auto"/>
            </w:tcBorders>
            <w:shd w:val="clear" w:color="000000" w:fill="DCE6F1"/>
            <w:hideMark/>
          </w:tcPr>
          <w:p w:rsidR="00B40693" w:rsidRPr="002E3987" w:rsidRDefault="002E3987" w:rsidP="00B40693">
            <w:pPr>
              <w:widowControl/>
              <w:autoSpaceDE/>
              <w:autoSpaceDN/>
              <w:adjustRightInd/>
              <w:jc w:val="center"/>
              <w:rPr>
                <w:rFonts w:cs="Arial"/>
                <w:b/>
                <w:bCs/>
                <w:iCs/>
                <w:color w:val="000000" w:themeColor="text1"/>
                <w:sz w:val="16"/>
                <w:szCs w:val="16"/>
              </w:rPr>
            </w:pPr>
            <w:r>
              <w:rPr>
                <w:rFonts w:cs="Arial"/>
                <w:b/>
                <w:bCs/>
                <w:iCs/>
                <w:color w:val="000000" w:themeColor="text1"/>
                <w:sz w:val="16"/>
                <w:szCs w:val="16"/>
              </w:rPr>
              <w:t xml:space="preserve">From </w:t>
            </w:r>
            <w:r w:rsidR="00B40693" w:rsidRPr="002E3987">
              <w:rPr>
                <w:rFonts w:cs="Arial"/>
                <w:b/>
                <w:bCs/>
                <w:iCs/>
                <w:color w:val="000000" w:themeColor="text1"/>
                <w:sz w:val="16"/>
                <w:szCs w:val="16"/>
              </w:rPr>
              <w:t>TF reserve</w:t>
            </w:r>
          </w:p>
        </w:tc>
        <w:tc>
          <w:tcPr>
            <w:tcW w:w="386" w:type="pct"/>
            <w:vMerge/>
            <w:tcBorders>
              <w:top w:val="nil"/>
              <w:bottom w:val="single" w:sz="12" w:space="0" w:color="auto"/>
              <w:right w:val="single" w:sz="4" w:space="0" w:color="auto"/>
            </w:tcBorders>
            <w:vAlign w:val="center"/>
            <w:hideMark/>
          </w:tcPr>
          <w:p w:rsidR="00B40693" w:rsidRPr="002E3987" w:rsidRDefault="00B40693" w:rsidP="00B40693">
            <w:pPr>
              <w:widowControl/>
              <w:autoSpaceDE/>
              <w:autoSpaceDN/>
              <w:adjustRightInd/>
              <w:rPr>
                <w:rFonts w:cs="Arial"/>
                <w:b/>
                <w:bCs/>
                <w:color w:val="000000" w:themeColor="text1"/>
                <w:sz w:val="16"/>
                <w:szCs w:val="16"/>
              </w:rPr>
            </w:pPr>
          </w:p>
        </w:tc>
        <w:tc>
          <w:tcPr>
            <w:tcW w:w="317" w:type="pct"/>
            <w:vMerge/>
            <w:tcBorders>
              <w:top w:val="nil"/>
              <w:left w:val="single" w:sz="4" w:space="0" w:color="auto"/>
              <w:bottom w:val="single" w:sz="12" w:space="0" w:color="auto"/>
            </w:tcBorders>
            <w:vAlign w:val="center"/>
            <w:hideMark/>
          </w:tcPr>
          <w:p w:rsidR="00B40693" w:rsidRPr="002E771F" w:rsidRDefault="00B40693" w:rsidP="00B40693">
            <w:pPr>
              <w:widowControl/>
              <w:autoSpaceDE/>
              <w:autoSpaceDN/>
              <w:adjustRightInd/>
              <w:rPr>
                <w:rFonts w:cs="Arial"/>
                <w:b/>
                <w:bCs/>
                <w:sz w:val="16"/>
                <w:szCs w:val="16"/>
              </w:rPr>
            </w:pPr>
          </w:p>
        </w:tc>
        <w:tc>
          <w:tcPr>
            <w:tcW w:w="495" w:type="pct"/>
            <w:vMerge/>
            <w:tcBorders>
              <w:top w:val="nil"/>
              <w:bottom w:val="single" w:sz="12" w:space="0" w:color="auto"/>
            </w:tcBorders>
            <w:vAlign w:val="center"/>
            <w:hideMark/>
          </w:tcPr>
          <w:p w:rsidR="00B40693" w:rsidRPr="002E771F" w:rsidRDefault="00B40693" w:rsidP="00B40693">
            <w:pPr>
              <w:widowControl/>
              <w:autoSpaceDE/>
              <w:autoSpaceDN/>
              <w:adjustRightInd/>
              <w:rPr>
                <w:rFonts w:cs="Arial"/>
                <w:b/>
                <w:bCs/>
                <w:sz w:val="16"/>
                <w:szCs w:val="16"/>
              </w:rPr>
            </w:pPr>
          </w:p>
        </w:tc>
      </w:tr>
      <w:tr w:rsidR="00922335" w:rsidRPr="002E771F" w:rsidTr="0097730E">
        <w:trPr>
          <w:trHeight w:val="225"/>
        </w:trPr>
        <w:tc>
          <w:tcPr>
            <w:tcW w:w="1612" w:type="pct"/>
            <w:gridSpan w:val="3"/>
            <w:tcBorders>
              <w:top w:val="single" w:sz="12" w:space="0" w:color="auto"/>
              <w:right w:val="single" w:sz="4" w:space="0" w:color="auto"/>
            </w:tcBorders>
            <w:shd w:val="clear" w:color="auto" w:fill="auto"/>
            <w:noWrap/>
            <w:vAlign w:val="center"/>
            <w:hideMark/>
          </w:tcPr>
          <w:p w:rsidR="00B40693" w:rsidRPr="002E771F" w:rsidRDefault="00B40693" w:rsidP="001C63E3">
            <w:pPr>
              <w:widowControl/>
              <w:autoSpaceDE/>
              <w:autoSpaceDN/>
              <w:adjustRightInd/>
              <w:rPr>
                <w:rFonts w:cs="Arial"/>
                <w:b/>
                <w:bCs/>
                <w:color w:val="000000"/>
                <w:sz w:val="16"/>
                <w:szCs w:val="16"/>
              </w:rPr>
            </w:pPr>
            <w:r w:rsidRPr="002E771F">
              <w:rPr>
                <w:rFonts w:cs="Arial"/>
                <w:b/>
                <w:bCs/>
                <w:color w:val="000000"/>
                <w:sz w:val="16"/>
                <w:szCs w:val="16"/>
              </w:rPr>
              <w:t>Executive Direction and Management</w:t>
            </w:r>
          </w:p>
        </w:tc>
        <w:tc>
          <w:tcPr>
            <w:tcW w:w="316" w:type="pct"/>
            <w:tcBorders>
              <w:top w:val="single" w:sz="12" w:space="0" w:color="auto"/>
              <w:left w:val="single" w:sz="4" w:space="0" w:color="auto"/>
            </w:tcBorders>
            <w:shd w:val="clear" w:color="auto" w:fill="auto"/>
            <w:noWrap/>
            <w:vAlign w:val="center"/>
            <w:hideMark/>
          </w:tcPr>
          <w:p w:rsidR="00B40693" w:rsidRPr="002E771F" w:rsidRDefault="00B40693" w:rsidP="001C63E3">
            <w:pPr>
              <w:widowControl/>
              <w:autoSpaceDE/>
              <w:autoSpaceDN/>
              <w:adjustRightInd/>
              <w:rPr>
                <w:rFonts w:cs="Arial"/>
                <w:color w:val="000000"/>
                <w:sz w:val="16"/>
                <w:szCs w:val="16"/>
              </w:rPr>
            </w:pPr>
            <w:r w:rsidRPr="002E771F">
              <w:rPr>
                <w:rFonts w:cs="Arial"/>
                <w:color w:val="000000"/>
                <w:sz w:val="16"/>
                <w:szCs w:val="16"/>
              </w:rPr>
              <w:t> </w:t>
            </w:r>
          </w:p>
        </w:tc>
        <w:tc>
          <w:tcPr>
            <w:tcW w:w="317" w:type="pct"/>
            <w:tcBorders>
              <w:top w:val="single" w:sz="12" w:space="0" w:color="auto"/>
              <w:right w:val="single" w:sz="4" w:space="0" w:color="auto"/>
            </w:tcBorders>
            <w:shd w:val="clear" w:color="auto" w:fill="auto"/>
            <w:noWrap/>
            <w:vAlign w:val="center"/>
            <w:hideMark/>
          </w:tcPr>
          <w:p w:rsidR="00B40693" w:rsidRPr="002E771F" w:rsidRDefault="00B40693" w:rsidP="001C63E3">
            <w:pPr>
              <w:widowControl/>
              <w:autoSpaceDE/>
              <w:autoSpaceDN/>
              <w:adjustRightInd/>
              <w:rPr>
                <w:rFonts w:cs="Arial"/>
                <w:sz w:val="16"/>
                <w:szCs w:val="16"/>
              </w:rPr>
            </w:pPr>
            <w:r w:rsidRPr="002E771F">
              <w:rPr>
                <w:rFonts w:cs="Arial"/>
                <w:sz w:val="16"/>
                <w:szCs w:val="16"/>
              </w:rPr>
              <w:t> </w:t>
            </w:r>
          </w:p>
        </w:tc>
        <w:tc>
          <w:tcPr>
            <w:tcW w:w="328" w:type="pct"/>
            <w:tcBorders>
              <w:top w:val="single" w:sz="12" w:space="0" w:color="auto"/>
              <w:left w:val="single" w:sz="4" w:space="0" w:color="auto"/>
            </w:tcBorders>
            <w:shd w:val="clear" w:color="auto" w:fill="auto"/>
            <w:noWrap/>
            <w:vAlign w:val="center"/>
            <w:hideMark/>
          </w:tcPr>
          <w:p w:rsidR="00B40693" w:rsidRPr="002E3987" w:rsidRDefault="00B40693" w:rsidP="001C63E3">
            <w:pPr>
              <w:widowControl/>
              <w:autoSpaceDE/>
              <w:autoSpaceDN/>
              <w:adjustRightInd/>
              <w:rPr>
                <w:rFonts w:cs="Arial"/>
                <w:color w:val="000000"/>
                <w:sz w:val="16"/>
                <w:szCs w:val="16"/>
              </w:rPr>
            </w:pPr>
            <w:r w:rsidRPr="002E3987">
              <w:rPr>
                <w:rFonts w:cs="Arial"/>
                <w:color w:val="000000"/>
                <w:sz w:val="16"/>
                <w:szCs w:val="16"/>
              </w:rPr>
              <w:t> </w:t>
            </w:r>
          </w:p>
        </w:tc>
        <w:tc>
          <w:tcPr>
            <w:tcW w:w="271" w:type="pct"/>
            <w:tcBorders>
              <w:top w:val="single" w:sz="12" w:space="0" w:color="auto"/>
            </w:tcBorders>
            <w:shd w:val="clear" w:color="auto" w:fill="auto"/>
            <w:noWrap/>
            <w:vAlign w:val="center"/>
            <w:hideMark/>
          </w:tcPr>
          <w:p w:rsidR="00B40693" w:rsidRPr="002E3987" w:rsidRDefault="00B40693" w:rsidP="001C63E3">
            <w:pPr>
              <w:widowControl/>
              <w:autoSpaceDE/>
              <w:autoSpaceDN/>
              <w:adjustRightInd/>
              <w:rPr>
                <w:rFonts w:cs="Arial"/>
                <w:color w:val="000000"/>
                <w:sz w:val="16"/>
                <w:szCs w:val="16"/>
              </w:rPr>
            </w:pPr>
            <w:r w:rsidRPr="002E3987">
              <w:rPr>
                <w:rFonts w:cs="Arial"/>
                <w:color w:val="000000"/>
                <w:sz w:val="16"/>
                <w:szCs w:val="16"/>
              </w:rPr>
              <w:t> </w:t>
            </w:r>
          </w:p>
        </w:tc>
        <w:tc>
          <w:tcPr>
            <w:tcW w:w="361" w:type="pct"/>
            <w:tcBorders>
              <w:top w:val="single" w:sz="12" w:space="0" w:color="auto"/>
              <w:right w:val="single" w:sz="4" w:space="0" w:color="auto"/>
            </w:tcBorders>
            <w:shd w:val="clear" w:color="auto" w:fill="auto"/>
            <w:noWrap/>
            <w:vAlign w:val="center"/>
            <w:hideMark/>
          </w:tcPr>
          <w:p w:rsidR="00B40693" w:rsidRPr="002E3987" w:rsidRDefault="00B40693" w:rsidP="001C63E3">
            <w:pPr>
              <w:widowControl/>
              <w:autoSpaceDE/>
              <w:autoSpaceDN/>
              <w:adjustRightInd/>
              <w:rPr>
                <w:rFonts w:cs="Arial"/>
                <w:sz w:val="16"/>
                <w:szCs w:val="16"/>
              </w:rPr>
            </w:pPr>
            <w:r w:rsidRPr="002E3987">
              <w:rPr>
                <w:rFonts w:cs="Arial"/>
                <w:sz w:val="16"/>
                <w:szCs w:val="16"/>
              </w:rPr>
              <w:t> </w:t>
            </w:r>
          </w:p>
        </w:tc>
        <w:tc>
          <w:tcPr>
            <w:tcW w:w="329" w:type="pct"/>
            <w:tcBorders>
              <w:top w:val="single" w:sz="12" w:space="0" w:color="auto"/>
              <w:left w:val="single" w:sz="4" w:space="0" w:color="auto"/>
            </w:tcBorders>
            <w:shd w:val="clear" w:color="auto" w:fill="auto"/>
            <w:noWrap/>
            <w:vAlign w:val="center"/>
            <w:hideMark/>
          </w:tcPr>
          <w:p w:rsidR="00B40693" w:rsidRPr="002E3987" w:rsidRDefault="00B40693" w:rsidP="001C63E3">
            <w:pPr>
              <w:widowControl/>
              <w:autoSpaceDE/>
              <w:autoSpaceDN/>
              <w:adjustRightInd/>
              <w:rPr>
                <w:rFonts w:cs="Arial"/>
                <w:color w:val="000000"/>
                <w:sz w:val="16"/>
                <w:szCs w:val="16"/>
              </w:rPr>
            </w:pPr>
            <w:r w:rsidRPr="002E3987">
              <w:rPr>
                <w:rFonts w:cs="Arial"/>
                <w:color w:val="000000"/>
                <w:sz w:val="16"/>
                <w:szCs w:val="16"/>
              </w:rPr>
              <w:t> </w:t>
            </w:r>
          </w:p>
        </w:tc>
        <w:tc>
          <w:tcPr>
            <w:tcW w:w="268" w:type="pct"/>
            <w:tcBorders>
              <w:top w:val="single" w:sz="12" w:space="0" w:color="auto"/>
            </w:tcBorders>
            <w:shd w:val="clear" w:color="auto" w:fill="auto"/>
            <w:noWrap/>
            <w:vAlign w:val="center"/>
            <w:hideMark/>
          </w:tcPr>
          <w:p w:rsidR="00B40693" w:rsidRPr="002E3987" w:rsidRDefault="00B40693" w:rsidP="001C63E3">
            <w:pPr>
              <w:widowControl/>
              <w:autoSpaceDE/>
              <w:autoSpaceDN/>
              <w:adjustRightInd/>
              <w:rPr>
                <w:rFonts w:cs="Arial"/>
                <w:color w:val="000000"/>
                <w:sz w:val="16"/>
                <w:szCs w:val="16"/>
              </w:rPr>
            </w:pPr>
            <w:r w:rsidRPr="002E3987">
              <w:rPr>
                <w:rFonts w:cs="Arial"/>
                <w:color w:val="000000"/>
                <w:sz w:val="16"/>
                <w:szCs w:val="16"/>
              </w:rPr>
              <w:t> </w:t>
            </w:r>
          </w:p>
        </w:tc>
        <w:tc>
          <w:tcPr>
            <w:tcW w:w="386" w:type="pct"/>
            <w:tcBorders>
              <w:top w:val="single" w:sz="12" w:space="0" w:color="auto"/>
              <w:bottom w:val="nil"/>
              <w:right w:val="single" w:sz="4" w:space="0" w:color="auto"/>
            </w:tcBorders>
            <w:shd w:val="clear" w:color="auto" w:fill="auto"/>
            <w:noWrap/>
            <w:vAlign w:val="center"/>
            <w:hideMark/>
          </w:tcPr>
          <w:p w:rsidR="00B40693" w:rsidRPr="002E771F" w:rsidRDefault="00B40693"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top w:val="single" w:sz="12" w:space="0" w:color="auto"/>
              <w:left w:val="single" w:sz="4" w:space="0" w:color="auto"/>
            </w:tcBorders>
            <w:shd w:val="clear" w:color="auto" w:fill="auto"/>
            <w:noWrap/>
            <w:vAlign w:val="center"/>
            <w:hideMark/>
          </w:tcPr>
          <w:p w:rsidR="00B40693" w:rsidRPr="002E771F" w:rsidRDefault="00B40693" w:rsidP="001C63E3">
            <w:pPr>
              <w:widowControl/>
              <w:autoSpaceDE/>
              <w:autoSpaceDN/>
              <w:adjustRightInd/>
              <w:rPr>
                <w:rFonts w:cs="Arial"/>
                <w:color w:val="000000"/>
                <w:sz w:val="16"/>
                <w:szCs w:val="16"/>
              </w:rPr>
            </w:pPr>
            <w:r w:rsidRPr="002E771F">
              <w:rPr>
                <w:rFonts w:cs="Arial"/>
                <w:color w:val="000000"/>
                <w:sz w:val="16"/>
                <w:szCs w:val="16"/>
              </w:rPr>
              <w:t> </w:t>
            </w:r>
          </w:p>
        </w:tc>
        <w:tc>
          <w:tcPr>
            <w:tcW w:w="495" w:type="pct"/>
            <w:tcBorders>
              <w:top w:val="single" w:sz="12" w:space="0" w:color="auto"/>
              <w:bottom w:val="nil"/>
            </w:tcBorders>
            <w:shd w:val="clear" w:color="auto" w:fill="auto"/>
            <w:noWrap/>
            <w:vAlign w:val="center"/>
            <w:hideMark/>
          </w:tcPr>
          <w:p w:rsidR="00B40693" w:rsidRPr="002E771F" w:rsidRDefault="00B40693" w:rsidP="001C63E3">
            <w:pPr>
              <w:widowControl/>
              <w:autoSpaceDE/>
              <w:autoSpaceDN/>
              <w:adjustRightInd/>
              <w:rPr>
                <w:rFonts w:cs="Arial"/>
                <w:color w:val="000000"/>
                <w:sz w:val="16"/>
                <w:szCs w:val="16"/>
              </w:rPr>
            </w:pPr>
            <w:r w:rsidRPr="002E771F">
              <w:rPr>
                <w:rFonts w:cs="Arial"/>
                <w:color w:val="000000"/>
                <w:sz w:val="16"/>
                <w:szCs w:val="16"/>
              </w:rPr>
              <w:t>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Executive Secretary</w:t>
            </w:r>
            <w:r w:rsidRPr="002E771F">
              <w:rPr>
                <w:rFonts w:cs="Arial"/>
                <w:color w:val="000000"/>
                <w:sz w:val="16"/>
                <w:szCs w:val="16"/>
                <w:vertAlign w:val="superscript"/>
              </w:rPr>
              <w:t>1</w:t>
            </w:r>
            <w:r w:rsidRPr="002E771F">
              <w:rPr>
                <w:rFonts w:cs="Arial"/>
                <w:color w:val="000000"/>
                <w:sz w:val="16"/>
                <w:szCs w:val="16"/>
              </w:rPr>
              <w:t>, 97%</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169,794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222,068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173,190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194,589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176,653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147,449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519,637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564,107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2</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Deputy Executive Secretary</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157,059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147,732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160,200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156,941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163,404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202,596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480,663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507,269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3</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Personal Assistant to the Executive Secretary</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82,775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68,815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84,430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69,838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86,119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72,102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253,324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210,755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4</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Secretary to Deputy Executive Secretary,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42,459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43,408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46,680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132,548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5</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Strategic Plan (Indicators, Companion Volume etc.)</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15,000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15,000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17,699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23,376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15,000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17,699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57,022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80,398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80,398 </w:t>
            </w:r>
          </w:p>
        </w:tc>
      </w:tr>
      <w:tr w:rsidR="0097730E" w:rsidRPr="002E771F" w:rsidTr="0097730E">
        <w:trPr>
          <w:trHeight w:val="227"/>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6</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xml:space="preserve">Independent analysis of synergies in the CMS </w:t>
            </w:r>
            <w:r>
              <w:rPr>
                <w:rFonts w:cs="Arial"/>
                <w:color w:val="000000"/>
                <w:sz w:val="16"/>
                <w:szCs w:val="16"/>
              </w:rPr>
              <w:t>F</w:t>
            </w:r>
            <w:r w:rsidRPr="002E771F">
              <w:rPr>
                <w:rFonts w:cs="Arial"/>
                <w:color w:val="000000"/>
                <w:sz w:val="16"/>
                <w:szCs w:val="16"/>
              </w:rPr>
              <w:t>amily</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50,000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42,928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FC27D5" w:rsidRDefault="0097730E" w:rsidP="0097730E">
            <w:pPr>
              <w:widowControl/>
              <w:autoSpaceDE/>
              <w:autoSpaceDN/>
              <w:adjustRightInd/>
              <w:jc w:val="right"/>
              <w:rPr>
                <w:rFonts w:cs="Arial"/>
                <w:sz w:val="16"/>
                <w:szCs w:val="16"/>
              </w:rPr>
            </w:pPr>
            <w:r w:rsidRPr="00FC27D5">
              <w:rPr>
                <w:rFonts w:cs="Arial"/>
                <w:sz w:val="16"/>
                <w:szCs w:val="16"/>
              </w:rPr>
              <w:t>(21,722)</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13,050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50,000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34,257 </w:t>
            </w:r>
          </w:p>
        </w:tc>
      </w:tr>
      <w:tr w:rsidR="0097730E" w:rsidRPr="002E771F" w:rsidTr="0097730E">
        <w:trPr>
          <w:trHeight w:val="254"/>
        </w:trPr>
        <w:tc>
          <w:tcPr>
            <w:tcW w:w="145"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506,783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524,002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465,618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17,699 </w:t>
            </w:r>
          </w:p>
        </w:tc>
        <w:tc>
          <w:tcPr>
            <w:tcW w:w="361" w:type="pct"/>
            <w:tcBorders>
              <w:right w:val="single" w:sz="4" w:space="0" w:color="auto"/>
            </w:tcBorders>
            <w:shd w:val="clear" w:color="000000" w:fill="DCE6F1"/>
            <w:noWrap/>
            <w:vAlign w:val="center"/>
            <w:hideMark/>
          </w:tcPr>
          <w:p w:rsidR="0097730E" w:rsidRPr="00FC27D5" w:rsidRDefault="0097730E" w:rsidP="0097730E">
            <w:pPr>
              <w:widowControl/>
              <w:autoSpaceDE/>
              <w:autoSpaceDN/>
              <w:adjustRightInd/>
              <w:jc w:val="right"/>
              <w:rPr>
                <w:rFonts w:cs="Arial"/>
                <w:b/>
                <w:bCs/>
                <w:sz w:val="16"/>
                <w:szCs w:val="16"/>
              </w:rPr>
            </w:pPr>
            <w:r w:rsidRPr="00FC27D5">
              <w:rPr>
                <w:rFonts w:cs="Arial"/>
                <w:b/>
                <w:bCs/>
                <w:sz w:val="16"/>
                <w:szCs w:val="16"/>
              </w:rPr>
              <w:t xml:space="preserve">466,430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474,630 </w:t>
            </w:r>
          </w:p>
        </w:tc>
        <w:tc>
          <w:tcPr>
            <w:tcW w:w="268"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17,699 </w:t>
            </w: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538,900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1,482,429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1,529,333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Implementation Support</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FC27D5" w:rsidRDefault="0097730E" w:rsidP="0097730E">
            <w:pPr>
              <w:widowControl/>
              <w:autoSpaceDE/>
              <w:autoSpaceDN/>
              <w:adjustRightInd/>
              <w:jc w:val="right"/>
              <w:rPr>
                <w:rFonts w:cs="Arial"/>
                <w:sz w:val="16"/>
                <w:szCs w:val="16"/>
              </w:rPr>
            </w:pPr>
            <w:r w:rsidRPr="00FC27D5">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left w:val="single" w:sz="4" w:space="0" w:color="auto"/>
            </w:tcBorders>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b/>
                <w:bCs/>
                <w:sz w:val="16"/>
                <w:szCs w:val="16"/>
              </w:rPr>
              <w:t>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7</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Head, Aquatic Species</w:t>
            </w:r>
            <w:r w:rsidRPr="002E771F">
              <w:rPr>
                <w:rFonts w:cs="Arial"/>
                <w:color w:val="000000"/>
                <w:sz w:val="16"/>
                <w:szCs w:val="16"/>
                <w:vertAlign w:val="superscript"/>
              </w:rPr>
              <w:t>1</w:t>
            </w:r>
            <w:r w:rsidRPr="002E771F">
              <w:rPr>
                <w:rFonts w:cs="Arial"/>
                <w:color w:val="000000"/>
                <w:sz w:val="16"/>
                <w:szCs w:val="16"/>
              </w:rPr>
              <w:t>, 85%</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121,774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133,014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124,210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FC27D5" w:rsidRDefault="0097730E" w:rsidP="0097730E">
            <w:pPr>
              <w:widowControl/>
              <w:autoSpaceDE/>
              <w:autoSpaceDN/>
              <w:adjustRightInd/>
              <w:jc w:val="right"/>
              <w:rPr>
                <w:rFonts w:cs="Arial"/>
                <w:sz w:val="16"/>
                <w:szCs w:val="16"/>
              </w:rPr>
            </w:pPr>
            <w:r w:rsidRPr="00FC27D5">
              <w:rPr>
                <w:rFonts w:cs="Arial"/>
                <w:sz w:val="16"/>
                <w:szCs w:val="16"/>
              </w:rPr>
              <w:t xml:space="preserve">134,253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126,694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83,076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372,678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350,343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8</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Associate Marine Mammals Officer</w:t>
            </w:r>
            <w:r w:rsidRPr="002E771F">
              <w:rPr>
                <w:rFonts w:cs="Arial"/>
                <w:color w:val="000000"/>
                <w:sz w:val="16"/>
                <w:szCs w:val="16"/>
                <w:vertAlign w:val="superscript"/>
              </w:rPr>
              <w:t>1</w:t>
            </w:r>
            <w:r w:rsidRPr="002E771F">
              <w:rPr>
                <w:rFonts w:cs="Arial"/>
                <w:color w:val="000000"/>
                <w:sz w:val="16"/>
                <w:szCs w:val="16"/>
              </w:rPr>
              <w:t>, 25%</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22,551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23,002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FC27D5" w:rsidRDefault="0097730E" w:rsidP="0097730E">
            <w:pPr>
              <w:widowControl/>
              <w:autoSpaceDE/>
              <w:autoSpaceDN/>
              <w:adjustRightInd/>
              <w:jc w:val="right"/>
              <w:rPr>
                <w:rFonts w:cs="Arial"/>
                <w:sz w:val="16"/>
                <w:szCs w:val="16"/>
              </w:rPr>
            </w:pPr>
            <w:r w:rsidRPr="00FC27D5">
              <w:rPr>
                <w:rFonts w:cs="Arial"/>
                <w:sz w:val="16"/>
                <w:szCs w:val="16"/>
              </w:rPr>
              <w:t xml:space="preserve">21,821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23,463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44,350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69,016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66,171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9</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Senior Advisor and Head of IOSEA, approx 12.5%</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20,376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35,783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20,376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FC27D5" w:rsidRDefault="0097730E" w:rsidP="0097730E">
            <w:pPr>
              <w:widowControl/>
              <w:autoSpaceDE/>
              <w:autoSpaceDN/>
              <w:adjustRightInd/>
              <w:jc w:val="right"/>
              <w:rPr>
                <w:rFonts w:cs="Arial"/>
                <w:sz w:val="16"/>
                <w:szCs w:val="16"/>
              </w:rPr>
            </w:pPr>
            <w:r w:rsidRPr="00FC27D5">
              <w:rPr>
                <w:rFonts w:cs="Arial"/>
                <w:sz w:val="16"/>
                <w:szCs w:val="16"/>
              </w:rPr>
              <w:t>(14,883)</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20,376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24,493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61,128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45,392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67" w:type="pct"/>
            <w:gridSpan w:val="2"/>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17" w:type="pct"/>
            <w:tcBorders>
              <w:top w:val="nil"/>
              <w:left w:val="single" w:sz="4" w:space="0" w:color="auto"/>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sz w:val="16"/>
                <w:szCs w:val="16"/>
              </w:rPr>
              <w:t> </w:t>
            </w:r>
          </w:p>
        </w:tc>
        <w:tc>
          <w:tcPr>
            <w:tcW w:w="495" w:type="pct"/>
            <w:tcBorders>
              <w:top w:val="nil"/>
              <w:left w:val="nil"/>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10</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Head, Avian Species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143,264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172,014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146,129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157,467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149,051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151,547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438,444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481,028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67" w:type="pct"/>
            <w:gridSpan w:val="2"/>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17" w:type="pct"/>
            <w:tcBorders>
              <w:top w:val="nil"/>
              <w:left w:val="single" w:sz="4" w:space="0" w:color="auto"/>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sz w:val="16"/>
                <w:szCs w:val="16"/>
              </w:rPr>
              <w:t> </w:t>
            </w:r>
          </w:p>
        </w:tc>
        <w:tc>
          <w:tcPr>
            <w:tcW w:w="495" w:type="pct"/>
            <w:tcBorders>
              <w:top w:val="nil"/>
              <w:left w:val="nil"/>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11</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Head</w:t>
            </w:r>
            <w:r w:rsidRPr="002E771F">
              <w:rPr>
                <w:rFonts w:cs="Arial"/>
                <w:color w:val="000000"/>
                <w:sz w:val="16"/>
                <w:szCs w:val="16"/>
                <w:vertAlign w:val="superscript"/>
              </w:rPr>
              <w:t>2</w:t>
            </w:r>
            <w:r w:rsidRPr="002E771F">
              <w:rPr>
                <w:rFonts w:cs="Arial"/>
                <w:color w:val="000000"/>
                <w:sz w:val="16"/>
                <w:szCs w:val="16"/>
              </w:rPr>
              <w:t>, Terrestrial Species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0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12</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Associate Programme Officer</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90,203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69,805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92,007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30,677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77,989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93,847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77,110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306,734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224,903 </w:t>
            </w:r>
          </w:p>
        </w:tc>
      </w:tr>
      <w:tr w:rsidR="0097730E" w:rsidRPr="002E771F" w:rsidTr="0097730E">
        <w:trPr>
          <w:trHeight w:val="240"/>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13</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Associate Programme Officer, CAMI 50%</w:t>
            </w:r>
            <w:bookmarkStart w:id="0" w:name="_GoBack"/>
            <w:bookmarkEnd w:id="0"/>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45,102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26,598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46,004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17,774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46,924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43,574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138,030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87,946 </w:t>
            </w:r>
          </w:p>
        </w:tc>
      </w:tr>
      <w:tr w:rsidR="0097730E" w:rsidRPr="002E771F" w:rsidTr="0097730E">
        <w:trPr>
          <w:trHeight w:val="344"/>
        </w:trPr>
        <w:tc>
          <w:tcPr>
            <w:tcW w:w="145"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443,270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437,213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451,728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30,677 </w:t>
            </w:r>
          </w:p>
        </w:tc>
        <w:tc>
          <w:tcPr>
            <w:tcW w:w="361"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394,420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460,355 </w:t>
            </w:r>
          </w:p>
        </w:tc>
        <w:tc>
          <w:tcPr>
            <w:tcW w:w="268"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424,150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1,386,030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1,255,784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Scientific Advisory Services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97730E">
        <w:trPr>
          <w:trHeight w:val="240"/>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14</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Scientific Advisor</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143,264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177,120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146,129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180,344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149,051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186,192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438,444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543,657 </w:t>
            </w:r>
          </w:p>
        </w:tc>
      </w:tr>
      <w:tr w:rsidR="0097730E" w:rsidRPr="002E771F" w:rsidTr="0097730E">
        <w:trPr>
          <w:trHeight w:val="254"/>
        </w:trPr>
        <w:tc>
          <w:tcPr>
            <w:tcW w:w="145"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143,264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177,120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146,129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 </w:t>
            </w:r>
          </w:p>
        </w:tc>
        <w:tc>
          <w:tcPr>
            <w:tcW w:w="361"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180,344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149,051 </w:t>
            </w:r>
          </w:p>
        </w:tc>
        <w:tc>
          <w:tcPr>
            <w:tcW w:w="268"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 </w:t>
            </w: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186,192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438,444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543,657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Conferences and Support Services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15</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Head</w:t>
            </w:r>
            <w:r w:rsidRPr="002E771F">
              <w:rPr>
                <w:rFonts w:cs="Arial"/>
                <w:color w:val="000000"/>
                <w:sz w:val="16"/>
                <w:szCs w:val="16"/>
                <w:vertAlign w:val="superscript"/>
              </w:rPr>
              <w:t>2</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0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16</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Programme Assistant (GS-5)</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64,310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59,483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65,596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55,945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66,908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61,022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196,814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176,450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17</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Secretary,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24,500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25,460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30,947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80,906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18</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Clerk,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0 </w:t>
            </w:r>
          </w:p>
        </w:tc>
      </w:tr>
      <w:tr w:rsidR="0097730E" w:rsidRPr="002E771F" w:rsidTr="0097730E">
        <w:trPr>
          <w:trHeight w:val="225"/>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19</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Secretary,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32,638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29,309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33,057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95,004 </w:t>
            </w:r>
          </w:p>
        </w:tc>
      </w:tr>
      <w:tr w:rsidR="0097730E" w:rsidRPr="002E771F" w:rsidTr="0097730E">
        <w:trPr>
          <w:trHeight w:val="240"/>
        </w:trPr>
        <w:tc>
          <w:tcPr>
            <w:tcW w:w="145"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20</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Secretary,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38,930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42,097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45,326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126,353 </w:t>
            </w:r>
          </w:p>
        </w:tc>
      </w:tr>
      <w:tr w:rsidR="0097730E" w:rsidRPr="002E771F" w:rsidTr="0097730E">
        <w:trPr>
          <w:trHeight w:val="240"/>
        </w:trPr>
        <w:tc>
          <w:tcPr>
            <w:tcW w:w="145"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192,930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155,550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196,789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 </w:t>
            </w:r>
          </w:p>
        </w:tc>
        <w:tc>
          <w:tcPr>
            <w:tcW w:w="361"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152,811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200,724 </w:t>
            </w:r>
          </w:p>
        </w:tc>
        <w:tc>
          <w:tcPr>
            <w:tcW w:w="268" w:type="pct"/>
            <w:shd w:val="clear" w:color="000000" w:fill="DCE6F1"/>
            <w:noWrap/>
            <w:vAlign w:val="center"/>
          </w:tcPr>
          <w:p w:rsidR="0097730E" w:rsidRPr="0035129B" w:rsidRDefault="0097730E" w:rsidP="0097730E">
            <w:pPr>
              <w:widowControl/>
              <w:autoSpaceDE/>
              <w:autoSpaceDN/>
              <w:adjustRightInd/>
              <w:jc w:val="right"/>
              <w:rPr>
                <w:rFonts w:cs="Arial"/>
                <w:b/>
                <w:bCs/>
                <w:color w:val="000000"/>
                <w:sz w:val="16"/>
                <w:szCs w:val="16"/>
              </w:rPr>
            </w:pP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170,351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590,443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478,712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p>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Resource Mobilization and Interagency Affairs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386" w:type="pct"/>
            <w:tcBorders>
              <w:top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bCs/>
                <w:sz w:val="16"/>
                <w:szCs w:val="16"/>
              </w:rPr>
            </w:pPr>
            <w:r w:rsidRPr="008C5742">
              <w:rPr>
                <w:rFonts w:cs="Arial"/>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21</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Associate Partnerships and Fundraising Officer</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90,203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88,899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92,007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91,266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93,847 </w:t>
            </w:r>
          </w:p>
        </w:tc>
        <w:tc>
          <w:tcPr>
            <w:tcW w:w="268" w:type="pct"/>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386" w:type="pct"/>
            <w:tcBorders>
              <w:top w:val="nil"/>
              <w:left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sz w:val="16"/>
                <w:szCs w:val="16"/>
              </w:rPr>
            </w:pPr>
            <w:r w:rsidRPr="008C5742">
              <w:rPr>
                <w:rFonts w:cs="Arial"/>
                <w:sz w:val="16"/>
                <w:szCs w:val="16"/>
              </w:rPr>
              <w:t xml:space="preserve">94,393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276,057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274,558 </w:t>
            </w:r>
          </w:p>
        </w:tc>
      </w:tr>
      <w:tr w:rsidR="0097730E" w:rsidRPr="002E771F" w:rsidTr="00476CA8">
        <w:trPr>
          <w:trHeight w:val="465"/>
        </w:trPr>
        <w:tc>
          <w:tcPr>
            <w:tcW w:w="145" w:type="pct"/>
            <w:tcBorders>
              <w:bottom w:val="nil"/>
            </w:tcBorders>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tcBorders>
              <w:bottom w:val="nil"/>
            </w:tcBorders>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22</w:t>
            </w:r>
          </w:p>
        </w:tc>
        <w:tc>
          <w:tcPr>
            <w:tcW w:w="1327" w:type="pct"/>
            <w:tcBorders>
              <w:bottom w:val="nil"/>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Associate Programme Officer, Western Hemisphere, 50%</w:t>
            </w:r>
          </w:p>
        </w:tc>
        <w:tc>
          <w:tcPr>
            <w:tcW w:w="316" w:type="pct"/>
            <w:tcBorders>
              <w:left w:val="single" w:sz="4" w:space="0" w:color="auto"/>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w:t>
            </w:r>
          </w:p>
        </w:tc>
        <w:tc>
          <w:tcPr>
            <w:tcW w:w="317" w:type="pct"/>
            <w:tcBorders>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 </w:t>
            </w:r>
          </w:p>
        </w:tc>
        <w:tc>
          <w:tcPr>
            <w:tcW w:w="328" w:type="pct"/>
            <w:tcBorders>
              <w:left w:val="single" w:sz="4" w:space="0" w:color="auto"/>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271" w:type="pct"/>
            <w:tcBorders>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361" w:type="pct"/>
            <w:tcBorders>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 </w:t>
            </w:r>
          </w:p>
        </w:tc>
        <w:tc>
          <w:tcPr>
            <w:tcW w:w="329" w:type="pct"/>
            <w:tcBorders>
              <w:left w:val="single" w:sz="4" w:space="0" w:color="auto"/>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268" w:type="pct"/>
            <w:tcBorders>
              <w:bottom w:val="nil"/>
            </w:tcBorders>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386" w:type="pct"/>
            <w:tcBorders>
              <w:top w:val="nil"/>
              <w:left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sz w:val="16"/>
                <w:szCs w:val="16"/>
              </w:rPr>
            </w:pPr>
            <w:r w:rsidRPr="008C5742">
              <w:rPr>
                <w:rFonts w:cs="Arial"/>
                <w:sz w:val="16"/>
                <w:szCs w:val="16"/>
              </w:rPr>
              <w:t xml:space="preserve">0 </w:t>
            </w:r>
          </w:p>
        </w:tc>
        <w:tc>
          <w:tcPr>
            <w:tcW w:w="317" w:type="pct"/>
            <w:tcBorders>
              <w:left w:val="single" w:sz="4" w:space="0" w:color="auto"/>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0 </w:t>
            </w:r>
          </w:p>
        </w:tc>
      </w:tr>
      <w:tr w:rsidR="00504B02" w:rsidRPr="002E771F" w:rsidTr="00B25725">
        <w:trPr>
          <w:trHeight w:val="240"/>
        </w:trPr>
        <w:tc>
          <w:tcPr>
            <w:tcW w:w="145" w:type="pct"/>
            <w:tcBorders>
              <w:top w:val="nil"/>
              <w:bottom w:val="single" w:sz="4" w:space="0" w:color="auto"/>
            </w:tcBorders>
            <w:shd w:val="clear" w:color="000000" w:fill="DCE6F1"/>
            <w:noWrap/>
            <w:hideMark/>
          </w:tcPr>
          <w:p w:rsidR="0097730E" w:rsidRPr="002E771F" w:rsidRDefault="0097730E" w:rsidP="0097730E">
            <w:pPr>
              <w:widowControl/>
              <w:autoSpaceDE/>
              <w:autoSpaceDN/>
              <w:adjustRightInd/>
              <w:rPr>
                <w:rFonts w:cs="Arial"/>
                <w:b/>
                <w:bCs/>
                <w:sz w:val="16"/>
                <w:szCs w:val="16"/>
              </w:rPr>
            </w:pPr>
            <w:r w:rsidRPr="002E771F">
              <w:rPr>
                <w:rFonts w:cs="Arial"/>
                <w:b/>
                <w:bCs/>
                <w:sz w:val="16"/>
                <w:szCs w:val="16"/>
              </w:rPr>
              <w:t> </w:t>
            </w:r>
          </w:p>
        </w:tc>
        <w:tc>
          <w:tcPr>
            <w:tcW w:w="140" w:type="pct"/>
            <w:tcBorders>
              <w:top w:val="nil"/>
              <w:bottom w:val="single" w:sz="4" w:space="0" w:color="auto"/>
            </w:tcBorders>
            <w:shd w:val="clear" w:color="000000" w:fill="DCE6F1"/>
            <w:noWrap/>
            <w:hideMark/>
          </w:tcPr>
          <w:p w:rsidR="0097730E" w:rsidRPr="002E771F" w:rsidRDefault="0097730E" w:rsidP="0097730E">
            <w:pPr>
              <w:widowControl/>
              <w:autoSpaceDE/>
              <w:autoSpaceDN/>
              <w:adjustRightInd/>
              <w:rPr>
                <w:rFonts w:cs="Arial"/>
                <w:b/>
                <w:bCs/>
                <w:sz w:val="16"/>
                <w:szCs w:val="16"/>
              </w:rPr>
            </w:pPr>
            <w:r w:rsidRPr="002E771F">
              <w:rPr>
                <w:rFonts w:cs="Arial"/>
                <w:b/>
                <w:bCs/>
                <w:sz w:val="16"/>
                <w:szCs w:val="16"/>
              </w:rPr>
              <w:t> </w:t>
            </w:r>
          </w:p>
        </w:tc>
        <w:tc>
          <w:tcPr>
            <w:tcW w:w="1327" w:type="pct"/>
            <w:tcBorders>
              <w:top w:val="nil"/>
              <w:bottom w:val="single" w:sz="4" w:space="0" w:color="auto"/>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Subtotal</w:t>
            </w:r>
          </w:p>
        </w:tc>
        <w:tc>
          <w:tcPr>
            <w:tcW w:w="316" w:type="pct"/>
            <w:tcBorders>
              <w:top w:val="nil"/>
              <w:left w:val="single" w:sz="4" w:space="0" w:color="auto"/>
              <w:bottom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90,203 </w:t>
            </w:r>
          </w:p>
        </w:tc>
        <w:tc>
          <w:tcPr>
            <w:tcW w:w="317" w:type="pct"/>
            <w:tcBorders>
              <w:top w:val="nil"/>
              <w:bottom w:val="single" w:sz="4" w:space="0" w:color="auto"/>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88,899 </w:t>
            </w:r>
          </w:p>
        </w:tc>
        <w:tc>
          <w:tcPr>
            <w:tcW w:w="328" w:type="pct"/>
            <w:tcBorders>
              <w:top w:val="nil"/>
              <w:left w:val="single" w:sz="4" w:space="0" w:color="auto"/>
              <w:bottom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92,007 </w:t>
            </w:r>
          </w:p>
        </w:tc>
        <w:tc>
          <w:tcPr>
            <w:tcW w:w="271" w:type="pct"/>
            <w:tcBorders>
              <w:top w:val="nil"/>
              <w:bottom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 </w:t>
            </w:r>
          </w:p>
        </w:tc>
        <w:tc>
          <w:tcPr>
            <w:tcW w:w="361" w:type="pct"/>
            <w:tcBorders>
              <w:top w:val="nil"/>
              <w:bottom w:val="single" w:sz="4" w:space="0" w:color="auto"/>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91,266 </w:t>
            </w:r>
          </w:p>
        </w:tc>
        <w:tc>
          <w:tcPr>
            <w:tcW w:w="329" w:type="pct"/>
            <w:tcBorders>
              <w:top w:val="nil"/>
              <w:left w:val="single" w:sz="4" w:space="0" w:color="auto"/>
              <w:bottom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93,847 </w:t>
            </w:r>
          </w:p>
        </w:tc>
        <w:tc>
          <w:tcPr>
            <w:tcW w:w="268" w:type="pct"/>
            <w:tcBorders>
              <w:top w:val="nil"/>
              <w:bottom w:val="single" w:sz="4" w:space="0" w:color="auto"/>
            </w:tcBorders>
            <w:shd w:val="clear" w:color="000000" w:fill="DCE6F1"/>
            <w:noWrap/>
            <w:vAlign w:val="center"/>
          </w:tcPr>
          <w:p w:rsidR="0097730E" w:rsidRPr="0035129B" w:rsidRDefault="0097730E" w:rsidP="0097730E">
            <w:pPr>
              <w:widowControl/>
              <w:autoSpaceDE/>
              <w:autoSpaceDN/>
              <w:adjustRightInd/>
              <w:jc w:val="right"/>
              <w:rPr>
                <w:rFonts w:cs="Arial"/>
                <w:b/>
                <w:bCs/>
                <w:sz w:val="16"/>
                <w:szCs w:val="16"/>
              </w:rPr>
            </w:pPr>
          </w:p>
        </w:tc>
        <w:tc>
          <w:tcPr>
            <w:tcW w:w="386" w:type="pct"/>
            <w:tcBorders>
              <w:top w:val="nil"/>
              <w:left w:val="nil"/>
              <w:bottom w:val="single" w:sz="4" w:space="0" w:color="auto"/>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94,393 </w:t>
            </w:r>
          </w:p>
        </w:tc>
        <w:tc>
          <w:tcPr>
            <w:tcW w:w="317" w:type="pct"/>
            <w:tcBorders>
              <w:top w:val="nil"/>
              <w:left w:val="single" w:sz="4" w:space="0" w:color="auto"/>
              <w:bottom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276,057 </w:t>
            </w:r>
          </w:p>
        </w:tc>
        <w:tc>
          <w:tcPr>
            <w:tcW w:w="495" w:type="pct"/>
            <w:tcBorders>
              <w:top w:val="nil"/>
              <w:left w:val="nil"/>
              <w:bottom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274,558 </w:t>
            </w:r>
          </w:p>
        </w:tc>
      </w:tr>
      <w:tr w:rsidR="0097730E" w:rsidRPr="002E771F" w:rsidTr="00476CA8">
        <w:trPr>
          <w:trHeight w:val="225"/>
        </w:trPr>
        <w:tc>
          <w:tcPr>
            <w:tcW w:w="1612" w:type="pct"/>
            <w:gridSpan w:val="3"/>
            <w:tcBorders>
              <w:top w:val="nil"/>
              <w:bottom w:val="nil"/>
              <w:right w:val="nil"/>
            </w:tcBorders>
            <w:shd w:val="clear" w:color="auto" w:fill="auto"/>
            <w:noWrap/>
            <w:vAlign w:val="center"/>
            <w:hideMark/>
          </w:tcPr>
          <w:p w:rsidR="0097730E" w:rsidRDefault="0097730E" w:rsidP="0097730E">
            <w:pPr>
              <w:widowControl/>
              <w:autoSpaceDE/>
              <w:autoSpaceDN/>
              <w:adjustRightInd/>
              <w:rPr>
                <w:rFonts w:cs="Arial"/>
                <w:b/>
                <w:bCs/>
                <w:color w:val="000000"/>
                <w:sz w:val="16"/>
                <w:szCs w:val="16"/>
              </w:rPr>
            </w:pPr>
          </w:p>
          <w:p w:rsidR="00B25725" w:rsidRDefault="00B25725" w:rsidP="0097730E">
            <w:pPr>
              <w:widowControl/>
              <w:autoSpaceDE/>
              <w:autoSpaceDN/>
              <w:adjustRightInd/>
              <w:rPr>
                <w:rFonts w:cs="Arial"/>
                <w:b/>
                <w:bCs/>
                <w:color w:val="000000"/>
                <w:sz w:val="16"/>
                <w:szCs w:val="16"/>
              </w:rPr>
            </w:pPr>
          </w:p>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lastRenderedPageBreak/>
              <w:t>Information Management, Communication and Outreach</w:t>
            </w:r>
          </w:p>
        </w:tc>
        <w:tc>
          <w:tcPr>
            <w:tcW w:w="316"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lastRenderedPageBreak/>
              <w:t> </w:t>
            </w:r>
          </w:p>
        </w:tc>
        <w:tc>
          <w:tcPr>
            <w:tcW w:w="317"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top w:val="nil"/>
              <w:left w:val="nil"/>
              <w:bottom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single" w:sz="4" w:space="0" w:color="auto"/>
              <w:left w:val="nil"/>
              <w:bottom w:val="nil"/>
              <w:right w:val="nil"/>
            </w:tcBorders>
            <w:shd w:val="clear" w:color="auto" w:fill="auto"/>
            <w:noWrap/>
            <w:vAlign w:val="center"/>
            <w:hideMark/>
          </w:tcPr>
          <w:p w:rsidR="00B25725" w:rsidRDefault="00B25725" w:rsidP="0097730E">
            <w:pPr>
              <w:widowControl/>
              <w:autoSpaceDE/>
              <w:autoSpaceDN/>
              <w:adjustRightInd/>
              <w:jc w:val="right"/>
              <w:rPr>
                <w:rFonts w:cs="Arial"/>
                <w:b/>
                <w:bCs/>
                <w:sz w:val="16"/>
                <w:szCs w:val="16"/>
              </w:rPr>
            </w:pPr>
          </w:p>
          <w:p w:rsidR="0097730E" w:rsidRPr="002E771F" w:rsidRDefault="0097730E" w:rsidP="0097730E">
            <w:pPr>
              <w:widowControl/>
              <w:autoSpaceDE/>
              <w:autoSpaceDN/>
              <w:adjustRightInd/>
              <w:jc w:val="right"/>
              <w:rPr>
                <w:rFonts w:cs="Arial"/>
                <w:color w:val="000000"/>
                <w:sz w:val="16"/>
                <w:szCs w:val="16"/>
              </w:rPr>
            </w:pPr>
            <w:r>
              <w:rPr>
                <w:rFonts w:cs="Arial"/>
                <w:b/>
                <w:bCs/>
                <w:sz w:val="16"/>
                <w:szCs w:val="16"/>
              </w:rPr>
              <w:t> </w:t>
            </w:r>
          </w:p>
        </w:tc>
      </w:tr>
      <w:tr w:rsidR="0097730E" w:rsidRPr="002E771F" w:rsidTr="00476CA8">
        <w:trPr>
          <w:trHeight w:val="225"/>
        </w:trPr>
        <w:tc>
          <w:tcPr>
            <w:tcW w:w="145" w:type="pct"/>
            <w:tcBorders>
              <w:top w:val="nil"/>
            </w:tcBorders>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tcBorders>
              <w:top w:val="nil"/>
            </w:tcBorders>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23</w:t>
            </w:r>
          </w:p>
        </w:tc>
        <w:tc>
          <w:tcPr>
            <w:tcW w:w="1327" w:type="pct"/>
            <w:tcBorders>
              <w:top w:val="nil"/>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Asso</w:t>
            </w:r>
            <w:r>
              <w:rPr>
                <w:rFonts w:cs="Arial"/>
                <w:color w:val="000000"/>
                <w:sz w:val="16"/>
                <w:szCs w:val="16"/>
              </w:rPr>
              <w:t>ciate Information Officer,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45,102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77,378 </w:t>
            </w:r>
          </w:p>
        </w:tc>
        <w:tc>
          <w:tcPr>
            <w:tcW w:w="328" w:type="pct"/>
            <w:tcBorders>
              <w:top w:val="nil"/>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46,004 </w:t>
            </w:r>
          </w:p>
        </w:tc>
        <w:tc>
          <w:tcPr>
            <w:tcW w:w="271" w:type="pct"/>
            <w:tcBorders>
              <w:top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46,015 </w:t>
            </w:r>
          </w:p>
        </w:tc>
        <w:tc>
          <w:tcPr>
            <w:tcW w:w="361" w:type="pct"/>
            <w:tcBorders>
              <w:top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63,534 </w:t>
            </w:r>
          </w:p>
        </w:tc>
        <w:tc>
          <w:tcPr>
            <w:tcW w:w="329" w:type="pct"/>
            <w:tcBorders>
              <w:top w:val="nil"/>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46,924 </w:t>
            </w:r>
          </w:p>
        </w:tc>
        <w:tc>
          <w:tcPr>
            <w:tcW w:w="268" w:type="pct"/>
            <w:tcBorders>
              <w:top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46,317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88,885 </w:t>
            </w:r>
          </w:p>
        </w:tc>
        <w:tc>
          <w:tcPr>
            <w:tcW w:w="317" w:type="pct"/>
            <w:tcBorders>
              <w:top w:val="nil"/>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230,362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229,797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24</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Senior Information Assistant</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82,775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72,807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84,430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74,388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86,119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78,665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253,324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225,860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25</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Administrative Assistant</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64,310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53,699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65,596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55,302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66,908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68,397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196,814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177,399 </w:t>
            </w:r>
          </w:p>
        </w:tc>
      </w:tr>
      <w:tr w:rsidR="0097730E" w:rsidRPr="002E771F" w:rsidTr="0097730E">
        <w:trPr>
          <w:trHeight w:val="240"/>
        </w:trPr>
        <w:tc>
          <w:tcPr>
            <w:tcW w:w="145" w:type="pct"/>
            <w:shd w:val="clear" w:color="000000" w:fill="FFFFFF"/>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000000" w:fill="FFFFFF"/>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26</w:t>
            </w:r>
          </w:p>
        </w:tc>
        <w:tc>
          <w:tcPr>
            <w:tcW w:w="1327" w:type="pct"/>
            <w:tcBorders>
              <w:right w:val="single" w:sz="4" w:space="0" w:color="auto"/>
            </w:tcBorders>
            <w:shd w:val="clear" w:color="000000" w:fill="FFFFFF"/>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ICT Tools, Website Development and Maintenance</w:t>
            </w:r>
          </w:p>
        </w:tc>
        <w:tc>
          <w:tcPr>
            <w:tcW w:w="316" w:type="pct"/>
            <w:tcBorders>
              <w:lef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6,500 </w:t>
            </w:r>
          </w:p>
        </w:tc>
        <w:tc>
          <w:tcPr>
            <w:tcW w:w="317" w:type="pct"/>
            <w:tcBorders>
              <w:righ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5,684 </w:t>
            </w:r>
          </w:p>
        </w:tc>
        <w:tc>
          <w:tcPr>
            <w:tcW w:w="328" w:type="pct"/>
            <w:tcBorders>
              <w:lef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6,500 </w:t>
            </w:r>
          </w:p>
        </w:tc>
        <w:tc>
          <w:tcPr>
            <w:tcW w:w="271" w:type="pct"/>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642 </w:t>
            </w:r>
          </w:p>
        </w:tc>
        <w:tc>
          <w:tcPr>
            <w:tcW w:w="329" w:type="pct"/>
            <w:tcBorders>
              <w:lef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6,500 </w:t>
            </w:r>
          </w:p>
        </w:tc>
        <w:tc>
          <w:tcPr>
            <w:tcW w:w="268" w:type="pct"/>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000000" w:fill="FFFFFF"/>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13,175 </w:t>
            </w:r>
          </w:p>
        </w:tc>
        <w:tc>
          <w:tcPr>
            <w:tcW w:w="317" w:type="pct"/>
            <w:tcBorders>
              <w:left w:val="single" w:sz="4" w:space="0" w:color="auto"/>
              <w:right w:val="nil"/>
            </w:tcBorders>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19,500 </w:t>
            </w:r>
          </w:p>
        </w:tc>
        <w:tc>
          <w:tcPr>
            <w:tcW w:w="495" w:type="pct"/>
            <w:tcBorders>
              <w:top w:val="nil"/>
              <w:left w:val="nil"/>
              <w:bottom w:val="nil"/>
              <w:right w:val="nil"/>
            </w:tcBorders>
            <w:shd w:val="clear" w:color="000000" w:fill="FFFFFF"/>
            <w:noWrap/>
            <w:vAlign w:val="center"/>
            <w:hideMark/>
          </w:tcPr>
          <w:p w:rsidR="0097730E" w:rsidRPr="002E771F" w:rsidRDefault="0097730E" w:rsidP="0097730E">
            <w:pPr>
              <w:widowControl/>
              <w:autoSpaceDE/>
              <w:autoSpaceDN/>
              <w:adjustRightInd/>
              <w:jc w:val="right"/>
              <w:rPr>
                <w:rFonts w:cs="Arial"/>
                <w:color w:val="000000"/>
                <w:sz w:val="16"/>
                <w:szCs w:val="16"/>
              </w:rPr>
            </w:pPr>
            <w:r>
              <w:rPr>
                <w:rFonts w:cs="Arial"/>
                <w:color w:val="000000"/>
                <w:sz w:val="16"/>
                <w:szCs w:val="16"/>
              </w:rPr>
              <w:t xml:space="preserve">19,500 </w:t>
            </w:r>
          </w:p>
        </w:tc>
      </w:tr>
      <w:tr w:rsidR="0097730E" w:rsidRPr="002E771F" w:rsidTr="0097730E">
        <w:trPr>
          <w:trHeight w:val="240"/>
        </w:trPr>
        <w:tc>
          <w:tcPr>
            <w:tcW w:w="145"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198,687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209,569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202,530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46,015 </w:t>
            </w:r>
          </w:p>
        </w:tc>
        <w:tc>
          <w:tcPr>
            <w:tcW w:w="361"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193,866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206,451 </w:t>
            </w:r>
          </w:p>
        </w:tc>
        <w:tc>
          <w:tcPr>
            <w:tcW w:w="268"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46,317 </w:t>
            </w: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249,122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700,000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652,557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Capacity Building</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bCs/>
                <w:sz w:val="16"/>
                <w:szCs w:val="16"/>
              </w:rPr>
            </w:pPr>
            <w:r w:rsidRPr="008C5742">
              <w:rPr>
                <w:rFonts w:cs="Arial"/>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27</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Head, Capacity Building</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143,264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172,215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146,129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130,096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149,051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sz w:val="16"/>
                <w:szCs w:val="16"/>
              </w:rPr>
            </w:pPr>
            <w:r w:rsidRPr="008C5742">
              <w:rPr>
                <w:rFonts w:cs="Arial"/>
                <w:sz w:val="16"/>
                <w:szCs w:val="16"/>
              </w:rPr>
              <w:t xml:space="preserve">54,254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438,444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356,566 </w:t>
            </w:r>
          </w:p>
        </w:tc>
      </w:tr>
      <w:tr w:rsidR="0097730E" w:rsidRPr="002E771F" w:rsidTr="0097730E">
        <w:trPr>
          <w:trHeight w:val="240"/>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28</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Secretary, 50%</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32,155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55,323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32,798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40,154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33,454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8C5742" w:rsidRDefault="0097730E" w:rsidP="0097730E">
            <w:pPr>
              <w:widowControl/>
              <w:autoSpaceDE/>
              <w:autoSpaceDN/>
              <w:adjustRightInd/>
              <w:jc w:val="right"/>
              <w:rPr>
                <w:rFonts w:cs="Arial"/>
                <w:sz w:val="16"/>
                <w:szCs w:val="16"/>
              </w:rPr>
            </w:pPr>
            <w:r w:rsidRPr="008C5742">
              <w:rPr>
                <w:rFonts w:cs="Arial"/>
                <w:sz w:val="16"/>
                <w:szCs w:val="16"/>
              </w:rPr>
              <w:t xml:space="preserve">43,787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98,407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139,263 </w:t>
            </w:r>
          </w:p>
        </w:tc>
      </w:tr>
      <w:tr w:rsidR="0097730E" w:rsidRPr="002E771F" w:rsidTr="0097730E">
        <w:trPr>
          <w:trHeight w:val="240"/>
        </w:trPr>
        <w:tc>
          <w:tcPr>
            <w:tcW w:w="145"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175,419 </w:t>
            </w:r>
          </w:p>
        </w:tc>
        <w:tc>
          <w:tcPr>
            <w:tcW w:w="317"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227,538 </w:t>
            </w:r>
          </w:p>
        </w:tc>
        <w:tc>
          <w:tcPr>
            <w:tcW w:w="328"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178,927 </w:t>
            </w:r>
          </w:p>
        </w:tc>
        <w:tc>
          <w:tcPr>
            <w:tcW w:w="271"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 </w:t>
            </w:r>
          </w:p>
        </w:tc>
        <w:tc>
          <w:tcPr>
            <w:tcW w:w="361" w:type="pct"/>
            <w:tcBorders>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170,250 </w:t>
            </w:r>
          </w:p>
        </w:tc>
        <w:tc>
          <w:tcPr>
            <w:tcW w:w="329" w:type="pct"/>
            <w:tcBorders>
              <w:lef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182,505 </w:t>
            </w:r>
          </w:p>
        </w:tc>
        <w:tc>
          <w:tcPr>
            <w:tcW w:w="268" w:type="pct"/>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 </w:t>
            </w:r>
          </w:p>
        </w:tc>
        <w:tc>
          <w:tcPr>
            <w:tcW w:w="386" w:type="pct"/>
            <w:tcBorders>
              <w:top w:val="nil"/>
              <w:left w:val="nil"/>
              <w:bottom w:val="nil"/>
              <w:right w:val="single" w:sz="4" w:space="0" w:color="auto"/>
            </w:tcBorders>
            <w:shd w:val="clear" w:color="000000" w:fill="DCE6F1"/>
            <w:noWrap/>
            <w:vAlign w:val="center"/>
            <w:hideMark/>
          </w:tcPr>
          <w:p w:rsidR="0097730E" w:rsidRPr="0035129B" w:rsidRDefault="0097730E" w:rsidP="0097730E">
            <w:pPr>
              <w:widowControl/>
              <w:autoSpaceDE/>
              <w:autoSpaceDN/>
              <w:adjustRightInd/>
              <w:jc w:val="right"/>
              <w:rPr>
                <w:rFonts w:cs="Arial"/>
                <w:b/>
                <w:bCs/>
                <w:sz w:val="16"/>
                <w:szCs w:val="16"/>
              </w:rPr>
            </w:pPr>
            <w:r w:rsidRPr="0035129B">
              <w:rPr>
                <w:rFonts w:cs="Arial"/>
                <w:b/>
                <w:bCs/>
                <w:sz w:val="16"/>
                <w:szCs w:val="16"/>
              </w:rPr>
              <w:t xml:space="preserve">98,041 </w:t>
            </w:r>
          </w:p>
        </w:tc>
        <w:tc>
          <w:tcPr>
            <w:tcW w:w="317" w:type="pct"/>
            <w:tcBorders>
              <w:left w:val="single" w:sz="4" w:space="0" w:color="auto"/>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536,851 </w:t>
            </w:r>
          </w:p>
        </w:tc>
        <w:tc>
          <w:tcPr>
            <w:tcW w:w="495" w:type="pct"/>
            <w:tcBorders>
              <w:top w:val="nil"/>
              <w:left w:val="nil"/>
              <w:bottom w:val="nil"/>
              <w:right w:val="nil"/>
            </w:tcBorders>
            <w:shd w:val="clear" w:color="000000" w:fill="DCE6F1"/>
            <w:noWrap/>
            <w:vAlign w:val="center"/>
            <w:hideMark/>
          </w:tcPr>
          <w:p w:rsidR="0097730E" w:rsidRPr="0035129B" w:rsidRDefault="0097730E" w:rsidP="0097730E">
            <w:pPr>
              <w:widowControl/>
              <w:autoSpaceDE/>
              <w:autoSpaceDN/>
              <w:adjustRightInd/>
              <w:jc w:val="right"/>
              <w:rPr>
                <w:rFonts w:cs="Arial"/>
                <w:b/>
                <w:bCs/>
                <w:color w:val="000000"/>
                <w:sz w:val="16"/>
                <w:szCs w:val="16"/>
              </w:rPr>
            </w:pPr>
            <w:r w:rsidRPr="0035129B">
              <w:rPr>
                <w:rFonts w:cs="Arial"/>
                <w:b/>
                <w:bCs/>
                <w:color w:val="000000"/>
                <w:sz w:val="16"/>
                <w:szCs w:val="16"/>
              </w:rPr>
              <w:t xml:space="preserve">495,829 </w:t>
            </w:r>
          </w:p>
        </w:tc>
      </w:tr>
      <w:tr w:rsidR="0097730E" w:rsidRPr="002E771F" w:rsidTr="0097730E">
        <w:trPr>
          <w:trHeight w:val="240"/>
        </w:trPr>
        <w:tc>
          <w:tcPr>
            <w:tcW w:w="145"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Subtotal (personnel) </w:t>
            </w:r>
          </w:p>
        </w:tc>
        <w:tc>
          <w:tcPr>
            <w:tcW w:w="316"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1,679,056 </w:t>
            </w:r>
          </w:p>
        </w:tc>
        <w:tc>
          <w:tcPr>
            <w:tcW w:w="317" w:type="pct"/>
            <w:tcBorders>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1,771,280 </w:t>
            </w:r>
          </w:p>
        </w:tc>
        <w:tc>
          <w:tcPr>
            <w:tcW w:w="328"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1,712,228 </w:t>
            </w:r>
          </w:p>
        </w:tc>
        <w:tc>
          <w:tcPr>
            <w:tcW w:w="271" w:type="pct"/>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76,692 </w:t>
            </w:r>
          </w:p>
        </w:tc>
        <w:tc>
          <w:tcPr>
            <w:tcW w:w="361" w:type="pct"/>
            <w:tcBorders>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1,647,093 </w:t>
            </w:r>
          </w:p>
        </w:tc>
        <w:tc>
          <w:tcPr>
            <w:tcW w:w="329"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1,746,063 </w:t>
            </w:r>
          </w:p>
        </w:tc>
        <w:tc>
          <w:tcPr>
            <w:tcW w:w="268" w:type="pct"/>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46,317 </w:t>
            </w:r>
          </w:p>
        </w:tc>
        <w:tc>
          <w:tcPr>
            <w:tcW w:w="386" w:type="pct"/>
            <w:tcBorders>
              <w:top w:val="nil"/>
              <w:left w:val="nil"/>
              <w:bottom w:val="nil"/>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xml:space="preserve">1,677,903 </w:t>
            </w:r>
          </w:p>
        </w:tc>
        <w:tc>
          <w:tcPr>
            <w:tcW w:w="317" w:type="pct"/>
            <w:tcBorders>
              <w:left w:val="single" w:sz="4" w:space="0" w:color="auto"/>
              <w:right w:val="nil"/>
            </w:tcBorders>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xml:space="preserve">5,260,356 </w:t>
            </w:r>
          </w:p>
        </w:tc>
        <w:tc>
          <w:tcPr>
            <w:tcW w:w="495" w:type="pct"/>
            <w:tcBorders>
              <w:top w:val="nil"/>
              <w:left w:val="nil"/>
              <w:bottom w:val="nil"/>
              <w:right w:val="nil"/>
            </w:tcBorders>
            <w:shd w:val="clear" w:color="000000" w:fill="DCE6F1"/>
            <w:noWrap/>
            <w:vAlign w:val="center"/>
            <w:hideMark/>
          </w:tcPr>
          <w:p w:rsidR="0097730E" w:rsidRPr="0097730E" w:rsidRDefault="0097730E" w:rsidP="0097730E">
            <w:pPr>
              <w:widowControl/>
              <w:autoSpaceDE/>
              <w:autoSpaceDN/>
              <w:adjustRightInd/>
              <w:jc w:val="right"/>
              <w:rPr>
                <w:rFonts w:cs="Arial"/>
                <w:b/>
                <w:bCs/>
                <w:color w:val="000000"/>
                <w:sz w:val="16"/>
                <w:szCs w:val="16"/>
              </w:rPr>
            </w:pPr>
            <w:r w:rsidRPr="0097730E">
              <w:rPr>
                <w:rFonts w:cs="Arial"/>
                <w:b/>
                <w:bCs/>
                <w:color w:val="000000"/>
                <w:sz w:val="16"/>
                <w:szCs w:val="16"/>
              </w:rPr>
              <w:t xml:space="preserve">5,096,275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Servicing of Governing Bodies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B25725">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29</w:t>
            </w:r>
          </w:p>
        </w:tc>
        <w:tc>
          <w:tcPr>
            <w:tcW w:w="1327" w:type="pct"/>
            <w:tcBorders>
              <w:right w:val="single" w:sz="4" w:space="0" w:color="auto"/>
            </w:tcBorders>
            <w:shd w:val="clear" w:color="auto" w:fill="auto"/>
            <w:vAlign w:val="center"/>
          </w:tcPr>
          <w:p w:rsidR="0097730E" w:rsidRPr="00476CA8" w:rsidRDefault="0097730E" w:rsidP="0097730E">
            <w:pPr>
              <w:widowControl/>
              <w:autoSpaceDE/>
              <w:autoSpaceDN/>
              <w:adjustRightInd/>
              <w:rPr>
                <w:rFonts w:cs="Arial"/>
                <w:color w:val="000000"/>
                <w:sz w:val="16"/>
                <w:szCs w:val="16"/>
                <w:lang w:val="fr-FR"/>
              </w:rPr>
            </w:pPr>
            <w:r w:rsidRPr="006549BA">
              <w:rPr>
                <w:rFonts w:cs="Arial"/>
                <w:color w:val="000000"/>
                <w:sz w:val="16"/>
                <w:szCs w:val="16"/>
                <w:lang w:val="fr-FR"/>
              </w:rPr>
              <w:t>Contractual Services (translation, interpretation</w:t>
            </w:r>
            <w:r w:rsidRPr="00476CA8">
              <w:rPr>
                <w:rFonts w:cs="Arial"/>
                <w:color w:val="000000"/>
                <w:sz w:val="16"/>
                <w:szCs w:val="16"/>
                <w:lang w:val="fr-FR"/>
              </w:rPr>
              <w:t>, etc.)</w:t>
            </w:r>
          </w:p>
        </w:tc>
        <w:tc>
          <w:tcPr>
            <w:tcW w:w="316" w:type="pct"/>
            <w:tcBorders>
              <w:left w:val="single" w:sz="4" w:space="0" w:color="auto"/>
            </w:tcBorders>
            <w:shd w:val="clear" w:color="auto" w:fill="auto"/>
            <w:noWrap/>
            <w:vAlign w:val="center"/>
          </w:tcPr>
          <w:p w:rsidR="0097730E" w:rsidRPr="009A37CA" w:rsidRDefault="0097730E" w:rsidP="0097730E">
            <w:pPr>
              <w:widowControl/>
              <w:autoSpaceDE/>
              <w:autoSpaceDN/>
              <w:adjustRightInd/>
              <w:jc w:val="right"/>
              <w:rPr>
                <w:rFonts w:cs="Arial"/>
                <w:color w:val="000000"/>
                <w:sz w:val="16"/>
                <w:szCs w:val="16"/>
                <w:lang w:val="fr-FR"/>
              </w:rPr>
            </w:pPr>
          </w:p>
        </w:tc>
        <w:tc>
          <w:tcPr>
            <w:tcW w:w="317" w:type="pct"/>
            <w:tcBorders>
              <w:right w:val="single" w:sz="4" w:space="0" w:color="auto"/>
            </w:tcBorders>
            <w:shd w:val="clear" w:color="auto" w:fill="auto"/>
            <w:noWrap/>
            <w:vAlign w:val="center"/>
          </w:tcPr>
          <w:p w:rsidR="0097730E" w:rsidRPr="009A37CA" w:rsidRDefault="0097730E" w:rsidP="0097730E">
            <w:pPr>
              <w:widowControl/>
              <w:autoSpaceDE/>
              <w:autoSpaceDN/>
              <w:adjustRightInd/>
              <w:jc w:val="right"/>
              <w:rPr>
                <w:rFonts w:cs="Arial"/>
                <w:sz w:val="16"/>
                <w:szCs w:val="16"/>
                <w:lang w:val="fr-FR"/>
              </w:rPr>
            </w:pPr>
          </w:p>
        </w:tc>
        <w:tc>
          <w:tcPr>
            <w:tcW w:w="328" w:type="pct"/>
            <w:tcBorders>
              <w:left w:val="single" w:sz="4" w:space="0" w:color="auto"/>
            </w:tcBorders>
            <w:shd w:val="clear" w:color="auto" w:fill="auto"/>
            <w:noWrap/>
            <w:vAlign w:val="center"/>
          </w:tcPr>
          <w:p w:rsidR="0097730E" w:rsidRPr="009A37CA" w:rsidRDefault="0097730E" w:rsidP="0097730E">
            <w:pPr>
              <w:widowControl/>
              <w:autoSpaceDE/>
              <w:autoSpaceDN/>
              <w:adjustRightInd/>
              <w:jc w:val="right"/>
              <w:rPr>
                <w:rFonts w:cs="Arial"/>
                <w:color w:val="000000"/>
                <w:sz w:val="16"/>
                <w:szCs w:val="16"/>
                <w:lang w:val="fr-FR"/>
              </w:rPr>
            </w:pPr>
          </w:p>
        </w:tc>
        <w:tc>
          <w:tcPr>
            <w:tcW w:w="271" w:type="pct"/>
            <w:shd w:val="clear" w:color="auto" w:fill="auto"/>
            <w:noWrap/>
            <w:vAlign w:val="center"/>
          </w:tcPr>
          <w:p w:rsidR="0097730E" w:rsidRPr="009A37CA" w:rsidRDefault="0097730E" w:rsidP="0097730E">
            <w:pPr>
              <w:widowControl/>
              <w:autoSpaceDE/>
              <w:autoSpaceDN/>
              <w:adjustRightInd/>
              <w:jc w:val="right"/>
              <w:rPr>
                <w:rFonts w:cs="Arial"/>
                <w:color w:val="000000"/>
                <w:sz w:val="16"/>
                <w:szCs w:val="16"/>
                <w:lang w:val="fr-FR"/>
              </w:rPr>
            </w:pPr>
          </w:p>
        </w:tc>
        <w:tc>
          <w:tcPr>
            <w:tcW w:w="361" w:type="pct"/>
            <w:tcBorders>
              <w:right w:val="single" w:sz="4" w:space="0" w:color="auto"/>
            </w:tcBorders>
            <w:shd w:val="clear" w:color="auto" w:fill="auto"/>
            <w:noWrap/>
            <w:vAlign w:val="center"/>
          </w:tcPr>
          <w:p w:rsidR="0097730E" w:rsidRPr="009A37CA" w:rsidRDefault="0097730E" w:rsidP="0097730E">
            <w:pPr>
              <w:widowControl/>
              <w:autoSpaceDE/>
              <w:autoSpaceDN/>
              <w:adjustRightInd/>
              <w:jc w:val="right"/>
              <w:rPr>
                <w:rFonts w:cs="Arial"/>
                <w:sz w:val="16"/>
                <w:szCs w:val="16"/>
                <w:lang w:val="fr-FR"/>
              </w:rPr>
            </w:pP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289,710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289,515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289,710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289,515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30</w:t>
            </w:r>
          </w:p>
        </w:tc>
        <w:tc>
          <w:tcPr>
            <w:tcW w:w="1327" w:type="pct"/>
            <w:tcBorders>
              <w:right w:val="single" w:sz="4" w:space="0" w:color="auto"/>
            </w:tcBorders>
            <w:shd w:val="clear" w:color="auto" w:fill="auto"/>
            <w:vAlign w:val="center"/>
            <w:hideMark/>
          </w:tcPr>
          <w:p w:rsidR="0097730E" w:rsidRPr="00FA5D4C" w:rsidRDefault="0097730E" w:rsidP="0097730E">
            <w:pPr>
              <w:widowControl/>
              <w:autoSpaceDE/>
              <w:autoSpaceDN/>
              <w:adjustRightInd/>
              <w:rPr>
                <w:rFonts w:cs="Arial"/>
                <w:color w:val="000000"/>
                <w:sz w:val="16"/>
                <w:szCs w:val="16"/>
                <w:lang w:val="en-GB"/>
              </w:rPr>
            </w:pPr>
            <w:r w:rsidRPr="00FA5D4C">
              <w:rPr>
                <w:rFonts w:cs="Arial"/>
                <w:color w:val="000000"/>
                <w:sz w:val="16"/>
                <w:szCs w:val="16"/>
                <w:lang w:val="en-GB"/>
              </w:rPr>
              <w:t>COP-12 travel of CMS Staff</w:t>
            </w:r>
          </w:p>
        </w:tc>
        <w:tc>
          <w:tcPr>
            <w:tcW w:w="316" w:type="pct"/>
            <w:tcBorders>
              <w:left w:val="single" w:sz="4" w:space="0" w:color="auto"/>
            </w:tcBorders>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317" w:type="pct"/>
            <w:tcBorders>
              <w:right w:val="single" w:sz="4" w:space="0" w:color="auto"/>
            </w:tcBorders>
            <w:shd w:val="clear" w:color="auto" w:fill="auto"/>
            <w:noWrap/>
            <w:vAlign w:val="center"/>
          </w:tcPr>
          <w:p w:rsidR="0097730E" w:rsidRPr="002E771F" w:rsidRDefault="0097730E" w:rsidP="0097730E">
            <w:pPr>
              <w:widowControl/>
              <w:autoSpaceDE/>
              <w:autoSpaceDN/>
              <w:adjustRightInd/>
              <w:jc w:val="right"/>
              <w:rPr>
                <w:rFonts w:cs="Arial"/>
                <w:sz w:val="16"/>
                <w:szCs w:val="16"/>
              </w:rPr>
            </w:pPr>
          </w:p>
        </w:tc>
        <w:tc>
          <w:tcPr>
            <w:tcW w:w="328" w:type="pct"/>
            <w:tcBorders>
              <w:left w:val="single" w:sz="4" w:space="0" w:color="auto"/>
            </w:tcBorders>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271" w:type="pct"/>
            <w:shd w:val="clear" w:color="auto" w:fill="auto"/>
            <w:noWrap/>
            <w:vAlign w:val="center"/>
          </w:tcPr>
          <w:p w:rsidR="0097730E" w:rsidRPr="002E771F" w:rsidRDefault="0097730E" w:rsidP="0097730E">
            <w:pPr>
              <w:widowControl/>
              <w:autoSpaceDE/>
              <w:autoSpaceDN/>
              <w:adjustRightInd/>
              <w:jc w:val="right"/>
              <w:rPr>
                <w:rFonts w:cs="Arial"/>
                <w:color w:val="000000"/>
                <w:sz w:val="16"/>
                <w:szCs w:val="16"/>
              </w:rPr>
            </w:pPr>
          </w:p>
        </w:tc>
        <w:tc>
          <w:tcPr>
            <w:tcW w:w="361" w:type="pct"/>
            <w:tcBorders>
              <w:right w:val="single" w:sz="4" w:space="0" w:color="auto"/>
            </w:tcBorders>
            <w:shd w:val="clear" w:color="auto" w:fill="auto"/>
            <w:noWrap/>
            <w:vAlign w:val="center"/>
          </w:tcPr>
          <w:p w:rsidR="0097730E" w:rsidRPr="002E771F" w:rsidRDefault="0097730E" w:rsidP="0097730E">
            <w:pPr>
              <w:widowControl/>
              <w:autoSpaceDE/>
              <w:autoSpaceDN/>
              <w:adjustRightInd/>
              <w:jc w:val="right"/>
              <w:rPr>
                <w:rFonts w:cs="Arial"/>
                <w:sz w:val="16"/>
                <w:szCs w:val="16"/>
              </w:rPr>
            </w:pP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53,061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53,061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0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31</w:t>
            </w:r>
          </w:p>
        </w:tc>
        <w:tc>
          <w:tcPr>
            <w:tcW w:w="1327" w:type="pct"/>
            <w:tcBorders>
              <w:right w:val="single" w:sz="4" w:space="0" w:color="auto"/>
            </w:tcBorders>
            <w:shd w:val="clear" w:color="auto" w:fill="auto"/>
            <w:vAlign w:val="center"/>
            <w:hideMark/>
          </w:tcPr>
          <w:p w:rsidR="0097730E" w:rsidRPr="00FA5D4C" w:rsidRDefault="0097730E" w:rsidP="0097730E">
            <w:pPr>
              <w:widowControl/>
              <w:autoSpaceDE/>
              <w:autoSpaceDN/>
              <w:adjustRightInd/>
              <w:rPr>
                <w:rFonts w:cs="Arial"/>
                <w:color w:val="000000"/>
                <w:sz w:val="16"/>
                <w:szCs w:val="16"/>
                <w:lang w:val="en-GB"/>
              </w:rPr>
            </w:pPr>
            <w:r w:rsidRPr="00FA5D4C">
              <w:rPr>
                <w:rFonts w:cs="Arial"/>
                <w:color w:val="000000"/>
                <w:sz w:val="16"/>
                <w:szCs w:val="16"/>
                <w:lang w:val="en-GB"/>
              </w:rPr>
              <w:t>Standing Committee Meetings (delegates etc.)</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21,649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15,387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22,082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48,465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(427)</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43,731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63,425 </w:t>
            </w:r>
          </w:p>
        </w:tc>
      </w:tr>
      <w:tr w:rsidR="0097730E" w:rsidRPr="002E771F" w:rsidTr="0097730E">
        <w:trPr>
          <w:trHeight w:val="46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32</w:t>
            </w:r>
          </w:p>
        </w:tc>
        <w:tc>
          <w:tcPr>
            <w:tcW w:w="1327" w:type="pct"/>
            <w:tcBorders>
              <w:right w:val="single" w:sz="4" w:space="0" w:color="auto"/>
            </w:tcBorders>
            <w:shd w:val="clear" w:color="auto" w:fill="auto"/>
            <w:vAlign w:val="center"/>
            <w:hideMark/>
          </w:tcPr>
          <w:p w:rsidR="0097730E" w:rsidRPr="00FA5D4C" w:rsidRDefault="0097730E" w:rsidP="0097730E">
            <w:pPr>
              <w:widowControl/>
              <w:autoSpaceDE/>
              <w:autoSpaceDN/>
              <w:adjustRightInd/>
              <w:rPr>
                <w:rFonts w:cs="Arial"/>
                <w:color w:val="000000"/>
                <w:sz w:val="16"/>
                <w:szCs w:val="16"/>
                <w:lang w:val="en-GB"/>
              </w:rPr>
            </w:pPr>
            <w:r w:rsidRPr="00FA5D4C">
              <w:rPr>
                <w:rFonts w:cs="Arial"/>
                <w:color w:val="000000"/>
                <w:sz w:val="16"/>
                <w:szCs w:val="16"/>
                <w:lang w:val="en-GB"/>
              </w:rPr>
              <w:t>Scientific Council (delegates, intergov processes etc.)</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50,408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50,408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58,031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 xml:space="preserve">40,002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100,816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98,033 </w:t>
            </w:r>
          </w:p>
        </w:tc>
      </w:tr>
      <w:tr w:rsidR="0097730E" w:rsidRPr="002E771F" w:rsidTr="0097730E">
        <w:trPr>
          <w:trHeight w:val="240"/>
        </w:trPr>
        <w:tc>
          <w:tcPr>
            <w:tcW w:w="145" w:type="pct"/>
            <w:shd w:val="clear" w:color="000000" w:fill="DCE6F1"/>
            <w:noWrap/>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 </w:t>
            </w:r>
          </w:p>
        </w:tc>
        <w:tc>
          <w:tcPr>
            <w:tcW w:w="140" w:type="pct"/>
            <w:shd w:val="clear" w:color="000000" w:fill="DCE6F1"/>
            <w:noWrap/>
            <w:vAlign w:val="center"/>
            <w:hideMark/>
          </w:tcPr>
          <w:p w:rsidR="0097730E" w:rsidRPr="002E771F" w:rsidRDefault="0097730E" w:rsidP="0097730E">
            <w:pPr>
              <w:widowControl/>
              <w:autoSpaceDE/>
              <w:autoSpaceDN/>
              <w:adjustRightInd/>
              <w:jc w:val="right"/>
              <w:rPr>
                <w:rFonts w:cs="Arial"/>
                <w:b/>
                <w:bCs/>
                <w:color w:val="000000"/>
                <w:sz w:val="16"/>
                <w:szCs w:val="16"/>
              </w:rPr>
            </w:pPr>
            <w:r w:rsidRPr="002E771F">
              <w:rPr>
                <w:rFonts w:cs="Arial"/>
                <w:b/>
                <w:bCs/>
                <w:color w:val="000000"/>
                <w:sz w:val="16"/>
                <w:szCs w:val="16"/>
              </w:rPr>
              <w:t> </w:t>
            </w:r>
          </w:p>
        </w:tc>
        <w:tc>
          <w:tcPr>
            <w:tcW w:w="1327" w:type="pct"/>
            <w:tcBorders>
              <w:right w:val="single" w:sz="4" w:space="0" w:color="auto"/>
            </w:tcBorders>
            <w:shd w:val="clear" w:color="000000" w:fill="DCE6F1"/>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Subtotal</w:t>
            </w:r>
          </w:p>
        </w:tc>
        <w:tc>
          <w:tcPr>
            <w:tcW w:w="316"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72,057 </w:t>
            </w:r>
          </w:p>
        </w:tc>
        <w:tc>
          <w:tcPr>
            <w:tcW w:w="317" w:type="pct"/>
            <w:tcBorders>
              <w:righ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15,387 </w:t>
            </w:r>
          </w:p>
        </w:tc>
        <w:tc>
          <w:tcPr>
            <w:tcW w:w="328"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72,490 </w:t>
            </w:r>
          </w:p>
        </w:tc>
        <w:tc>
          <w:tcPr>
            <w:tcW w:w="271" w:type="pct"/>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 </w:t>
            </w:r>
          </w:p>
        </w:tc>
        <w:tc>
          <w:tcPr>
            <w:tcW w:w="361" w:type="pct"/>
            <w:tcBorders>
              <w:righ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106,495 </w:t>
            </w:r>
          </w:p>
        </w:tc>
        <w:tc>
          <w:tcPr>
            <w:tcW w:w="329"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342,771 </w:t>
            </w:r>
          </w:p>
        </w:tc>
        <w:tc>
          <w:tcPr>
            <w:tcW w:w="268" w:type="pct"/>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 </w:t>
            </w:r>
          </w:p>
        </w:tc>
        <w:tc>
          <w:tcPr>
            <w:tcW w:w="386" w:type="pct"/>
            <w:tcBorders>
              <w:top w:val="nil"/>
              <w:left w:val="nil"/>
              <w:bottom w:val="nil"/>
              <w:right w:val="single" w:sz="4" w:space="0" w:color="auto"/>
            </w:tcBorders>
            <w:shd w:val="clear" w:color="000000" w:fill="DCE6F1"/>
            <w:noWrap/>
            <w:vAlign w:val="center"/>
            <w:hideMark/>
          </w:tcPr>
          <w:p w:rsidR="0097730E" w:rsidRPr="00B25725" w:rsidRDefault="0097730E" w:rsidP="0097730E">
            <w:pPr>
              <w:widowControl/>
              <w:autoSpaceDE/>
              <w:autoSpaceDN/>
              <w:adjustRightInd/>
              <w:jc w:val="right"/>
              <w:rPr>
                <w:rFonts w:cs="Arial"/>
                <w:b/>
                <w:bCs/>
                <w:sz w:val="16"/>
                <w:szCs w:val="16"/>
              </w:rPr>
            </w:pPr>
            <w:r w:rsidRPr="00B25725">
              <w:rPr>
                <w:rFonts w:cs="Arial"/>
                <w:b/>
                <w:bCs/>
                <w:sz w:val="16"/>
                <w:szCs w:val="16"/>
              </w:rPr>
              <w:t xml:space="preserve">329,090 </w:t>
            </w:r>
          </w:p>
        </w:tc>
        <w:tc>
          <w:tcPr>
            <w:tcW w:w="317" w:type="pct"/>
            <w:tcBorders>
              <w:left w:val="single" w:sz="4" w:space="0" w:color="auto"/>
              <w:right w:val="nil"/>
            </w:tcBorders>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487,318 </w:t>
            </w:r>
          </w:p>
        </w:tc>
        <w:tc>
          <w:tcPr>
            <w:tcW w:w="495" w:type="pct"/>
            <w:tcBorders>
              <w:top w:val="nil"/>
              <w:left w:val="nil"/>
              <w:bottom w:val="nil"/>
              <w:right w:val="nil"/>
            </w:tcBorders>
            <w:shd w:val="clear" w:color="000000" w:fill="DCE6F1"/>
            <w:noWrap/>
            <w:vAlign w:val="center"/>
            <w:hideMark/>
          </w:tcPr>
          <w:p w:rsidR="0097730E" w:rsidRPr="00B43850" w:rsidRDefault="0097730E" w:rsidP="0097730E">
            <w:pPr>
              <w:widowControl/>
              <w:autoSpaceDE/>
              <w:autoSpaceDN/>
              <w:adjustRightInd/>
              <w:jc w:val="right"/>
              <w:rPr>
                <w:rFonts w:cs="Arial"/>
                <w:b/>
                <w:bCs/>
                <w:color w:val="000000"/>
                <w:sz w:val="16"/>
                <w:szCs w:val="16"/>
              </w:rPr>
            </w:pPr>
            <w:r w:rsidRPr="00B43850">
              <w:rPr>
                <w:rFonts w:cs="Arial"/>
                <w:b/>
                <w:bCs/>
                <w:color w:val="000000"/>
                <w:sz w:val="16"/>
                <w:szCs w:val="16"/>
              </w:rPr>
              <w:t xml:space="preserve">450,973 </w:t>
            </w:r>
          </w:p>
        </w:tc>
      </w:tr>
      <w:tr w:rsidR="0097730E" w:rsidRPr="002E771F" w:rsidTr="0097730E">
        <w:trPr>
          <w:trHeight w:val="225"/>
        </w:trPr>
        <w:tc>
          <w:tcPr>
            <w:tcW w:w="1612" w:type="pct"/>
            <w:gridSpan w:val="3"/>
            <w:tcBorders>
              <w:right w:val="single" w:sz="4" w:space="0" w:color="auto"/>
            </w:tcBorders>
            <w:shd w:val="clear" w:color="auto" w:fill="auto"/>
            <w:noWrap/>
            <w:vAlign w:val="center"/>
            <w:hideMark/>
          </w:tcPr>
          <w:p w:rsidR="0097730E" w:rsidRPr="002E771F" w:rsidRDefault="0097730E" w:rsidP="0097730E">
            <w:pPr>
              <w:widowControl/>
              <w:autoSpaceDE/>
              <w:autoSpaceDN/>
              <w:adjustRightInd/>
              <w:rPr>
                <w:rFonts w:cs="Arial"/>
                <w:b/>
                <w:bCs/>
                <w:color w:val="000000"/>
                <w:sz w:val="16"/>
                <w:szCs w:val="16"/>
              </w:rPr>
            </w:pPr>
            <w:r w:rsidRPr="002E771F">
              <w:rPr>
                <w:rFonts w:cs="Arial"/>
                <w:b/>
                <w:bCs/>
                <w:color w:val="000000"/>
                <w:sz w:val="16"/>
                <w:szCs w:val="16"/>
              </w:rPr>
              <w:t>Operating Costs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b/>
                <w:bCs/>
                <w:sz w:val="16"/>
                <w:szCs w:val="16"/>
              </w:rPr>
            </w:pPr>
            <w:r w:rsidRPr="00B25725">
              <w:rPr>
                <w:rFonts w:cs="Arial"/>
                <w:b/>
                <w:bCs/>
                <w:sz w:val="16"/>
                <w:szCs w:val="16"/>
              </w:rPr>
              <w:t> </w:t>
            </w:r>
          </w:p>
        </w:tc>
        <w:tc>
          <w:tcPr>
            <w:tcW w:w="317"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bCs/>
                <w:sz w:val="16"/>
                <w:szCs w:val="16"/>
              </w:rPr>
              <w:t>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33</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Contractual Services (translation etc</w:t>
            </w:r>
            <w:r>
              <w:rPr>
                <w:rFonts w:cs="Arial"/>
                <w:color w:val="000000"/>
                <w:sz w:val="16"/>
                <w:szCs w:val="16"/>
              </w:rPr>
              <w:t>.</w:t>
            </w:r>
            <w:r w:rsidRPr="002E771F">
              <w:rPr>
                <w:rFonts w:cs="Arial"/>
                <w:color w:val="000000"/>
                <w:sz w:val="16"/>
                <w:szCs w:val="16"/>
              </w:rPr>
              <w:t>)</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70,000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80,399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70,000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109,080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88,400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 xml:space="preserve">84,687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228,400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274,165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34</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Secretariat Travel</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66,300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87,301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66,300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58,723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63,700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 xml:space="preserve">62,710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196,300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208,734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35</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Staff Development (training, retreats etc.)</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15,400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42,935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B25725">
              <w:rPr>
                <w:rFonts w:cs="Arial"/>
                <w:sz w:val="16"/>
                <w:szCs w:val="16"/>
              </w:rPr>
              <w:t>(335)</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 xml:space="preserve">9,266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35,400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51,865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36</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Office Supplies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5,500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3,093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5,800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3,514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5,800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B25725" w:rsidRDefault="0097730E" w:rsidP="0097730E">
            <w:pPr>
              <w:widowControl/>
              <w:autoSpaceDE/>
              <w:autoSpaceDN/>
              <w:adjustRightInd/>
              <w:jc w:val="right"/>
              <w:rPr>
                <w:rFonts w:cs="Arial"/>
                <w:sz w:val="16"/>
                <w:szCs w:val="16"/>
              </w:rPr>
            </w:pPr>
            <w:r w:rsidRPr="00B25725">
              <w:rPr>
                <w:rFonts w:cs="Arial"/>
                <w:sz w:val="16"/>
                <w:szCs w:val="16"/>
              </w:rPr>
              <w:t xml:space="preserve">10,209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17,100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16,816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37</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Non-expendable Equipment</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7,709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10,500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9,494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10,500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13,410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31,000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30,613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38</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Information Technology Services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70,000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52,258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70,000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0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70,000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193,944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210,000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246,202 </w:t>
            </w:r>
          </w:p>
        </w:tc>
      </w:tr>
      <w:tr w:rsidR="0097730E" w:rsidRPr="002E771F" w:rsidTr="0097730E">
        <w:trPr>
          <w:trHeight w:val="450"/>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39</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Office Automation Services (printer leases, hosting etc.)</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11,772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5,858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10,000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9,655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30,000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27,286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40</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Information Material and Document Production</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12,000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22,308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12,000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5,783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12,500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11,533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36,500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39,625 </w:t>
            </w:r>
          </w:p>
        </w:tc>
      </w:tr>
      <w:tr w:rsidR="0097730E" w:rsidRPr="002E771F" w:rsidTr="0097730E">
        <w:trPr>
          <w:trHeight w:val="225"/>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41</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Communication and Courier Services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16,900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10,659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17,100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13,811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17,500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16,682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51,500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41,152 </w:t>
            </w:r>
          </w:p>
        </w:tc>
      </w:tr>
      <w:tr w:rsidR="0097730E" w:rsidRPr="002E771F" w:rsidTr="0097730E">
        <w:trPr>
          <w:trHeight w:val="240"/>
        </w:trPr>
        <w:tc>
          <w:tcPr>
            <w:tcW w:w="145" w:type="pct"/>
            <w:shd w:val="clear" w:color="auto" w:fill="auto"/>
            <w:noWrap/>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42</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rPr>
                <w:rFonts w:cs="Arial"/>
                <w:color w:val="000000"/>
                <w:sz w:val="16"/>
                <w:szCs w:val="16"/>
              </w:rPr>
            </w:pPr>
            <w:r w:rsidRPr="002E771F">
              <w:rPr>
                <w:rFonts w:cs="Arial"/>
                <w:color w:val="000000"/>
                <w:sz w:val="16"/>
                <w:szCs w:val="16"/>
              </w:rPr>
              <w:t>Miscellaneous</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3,553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1,207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3,742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sidRPr="002E771F">
              <w:rPr>
                <w:rFonts w:cs="Arial"/>
                <w:sz w:val="16"/>
                <w:szCs w:val="16"/>
              </w:rPr>
              <w:t xml:space="preserve">2,573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3,738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sz w:val="16"/>
                <w:szCs w:val="16"/>
              </w:rPr>
            </w:pPr>
            <w:r>
              <w:rPr>
                <w:rFonts w:cs="Arial"/>
                <w:sz w:val="16"/>
                <w:szCs w:val="16"/>
              </w:rPr>
              <w:t xml:space="preserve">3,418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color w:val="000000"/>
                <w:sz w:val="16"/>
                <w:szCs w:val="16"/>
              </w:rPr>
            </w:pPr>
            <w:r w:rsidRPr="002E771F">
              <w:rPr>
                <w:rFonts w:cs="Arial"/>
                <w:color w:val="000000"/>
                <w:sz w:val="16"/>
                <w:szCs w:val="16"/>
              </w:rPr>
              <w:t xml:space="preserve">11,033 </w:t>
            </w:r>
          </w:p>
        </w:tc>
        <w:tc>
          <w:tcPr>
            <w:tcW w:w="495" w:type="pct"/>
            <w:tcBorders>
              <w:top w:val="nil"/>
              <w:left w:val="nil"/>
              <w:bottom w:val="nil"/>
              <w:right w:val="nil"/>
            </w:tcBorders>
            <w:shd w:val="clear" w:color="auto" w:fill="auto"/>
            <w:noWrap/>
            <w:vAlign w:val="center"/>
            <w:hideMark/>
          </w:tcPr>
          <w:p w:rsidR="0097730E" w:rsidRPr="0097730E" w:rsidRDefault="0097730E" w:rsidP="0097730E">
            <w:pPr>
              <w:widowControl/>
              <w:autoSpaceDE/>
              <w:autoSpaceDN/>
              <w:adjustRightInd/>
              <w:jc w:val="right"/>
              <w:rPr>
                <w:rFonts w:cs="Arial"/>
                <w:color w:val="000000"/>
                <w:sz w:val="16"/>
                <w:szCs w:val="16"/>
              </w:rPr>
            </w:pPr>
            <w:r w:rsidRPr="0097730E">
              <w:rPr>
                <w:rFonts w:cs="Arial"/>
                <w:color w:val="000000"/>
                <w:sz w:val="16"/>
                <w:szCs w:val="16"/>
              </w:rPr>
              <w:t xml:space="preserve">7,198 </w:t>
            </w:r>
          </w:p>
        </w:tc>
      </w:tr>
      <w:tr w:rsidR="0097730E" w:rsidRPr="002E771F" w:rsidTr="0097730E">
        <w:trPr>
          <w:trHeight w:val="240"/>
        </w:trPr>
        <w:tc>
          <w:tcPr>
            <w:tcW w:w="145" w:type="pct"/>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40" w:type="pct"/>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327" w:type="pct"/>
            <w:tcBorders>
              <w:right w:val="single" w:sz="4" w:space="0" w:color="auto"/>
            </w:tcBorders>
            <w:shd w:val="clear" w:color="000000" w:fill="DCE6F1"/>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Subtotal</w:t>
            </w:r>
          </w:p>
        </w:tc>
        <w:tc>
          <w:tcPr>
            <w:tcW w:w="316"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279,653 </w:t>
            </w:r>
          </w:p>
        </w:tc>
        <w:tc>
          <w:tcPr>
            <w:tcW w:w="317" w:type="pct"/>
            <w:tcBorders>
              <w:righ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319,642 </w:t>
            </w:r>
          </w:p>
        </w:tc>
        <w:tc>
          <w:tcPr>
            <w:tcW w:w="328"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275,442 </w:t>
            </w:r>
          </w:p>
        </w:tc>
        <w:tc>
          <w:tcPr>
            <w:tcW w:w="271" w:type="pct"/>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 </w:t>
            </w:r>
          </w:p>
        </w:tc>
        <w:tc>
          <w:tcPr>
            <w:tcW w:w="361" w:type="pct"/>
            <w:tcBorders>
              <w:righ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208,500 </w:t>
            </w:r>
          </w:p>
        </w:tc>
        <w:tc>
          <w:tcPr>
            <w:tcW w:w="329" w:type="pct"/>
            <w:tcBorders>
              <w:lef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292,138 </w:t>
            </w:r>
          </w:p>
        </w:tc>
        <w:tc>
          <w:tcPr>
            <w:tcW w:w="268" w:type="pct"/>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 </w:t>
            </w:r>
          </w:p>
        </w:tc>
        <w:tc>
          <w:tcPr>
            <w:tcW w:w="386" w:type="pct"/>
            <w:tcBorders>
              <w:top w:val="nil"/>
              <w:left w:val="nil"/>
              <w:bottom w:val="nil"/>
              <w:right w:val="single" w:sz="4" w:space="0" w:color="auto"/>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415,514 </w:t>
            </w:r>
          </w:p>
        </w:tc>
        <w:tc>
          <w:tcPr>
            <w:tcW w:w="317" w:type="pct"/>
            <w:tcBorders>
              <w:left w:val="single" w:sz="4" w:space="0" w:color="auto"/>
              <w:right w:val="nil"/>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847,233 </w:t>
            </w:r>
          </w:p>
        </w:tc>
        <w:tc>
          <w:tcPr>
            <w:tcW w:w="495" w:type="pct"/>
            <w:tcBorders>
              <w:top w:val="nil"/>
              <w:left w:val="nil"/>
              <w:bottom w:val="nil"/>
              <w:right w:val="nil"/>
            </w:tcBorders>
            <w:shd w:val="clear" w:color="000000" w:fill="DCE6F1"/>
            <w:noWrap/>
            <w:vAlign w:val="center"/>
            <w:hideMark/>
          </w:tcPr>
          <w:p w:rsidR="0097730E" w:rsidRPr="00B43850" w:rsidRDefault="0097730E" w:rsidP="0097730E">
            <w:pPr>
              <w:widowControl/>
              <w:autoSpaceDE/>
              <w:autoSpaceDN/>
              <w:adjustRightInd/>
              <w:jc w:val="right"/>
              <w:rPr>
                <w:rFonts w:cs="Arial"/>
                <w:b/>
                <w:bCs/>
                <w:sz w:val="16"/>
                <w:szCs w:val="16"/>
              </w:rPr>
            </w:pPr>
            <w:r w:rsidRPr="00B43850">
              <w:rPr>
                <w:rFonts w:cs="Arial"/>
                <w:b/>
                <w:bCs/>
                <w:sz w:val="16"/>
                <w:szCs w:val="16"/>
              </w:rPr>
              <w:t xml:space="preserve">943,657 </w:t>
            </w:r>
          </w:p>
        </w:tc>
      </w:tr>
      <w:tr w:rsidR="0097730E" w:rsidRPr="002E771F" w:rsidTr="0097730E">
        <w:trPr>
          <w:trHeight w:val="240"/>
        </w:trPr>
        <w:tc>
          <w:tcPr>
            <w:tcW w:w="145" w:type="pct"/>
            <w:shd w:val="clear" w:color="auto" w:fill="auto"/>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40" w:type="pct"/>
            <w:shd w:val="clear" w:color="auto" w:fill="auto"/>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327" w:type="pct"/>
            <w:tcBorders>
              <w:right w:val="single" w:sz="4" w:space="0" w:color="auto"/>
            </w:tcBorders>
            <w:shd w:val="clear" w:color="auto" w:fill="auto"/>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6"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17"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28"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271" w:type="pct"/>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61" w:type="pct"/>
            <w:tcBorders>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29" w:type="pct"/>
            <w:tcBorders>
              <w:lef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268" w:type="pct"/>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386" w:type="pct"/>
            <w:tcBorders>
              <w:top w:val="nil"/>
              <w:left w:val="nil"/>
              <w:bottom w:val="nil"/>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w:t>
            </w:r>
          </w:p>
        </w:tc>
        <w:tc>
          <w:tcPr>
            <w:tcW w:w="317" w:type="pct"/>
            <w:tcBorders>
              <w:left w:val="single" w:sz="4" w:space="0" w:color="auto"/>
              <w:right w:val="nil"/>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0 </w:t>
            </w:r>
          </w:p>
        </w:tc>
        <w:tc>
          <w:tcPr>
            <w:tcW w:w="495" w:type="pct"/>
            <w:tcBorders>
              <w:top w:val="nil"/>
              <w:left w:val="nil"/>
              <w:bottom w:val="nil"/>
              <w:right w:val="nil"/>
            </w:tcBorders>
            <w:shd w:val="clear" w:color="auto" w:fill="auto"/>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w:t>
            </w:r>
          </w:p>
        </w:tc>
      </w:tr>
      <w:tr w:rsidR="0097730E" w:rsidRPr="002E771F" w:rsidTr="0097730E">
        <w:trPr>
          <w:trHeight w:val="299"/>
        </w:trPr>
        <w:tc>
          <w:tcPr>
            <w:tcW w:w="145" w:type="pct"/>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40" w:type="pct"/>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327" w:type="pct"/>
            <w:tcBorders>
              <w:right w:val="single" w:sz="4" w:space="0" w:color="auto"/>
            </w:tcBorders>
            <w:shd w:val="clear" w:color="000000" w:fill="DCE6F1"/>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Total</w:t>
            </w:r>
          </w:p>
        </w:tc>
        <w:tc>
          <w:tcPr>
            <w:tcW w:w="316"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2,102,266 </w:t>
            </w:r>
          </w:p>
        </w:tc>
        <w:tc>
          <w:tcPr>
            <w:tcW w:w="317" w:type="pct"/>
            <w:tcBorders>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2,154,921 </w:t>
            </w:r>
          </w:p>
        </w:tc>
        <w:tc>
          <w:tcPr>
            <w:tcW w:w="328"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2,081,660 </w:t>
            </w:r>
          </w:p>
        </w:tc>
        <w:tc>
          <w:tcPr>
            <w:tcW w:w="271" w:type="pct"/>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94,391 </w:t>
            </w:r>
          </w:p>
        </w:tc>
        <w:tc>
          <w:tcPr>
            <w:tcW w:w="361" w:type="pct"/>
            <w:tcBorders>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1,964,385 </w:t>
            </w:r>
          </w:p>
        </w:tc>
        <w:tc>
          <w:tcPr>
            <w:tcW w:w="329" w:type="pct"/>
            <w:tcBorders>
              <w:lef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2,402,472 </w:t>
            </w:r>
          </w:p>
        </w:tc>
        <w:tc>
          <w:tcPr>
            <w:tcW w:w="268" w:type="pct"/>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64,016 </w:t>
            </w:r>
          </w:p>
        </w:tc>
        <w:tc>
          <w:tcPr>
            <w:tcW w:w="386" w:type="pct"/>
            <w:tcBorders>
              <w:top w:val="nil"/>
              <w:left w:val="nil"/>
              <w:bottom w:val="nil"/>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xml:space="preserve">2,505,754 </w:t>
            </w:r>
          </w:p>
        </w:tc>
        <w:tc>
          <w:tcPr>
            <w:tcW w:w="317" w:type="pct"/>
            <w:tcBorders>
              <w:left w:val="single" w:sz="4" w:space="0" w:color="auto"/>
              <w:right w:val="nil"/>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6,744,805 </w:t>
            </w:r>
          </w:p>
        </w:tc>
        <w:tc>
          <w:tcPr>
            <w:tcW w:w="495" w:type="pct"/>
            <w:tcBorders>
              <w:top w:val="nil"/>
              <w:left w:val="nil"/>
              <w:bottom w:val="nil"/>
              <w:right w:val="nil"/>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xml:space="preserve">6,625,060 </w:t>
            </w:r>
          </w:p>
        </w:tc>
      </w:tr>
      <w:tr w:rsidR="0097730E" w:rsidRPr="002E771F" w:rsidTr="0097730E">
        <w:trPr>
          <w:trHeight w:val="240"/>
        </w:trPr>
        <w:tc>
          <w:tcPr>
            <w:tcW w:w="145" w:type="pct"/>
            <w:tcBorders>
              <w:bottom w:val="single" w:sz="4" w:space="0" w:color="auto"/>
            </w:tcBorders>
            <w:shd w:val="clear" w:color="auto" w:fill="auto"/>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40" w:type="pct"/>
            <w:tcBorders>
              <w:bottom w:val="single" w:sz="4" w:space="0" w:color="auto"/>
            </w:tcBorders>
            <w:shd w:val="clear" w:color="auto" w:fill="auto"/>
            <w:noWrap/>
            <w:hideMark/>
          </w:tcPr>
          <w:p w:rsidR="0097730E" w:rsidRPr="002E771F" w:rsidRDefault="0097730E" w:rsidP="0097730E">
            <w:pPr>
              <w:widowControl/>
              <w:autoSpaceDE/>
              <w:autoSpaceDN/>
              <w:adjustRightInd/>
              <w:jc w:val="right"/>
              <w:rPr>
                <w:rFonts w:cs="Arial"/>
                <w:b/>
                <w:bCs/>
                <w:sz w:val="16"/>
                <w:szCs w:val="16"/>
              </w:rPr>
            </w:pPr>
          </w:p>
        </w:tc>
        <w:tc>
          <w:tcPr>
            <w:tcW w:w="1327" w:type="pct"/>
            <w:tcBorders>
              <w:bottom w:val="single" w:sz="4" w:space="0" w:color="auto"/>
              <w:right w:val="single" w:sz="4" w:space="0" w:color="auto"/>
            </w:tcBorders>
            <w:shd w:val="clear" w:color="auto" w:fill="auto"/>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13% Programme Support Costs</w:t>
            </w:r>
          </w:p>
        </w:tc>
        <w:tc>
          <w:tcPr>
            <w:tcW w:w="316" w:type="pct"/>
            <w:tcBorders>
              <w:left w:val="single" w:sz="4" w:space="0" w:color="auto"/>
              <w:bottom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273,295 </w:t>
            </w:r>
          </w:p>
        </w:tc>
        <w:tc>
          <w:tcPr>
            <w:tcW w:w="317" w:type="pct"/>
            <w:tcBorders>
              <w:bottom w:val="single" w:sz="4" w:space="0" w:color="auto"/>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280,140 </w:t>
            </w:r>
          </w:p>
        </w:tc>
        <w:tc>
          <w:tcPr>
            <w:tcW w:w="328" w:type="pct"/>
            <w:tcBorders>
              <w:left w:val="single" w:sz="4" w:space="0" w:color="auto"/>
              <w:bottom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270,616 </w:t>
            </w:r>
          </w:p>
        </w:tc>
        <w:tc>
          <w:tcPr>
            <w:tcW w:w="271" w:type="pct"/>
            <w:tcBorders>
              <w:bottom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12,271 </w:t>
            </w:r>
          </w:p>
        </w:tc>
        <w:tc>
          <w:tcPr>
            <w:tcW w:w="361" w:type="pct"/>
            <w:tcBorders>
              <w:bottom w:val="single" w:sz="4" w:space="0" w:color="auto"/>
              <w:right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255,370 </w:t>
            </w:r>
          </w:p>
        </w:tc>
        <w:tc>
          <w:tcPr>
            <w:tcW w:w="329" w:type="pct"/>
            <w:tcBorders>
              <w:left w:val="single" w:sz="4" w:space="0" w:color="auto"/>
              <w:bottom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312,321 </w:t>
            </w:r>
          </w:p>
        </w:tc>
        <w:tc>
          <w:tcPr>
            <w:tcW w:w="268" w:type="pct"/>
            <w:tcBorders>
              <w:bottom w:val="single" w:sz="4" w:space="0" w:color="auto"/>
            </w:tcBorders>
            <w:shd w:val="clear" w:color="auto" w:fill="auto"/>
            <w:noWrap/>
            <w:vAlign w:val="center"/>
            <w:hideMark/>
          </w:tcPr>
          <w:p w:rsidR="0097730E" w:rsidRPr="002E771F" w:rsidRDefault="0097730E" w:rsidP="0097730E">
            <w:pPr>
              <w:widowControl/>
              <w:autoSpaceDE/>
              <w:autoSpaceDN/>
              <w:adjustRightInd/>
              <w:jc w:val="right"/>
              <w:rPr>
                <w:rFonts w:cs="Arial"/>
                <w:bCs/>
                <w:sz w:val="16"/>
                <w:szCs w:val="16"/>
              </w:rPr>
            </w:pPr>
            <w:r w:rsidRPr="002E771F">
              <w:rPr>
                <w:rFonts w:cs="Arial"/>
                <w:bCs/>
                <w:sz w:val="16"/>
                <w:szCs w:val="16"/>
              </w:rPr>
              <w:t xml:space="preserve">8,322 </w:t>
            </w:r>
          </w:p>
        </w:tc>
        <w:tc>
          <w:tcPr>
            <w:tcW w:w="386" w:type="pct"/>
            <w:tcBorders>
              <w:top w:val="nil"/>
              <w:left w:val="nil"/>
              <w:bottom w:val="single" w:sz="4" w:space="0" w:color="auto"/>
              <w:right w:val="single" w:sz="4" w:space="0" w:color="auto"/>
            </w:tcBorders>
            <w:shd w:val="clear" w:color="auto" w:fill="auto"/>
            <w:noWrap/>
            <w:vAlign w:val="center"/>
            <w:hideMark/>
          </w:tcPr>
          <w:p w:rsidR="0097730E" w:rsidRPr="004D6D39" w:rsidRDefault="0097730E" w:rsidP="0097730E">
            <w:pPr>
              <w:widowControl/>
              <w:autoSpaceDE/>
              <w:autoSpaceDN/>
              <w:adjustRightInd/>
              <w:jc w:val="right"/>
              <w:rPr>
                <w:rFonts w:cs="Arial"/>
                <w:bCs/>
                <w:sz w:val="16"/>
                <w:szCs w:val="16"/>
              </w:rPr>
            </w:pPr>
            <w:r w:rsidRPr="004D6D39">
              <w:rPr>
                <w:rFonts w:cs="Arial"/>
                <w:bCs/>
                <w:sz w:val="16"/>
                <w:szCs w:val="16"/>
              </w:rPr>
              <w:t xml:space="preserve">325,748 </w:t>
            </w:r>
          </w:p>
        </w:tc>
        <w:tc>
          <w:tcPr>
            <w:tcW w:w="317" w:type="pct"/>
            <w:tcBorders>
              <w:left w:val="single" w:sz="4" w:space="0" w:color="auto"/>
              <w:bottom w:val="single" w:sz="4" w:space="0" w:color="auto"/>
              <w:right w:val="nil"/>
            </w:tcBorders>
            <w:shd w:val="clear" w:color="auto" w:fill="auto"/>
            <w:noWrap/>
            <w:vAlign w:val="center"/>
            <w:hideMark/>
          </w:tcPr>
          <w:p w:rsidR="0097730E" w:rsidRPr="004D6D39" w:rsidRDefault="0097730E" w:rsidP="0097730E">
            <w:pPr>
              <w:widowControl/>
              <w:autoSpaceDE/>
              <w:autoSpaceDN/>
              <w:adjustRightInd/>
              <w:jc w:val="right"/>
              <w:rPr>
                <w:rFonts w:cs="Arial"/>
                <w:bCs/>
                <w:sz w:val="16"/>
                <w:szCs w:val="16"/>
              </w:rPr>
            </w:pPr>
            <w:r w:rsidRPr="004D6D39">
              <w:rPr>
                <w:rFonts w:cs="Arial"/>
                <w:bCs/>
                <w:sz w:val="16"/>
                <w:szCs w:val="16"/>
              </w:rPr>
              <w:t xml:space="preserve">876,825 </w:t>
            </w:r>
          </w:p>
        </w:tc>
        <w:tc>
          <w:tcPr>
            <w:tcW w:w="495" w:type="pct"/>
            <w:tcBorders>
              <w:top w:val="nil"/>
              <w:left w:val="nil"/>
              <w:bottom w:val="single" w:sz="4" w:space="0" w:color="auto"/>
              <w:right w:val="nil"/>
            </w:tcBorders>
            <w:shd w:val="clear" w:color="auto" w:fill="auto"/>
            <w:noWrap/>
            <w:vAlign w:val="center"/>
            <w:hideMark/>
          </w:tcPr>
          <w:p w:rsidR="0097730E" w:rsidRPr="004D6D39" w:rsidRDefault="0097730E" w:rsidP="0097730E">
            <w:pPr>
              <w:widowControl/>
              <w:autoSpaceDE/>
              <w:autoSpaceDN/>
              <w:adjustRightInd/>
              <w:jc w:val="right"/>
              <w:rPr>
                <w:rFonts w:cs="Arial"/>
                <w:bCs/>
                <w:sz w:val="16"/>
                <w:szCs w:val="16"/>
              </w:rPr>
            </w:pPr>
            <w:r w:rsidRPr="004D6D39">
              <w:rPr>
                <w:rFonts w:cs="Arial"/>
                <w:bCs/>
                <w:sz w:val="16"/>
                <w:szCs w:val="16"/>
              </w:rPr>
              <w:t xml:space="preserve">861,258 </w:t>
            </w:r>
          </w:p>
        </w:tc>
      </w:tr>
      <w:tr w:rsidR="0097730E" w:rsidRPr="002E771F" w:rsidTr="0097730E">
        <w:trPr>
          <w:trHeight w:val="299"/>
        </w:trPr>
        <w:tc>
          <w:tcPr>
            <w:tcW w:w="145" w:type="pct"/>
            <w:tcBorders>
              <w:top w:val="single" w:sz="4" w:space="0" w:color="auto"/>
              <w:bottom w:val="single" w:sz="4" w:space="0" w:color="auto"/>
            </w:tcBorders>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40" w:type="pct"/>
            <w:tcBorders>
              <w:top w:val="single" w:sz="4" w:space="0" w:color="auto"/>
              <w:bottom w:val="single" w:sz="4" w:space="0" w:color="auto"/>
            </w:tcBorders>
            <w:shd w:val="clear" w:color="000000" w:fill="DCE6F1"/>
            <w:noWrap/>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w:t>
            </w:r>
          </w:p>
        </w:tc>
        <w:tc>
          <w:tcPr>
            <w:tcW w:w="1327" w:type="pct"/>
            <w:tcBorders>
              <w:top w:val="single" w:sz="4" w:space="0" w:color="auto"/>
              <w:bottom w:val="single" w:sz="4" w:space="0" w:color="auto"/>
              <w:right w:val="single" w:sz="4" w:space="0" w:color="auto"/>
            </w:tcBorders>
            <w:shd w:val="clear" w:color="000000" w:fill="DCE6F1"/>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Grand Total</w:t>
            </w:r>
          </w:p>
        </w:tc>
        <w:tc>
          <w:tcPr>
            <w:tcW w:w="316" w:type="pct"/>
            <w:tcBorders>
              <w:top w:val="single" w:sz="4" w:space="0" w:color="auto"/>
              <w:left w:val="single" w:sz="4" w:space="0" w:color="auto"/>
              <w:bottom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2,375,561 </w:t>
            </w:r>
          </w:p>
        </w:tc>
        <w:tc>
          <w:tcPr>
            <w:tcW w:w="317" w:type="pct"/>
            <w:tcBorders>
              <w:top w:val="single" w:sz="4" w:space="0" w:color="auto"/>
              <w:bottom w:val="single" w:sz="4" w:space="0" w:color="auto"/>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2,435,060 </w:t>
            </w:r>
          </w:p>
        </w:tc>
        <w:tc>
          <w:tcPr>
            <w:tcW w:w="328" w:type="pct"/>
            <w:tcBorders>
              <w:top w:val="single" w:sz="4" w:space="0" w:color="auto"/>
              <w:left w:val="single" w:sz="4" w:space="0" w:color="auto"/>
              <w:bottom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2,352,275 </w:t>
            </w:r>
          </w:p>
        </w:tc>
        <w:tc>
          <w:tcPr>
            <w:tcW w:w="271" w:type="pct"/>
            <w:tcBorders>
              <w:top w:val="single" w:sz="4" w:space="0" w:color="auto"/>
              <w:bottom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106,662 </w:t>
            </w:r>
          </w:p>
        </w:tc>
        <w:tc>
          <w:tcPr>
            <w:tcW w:w="361" w:type="pct"/>
            <w:tcBorders>
              <w:top w:val="single" w:sz="4" w:space="0" w:color="auto"/>
              <w:bottom w:val="single" w:sz="4" w:space="0" w:color="auto"/>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2,219,755 </w:t>
            </w:r>
          </w:p>
        </w:tc>
        <w:tc>
          <w:tcPr>
            <w:tcW w:w="329" w:type="pct"/>
            <w:tcBorders>
              <w:top w:val="single" w:sz="4" w:space="0" w:color="auto"/>
              <w:left w:val="single" w:sz="4" w:space="0" w:color="auto"/>
              <w:bottom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2,714,793 </w:t>
            </w:r>
          </w:p>
        </w:tc>
        <w:tc>
          <w:tcPr>
            <w:tcW w:w="268" w:type="pct"/>
            <w:tcBorders>
              <w:top w:val="single" w:sz="4" w:space="0" w:color="auto"/>
              <w:bottom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72,338 </w:t>
            </w:r>
          </w:p>
        </w:tc>
        <w:tc>
          <w:tcPr>
            <w:tcW w:w="386" w:type="pct"/>
            <w:tcBorders>
              <w:top w:val="single" w:sz="4" w:space="0" w:color="auto"/>
              <w:left w:val="nil"/>
              <w:bottom w:val="single" w:sz="4" w:space="0" w:color="auto"/>
              <w:right w:val="single" w:sz="4" w:space="0" w:color="auto"/>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xml:space="preserve">2,831,502 </w:t>
            </w:r>
          </w:p>
        </w:tc>
        <w:tc>
          <w:tcPr>
            <w:tcW w:w="317" w:type="pct"/>
            <w:tcBorders>
              <w:top w:val="single" w:sz="4" w:space="0" w:color="auto"/>
              <w:left w:val="single" w:sz="4" w:space="0" w:color="auto"/>
              <w:bottom w:val="single" w:sz="4" w:space="0" w:color="auto"/>
              <w:right w:val="nil"/>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sidRPr="002E771F">
              <w:rPr>
                <w:rFonts w:cs="Arial"/>
                <w:b/>
                <w:bCs/>
                <w:sz w:val="16"/>
                <w:szCs w:val="16"/>
              </w:rPr>
              <w:t xml:space="preserve">7,621,629 </w:t>
            </w:r>
          </w:p>
        </w:tc>
        <w:tc>
          <w:tcPr>
            <w:tcW w:w="495" w:type="pct"/>
            <w:tcBorders>
              <w:top w:val="single" w:sz="4" w:space="0" w:color="auto"/>
              <w:left w:val="nil"/>
              <w:bottom w:val="single" w:sz="4" w:space="0" w:color="auto"/>
              <w:right w:val="nil"/>
            </w:tcBorders>
            <w:shd w:val="clear" w:color="000000" w:fill="DCE6F1"/>
            <w:noWrap/>
            <w:vAlign w:val="center"/>
            <w:hideMark/>
          </w:tcPr>
          <w:p w:rsidR="0097730E" w:rsidRPr="002E771F" w:rsidRDefault="0097730E" w:rsidP="0097730E">
            <w:pPr>
              <w:widowControl/>
              <w:autoSpaceDE/>
              <w:autoSpaceDN/>
              <w:adjustRightInd/>
              <w:jc w:val="right"/>
              <w:rPr>
                <w:rFonts w:cs="Arial"/>
                <w:b/>
                <w:bCs/>
                <w:sz w:val="16"/>
                <w:szCs w:val="16"/>
              </w:rPr>
            </w:pPr>
            <w:r>
              <w:rPr>
                <w:rFonts w:cs="Arial"/>
                <w:b/>
                <w:bCs/>
                <w:sz w:val="16"/>
                <w:szCs w:val="16"/>
              </w:rPr>
              <w:t xml:space="preserve">7,486,318 </w:t>
            </w:r>
          </w:p>
        </w:tc>
      </w:tr>
    </w:tbl>
    <w:p w:rsidR="002E3987" w:rsidRPr="002E3987" w:rsidRDefault="002E3987" w:rsidP="002E3987">
      <w:pPr>
        <w:pStyle w:val="ListParagraph"/>
        <w:pBdr>
          <w:top w:val="single" w:sz="6" w:space="8" w:color="FFFFFF"/>
          <w:left w:val="single" w:sz="6" w:space="0" w:color="FFFFFF"/>
          <w:bottom w:val="single" w:sz="6" w:space="0" w:color="FFFFFF"/>
          <w:right w:val="single" w:sz="6" w:space="0" w:color="FFFFFF"/>
        </w:pBdr>
        <w:ind w:left="0"/>
        <w:outlineLvl w:val="1"/>
        <w:rPr>
          <w:rFonts w:cs="Arial"/>
          <w:sz w:val="16"/>
          <w:szCs w:val="16"/>
          <w:lang w:val="en-GB"/>
        </w:rPr>
      </w:pPr>
      <w:r w:rsidRPr="002E3987">
        <w:rPr>
          <w:rFonts w:cs="Arial"/>
          <w:sz w:val="16"/>
          <w:szCs w:val="16"/>
          <w:vertAlign w:val="superscript"/>
          <w:lang w:val="en-GB"/>
        </w:rPr>
        <w:t>1</w:t>
      </w:r>
      <w:r w:rsidRPr="002E3987">
        <w:rPr>
          <w:rFonts w:cs="Arial"/>
          <w:sz w:val="16"/>
          <w:szCs w:val="16"/>
          <w:lang w:val="en-GB"/>
        </w:rPr>
        <w:t xml:space="preserve"> Posts cost share with ASCOBANS Secretariat</w:t>
      </w:r>
    </w:p>
    <w:p w:rsidR="002E3987" w:rsidRPr="002E3987" w:rsidRDefault="002E3987" w:rsidP="002E3987">
      <w:pPr>
        <w:pStyle w:val="ListParagraph"/>
        <w:pBdr>
          <w:top w:val="single" w:sz="6" w:space="8" w:color="FFFFFF"/>
          <w:left w:val="single" w:sz="6" w:space="0" w:color="FFFFFF"/>
          <w:bottom w:val="single" w:sz="6" w:space="0" w:color="FFFFFF"/>
          <w:right w:val="single" w:sz="6" w:space="0" w:color="FFFFFF"/>
        </w:pBdr>
        <w:ind w:left="0"/>
        <w:outlineLvl w:val="1"/>
        <w:rPr>
          <w:rFonts w:cs="Arial"/>
          <w:sz w:val="16"/>
          <w:szCs w:val="16"/>
          <w:lang w:val="en-GB"/>
        </w:rPr>
      </w:pPr>
      <w:r w:rsidRPr="002E3987">
        <w:rPr>
          <w:rFonts w:cs="Arial"/>
          <w:sz w:val="16"/>
          <w:szCs w:val="16"/>
          <w:vertAlign w:val="superscript"/>
          <w:lang w:val="en-GB"/>
        </w:rPr>
        <w:t>2</w:t>
      </w:r>
      <w:r w:rsidRPr="002E3987">
        <w:rPr>
          <w:rFonts w:cs="Arial"/>
          <w:sz w:val="16"/>
          <w:szCs w:val="16"/>
          <w:lang w:val="en-GB"/>
        </w:rPr>
        <w:t xml:space="preserve"> Functions performed by the Deputy Executive Secretary  </w:t>
      </w:r>
    </w:p>
    <w:p w:rsidR="002E3987" w:rsidRPr="002E3987" w:rsidRDefault="00476CA8" w:rsidP="00FC27D5">
      <w:pPr>
        <w:pStyle w:val="ListParagraph"/>
        <w:pBdr>
          <w:top w:val="single" w:sz="6" w:space="8" w:color="FFFFFF"/>
          <w:left w:val="single" w:sz="6" w:space="0" w:color="FFFFFF"/>
          <w:bottom w:val="single" w:sz="6" w:space="0" w:color="FFFFFF"/>
          <w:right w:val="single" w:sz="6" w:space="0" w:color="FFFFFF"/>
        </w:pBdr>
        <w:ind w:left="0"/>
        <w:outlineLvl w:val="1"/>
        <w:rPr>
          <w:rFonts w:cs="Arial"/>
          <w:b/>
          <w:caps/>
          <w:sz w:val="22"/>
          <w:szCs w:val="22"/>
          <w:vertAlign w:val="superscript"/>
          <w:lang w:val="en-GB"/>
        </w:rPr>
      </w:pPr>
      <w:r w:rsidRPr="00C876C6">
        <w:rPr>
          <w:rFonts w:cs="Arial"/>
          <w:sz w:val="16"/>
          <w:szCs w:val="16"/>
          <w:vertAlign w:val="superscript"/>
          <w:lang w:val="en-GB"/>
        </w:rPr>
        <w:t>3</w:t>
      </w:r>
      <w:r w:rsidRPr="00C876C6">
        <w:rPr>
          <w:rFonts w:cs="Arial"/>
          <w:sz w:val="16"/>
          <w:szCs w:val="16"/>
          <w:lang w:val="en-GB"/>
        </w:rPr>
        <w:t xml:space="preserve"> </w:t>
      </w:r>
      <w:r w:rsidRPr="00C876C6">
        <w:rPr>
          <w:sz w:val="16"/>
          <w:szCs w:val="16"/>
        </w:rPr>
        <w:t>UNEP’s official accounts are maintained in US dollars, however, for the purpose of this report, expenditures in Euros have been estimated by using an average of the monthly UN official exchange rates during the expenditure period. The rates used were as follows: 201</w:t>
      </w:r>
      <w:r>
        <w:rPr>
          <w:sz w:val="16"/>
          <w:szCs w:val="16"/>
        </w:rPr>
        <w:t>5</w:t>
      </w:r>
      <w:r w:rsidRPr="00C876C6">
        <w:rPr>
          <w:sz w:val="16"/>
          <w:szCs w:val="16"/>
        </w:rPr>
        <w:t>, 1 US$ = €0.</w:t>
      </w:r>
      <w:r>
        <w:rPr>
          <w:sz w:val="16"/>
          <w:szCs w:val="16"/>
        </w:rPr>
        <w:t>901</w:t>
      </w:r>
      <w:r w:rsidRPr="00C876C6">
        <w:rPr>
          <w:sz w:val="16"/>
          <w:szCs w:val="16"/>
        </w:rPr>
        <w:t>; 201</w:t>
      </w:r>
      <w:r>
        <w:rPr>
          <w:sz w:val="16"/>
          <w:szCs w:val="16"/>
        </w:rPr>
        <w:t>6</w:t>
      </w:r>
      <w:r w:rsidRPr="00C876C6">
        <w:rPr>
          <w:sz w:val="16"/>
          <w:szCs w:val="16"/>
        </w:rPr>
        <w:t>, 1 US$ = €0.</w:t>
      </w:r>
      <w:r>
        <w:rPr>
          <w:sz w:val="16"/>
          <w:szCs w:val="16"/>
        </w:rPr>
        <w:t>903</w:t>
      </w:r>
      <w:r w:rsidRPr="00C876C6">
        <w:rPr>
          <w:sz w:val="16"/>
          <w:szCs w:val="16"/>
        </w:rPr>
        <w:t xml:space="preserve"> and 201</w:t>
      </w:r>
      <w:r>
        <w:rPr>
          <w:sz w:val="16"/>
          <w:szCs w:val="16"/>
        </w:rPr>
        <w:t>7 (Jan-Aug)</w:t>
      </w:r>
      <w:r w:rsidRPr="00C876C6">
        <w:rPr>
          <w:sz w:val="16"/>
          <w:szCs w:val="16"/>
        </w:rPr>
        <w:t>, 1 US$ = €0.</w:t>
      </w:r>
      <w:r w:rsidRPr="00476CA8">
        <w:rPr>
          <w:sz w:val="16"/>
          <w:szCs w:val="16"/>
        </w:rPr>
        <w:t>914.</w:t>
      </w:r>
    </w:p>
    <w:sectPr w:rsidR="002E3987" w:rsidRPr="002E3987" w:rsidSect="00256787">
      <w:headerReference w:type="even" r:id="rId21"/>
      <w:headerReference w:type="first" r:id="rId22"/>
      <w:endnotePr>
        <w:numFmt w:val="decimal"/>
      </w:endnotePr>
      <w:pgSz w:w="16837" w:h="11905" w:orient="landscape" w:code="9"/>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D3" w:rsidRDefault="004568D3">
      <w:r>
        <w:separator/>
      </w:r>
    </w:p>
  </w:endnote>
  <w:endnote w:type="continuationSeparator" w:id="0">
    <w:p w:rsidR="004568D3" w:rsidRDefault="0045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922791" w:rsidRDefault="004568D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549BA">
      <w:rPr>
        <w:rFonts w:cs="Arial"/>
        <w:noProof/>
        <w:szCs w:val="18"/>
      </w:rPr>
      <w:t>12</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42497"/>
      <w:docPartObj>
        <w:docPartGallery w:val="Page Numbers (Bottom of Page)"/>
        <w:docPartUnique/>
      </w:docPartObj>
    </w:sdtPr>
    <w:sdtEndPr>
      <w:rPr>
        <w:noProof/>
      </w:rPr>
    </w:sdtEndPr>
    <w:sdtContent>
      <w:p w:rsidR="004568D3" w:rsidRDefault="004568D3">
        <w:pPr>
          <w:pStyle w:val="Footer"/>
          <w:jc w:val="center"/>
        </w:pPr>
        <w:r>
          <w:fldChar w:fldCharType="begin"/>
        </w:r>
        <w:r>
          <w:instrText xml:space="preserve"> PAGE   \* MERGEFORMAT </w:instrText>
        </w:r>
        <w:r>
          <w:fldChar w:fldCharType="separate"/>
        </w:r>
        <w:r w:rsidR="006549BA">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CD7355" w:rsidRDefault="004568D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77691"/>
      <w:docPartObj>
        <w:docPartGallery w:val="Page Numbers (Bottom of Page)"/>
        <w:docPartUnique/>
      </w:docPartObj>
    </w:sdtPr>
    <w:sdtEndPr>
      <w:rPr>
        <w:noProof/>
      </w:rPr>
    </w:sdtEndPr>
    <w:sdtContent>
      <w:p w:rsidR="004568D3" w:rsidRDefault="004568D3">
        <w:pPr>
          <w:pStyle w:val="Footer"/>
          <w:jc w:val="center"/>
        </w:pPr>
        <w:r>
          <w:fldChar w:fldCharType="begin"/>
        </w:r>
        <w:r>
          <w:instrText xml:space="preserve"> PAGE   \* MERGEFORMAT </w:instrText>
        </w:r>
        <w:r>
          <w:fldChar w:fldCharType="separate"/>
        </w:r>
        <w:r w:rsidR="006549BA">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D3" w:rsidRDefault="004568D3">
      <w:r>
        <w:separator/>
      </w:r>
    </w:p>
  </w:footnote>
  <w:footnote w:type="continuationSeparator" w:id="0">
    <w:p w:rsidR="004568D3" w:rsidRDefault="004568D3">
      <w:r>
        <w:continuationSeparator/>
      </w:r>
    </w:p>
  </w:footnote>
  <w:footnote w:id="1">
    <w:p w:rsidR="004568D3" w:rsidRPr="004840AF" w:rsidRDefault="004568D3" w:rsidP="00767DAE">
      <w:pPr>
        <w:pStyle w:val="FootnoteText"/>
        <w:tabs>
          <w:tab w:val="left" w:pos="284"/>
        </w:tabs>
        <w:rPr>
          <w:szCs w:val="18"/>
        </w:rPr>
      </w:pPr>
      <w:r w:rsidRPr="004840AF">
        <w:rPr>
          <w:rStyle w:val="FootnoteReference"/>
          <w:szCs w:val="18"/>
          <w:vertAlign w:val="superscript"/>
        </w:rPr>
        <w:footnoteRef/>
      </w:r>
      <w:r w:rsidRPr="004840AF">
        <w:rPr>
          <w:szCs w:val="18"/>
        </w:rPr>
        <w:t xml:space="preserve"> </w:t>
      </w:r>
      <w:r w:rsidRPr="004840AF">
        <w:rPr>
          <w:szCs w:val="18"/>
        </w:rPr>
        <w:tab/>
      </w:r>
      <w:r w:rsidRPr="00476CA8">
        <w:rPr>
          <w:sz w:val="16"/>
          <w:szCs w:val="16"/>
        </w:rPr>
        <w:t>Based on the United Nations’ operational rate of exchange on 31 December 2014 of 1US$ = €0.82.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922791" w:rsidRDefault="004568D3"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/Doc.14.1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4A" w:rsidRPr="00D605A4" w:rsidRDefault="0052474A" w:rsidP="004568D3">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14.1/Annex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497E66" w:rsidRDefault="004568D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Pr>
        <w:rFonts w:cs="Arial"/>
        <w:b w:val="0"/>
        <w:i/>
        <w:sz w:val="18"/>
        <w:szCs w:val="18"/>
        <w:lang w:val="fr-FR"/>
      </w:rPr>
      <w:t>NEP/CMS/COP12/Doc14.1</w:t>
    </w:r>
  </w:p>
  <w:p w:rsidR="004568D3" w:rsidRPr="00497E66" w:rsidRDefault="004568D3"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Default="004568D3"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4" name="Picture 4"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8D3" w:rsidRDefault="00456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497E66" w:rsidRDefault="004568D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Pr>
        <w:rFonts w:cs="Arial"/>
        <w:b w:val="0"/>
        <w:i/>
        <w:sz w:val="18"/>
        <w:szCs w:val="18"/>
        <w:lang w:val="fr-FR"/>
      </w:rPr>
      <w:t>NEP/CMS/COP12/Doc.14.1</w:t>
    </w:r>
  </w:p>
  <w:p w:rsidR="004568D3" w:rsidRPr="00497E66" w:rsidRDefault="004568D3"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D605A4" w:rsidRDefault="004568D3" w:rsidP="004568D3">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922791" w:rsidRDefault="004568D3"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 xml:space="preserve">/Doc.14.1/Annex </w:t>
    </w:r>
    <w:r w:rsidR="0052474A">
      <w:rPr>
        <w:rFonts w:cs="Arial"/>
        <w:b w:val="0"/>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497E66" w:rsidRDefault="004568D3"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Pr>
        <w:rFonts w:cs="Arial"/>
        <w:b w:val="0"/>
        <w:i/>
        <w:sz w:val="18"/>
        <w:szCs w:val="18"/>
        <w:lang w:val="fr-FR"/>
      </w:rPr>
      <w:t>NEP/CMS/COP12/Doc.14.1/Annex 1</w:t>
    </w:r>
  </w:p>
  <w:p w:rsidR="004568D3" w:rsidRPr="00497E66" w:rsidRDefault="004568D3" w:rsidP="00A27BE3">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D3" w:rsidRPr="00D605A4" w:rsidRDefault="004568D3" w:rsidP="004568D3">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4A" w:rsidRPr="00922791" w:rsidRDefault="0052474A"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/Doc.14.1/Annex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613F33"/>
    <w:multiLevelType w:val="hybridMultilevel"/>
    <w:tmpl w:val="31F83C7C"/>
    <w:lvl w:ilvl="0" w:tplc="4524F98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6875C1"/>
    <w:multiLevelType w:val="hybridMultilevel"/>
    <w:tmpl w:val="9C2A8D36"/>
    <w:lvl w:ilvl="0" w:tplc="0E90138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2612F"/>
    <w:multiLevelType w:val="hybridMultilevel"/>
    <w:tmpl w:val="DF9AAB10"/>
    <w:lvl w:ilvl="0" w:tplc="038E9DF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30FD0"/>
    <w:multiLevelType w:val="hybridMultilevel"/>
    <w:tmpl w:val="30E63326"/>
    <w:lvl w:ilvl="0" w:tplc="1D48D07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002BD"/>
    <w:multiLevelType w:val="hybridMultilevel"/>
    <w:tmpl w:val="8F90323E"/>
    <w:lvl w:ilvl="0" w:tplc="9A0EAF1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630E2"/>
    <w:multiLevelType w:val="hybridMultilevel"/>
    <w:tmpl w:val="42704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11692E"/>
    <w:multiLevelType w:val="hybridMultilevel"/>
    <w:tmpl w:val="75EEBB3A"/>
    <w:lvl w:ilvl="0" w:tplc="2CFAF45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BB6082"/>
    <w:multiLevelType w:val="hybridMultilevel"/>
    <w:tmpl w:val="E01E732A"/>
    <w:lvl w:ilvl="0" w:tplc="219CBA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6"/>
  </w:num>
  <w:num w:numId="14">
    <w:abstractNumId w:val="8"/>
  </w:num>
  <w:num w:numId="15">
    <w:abstractNumId w:val="9"/>
  </w:num>
  <w:num w:numId="16">
    <w:abstractNumId w:val="7"/>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B1A"/>
    <w:rsid w:val="0001430A"/>
    <w:rsid w:val="00015E07"/>
    <w:rsid w:val="000254DF"/>
    <w:rsid w:val="0003178F"/>
    <w:rsid w:val="00031A88"/>
    <w:rsid w:val="0003449E"/>
    <w:rsid w:val="000359F8"/>
    <w:rsid w:val="00036C53"/>
    <w:rsid w:val="000518C2"/>
    <w:rsid w:val="00055E37"/>
    <w:rsid w:val="00056DC1"/>
    <w:rsid w:val="00057B92"/>
    <w:rsid w:val="00060156"/>
    <w:rsid w:val="00070BBC"/>
    <w:rsid w:val="00073C92"/>
    <w:rsid w:val="00080F03"/>
    <w:rsid w:val="000900E1"/>
    <w:rsid w:val="0009076A"/>
    <w:rsid w:val="0009118A"/>
    <w:rsid w:val="000B6220"/>
    <w:rsid w:val="000C21B1"/>
    <w:rsid w:val="000C3C87"/>
    <w:rsid w:val="000C7460"/>
    <w:rsid w:val="000D1323"/>
    <w:rsid w:val="000E01C1"/>
    <w:rsid w:val="000E09AD"/>
    <w:rsid w:val="000E1C9B"/>
    <w:rsid w:val="000F0B93"/>
    <w:rsid w:val="000F1156"/>
    <w:rsid w:val="000F52BA"/>
    <w:rsid w:val="00103B70"/>
    <w:rsid w:val="001111A9"/>
    <w:rsid w:val="001151A3"/>
    <w:rsid w:val="001245DF"/>
    <w:rsid w:val="00124EC8"/>
    <w:rsid w:val="00130BFD"/>
    <w:rsid w:val="00140719"/>
    <w:rsid w:val="001419C7"/>
    <w:rsid w:val="00150AC4"/>
    <w:rsid w:val="00162D88"/>
    <w:rsid w:val="00166ABA"/>
    <w:rsid w:val="001743FD"/>
    <w:rsid w:val="001764E6"/>
    <w:rsid w:val="001808F1"/>
    <w:rsid w:val="001A01C4"/>
    <w:rsid w:val="001A33B6"/>
    <w:rsid w:val="001C069F"/>
    <w:rsid w:val="001C6038"/>
    <w:rsid w:val="001C63E3"/>
    <w:rsid w:val="001D7FE5"/>
    <w:rsid w:val="001F3FF6"/>
    <w:rsid w:val="001F60A1"/>
    <w:rsid w:val="00200759"/>
    <w:rsid w:val="00200A67"/>
    <w:rsid w:val="00201F88"/>
    <w:rsid w:val="00202332"/>
    <w:rsid w:val="00203D3A"/>
    <w:rsid w:val="002210F4"/>
    <w:rsid w:val="00224DAD"/>
    <w:rsid w:val="0022510B"/>
    <w:rsid w:val="00254721"/>
    <w:rsid w:val="00256787"/>
    <w:rsid w:val="00257709"/>
    <w:rsid w:val="00263159"/>
    <w:rsid w:val="0026334B"/>
    <w:rsid w:val="00271050"/>
    <w:rsid w:val="002779F7"/>
    <w:rsid w:val="00287939"/>
    <w:rsid w:val="00295062"/>
    <w:rsid w:val="002A0A1C"/>
    <w:rsid w:val="002A380C"/>
    <w:rsid w:val="002C12EA"/>
    <w:rsid w:val="002C187A"/>
    <w:rsid w:val="002C20F1"/>
    <w:rsid w:val="002D2863"/>
    <w:rsid w:val="002D5EC0"/>
    <w:rsid w:val="002E3987"/>
    <w:rsid w:val="002E3DEA"/>
    <w:rsid w:val="002E771F"/>
    <w:rsid w:val="002E7CC2"/>
    <w:rsid w:val="002F50FF"/>
    <w:rsid w:val="002F6A9E"/>
    <w:rsid w:val="002F6F9B"/>
    <w:rsid w:val="00324BB2"/>
    <w:rsid w:val="003331C6"/>
    <w:rsid w:val="00345044"/>
    <w:rsid w:val="00351095"/>
    <w:rsid w:val="0035129B"/>
    <w:rsid w:val="003529AF"/>
    <w:rsid w:val="00354A9C"/>
    <w:rsid w:val="00357DE5"/>
    <w:rsid w:val="00364973"/>
    <w:rsid w:val="00364C8C"/>
    <w:rsid w:val="00367F4C"/>
    <w:rsid w:val="00372347"/>
    <w:rsid w:val="003779D4"/>
    <w:rsid w:val="00382398"/>
    <w:rsid w:val="003848BD"/>
    <w:rsid w:val="00387C7E"/>
    <w:rsid w:val="003909E4"/>
    <w:rsid w:val="0039523C"/>
    <w:rsid w:val="003A3E30"/>
    <w:rsid w:val="003A70FE"/>
    <w:rsid w:val="003B0C35"/>
    <w:rsid w:val="003B219E"/>
    <w:rsid w:val="003C715C"/>
    <w:rsid w:val="003E0EBF"/>
    <w:rsid w:val="003E21B3"/>
    <w:rsid w:val="003E4793"/>
    <w:rsid w:val="003F22C4"/>
    <w:rsid w:val="004112F6"/>
    <w:rsid w:val="00411E65"/>
    <w:rsid w:val="00412DE9"/>
    <w:rsid w:val="00420040"/>
    <w:rsid w:val="00423388"/>
    <w:rsid w:val="00426D73"/>
    <w:rsid w:val="0043250E"/>
    <w:rsid w:val="0044067B"/>
    <w:rsid w:val="00446B44"/>
    <w:rsid w:val="00450623"/>
    <w:rsid w:val="00452419"/>
    <w:rsid w:val="00454913"/>
    <w:rsid w:val="004568D3"/>
    <w:rsid w:val="00457441"/>
    <w:rsid w:val="004579F6"/>
    <w:rsid w:val="004656D0"/>
    <w:rsid w:val="00465B53"/>
    <w:rsid w:val="00473ABD"/>
    <w:rsid w:val="0047453F"/>
    <w:rsid w:val="00476CA8"/>
    <w:rsid w:val="00482DCA"/>
    <w:rsid w:val="0049506C"/>
    <w:rsid w:val="00497E66"/>
    <w:rsid w:val="004B6CFD"/>
    <w:rsid w:val="004C204D"/>
    <w:rsid w:val="004C454A"/>
    <w:rsid w:val="004C76CC"/>
    <w:rsid w:val="004D0436"/>
    <w:rsid w:val="004D0936"/>
    <w:rsid w:val="004D6D39"/>
    <w:rsid w:val="004E51BC"/>
    <w:rsid w:val="004E7ED7"/>
    <w:rsid w:val="004F0DF8"/>
    <w:rsid w:val="004F243D"/>
    <w:rsid w:val="004F3D8D"/>
    <w:rsid w:val="00504B02"/>
    <w:rsid w:val="0050601C"/>
    <w:rsid w:val="005076F1"/>
    <w:rsid w:val="005109C6"/>
    <w:rsid w:val="00512B91"/>
    <w:rsid w:val="005158EB"/>
    <w:rsid w:val="0052082F"/>
    <w:rsid w:val="0052474A"/>
    <w:rsid w:val="005367C3"/>
    <w:rsid w:val="00542FCC"/>
    <w:rsid w:val="005465B9"/>
    <w:rsid w:val="0055762E"/>
    <w:rsid w:val="00565445"/>
    <w:rsid w:val="0056647D"/>
    <w:rsid w:val="00567D09"/>
    <w:rsid w:val="00575334"/>
    <w:rsid w:val="005848D2"/>
    <w:rsid w:val="00587EEC"/>
    <w:rsid w:val="005927B2"/>
    <w:rsid w:val="00593736"/>
    <w:rsid w:val="005A3181"/>
    <w:rsid w:val="005B0F06"/>
    <w:rsid w:val="005B6141"/>
    <w:rsid w:val="005C3F15"/>
    <w:rsid w:val="005D0E1D"/>
    <w:rsid w:val="005F3037"/>
    <w:rsid w:val="005F3989"/>
    <w:rsid w:val="005F4303"/>
    <w:rsid w:val="005F454C"/>
    <w:rsid w:val="005F7B20"/>
    <w:rsid w:val="00601B52"/>
    <w:rsid w:val="0060280B"/>
    <w:rsid w:val="00604422"/>
    <w:rsid w:val="00604C5B"/>
    <w:rsid w:val="00607487"/>
    <w:rsid w:val="00620809"/>
    <w:rsid w:val="00621188"/>
    <w:rsid w:val="00623F5D"/>
    <w:rsid w:val="00641280"/>
    <w:rsid w:val="00651341"/>
    <w:rsid w:val="006549BA"/>
    <w:rsid w:val="00666F8B"/>
    <w:rsid w:val="00671EBD"/>
    <w:rsid w:val="00673DE7"/>
    <w:rsid w:val="006815B2"/>
    <w:rsid w:val="006826E0"/>
    <w:rsid w:val="00682B31"/>
    <w:rsid w:val="006864E1"/>
    <w:rsid w:val="0068667B"/>
    <w:rsid w:val="00691001"/>
    <w:rsid w:val="00692DB7"/>
    <w:rsid w:val="00692F08"/>
    <w:rsid w:val="00694C5A"/>
    <w:rsid w:val="006B1037"/>
    <w:rsid w:val="006D620C"/>
    <w:rsid w:val="006E56AD"/>
    <w:rsid w:val="006E5763"/>
    <w:rsid w:val="006F2A9B"/>
    <w:rsid w:val="006F4B3F"/>
    <w:rsid w:val="007101BB"/>
    <w:rsid w:val="00712233"/>
    <w:rsid w:val="00713308"/>
    <w:rsid w:val="00724FE5"/>
    <w:rsid w:val="00725A91"/>
    <w:rsid w:val="00727E01"/>
    <w:rsid w:val="00745222"/>
    <w:rsid w:val="00747F8B"/>
    <w:rsid w:val="00752E19"/>
    <w:rsid w:val="00757614"/>
    <w:rsid w:val="00767DAE"/>
    <w:rsid w:val="00770DD2"/>
    <w:rsid w:val="007728B4"/>
    <w:rsid w:val="0077622E"/>
    <w:rsid w:val="00777FE4"/>
    <w:rsid w:val="00787797"/>
    <w:rsid w:val="0079075D"/>
    <w:rsid w:val="007910DD"/>
    <w:rsid w:val="00794C7C"/>
    <w:rsid w:val="007A54E7"/>
    <w:rsid w:val="007B6C50"/>
    <w:rsid w:val="007C1468"/>
    <w:rsid w:val="007C41D7"/>
    <w:rsid w:val="007F16FB"/>
    <w:rsid w:val="007F1BBA"/>
    <w:rsid w:val="00801EA4"/>
    <w:rsid w:val="00811BCC"/>
    <w:rsid w:val="00813D63"/>
    <w:rsid w:val="0081600F"/>
    <w:rsid w:val="00820C54"/>
    <w:rsid w:val="008216A2"/>
    <w:rsid w:val="00824A44"/>
    <w:rsid w:val="0082722D"/>
    <w:rsid w:val="008274F7"/>
    <w:rsid w:val="008441F9"/>
    <w:rsid w:val="00846A99"/>
    <w:rsid w:val="0086018A"/>
    <w:rsid w:val="008621B8"/>
    <w:rsid w:val="008641D1"/>
    <w:rsid w:val="00870FB9"/>
    <w:rsid w:val="00872F67"/>
    <w:rsid w:val="008879E9"/>
    <w:rsid w:val="00887E65"/>
    <w:rsid w:val="00893346"/>
    <w:rsid w:val="00894D19"/>
    <w:rsid w:val="008A0D8D"/>
    <w:rsid w:val="008A34C5"/>
    <w:rsid w:val="008B1A69"/>
    <w:rsid w:val="008C1A39"/>
    <w:rsid w:val="008C5742"/>
    <w:rsid w:val="008D1B43"/>
    <w:rsid w:val="008E7DFB"/>
    <w:rsid w:val="008F7327"/>
    <w:rsid w:val="0090059C"/>
    <w:rsid w:val="00901C76"/>
    <w:rsid w:val="009076C8"/>
    <w:rsid w:val="009114A4"/>
    <w:rsid w:val="00912253"/>
    <w:rsid w:val="00915BBE"/>
    <w:rsid w:val="00921D62"/>
    <w:rsid w:val="00922335"/>
    <w:rsid w:val="00922791"/>
    <w:rsid w:val="00927CD6"/>
    <w:rsid w:val="00933572"/>
    <w:rsid w:val="009363C7"/>
    <w:rsid w:val="009422E5"/>
    <w:rsid w:val="009612B9"/>
    <w:rsid w:val="0096474F"/>
    <w:rsid w:val="00972D36"/>
    <w:rsid w:val="00973BFB"/>
    <w:rsid w:val="0097730E"/>
    <w:rsid w:val="00980406"/>
    <w:rsid w:val="00984F6D"/>
    <w:rsid w:val="00994621"/>
    <w:rsid w:val="00996D85"/>
    <w:rsid w:val="009A2C8F"/>
    <w:rsid w:val="009A37CA"/>
    <w:rsid w:val="009A6101"/>
    <w:rsid w:val="009A7B65"/>
    <w:rsid w:val="009B0DD3"/>
    <w:rsid w:val="009B6D1B"/>
    <w:rsid w:val="009D2AD6"/>
    <w:rsid w:val="009D3A07"/>
    <w:rsid w:val="009D4711"/>
    <w:rsid w:val="009D5DA6"/>
    <w:rsid w:val="009E0871"/>
    <w:rsid w:val="009E3A84"/>
    <w:rsid w:val="009E72D7"/>
    <w:rsid w:val="009E7ACC"/>
    <w:rsid w:val="009F450E"/>
    <w:rsid w:val="009F54DA"/>
    <w:rsid w:val="00A06984"/>
    <w:rsid w:val="00A07230"/>
    <w:rsid w:val="00A1324E"/>
    <w:rsid w:val="00A14C6C"/>
    <w:rsid w:val="00A16C6B"/>
    <w:rsid w:val="00A27BE3"/>
    <w:rsid w:val="00A339B9"/>
    <w:rsid w:val="00A3568E"/>
    <w:rsid w:val="00A40EDF"/>
    <w:rsid w:val="00A5641C"/>
    <w:rsid w:val="00A568DF"/>
    <w:rsid w:val="00A73A79"/>
    <w:rsid w:val="00A908A1"/>
    <w:rsid w:val="00A93C52"/>
    <w:rsid w:val="00AA7368"/>
    <w:rsid w:val="00AB4FF9"/>
    <w:rsid w:val="00AC4554"/>
    <w:rsid w:val="00AE04EA"/>
    <w:rsid w:val="00AE7B21"/>
    <w:rsid w:val="00AF1980"/>
    <w:rsid w:val="00AF2021"/>
    <w:rsid w:val="00B016F8"/>
    <w:rsid w:val="00B025B7"/>
    <w:rsid w:val="00B10614"/>
    <w:rsid w:val="00B178DE"/>
    <w:rsid w:val="00B25725"/>
    <w:rsid w:val="00B40693"/>
    <w:rsid w:val="00B43850"/>
    <w:rsid w:val="00B471BD"/>
    <w:rsid w:val="00B50C2D"/>
    <w:rsid w:val="00B52FB0"/>
    <w:rsid w:val="00B64904"/>
    <w:rsid w:val="00BA60CE"/>
    <w:rsid w:val="00BB10D2"/>
    <w:rsid w:val="00BB7AB8"/>
    <w:rsid w:val="00BC5607"/>
    <w:rsid w:val="00BD3467"/>
    <w:rsid w:val="00BE0D1D"/>
    <w:rsid w:val="00BE2448"/>
    <w:rsid w:val="00BE24D4"/>
    <w:rsid w:val="00BF10A4"/>
    <w:rsid w:val="00BF2BE7"/>
    <w:rsid w:val="00BF4512"/>
    <w:rsid w:val="00C05102"/>
    <w:rsid w:val="00C13FA6"/>
    <w:rsid w:val="00C169ED"/>
    <w:rsid w:val="00C30060"/>
    <w:rsid w:val="00C3420A"/>
    <w:rsid w:val="00C44645"/>
    <w:rsid w:val="00C5484D"/>
    <w:rsid w:val="00C56A68"/>
    <w:rsid w:val="00C618F2"/>
    <w:rsid w:val="00C7159A"/>
    <w:rsid w:val="00C73207"/>
    <w:rsid w:val="00C7602A"/>
    <w:rsid w:val="00C82160"/>
    <w:rsid w:val="00C82ED9"/>
    <w:rsid w:val="00C87661"/>
    <w:rsid w:val="00C87D68"/>
    <w:rsid w:val="00C9281B"/>
    <w:rsid w:val="00CA131F"/>
    <w:rsid w:val="00CA367A"/>
    <w:rsid w:val="00CA4DCC"/>
    <w:rsid w:val="00CB1D26"/>
    <w:rsid w:val="00CC3503"/>
    <w:rsid w:val="00CC4C21"/>
    <w:rsid w:val="00CC57AD"/>
    <w:rsid w:val="00CC68BE"/>
    <w:rsid w:val="00CD0FE9"/>
    <w:rsid w:val="00CD7355"/>
    <w:rsid w:val="00CE5B83"/>
    <w:rsid w:val="00CF52EE"/>
    <w:rsid w:val="00CF6EDD"/>
    <w:rsid w:val="00D03D59"/>
    <w:rsid w:val="00D05922"/>
    <w:rsid w:val="00D107A3"/>
    <w:rsid w:val="00D123F8"/>
    <w:rsid w:val="00D147EA"/>
    <w:rsid w:val="00D20281"/>
    <w:rsid w:val="00D21383"/>
    <w:rsid w:val="00D30296"/>
    <w:rsid w:val="00D42AE1"/>
    <w:rsid w:val="00D46C91"/>
    <w:rsid w:val="00D55DDD"/>
    <w:rsid w:val="00D574F0"/>
    <w:rsid w:val="00D605A4"/>
    <w:rsid w:val="00D61B13"/>
    <w:rsid w:val="00D7746A"/>
    <w:rsid w:val="00D838FE"/>
    <w:rsid w:val="00D8406F"/>
    <w:rsid w:val="00D859C7"/>
    <w:rsid w:val="00D86EB6"/>
    <w:rsid w:val="00D9021F"/>
    <w:rsid w:val="00D97121"/>
    <w:rsid w:val="00DA1080"/>
    <w:rsid w:val="00DA12C2"/>
    <w:rsid w:val="00DA57A7"/>
    <w:rsid w:val="00DA6FFA"/>
    <w:rsid w:val="00DB30A6"/>
    <w:rsid w:val="00DD6A9E"/>
    <w:rsid w:val="00DD7365"/>
    <w:rsid w:val="00DE5300"/>
    <w:rsid w:val="00DF1882"/>
    <w:rsid w:val="00DF246C"/>
    <w:rsid w:val="00DF2E76"/>
    <w:rsid w:val="00E07522"/>
    <w:rsid w:val="00E122BE"/>
    <w:rsid w:val="00E215E7"/>
    <w:rsid w:val="00E23367"/>
    <w:rsid w:val="00E26B7A"/>
    <w:rsid w:val="00E31B92"/>
    <w:rsid w:val="00E475D4"/>
    <w:rsid w:val="00E4795A"/>
    <w:rsid w:val="00E544A4"/>
    <w:rsid w:val="00E7236D"/>
    <w:rsid w:val="00E74D1C"/>
    <w:rsid w:val="00E769AD"/>
    <w:rsid w:val="00E84BEA"/>
    <w:rsid w:val="00E8776E"/>
    <w:rsid w:val="00E9237A"/>
    <w:rsid w:val="00EA0B88"/>
    <w:rsid w:val="00EA6B29"/>
    <w:rsid w:val="00EB2285"/>
    <w:rsid w:val="00EB4DBE"/>
    <w:rsid w:val="00EC2EA4"/>
    <w:rsid w:val="00EC4294"/>
    <w:rsid w:val="00EC681E"/>
    <w:rsid w:val="00ED02D3"/>
    <w:rsid w:val="00ED477B"/>
    <w:rsid w:val="00ED5E31"/>
    <w:rsid w:val="00EE4381"/>
    <w:rsid w:val="00EE4815"/>
    <w:rsid w:val="00EE64C1"/>
    <w:rsid w:val="00EF6F27"/>
    <w:rsid w:val="00F05394"/>
    <w:rsid w:val="00F05AA0"/>
    <w:rsid w:val="00F061CB"/>
    <w:rsid w:val="00F11793"/>
    <w:rsid w:val="00F15E4A"/>
    <w:rsid w:val="00F24050"/>
    <w:rsid w:val="00F248AA"/>
    <w:rsid w:val="00F25396"/>
    <w:rsid w:val="00F31539"/>
    <w:rsid w:val="00F42809"/>
    <w:rsid w:val="00F444EC"/>
    <w:rsid w:val="00F45FE3"/>
    <w:rsid w:val="00F54D03"/>
    <w:rsid w:val="00F6347A"/>
    <w:rsid w:val="00F740A3"/>
    <w:rsid w:val="00F7503A"/>
    <w:rsid w:val="00F81FEF"/>
    <w:rsid w:val="00F978B9"/>
    <w:rsid w:val="00FA5D4C"/>
    <w:rsid w:val="00FA61AF"/>
    <w:rsid w:val="00FB2C17"/>
    <w:rsid w:val="00FC27D5"/>
    <w:rsid w:val="00FC528B"/>
    <w:rsid w:val="00FD3A06"/>
    <w:rsid w:val="00FD7D14"/>
    <w:rsid w:val="00FE2CBA"/>
    <w:rsid w:val="00FE3276"/>
    <w:rsid w:val="00FE7712"/>
    <w:rsid w:val="00FE79B8"/>
    <w:rsid w:val="00FF681B"/>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30C6FB"/>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4112F6"/>
  </w:style>
  <w:style w:type="paragraph" w:customStyle="1" w:styleId="msonormal0">
    <w:name w:val="msonormal"/>
    <w:basedOn w:val="Normal"/>
    <w:rsid w:val="004112F6"/>
    <w:pPr>
      <w:widowControl/>
      <w:autoSpaceDE/>
      <w:autoSpaceDN/>
      <w:adjustRightInd/>
      <w:spacing w:before="100" w:beforeAutospacing="1" w:after="100" w:afterAutospacing="1"/>
    </w:pPr>
    <w:rPr>
      <w:rFonts w:ascii="Times New Roman" w:hAnsi="Times New Roman"/>
      <w:sz w:val="24"/>
    </w:rPr>
  </w:style>
  <w:style w:type="paragraph" w:customStyle="1" w:styleId="font5">
    <w:name w:val="font5"/>
    <w:basedOn w:val="Normal"/>
    <w:rsid w:val="004112F6"/>
    <w:pPr>
      <w:widowControl/>
      <w:autoSpaceDE/>
      <w:autoSpaceDN/>
      <w:adjustRightInd/>
      <w:spacing w:before="100" w:beforeAutospacing="1" w:after="100" w:afterAutospacing="1"/>
    </w:pPr>
    <w:rPr>
      <w:rFonts w:cs="Arial"/>
      <w:b/>
      <w:bCs/>
      <w:color w:val="1F497D"/>
      <w:sz w:val="16"/>
      <w:szCs w:val="16"/>
    </w:rPr>
  </w:style>
  <w:style w:type="paragraph" w:customStyle="1" w:styleId="font6">
    <w:name w:val="font6"/>
    <w:basedOn w:val="Normal"/>
    <w:rsid w:val="004112F6"/>
    <w:pPr>
      <w:widowControl/>
      <w:autoSpaceDE/>
      <w:autoSpaceDN/>
      <w:adjustRightInd/>
      <w:spacing w:before="100" w:beforeAutospacing="1" w:after="100" w:afterAutospacing="1"/>
    </w:pPr>
    <w:rPr>
      <w:rFonts w:cs="Arial"/>
      <w:b/>
      <w:bCs/>
      <w:i/>
      <w:iCs/>
      <w:color w:val="1F497D"/>
      <w:sz w:val="16"/>
      <w:szCs w:val="16"/>
    </w:rPr>
  </w:style>
  <w:style w:type="paragraph" w:customStyle="1" w:styleId="font7">
    <w:name w:val="font7"/>
    <w:basedOn w:val="Normal"/>
    <w:rsid w:val="004112F6"/>
    <w:pPr>
      <w:widowControl/>
      <w:autoSpaceDE/>
      <w:autoSpaceDN/>
      <w:adjustRightInd/>
      <w:spacing w:before="100" w:beforeAutospacing="1" w:after="100" w:afterAutospacing="1"/>
    </w:pPr>
    <w:rPr>
      <w:rFonts w:cs="Arial"/>
      <w:color w:val="000000"/>
      <w:sz w:val="16"/>
      <w:szCs w:val="16"/>
    </w:rPr>
  </w:style>
  <w:style w:type="paragraph" w:customStyle="1" w:styleId="font8">
    <w:name w:val="font8"/>
    <w:basedOn w:val="Normal"/>
    <w:rsid w:val="004112F6"/>
    <w:pPr>
      <w:widowControl/>
      <w:autoSpaceDE/>
      <w:autoSpaceDN/>
      <w:adjustRightInd/>
      <w:spacing w:before="100" w:beforeAutospacing="1" w:after="100" w:afterAutospacing="1"/>
    </w:pPr>
    <w:rPr>
      <w:rFonts w:cs="Arial"/>
      <w:color w:val="000000"/>
      <w:sz w:val="16"/>
      <w:szCs w:val="16"/>
    </w:rPr>
  </w:style>
  <w:style w:type="paragraph" w:customStyle="1" w:styleId="xl71">
    <w:name w:val="xl71"/>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2">
    <w:name w:val="xl72"/>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3">
    <w:name w:val="xl73"/>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4">
    <w:name w:val="xl74"/>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5">
    <w:name w:val="xl75"/>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6">
    <w:name w:val="xl76"/>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7">
    <w:name w:val="xl77"/>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78">
    <w:name w:val="xl78"/>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9">
    <w:name w:val="xl79"/>
    <w:basedOn w:val="Normal"/>
    <w:rsid w:val="004112F6"/>
    <w:pPr>
      <w:widowControl/>
      <w:pBdr>
        <w:top w:val="single" w:sz="8"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0">
    <w:name w:val="xl80"/>
    <w:basedOn w:val="Normal"/>
    <w:rsid w:val="004112F6"/>
    <w:pPr>
      <w:widowControl/>
      <w:autoSpaceDE/>
      <w:autoSpaceDN/>
      <w:adjustRightInd/>
      <w:spacing w:before="100" w:beforeAutospacing="1" w:after="100" w:afterAutospacing="1"/>
      <w:jc w:val="center"/>
      <w:textAlignment w:val="top"/>
    </w:pPr>
    <w:rPr>
      <w:rFonts w:cs="Arial"/>
      <w:b/>
      <w:bCs/>
      <w:i/>
      <w:iCs/>
      <w:sz w:val="16"/>
      <w:szCs w:val="16"/>
    </w:rPr>
  </w:style>
  <w:style w:type="paragraph" w:customStyle="1" w:styleId="xl81">
    <w:name w:val="xl81"/>
    <w:basedOn w:val="Normal"/>
    <w:rsid w:val="004112F6"/>
    <w:pPr>
      <w:widowControl/>
      <w:pBdr>
        <w:top w:val="single" w:sz="8" w:space="0" w:color="auto"/>
        <w:left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2">
    <w:name w:val="xl82"/>
    <w:basedOn w:val="Normal"/>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3">
    <w:name w:val="xl83"/>
    <w:basedOn w:val="Normal"/>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4">
    <w:name w:val="xl84"/>
    <w:basedOn w:val="Normal"/>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5">
    <w:name w:val="xl85"/>
    <w:basedOn w:val="Normal"/>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6">
    <w:name w:val="xl86"/>
    <w:basedOn w:val="Normal"/>
    <w:rsid w:val="004112F6"/>
    <w:pPr>
      <w:widowControl/>
      <w:pBdr>
        <w:top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7">
    <w:name w:val="xl87"/>
    <w:basedOn w:val="Normal"/>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8">
    <w:name w:val="xl88"/>
    <w:basedOn w:val="Normal"/>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9">
    <w:name w:val="xl89"/>
    <w:basedOn w:val="Normal"/>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90">
    <w:name w:val="xl90"/>
    <w:basedOn w:val="Normal"/>
    <w:rsid w:val="004112F6"/>
    <w:pPr>
      <w:widowControl/>
      <w:pBdr>
        <w:top w:val="single" w:sz="8" w:space="0" w:color="auto"/>
        <w:left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1">
    <w:name w:val="xl91"/>
    <w:basedOn w:val="Normal"/>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2">
    <w:name w:val="xl92"/>
    <w:basedOn w:val="Normal"/>
    <w:rsid w:val="004112F6"/>
    <w:pPr>
      <w:widowControl/>
      <w:pBdr>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3">
    <w:name w:val="xl93"/>
    <w:basedOn w:val="Normal"/>
    <w:rsid w:val="004112F6"/>
    <w:pPr>
      <w:widowControl/>
      <w:pBdr>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4">
    <w:name w:val="xl94"/>
    <w:basedOn w:val="Normal"/>
    <w:rsid w:val="004112F6"/>
    <w:pPr>
      <w:widowControl/>
      <w:pBdr>
        <w:top w:val="single" w:sz="4" w:space="0" w:color="auto"/>
        <w:left w:val="single" w:sz="8"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5">
    <w:name w:val="xl95"/>
    <w:basedOn w:val="Normal"/>
    <w:rsid w:val="004112F6"/>
    <w:pPr>
      <w:widowControl/>
      <w:pBdr>
        <w:top w:val="single" w:sz="4" w:space="0" w:color="auto"/>
        <w:left w:val="dotted" w:sz="4"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6">
    <w:name w:val="xl96"/>
    <w:basedOn w:val="Normal"/>
    <w:rsid w:val="004112F6"/>
    <w:pPr>
      <w:widowControl/>
      <w:pBdr>
        <w:top w:val="single" w:sz="4" w:space="0" w:color="auto"/>
        <w:left w:val="dott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7">
    <w:name w:val="xl97"/>
    <w:basedOn w:val="Normal"/>
    <w:rsid w:val="004112F6"/>
    <w:pPr>
      <w:widowControl/>
      <w:pBdr>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8">
    <w:name w:val="xl98"/>
    <w:basedOn w:val="Normal"/>
    <w:rsid w:val="004112F6"/>
    <w:pPr>
      <w:widowControl/>
      <w:pBdr>
        <w:top w:val="single" w:sz="4" w:space="0" w:color="auto"/>
        <w:left w:val="single" w:sz="8" w:space="0" w:color="auto"/>
        <w:bottom w:val="single" w:sz="4" w:space="0" w:color="auto"/>
        <w:right w:val="dash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9">
    <w:name w:val="xl99"/>
    <w:basedOn w:val="Normal"/>
    <w:rsid w:val="004112F6"/>
    <w:pPr>
      <w:widowControl/>
      <w:pBdr>
        <w:top w:val="single" w:sz="4" w:space="0" w:color="auto"/>
        <w:left w:val="dash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0">
    <w:name w:val="xl100"/>
    <w:basedOn w:val="Normal"/>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1">
    <w:name w:val="xl101"/>
    <w:basedOn w:val="Normal"/>
    <w:rsid w:val="004112F6"/>
    <w:pPr>
      <w:widowControl/>
      <w:pBdr>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2">
    <w:name w:val="xl102"/>
    <w:basedOn w:val="Normal"/>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3">
    <w:name w:val="xl103"/>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4">
    <w:name w:val="xl104"/>
    <w:basedOn w:val="Normal"/>
    <w:rsid w:val="004112F6"/>
    <w:pPr>
      <w:widowControl/>
      <w:pBdr>
        <w:top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5">
    <w:name w:val="xl105"/>
    <w:basedOn w:val="Normal"/>
    <w:rsid w:val="004112F6"/>
    <w:pPr>
      <w:widowControl/>
      <w:pBdr>
        <w:top w:val="single" w:sz="8" w:space="0" w:color="auto"/>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6">
    <w:name w:val="xl106"/>
    <w:basedOn w:val="Normal"/>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7">
    <w:name w:val="xl107"/>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08">
    <w:name w:val="xl108"/>
    <w:basedOn w:val="Normal"/>
    <w:rsid w:val="004112F6"/>
    <w:pPr>
      <w:widowControl/>
      <w:pBdr>
        <w:top w:val="single" w:sz="8" w:space="0" w:color="auto"/>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09">
    <w:name w:val="xl109"/>
    <w:basedOn w:val="Normal"/>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0">
    <w:name w:val="xl110"/>
    <w:basedOn w:val="Normal"/>
    <w:rsid w:val="004112F6"/>
    <w:pPr>
      <w:widowControl/>
      <w:pBdr>
        <w:top w:val="single" w:sz="8" w:space="0" w:color="auto"/>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1">
    <w:name w:val="xl111"/>
    <w:basedOn w:val="Normal"/>
    <w:rsid w:val="004112F6"/>
    <w:pPr>
      <w:widowControl/>
      <w:pBdr>
        <w:top w:val="single" w:sz="8" w:space="0" w:color="auto"/>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2">
    <w:name w:val="xl112"/>
    <w:basedOn w:val="Normal"/>
    <w:rsid w:val="004112F6"/>
    <w:pPr>
      <w:widowControl/>
      <w:pBdr>
        <w:top w:val="single" w:sz="8" w:space="0" w:color="auto"/>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3">
    <w:name w:val="xl113"/>
    <w:basedOn w:val="Normal"/>
    <w:rsid w:val="004112F6"/>
    <w:pPr>
      <w:widowControl/>
      <w:pBdr>
        <w:top w:val="single" w:sz="8" w:space="0" w:color="auto"/>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4">
    <w:name w:val="xl114"/>
    <w:basedOn w:val="Normal"/>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5">
    <w:name w:val="xl115"/>
    <w:basedOn w:val="Normal"/>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6">
    <w:name w:val="xl116"/>
    <w:basedOn w:val="Normal"/>
    <w:rsid w:val="004112F6"/>
    <w:pPr>
      <w:widowControl/>
      <w:pBdr>
        <w:top w:val="single" w:sz="8" w:space="0" w:color="auto"/>
        <w:left w:val="single" w:sz="4" w:space="0" w:color="auto"/>
        <w:righ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7">
    <w:name w:val="xl117"/>
    <w:basedOn w:val="Normal"/>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8">
    <w:name w:val="xl118"/>
    <w:basedOn w:val="Normal"/>
    <w:rsid w:val="004112F6"/>
    <w:pPr>
      <w:widowControl/>
      <w:autoSpaceDE/>
      <w:autoSpaceDN/>
      <w:adjustRightInd/>
      <w:spacing w:before="100" w:beforeAutospacing="1" w:after="100" w:afterAutospacing="1"/>
      <w:jc w:val="right"/>
      <w:textAlignment w:val="top"/>
    </w:pPr>
    <w:rPr>
      <w:rFonts w:cs="Arial"/>
      <w:color w:val="000000"/>
      <w:sz w:val="16"/>
      <w:szCs w:val="16"/>
    </w:rPr>
  </w:style>
  <w:style w:type="paragraph" w:customStyle="1" w:styleId="xl119">
    <w:name w:val="xl119"/>
    <w:basedOn w:val="Normal"/>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20">
    <w:name w:val="xl120"/>
    <w:basedOn w:val="Normal"/>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1">
    <w:name w:val="xl121"/>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2">
    <w:name w:val="xl122"/>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3">
    <w:name w:val="xl123"/>
    <w:basedOn w:val="Normal"/>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4">
    <w:name w:val="xl124"/>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5">
    <w:name w:val="xl125"/>
    <w:basedOn w:val="Normal"/>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6">
    <w:name w:val="xl126"/>
    <w:basedOn w:val="Normal"/>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7">
    <w:name w:val="xl127"/>
    <w:basedOn w:val="Normal"/>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8">
    <w:name w:val="xl128"/>
    <w:basedOn w:val="Normal"/>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9">
    <w:name w:val="xl129"/>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30">
    <w:name w:val="xl130"/>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1">
    <w:name w:val="xl131"/>
    <w:basedOn w:val="Normal"/>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2">
    <w:name w:val="xl132"/>
    <w:basedOn w:val="Normal"/>
    <w:rsid w:val="004112F6"/>
    <w:pPr>
      <w:widowControl/>
      <w:pBdr>
        <w:left w:val="single" w:sz="8" w:space="0" w:color="auto"/>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3">
    <w:name w:val="xl133"/>
    <w:basedOn w:val="Normal"/>
    <w:rsid w:val="004112F6"/>
    <w:pPr>
      <w:widowControl/>
      <w:pBdr>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4">
    <w:name w:val="xl134"/>
    <w:basedOn w:val="Normal"/>
    <w:rsid w:val="004112F6"/>
    <w:pPr>
      <w:widowControl/>
      <w:pBdr>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5">
    <w:name w:val="xl135"/>
    <w:basedOn w:val="Normal"/>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6">
    <w:name w:val="xl136"/>
    <w:basedOn w:val="Normal"/>
    <w:rsid w:val="004112F6"/>
    <w:pPr>
      <w:widowControl/>
      <w:pBdr>
        <w:left w:val="single" w:sz="8" w:space="0" w:color="auto"/>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7">
    <w:name w:val="xl137"/>
    <w:basedOn w:val="Normal"/>
    <w:rsid w:val="004112F6"/>
    <w:pPr>
      <w:widowControl/>
      <w:pBdr>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8">
    <w:name w:val="xl138"/>
    <w:basedOn w:val="Normal"/>
    <w:rsid w:val="004112F6"/>
    <w:pPr>
      <w:widowControl/>
      <w:pBdr>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9">
    <w:name w:val="xl139"/>
    <w:basedOn w:val="Normal"/>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40">
    <w:name w:val="xl140"/>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1">
    <w:name w:val="xl141"/>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2">
    <w:name w:val="xl142"/>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3">
    <w:name w:val="xl143"/>
    <w:basedOn w:val="Normal"/>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4">
    <w:name w:val="xl144"/>
    <w:basedOn w:val="Normal"/>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5">
    <w:name w:val="xl145"/>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6">
    <w:name w:val="xl146"/>
    <w:basedOn w:val="Normal"/>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7">
    <w:name w:val="xl147"/>
    <w:basedOn w:val="Normal"/>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8">
    <w:name w:val="xl148"/>
    <w:basedOn w:val="Normal"/>
    <w:rsid w:val="004112F6"/>
    <w:pPr>
      <w:widowControl/>
      <w:pBdr>
        <w:top w:val="single" w:sz="8" w:space="0" w:color="auto"/>
        <w:left w:val="dott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9">
    <w:name w:val="xl149"/>
    <w:basedOn w:val="Normal"/>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0">
    <w:name w:val="xl150"/>
    <w:basedOn w:val="Normal"/>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1">
    <w:name w:val="xl151"/>
    <w:basedOn w:val="Normal"/>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2">
    <w:name w:val="xl152"/>
    <w:basedOn w:val="Normal"/>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53">
    <w:name w:val="xl153"/>
    <w:basedOn w:val="Normal"/>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4">
    <w:name w:val="xl154"/>
    <w:basedOn w:val="Normal"/>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5">
    <w:name w:val="xl155"/>
    <w:basedOn w:val="Normal"/>
    <w:rsid w:val="004112F6"/>
    <w:pPr>
      <w:widowControl/>
      <w:pBdr>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56">
    <w:name w:val="xl156"/>
    <w:basedOn w:val="Normal"/>
    <w:rsid w:val="004112F6"/>
    <w:pPr>
      <w:widowControl/>
      <w:autoSpaceDE/>
      <w:autoSpaceDN/>
      <w:adjustRightInd/>
      <w:spacing w:before="100" w:beforeAutospacing="1" w:after="100" w:afterAutospacing="1"/>
      <w:textAlignment w:val="top"/>
    </w:pPr>
    <w:rPr>
      <w:rFonts w:cs="Arial"/>
      <w:b/>
      <w:bCs/>
      <w:color w:val="000000"/>
      <w:sz w:val="16"/>
      <w:szCs w:val="16"/>
    </w:rPr>
  </w:style>
  <w:style w:type="paragraph" w:customStyle="1" w:styleId="xl157">
    <w:name w:val="xl157"/>
    <w:basedOn w:val="Normal"/>
    <w:rsid w:val="004112F6"/>
    <w:pPr>
      <w:widowControl/>
      <w:pBdr>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8">
    <w:name w:val="xl158"/>
    <w:basedOn w:val="Normal"/>
    <w:rsid w:val="004112F6"/>
    <w:pPr>
      <w:widowControl/>
      <w:pBdr>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9">
    <w:name w:val="xl159"/>
    <w:basedOn w:val="Normal"/>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60">
    <w:name w:val="xl160"/>
    <w:basedOn w:val="Normal"/>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1">
    <w:name w:val="xl161"/>
    <w:basedOn w:val="Normal"/>
    <w:rsid w:val="004112F6"/>
    <w:pPr>
      <w:widowControl/>
      <w:pBdr>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2">
    <w:name w:val="xl162"/>
    <w:basedOn w:val="Normal"/>
    <w:rsid w:val="004112F6"/>
    <w:pPr>
      <w:widowControl/>
      <w:pBdr>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3">
    <w:name w:val="xl163"/>
    <w:basedOn w:val="Normal"/>
    <w:rsid w:val="004112F6"/>
    <w:pPr>
      <w:widowControl/>
      <w:pBdr>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4">
    <w:name w:val="xl164"/>
    <w:basedOn w:val="Normal"/>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5">
    <w:name w:val="xl165"/>
    <w:basedOn w:val="Normal"/>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6">
    <w:name w:val="xl166"/>
    <w:basedOn w:val="Normal"/>
    <w:rsid w:val="004112F6"/>
    <w:pPr>
      <w:widowControl/>
      <w:pBdr>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7">
    <w:name w:val="xl167"/>
    <w:basedOn w:val="Normal"/>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8">
    <w:name w:val="xl168"/>
    <w:basedOn w:val="Normal"/>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9">
    <w:name w:val="xl169"/>
    <w:basedOn w:val="Normal"/>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70">
    <w:name w:val="xl170"/>
    <w:basedOn w:val="Normal"/>
    <w:rsid w:val="004112F6"/>
    <w:pPr>
      <w:widowControl/>
      <w:pBdr>
        <w:left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71">
    <w:name w:val="xl171"/>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172">
    <w:name w:val="xl172"/>
    <w:basedOn w:val="Normal"/>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73">
    <w:name w:val="xl173"/>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4">
    <w:name w:val="xl174"/>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5">
    <w:name w:val="xl175"/>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6">
    <w:name w:val="xl176"/>
    <w:basedOn w:val="Normal"/>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7">
    <w:name w:val="xl177"/>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8">
    <w:name w:val="xl178"/>
    <w:basedOn w:val="Normal"/>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9">
    <w:name w:val="xl179"/>
    <w:basedOn w:val="Normal"/>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0">
    <w:name w:val="xl180"/>
    <w:basedOn w:val="Normal"/>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1">
    <w:name w:val="xl181"/>
    <w:basedOn w:val="Normal"/>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2">
    <w:name w:val="xl182"/>
    <w:basedOn w:val="Normal"/>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3">
    <w:name w:val="xl183"/>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184">
    <w:name w:val="xl184"/>
    <w:basedOn w:val="Normal"/>
    <w:rsid w:val="004112F6"/>
    <w:pPr>
      <w:widowControl/>
      <w:pBdr>
        <w:left w:val="single" w:sz="8" w:space="0" w:color="auto"/>
      </w:pBdr>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5">
    <w:name w:val="xl185"/>
    <w:basedOn w:val="Normal"/>
    <w:rsid w:val="004112F6"/>
    <w:pPr>
      <w:widowControl/>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6">
    <w:name w:val="xl186"/>
    <w:basedOn w:val="Normal"/>
    <w:rsid w:val="004112F6"/>
    <w:pPr>
      <w:widowControl/>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7">
    <w:name w:val="xl187"/>
    <w:basedOn w:val="Normal"/>
    <w:rsid w:val="004112F6"/>
    <w:pPr>
      <w:widowControl/>
      <w:pBdr>
        <w:left w:val="single" w:sz="8"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8">
    <w:name w:val="xl188"/>
    <w:basedOn w:val="Normal"/>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89">
    <w:name w:val="xl189"/>
    <w:basedOn w:val="Normal"/>
    <w:rsid w:val="004112F6"/>
    <w:pPr>
      <w:widowControl/>
      <w:pBdr>
        <w:lef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0">
    <w:name w:val="xl190"/>
    <w:basedOn w:val="Normal"/>
    <w:rsid w:val="004112F6"/>
    <w:pPr>
      <w:widowControl/>
      <w:pBdr>
        <w:left w:val="dotted" w:sz="4" w:space="0" w:color="auto"/>
        <w:right w:val="dott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1">
    <w:name w:val="xl191"/>
    <w:basedOn w:val="Normal"/>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2">
    <w:name w:val="xl192"/>
    <w:basedOn w:val="Normal"/>
    <w:rsid w:val="004112F6"/>
    <w:pPr>
      <w:widowControl/>
      <w:pBdr>
        <w:left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3">
    <w:name w:val="xl193"/>
    <w:basedOn w:val="Normal"/>
    <w:rsid w:val="004112F6"/>
    <w:pPr>
      <w:widowControl/>
      <w:pBdr>
        <w:left w:val="single" w:sz="8"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4">
    <w:name w:val="xl194"/>
    <w:basedOn w:val="Normal"/>
    <w:rsid w:val="004112F6"/>
    <w:pPr>
      <w:widowControl/>
      <w:pBdr>
        <w:left w:val="dashed" w:sz="4"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5">
    <w:name w:val="xl195"/>
    <w:basedOn w:val="Normal"/>
    <w:rsid w:val="004112F6"/>
    <w:pPr>
      <w:widowControl/>
      <w:pBdr>
        <w:left w:val="dash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6">
    <w:name w:val="xl196"/>
    <w:basedOn w:val="Normal"/>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7">
    <w:name w:val="xl197"/>
    <w:basedOn w:val="Normal"/>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8">
    <w:name w:val="xl198"/>
    <w:basedOn w:val="Normal"/>
    <w:rsid w:val="004112F6"/>
    <w:pPr>
      <w:widowControl/>
      <w:pBdr>
        <w:left w:val="single" w:sz="4" w:space="0" w:color="auto"/>
        <w:righ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9">
    <w:name w:val="xl199"/>
    <w:basedOn w:val="Normal"/>
    <w:rsid w:val="004112F6"/>
    <w:pPr>
      <w:widowControl/>
      <w:shd w:val="clear" w:color="000000" w:fill="FFFFFF"/>
      <w:autoSpaceDE/>
      <w:autoSpaceDN/>
      <w:adjustRightInd/>
      <w:spacing w:before="100" w:beforeAutospacing="1" w:after="100" w:afterAutospacing="1"/>
      <w:textAlignment w:val="top"/>
    </w:pPr>
    <w:rPr>
      <w:rFonts w:cs="Arial"/>
      <w:sz w:val="16"/>
      <w:szCs w:val="16"/>
    </w:rPr>
  </w:style>
  <w:style w:type="paragraph" w:customStyle="1" w:styleId="xl200">
    <w:name w:val="xl200"/>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1">
    <w:name w:val="xl201"/>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2">
    <w:name w:val="xl202"/>
    <w:basedOn w:val="Normal"/>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3">
    <w:name w:val="xl203"/>
    <w:basedOn w:val="Normal"/>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4">
    <w:name w:val="xl204"/>
    <w:basedOn w:val="Normal"/>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5">
    <w:name w:val="xl205"/>
    <w:basedOn w:val="Normal"/>
    <w:rsid w:val="004112F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6">
    <w:name w:val="xl206"/>
    <w:basedOn w:val="Normal"/>
    <w:rsid w:val="004112F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7">
    <w:name w:val="xl207"/>
    <w:basedOn w:val="Normal"/>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8">
    <w:name w:val="xl208"/>
    <w:basedOn w:val="Normal"/>
    <w:rsid w:val="004112F6"/>
    <w:pPr>
      <w:widowControl/>
      <w:pBdr>
        <w:top w:val="single" w:sz="8" w:space="0" w:color="auto"/>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9">
    <w:name w:val="xl209"/>
    <w:basedOn w:val="Normal"/>
    <w:rsid w:val="004112F6"/>
    <w:pPr>
      <w:widowControl/>
      <w:pBdr>
        <w:top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0">
    <w:name w:val="xl210"/>
    <w:basedOn w:val="Normal"/>
    <w:rsid w:val="004112F6"/>
    <w:pPr>
      <w:widowControl/>
      <w:pBdr>
        <w:top w:val="single" w:sz="8" w:space="0" w:color="auto"/>
        <w:left w:val="dott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1">
    <w:name w:val="xl211"/>
    <w:basedOn w:val="Normal"/>
    <w:rsid w:val="004112F6"/>
    <w:pPr>
      <w:widowControl/>
      <w:pBdr>
        <w:top w:val="single" w:sz="8" w:space="0" w:color="auto"/>
        <w:left w:val="single" w:sz="8"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2">
    <w:name w:val="xl212"/>
    <w:basedOn w:val="Normal"/>
    <w:rsid w:val="004112F6"/>
    <w:pPr>
      <w:widowControl/>
      <w:pBdr>
        <w:top w:val="single" w:sz="8" w:space="0" w:color="auto"/>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3">
    <w:name w:val="xl213"/>
    <w:basedOn w:val="Normal"/>
    <w:rsid w:val="004112F6"/>
    <w:pPr>
      <w:widowControl/>
      <w:pBdr>
        <w:top w:val="single" w:sz="8" w:space="0" w:color="auto"/>
        <w:left w:val="dash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4">
    <w:name w:val="xl214"/>
    <w:basedOn w:val="Normal"/>
    <w:rsid w:val="004112F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5">
    <w:name w:val="xl215"/>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6">
    <w:name w:val="xl216"/>
    <w:basedOn w:val="Normal"/>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7">
    <w:name w:val="xl217"/>
    <w:basedOn w:val="Normal"/>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8">
    <w:name w:val="xl218"/>
    <w:basedOn w:val="Normal"/>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9">
    <w:name w:val="xl219"/>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0">
    <w:name w:val="xl220"/>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1">
    <w:name w:val="xl221"/>
    <w:basedOn w:val="Normal"/>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2">
    <w:name w:val="xl222"/>
    <w:basedOn w:val="Normal"/>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3">
    <w:name w:val="xl223"/>
    <w:basedOn w:val="Normal"/>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4">
    <w:name w:val="xl224"/>
    <w:basedOn w:val="Normal"/>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5">
    <w:name w:val="xl225"/>
    <w:basedOn w:val="Normal"/>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6">
    <w:name w:val="xl226"/>
    <w:basedOn w:val="Normal"/>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7">
    <w:name w:val="xl227"/>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8">
    <w:name w:val="xl228"/>
    <w:basedOn w:val="Normal"/>
    <w:rsid w:val="004112F6"/>
    <w:pPr>
      <w:widowControl/>
      <w:pBdr>
        <w:top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9">
    <w:name w:val="xl229"/>
    <w:basedOn w:val="Normal"/>
    <w:rsid w:val="004112F6"/>
    <w:pPr>
      <w:widowControl/>
      <w:pBdr>
        <w:top w:val="single" w:sz="8" w:space="0" w:color="auto"/>
        <w:righ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30">
    <w:name w:val="xl230"/>
    <w:basedOn w:val="Normal"/>
    <w:rsid w:val="004112F6"/>
    <w:pPr>
      <w:widowControl/>
      <w:pBdr>
        <w:lef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1">
    <w:name w:val="xl231"/>
    <w:basedOn w:val="Normal"/>
    <w:rsid w:val="004112F6"/>
    <w:pPr>
      <w:widowControl/>
      <w:pBdr>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2">
    <w:name w:val="xl232"/>
    <w:basedOn w:val="Normal"/>
    <w:rsid w:val="004112F6"/>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3">
    <w:name w:val="xl233"/>
    <w:basedOn w:val="Normal"/>
    <w:rsid w:val="004112F6"/>
    <w:pPr>
      <w:widowControl/>
      <w:pBdr>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4">
    <w:name w:val="xl234"/>
    <w:basedOn w:val="Normal"/>
    <w:rsid w:val="004112F6"/>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table" w:styleId="PlainTable3">
    <w:name w:val="Plain Table 3"/>
    <w:basedOn w:val="TableNormal"/>
    <w:uiPriority w:val="43"/>
    <w:rsid w:val="00EF6F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EF6F2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EF6F2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
    <w:name w:val="List Table 2"/>
    <w:basedOn w:val="TableNormal"/>
    <w:uiPriority w:val="47"/>
    <w:rsid w:val="00EF6F2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4">
    <w:name w:val="List Table 1 Light Accent 4"/>
    <w:basedOn w:val="TableNormal"/>
    <w:uiPriority w:val="46"/>
    <w:rsid w:val="00EF6F2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1">
    <w:name w:val="List Table 7 Colorful Accent 1"/>
    <w:basedOn w:val="TableNormal"/>
    <w:uiPriority w:val="52"/>
    <w:rsid w:val="00EF6F2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EF6F2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4">
    <w:name w:val="Grid Table 7 Colorful Accent 4"/>
    <w:basedOn w:val="TableNormal"/>
    <w:uiPriority w:val="52"/>
    <w:rsid w:val="00EF6F2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3">
    <w:name w:val="Grid Table 5 Dark Accent 3"/>
    <w:basedOn w:val="TableNormal"/>
    <w:uiPriority w:val="50"/>
    <w:rsid w:val="00EF6F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EF6F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7Colorful-Accent3">
    <w:name w:val="Grid Table 7 Colorful Accent 3"/>
    <w:basedOn w:val="TableNormal"/>
    <w:uiPriority w:val="52"/>
    <w:rsid w:val="00EF6F2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2-Accent3">
    <w:name w:val="List Table 2 Accent 3"/>
    <w:basedOn w:val="TableNormal"/>
    <w:uiPriority w:val="47"/>
    <w:rsid w:val="00EF6F2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2">
    <w:name w:val="List Table 2 Accent 2"/>
    <w:basedOn w:val="TableNormal"/>
    <w:uiPriority w:val="47"/>
    <w:rsid w:val="009B0DD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B0DD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qFormat/>
    <w:locked/>
    <w:rsid w:val="00DA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1456">
      <w:bodyDiv w:val="1"/>
      <w:marLeft w:val="0"/>
      <w:marRight w:val="0"/>
      <w:marTop w:val="0"/>
      <w:marBottom w:val="0"/>
      <w:divBdr>
        <w:top w:val="none" w:sz="0" w:space="0" w:color="auto"/>
        <w:left w:val="none" w:sz="0" w:space="0" w:color="auto"/>
        <w:bottom w:val="none" w:sz="0" w:space="0" w:color="auto"/>
        <w:right w:val="none" w:sz="0" w:space="0" w:color="auto"/>
      </w:divBdr>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580063809">
      <w:bodyDiv w:val="1"/>
      <w:marLeft w:val="0"/>
      <w:marRight w:val="0"/>
      <w:marTop w:val="0"/>
      <w:marBottom w:val="0"/>
      <w:divBdr>
        <w:top w:val="none" w:sz="0" w:space="0" w:color="auto"/>
        <w:left w:val="none" w:sz="0" w:space="0" w:color="auto"/>
        <w:bottom w:val="none" w:sz="0" w:space="0" w:color="auto"/>
        <w:right w:val="none" w:sz="0" w:space="0" w:color="auto"/>
      </w:divBdr>
    </w:div>
    <w:div w:id="73636260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2744626">
      <w:bodyDiv w:val="1"/>
      <w:marLeft w:val="0"/>
      <w:marRight w:val="0"/>
      <w:marTop w:val="0"/>
      <w:marBottom w:val="0"/>
      <w:divBdr>
        <w:top w:val="none" w:sz="0" w:space="0" w:color="auto"/>
        <w:left w:val="none" w:sz="0" w:space="0" w:color="auto"/>
        <w:bottom w:val="none" w:sz="0" w:space="0" w:color="auto"/>
        <w:right w:val="none" w:sz="0" w:space="0" w:color="auto"/>
      </w:divBdr>
    </w:div>
    <w:div w:id="1196237835">
      <w:bodyDiv w:val="1"/>
      <w:marLeft w:val="0"/>
      <w:marRight w:val="0"/>
      <w:marTop w:val="0"/>
      <w:marBottom w:val="0"/>
      <w:divBdr>
        <w:top w:val="none" w:sz="0" w:space="0" w:color="auto"/>
        <w:left w:val="none" w:sz="0" w:space="0" w:color="auto"/>
        <w:bottom w:val="none" w:sz="0" w:space="0" w:color="auto"/>
        <w:right w:val="none" w:sz="0" w:space="0" w:color="auto"/>
      </w:divBdr>
    </w:div>
    <w:div w:id="1629161563">
      <w:bodyDiv w:val="1"/>
      <w:marLeft w:val="0"/>
      <w:marRight w:val="0"/>
      <w:marTop w:val="0"/>
      <w:marBottom w:val="0"/>
      <w:divBdr>
        <w:top w:val="none" w:sz="0" w:space="0" w:color="auto"/>
        <w:left w:val="none" w:sz="0" w:space="0" w:color="auto"/>
        <w:bottom w:val="none" w:sz="0" w:space="0" w:color="auto"/>
        <w:right w:val="none" w:sz="0" w:space="0" w:color="auto"/>
      </w:divBdr>
    </w:div>
    <w:div w:id="1684698015">
      <w:bodyDiv w:val="1"/>
      <w:marLeft w:val="0"/>
      <w:marRight w:val="0"/>
      <w:marTop w:val="0"/>
      <w:marBottom w:val="0"/>
      <w:divBdr>
        <w:top w:val="none" w:sz="0" w:space="0" w:color="auto"/>
        <w:left w:val="none" w:sz="0" w:space="0" w:color="auto"/>
        <w:bottom w:val="none" w:sz="0" w:space="0" w:color="auto"/>
        <w:right w:val="none" w:sz="0" w:space="0" w:color="auto"/>
      </w:divBdr>
    </w:div>
    <w:div w:id="1928272631">
      <w:bodyDiv w:val="1"/>
      <w:marLeft w:val="0"/>
      <w:marRight w:val="0"/>
      <w:marTop w:val="0"/>
      <w:marBottom w:val="0"/>
      <w:divBdr>
        <w:top w:val="none" w:sz="0" w:space="0" w:color="auto"/>
        <w:left w:val="none" w:sz="0" w:space="0" w:color="auto"/>
        <w:bottom w:val="none" w:sz="0" w:space="0" w:color="auto"/>
        <w:right w:val="none" w:sz="0" w:space="0" w:color="auto"/>
      </w:divBdr>
    </w:div>
    <w:div w:id="1928423049">
      <w:bodyDiv w:val="1"/>
      <w:marLeft w:val="0"/>
      <w:marRight w:val="0"/>
      <w:marTop w:val="0"/>
      <w:marBottom w:val="0"/>
      <w:divBdr>
        <w:top w:val="none" w:sz="0" w:space="0" w:color="auto"/>
        <w:left w:val="none" w:sz="0" w:space="0" w:color="auto"/>
        <w:bottom w:val="none" w:sz="0" w:space="0" w:color="auto"/>
        <w:right w:val="none" w:sz="0" w:space="0" w:color="auto"/>
      </w:divBdr>
    </w:div>
    <w:div w:id="2028749470">
      <w:bodyDiv w:val="1"/>
      <w:marLeft w:val="0"/>
      <w:marRight w:val="0"/>
      <w:marTop w:val="0"/>
      <w:marBottom w:val="0"/>
      <w:divBdr>
        <w:top w:val="none" w:sz="0" w:space="0" w:color="auto"/>
        <w:left w:val="none" w:sz="0" w:space="0" w:color="auto"/>
        <w:bottom w:val="none" w:sz="0" w:space="0" w:color="auto"/>
        <w:right w:val="none" w:sz="0" w:space="0" w:color="auto"/>
      </w:divBdr>
    </w:div>
    <w:div w:id="2032410330">
      <w:bodyDiv w:val="1"/>
      <w:marLeft w:val="0"/>
      <w:marRight w:val="0"/>
      <w:marTop w:val="0"/>
      <w:marBottom w:val="0"/>
      <w:divBdr>
        <w:top w:val="none" w:sz="0" w:space="0" w:color="auto"/>
        <w:left w:val="none" w:sz="0" w:space="0" w:color="auto"/>
        <w:bottom w:val="none" w:sz="0" w:space="0" w:color="auto"/>
        <w:right w:val="none" w:sz="0" w:space="0" w:color="auto"/>
      </w:divBdr>
    </w:div>
    <w:div w:id="2045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D579-8471-48B5-912B-0F20F6D2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12</Pages>
  <Words>4887</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2017-08-23T13:59:00Z</cp:lastPrinted>
  <dcterms:created xsi:type="dcterms:W3CDTF">2017-08-23T15:09:00Z</dcterms:created>
  <dcterms:modified xsi:type="dcterms:W3CDTF">2017-08-24T08:30:00Z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