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B2285" w:rsidP="00BC602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  <w:tr w:rsidR="00260772" w:rsidRPr="00894A29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BC6025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60772" w:rsidRPr="00260772" w:rsidRDefault="00260772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CRP</w:t>
            </w:r>
            <w:r w:rsidR="00FE2F76">
              <w:rPr>
                <w:rFonts w:ascii="Arial" w:hAnsi="Arial" w:cs="Arial"/>
                <w:sz w:val="22"/>
                <w:szCs w:val="22"/>
                <w:lang w:val="fr-FR"/>
              </w:rPr>
              <w:t>19</w:t>
            </w:r>
          </w:p>
          <w:p w:rsidR="00260772" w:rsidRPr="005B42D9" w:rsidRDefault="00FE2F76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octobre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5B42D9" w:rsidRDefault="00260772" w:rsidP="00BC602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BC6025" w:rsidRPr="00BC6025" w:rsidRDefault="00BC6025" w:rsidP="00F06B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FE2F76" w:rsidRPr="00FE2F76" w:rsidRDefault="00FE2F76" w:rsidP="00FE2F76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FE2F76">
        <w:rPr>
          <w:rFonts w:ascii="Arial" w:hAnsi="Arial" w:cs="Arial"/>
          <w:b/>
          <w:bCs/>
          <w:sz w:val="22"/>
          <w:szCs w:val="22"/>
          <w:lang w:val="fr-FR"/>
        </w:rPr>
        <w:t>AIRES DE CONSERVATION TRANSFRONTIÈRES POUR LES ESPÈCES MIGRATRICES</w:t>
      </w:r>
    </w:p>
    <w:p w:rsidR="00FE2F76" w:rsidRDefault="00FE2F76" w:rsidP="00FE2F76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 xml:space="preserve"> </w:t>
      </w:r>
    </w:p>
    <w:p w:rsidR="00BC6025" w:rsidRPr="00BC6025" w:rsidRDefault="00BC6025" w:rsidP="00FE2F76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(UNEP/CMS/COP12/</w:t>
      </w:r>
      <w:r w:rsidRPr="00894A29">
        <w:rPr>
          <w:rFonts w:ascii="Arial" w:hAnsi="Arial" w:cs="Arial"/>
          <w:bCs/>
          <w:sz w:val="22"/>
          <w:szCs w:val="22"/>
          <w:lang w:val="fr-FR"/>
        </w:rPr>
        <w:t>Doc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.</w:t>
      </w:r>
      <w:r w:rsidR="00FE2F76">
        <w:rPr>
          <w:rFonts w:ascii="Arial" w:hAnsi="Arial" w:cs="Arial"/>
          <w:bCs/>
          <w:caps/>
          <w:sz w:val="22"/>
          <w:szCs w:val="22"/>
          <w:lang w:val="fr-FR"/>
        </w:rPr>
        <w:t>24.4.12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 xml:space="preserve">) </w:t>
      </w:r>
    </w:p>
    <w:p w:rsidR="00BC6025" w:rsidRPr="00BC6025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E3521F" w:rsidRPr="005531D9" w:rsidRDefault="00111337" w:rsidP="005531D9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111337">
        <w:rPr>
          <w:rFonts w:ascii="Arial" w:hAnsi="Arial" w:cs="Arial"/>
          <w:bCs/>
          <w:i/>
          <w:iCs/>
          <w:sz w:val="22"/>
          <w:szCs w:val="22"/>
          <w:lang w:val="en-GB"/>
        </w:rPr>
        <w:t>(</w:t>
      </w:r>
      <w:proofErr w:type="spellStart"/>
      <w:r w:rsidRPr="00111337">
        <w:rPr>
          <w:rFonts w:ascii="Arial" w:hAnsi="Arial" w:cs="Arial"/>
          <w:bCs/>
          <w:i/>
          <w:iCs/>
          <w:sz w:val="22"/>
          <w:szCs w:val="22"/>
          <w:lang w:val="en-GB"/>
        </w:rPr>
        <w:t>Préparé</w:t>
      </w:r>
      <w:proofErr w:type="spellEnd"/>
      <w:r w:rsidRPr="00111337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par le Groupe de travail </w:t>
      </w:r>
      <w:proofErr w:type="spellStart"/>
      <w:r w:rsidRPr="00111337">
        <w:rPr>
          <w:rFonts w:ascii="Arial" w:hAnsi="Arial" w:cs="Arial"/>
          <w:bCs/>
          <w:i/>
          <w:iCs/>
          <w:sz w:val="22"/>
          <w:szCs w:val="22"/>
          <w:lang w:val="en-GB"/>
        </w:rPr>
        <w:t>terrestre</w:t>
      </w:r>
      <w:proofErr w:type="spellEnd"/>
      <w:r w:rsidR="00FE2F76" w:rsidRPr="00111337">
        <w:rPr>
          <w:rFonts w:ascii="Arial" w:hAnsi="Arial" w:cs="Arial"/>
          <w:bCs/>
          <w:i/>
          <w:iCs/>
          <w:sz w:val="22"/>
          <w:szCs w:val="22"/>
          <w:lang w:val="en-GB"/>
        </w:rPr>
        <w:t>)</w:t>
      </w:r>
      <w:bookmarkStart w:id="0" w:name="_GoBack"/>
      <w:bookmarkEnd w:id="0"/>
    </w:p>
    <w:p w:rsidR="00BF1084" w:rsidRDefault="00BF1084" w:rsidP="00BC602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BF1084" w:rsidRPr="001F1DA4" w:rsidRDefault="00BF1084" w:rsidP="00BF1084">
      <w:pPr>
        <w:tabs>
          <w:tab w:val="left" w:pos="426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BF1084">
        <w:rPr>
          <w:rFonts w:ascii="Arial" w:hAnsi="Arial" w:cs="Arial"/>
          <w:sz w:val="22"/>
          <w:szCs w:val="22"/>
          <w:lang w:val="fr-FR"/>
        </w:rPr>
        <w:t>PROJET DE D</w:t>
      </w:r>
      <w:r w:rsidRPr="001F1DA4">
        <w:rPr>
          <w:rFonts w:ascii="Arial" w:hAnsi="Arial" w:cs="Arial"/>
          <w:sz w:val="22"/>
          <w:szCs w:val="22"/>
          <w:lang w:val="fr-FR"/>
        </w:rPr>
        <w:t>ÉCISIONS</w:t>
      </w:r>
    </w:p>
    <w:p w:rsidR="00BF1084" w:rsidRPr="00BF1084" w:rsidRDefault="00BF1084" w:rsidP="00BF1084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FE2F76" w:rsidRPr="00FE2F76" w:rsidRDefault="00FE2F76" w:rsidP="00FE2F76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E2F76">
        <w:rPr>
          <w:rFonts w:ascii="Arial" w:hAnsi="Arial" w:cs="Arial"/>
          <w:b/>
          <w:i/>
          <w:sz w:val="22"/>
          <w:szCs w:val="22"/>
          <w:lang w:val="fr-FR"/>
        </w:rPr>
        <w:t xml:space="preserve">À l’attention des Parties </w:t>
      </w:r>
    </w:p>
    <w:p w:rsidR="00FE2F76" w:rsidRPr="00FE2F76" w:rsidRDefault="00FE2F76" w:rsidP="00FE2F7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2F76" w:rsidRPr="00FE2F76" w:rsidRDefault="00FE2F76" w:rsidP="00FE2F76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FE2F76">
        <w:rPr>
          <w:rFonts w:ascii="Arial" w:hAnsi="Arial" w:cs="Arial"/>
          <w:sz w:val="22"/>
          <w:szCs w:val="22"/>
          <w:lang w:val="fr-FR"/>
        </w:rPr>
        <w:t>12.AA</w:t>
      </w:r>
      <w:r w:rsidRPr="00FE2F76">
        <w:rPr>
          <w:rFonts w:ascii="Arial" w:hAnsi="Arial" w:cs="Arial"/>
          <w:sz w:val="22"/>
          <w:szCs w:val="22"/>
          <w:lang w:val="fr-FR"/>
        </w:rPr>
        <w:tab/>
      </w:r>
      <w:r w:rsidRPr="00FE2F76">
        <w:rPr>
          <w:rFonts w:ascii="Arial" w:hAnsi="Arial" w:cs="Arial"/>
          <w:iCs/>
          <w:sz w:val="22"/>
          <w:szCs w:val="22"/>
          <w:lang w:val="fr-FR"/>
        </w:rPr>
        <w:t xml:space="preserve"> Les Parties sont </w:t>
      </w:r>
      <w:r w:rsidR="00111337">
        <w:rPr>
          <w:rFonts w:ascii="Arial" w:hAnsi="Arial" w:cs="Arial"/>
          <w:iCs/>
          <w:sz w:val="22"/>
          <w:szCs w:val="22"/>
          <w:lang w:val="fr-FR"/>
        </w:rPr>
        <w:t>invitées à</w:t>
      </w:r>
      <w:r w:rsidRPr="00FE2F76">
        <w:rPr>
          <w:rFonts w:ascii="Arial" w:hAnsi="Arial" w:cs="Arial"/>
          <w:iCs/>
          <w:sz w:val="22"/>
          <w:szCs w:val="22"/>
          <w:lang w:val="fr-FR"/>
        </w:rPr>
        <w:t> :</w:t>
      </w:r>
    </w:p>
    <w:p w:rsidR="00FE2F76" w:rsidRPr="00FE2F76" w:rsidRDefault="00FE2F76" w:rsidP="00FE2F76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FE2F76" w:rsidRPr="00FE2F76" w:rsidRDefault="00111337" w:rsidP="00111337">
      <w:pPr>
        <w:numPr>
          <w:ilvl w:val="0"/>
          <w:numId w:val="47"/>
        </w:numP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i</w:t>
      </w:r>
      <w:r w:rsidR="00FE2F76" w:rsidRPr="00FE2F76">
        <w:rPr>
          <w:rFonts w:ascii="Arial" w:hAnsi="Arial" w:cs="Arial"/>
          <w:iCs/>
          <w:sz w:val="22"/>
          <w:szCs w:val="22"/>
          <w:lang w:val="fr-FR"/>
        </w:rPr>
        <w:t>dentifier les habitats transfrontaliers des espèces inscrites à la CMS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qui pourraient être considérées comme étant</w:t>
      </w:r>
      <w:r w:rsidR="00FE2F76" w:rsidRPr="00FE2F76">
        <w:rPr>
          <w:rFonts w:ascii="Arial" w:hAnsi="Arial" w:cs="Arial"/>
          <w:iCs/>
          <w:sz w:val="22"/>
          <w:szCs w:val="22"/>
          <w:lang w:val="fr-FR"/>
        </w:rPr>
        <w:t xml:space="preserve"> des aires de conservation transfrontières (ACT), c’est-à-dire </w:t>
      </w:r>
      <w:r>
        <w:rPr>
          <w:rFonts w:ascii="Arial" w:hAnsi="Arial" w:cs="Arial"/>
          <w:iCs/>
          <w:sz w:val="22"/>
          <w:szCs w:val="22"/>
          <w:lang w:val="fr-FR"/>
        </w:rPr>
        <w:t>une</w:t>
      </w:r>
      <w:r w:rsidR="00FE2F76" w:rsidRPr="00FE2F76">
        <w:rPr>
          <w:rFonts w:ascii="Arial" w:hAnsi="Arial" w:cs="Arial"/>
          <w:iCs/>
          <w:sz w:val="22"/>
          <w:szCs w:val="22"/>
          <w:lang w:val="fr-FR"/>
        </w:rPr>
        <w:t xml:space="preserve"> zone ou partie d’une vaste région écologique qui chevauche les frontière</w:t>
      </w:r>
      <w:r>
        <w:rPr>
          <w:rFonts w:ascii="Arial" w:hAnsi="Arial" w:cs="Arial"/>
          <w:iCs/>
          <w:sz w:val="22"/>
          <w:szCs w:val="22"/>
          <w:lang w:val="fr-FR"/>
        </w:rPr>
        <w:t xml:space="preserve">s de deux ou plus de deux pays </w:t>
      </w:r>
      <w:r w:rsidRPr="00111337">
        <w:rPr>
          <w:rFonts w:ascii="Arial" w:hAnsi="Arial" w:cs="Arial"/>
          <w:iCs/>
          <w:sz w:val="22"/>
          <w:szCs w:val="22"/>
          <w:lang w:val="fr-FR"/>
        </w:rPr>
        <w:t xml:space="preserve">et relève de leur juridiction nationale, qui peut </w:t>
      </w:r>
      <w:r>
        <w:rPr>
          <w:rFonts w:ascii="Arial" w:hAnsi="Arial" w:cs="Arial"/>
          <w:iCs/>
          <w:sz w:val="22"/>
          <w:szCs w:val="22"/>
          <w:lang w:val="fr-FR"/>
        </w:rPr>
        <w:t>englober</w:t>
      </w:r>
      <w:r w:rsidR="00FE2F76" w:rsidRPr="00FE2F76">
        <w:rPr>
          <w:rFonts w:ascii="Arial" w:hAnsi="Arial" w:cs="Arial"/>
          <w:iCs/>
          <w:sz w:val="22"/>
          <w:szCs w:val="22"/>
          <w:lang w:val="fr-FR"/>
        </w:rPr>
        <w:t xml:space="preserve"> une ou plusieurs zones protégées, ainsi que de multiples zones d’utilisation des ressources ;</w:t>
      </w:r>
    </w:p>
    <w:p w:rsidR="00FE2F76" w:rsidRPr="00FE2F76" w:rsidRDefault="00FE2F76" w:rsidP="00FE2F76">
      <w:pPr>
        <w:ind w:left="81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FE2F76" w:rsidRPr="00FE2F76" w:rsidRDefault="005531D9" w:rsidP="00FE2F76">
      <w:pPr>
        <w:numPr>
          <w:ilvl w:val="0"/>
          <w:numId w:val="47"/>
        </w:numPr>
        <w:ind w:left="810"/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considérer d’</w:t>
      </w:r>
      <w:r w:rsidR="00FE2F76" w:rsidRPr="00FE2F76">
        <w:rPr>
          <w:rFonts w:ascii="Arial" w:hAnsi="Arial" w:cs="Arial"/>
          <w:iCs/>
          <w:sz w:val="22"/>
          <w:szCs w:val="22"/>
          <w:lang w:val="fr-FR"/>
        </w:rPr>
        <w:t>élaborer conjointement avec les États de l’aire de répartition limitrophes des a</w:t>
      </w:r>
      <w:r>
        <w:rPr>
          <w:rFonts w:ascii="Arial" w:hAnsi="Arial" w:cs="Arial"/>
          <w:iCs/>
          <w:sz w:val="22"/>
          <w:szCs w:val="22"/>
          <w:lang w:val="fr-FR"/>
        </w:rPr>
        <w:t>rrangements</w:t>
      </w:r>
      <w:r w:rsidR="00FE2F76" w:rsidRPr="00FE2F76">
        <w:rPr>
          <w:rFonts w:ascii="Arial" w:hAnsi="Arial" w:cs="Arial"/>
          <w:iCs/>
          <w:sz w:val="22"/>
          <w:szCs w:val="22"/>
          <w:lang w:val="fr-FR"/>
        </w:rPr>
        <w:t xml:space="preserve"> bilatéraux ou multilatéraux</w:t>
      </w:r>
      <w:r>
        <w:rPr>
          <w:rFonts w:ascii="Arial" w:hAnsi="Arial" w:cs="Arial"/>
          <w:iCs/>
          <w:sz w:val="22"/>
          <w:szCs w:val="22"/>
          <w:lang w:val="fr-FR"/>
        </w:rPr>
        <w:t xml:space="preserve">, y compris des plans communs de gestion </w:t>
      </w:r>
      <w:r w:rsidR="00FE2F76" w:rsidRPr="00FE2F76">
        <w:rPr>
          <w:rFonts w:ascii="Arial" w:hAnsi="Arial" w:cs="Arial"/>
          <w:iCs/>
          <w:sz w:val="22"/>
          <w:szCs w:val="22"/>
          <w:lang w:val="fr-FR"/>
        </w:rPr>
        <w:t>afin d</w:t>
      </w:r>
      <w:r>
        <w:rPr>
          <w:rFonts w:ascii="Arial" w:hAnsi="Arial" w:cs="Arial"/>
          <w:iCs/>
          <w:sz w:val="22"/>
          <w:szCs w:val="22"/>
          <w:lang w:val="fr-FR"/>
        </w:rPr>
        <w:t>’améliorer la conservation des habitats et des espèces concernées ;</w:t>
      </w:r>
    </w:p>
    <w:p w:rsidR="00FE2F76" w:rsidRPr="00FE2F76" w:rsidRDefault="00FE2F76" w:rsidP="00FE2F76">
      <w:pPr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FE2F76" w:rsidRPr="005531D9" w:rsidRDefault="005531D9" w:rsidP="00A87DC0">
      <w:pPr>
        <w:numPr>
          <w:ilvl w:val="0"/>
          <w:numId w:val="47"/>
        </w:numPr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5531D9">
        <w:rPr>
          <w:rFonts w:ascii="Arial" w:hAnsi="Arial" w:cs="Arial"/>
          <w:iCs/>
          <w:sz w:val="22"/>
          <w:szCs w:val="22"/>
          <w:lang w:val="fr-FR"/>
        </w:rPr>
        <w:t xml:space="preserve">permettre, dans le développement de tels arrangements, </w:t>
      </w:r>
      <w:r w:rsidR="00FE2F76" w:rsidRPr="005531D9">
        <w:rPr>
          <w:rFonts w:ascii="Arial" w:hAnsi="Arial" w:cs="Arial"/>
          <w:iCs/>
          <w:sz w:val="22"/>
          <w:szCs w:val="22"/>
          <w:lang w:val="fr-FR"/>
        </w:rPr>
        <w:t>la participation des communautés et parties prenantes locales</w:t>
      </w:r>
      <w:r w:rsidRPr="005531D9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>
        <w:rPr>
          <w:rFonts w:ascii="Arial" w:hAnsi="Arial" w:cs="Arial"/>
          <w:iCs/>
          <w:sz w:val="22"/>
          <w:szCs w:val="22"/>
          <w:lang w:val="fr-FR"/>
        </w:rPr>
        <w:t>dans le but de faire bénéficier la faune sauvage et le</w:t>
      </w:r>
      <w:r w:rsidR="00FE2F76" w:rsidRPr="005531D9">
        <w:rPr>
          <w:rFonts w:ascii="Arial" w:hAnsi="Arial" w:cs="Arial"/>
          <w:iCs/>
          <w:sz w:val="22"/>
          <w:szCs w:val="22"/>
          <w:lang w:val="fr-FR"/>
        </w:rPr>
        <w:t xml:space="preserve"> développement durable des communautés y vivant.</w:t>
      </w:r>
      <w:r w:rsidRPr="005531D9">
        <w:t xml:space="preserve"> </w:t>
      </w:r>
    </w:p>
    <w:p w:rsidR="00FE2F76" w:rsidRPr="00FE2F76" w:rsidRDefault="00FE2F76" w:rsidP="00FE2F76">
      <w:pPr>
        <w:ind w:left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FE2F76" w:rsidRPr="00FE2F76" w:rsidRDefault="00FE2F76" w:rsidP="00FE2F76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E2F76">
        <w:rPr>
          <w:rFonts w:ascii="Arial" w:hAnsi="Arial" w:cs="Arial"/>
          <w:b/>
          <w:i/>
          <w:sz w:val="22"/>
          <w:szCs w:val="22"/>
          <w:lang w:val="fr-FR"/>
        </w:rPr>
        <w:t>À l’attention du Secrétariat</w:t>
      </w:r>
    </w:p>
    <w:p w:rsidR="00FE2F76" w:rsidRPr="00FE2F76" w:rsidRDefault="00FE2F76" w:rsidP="00FE2F7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2F76" w:rsidRPr="00FE2F76" w:rsidRDefault="00FE2F76" w:rsidP="00FE2F76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FE2F76">
        <w:rPr>
          <w:rFonts w:ascii="Arial" w:hAnsi="Arial" w:cs="Arial"/>
          <w:sz w:val="22"/>
          <w:szCs w:val="22"/>
          <w:lang w:val="fr-FR"/>
        </w:rPr>
        <w:t>12.BB</w:t>
      </w:r>
      <w:r w:rsidRPr="00FE2F76">
        <w:rPr>
          <w:rFonts w:ascii="Arial" w:hAnsi="Arial" w:cs="Arial"/>
          <w:sz w:val="22"/>
          <w:szCs w:val="22"/>
          <w:lang w:val="fr-FR"/>
        </w:rPr>
        <w:tab/>
        <w:t>Le Secrétariat doit, sous réserve de la disponibilité des ressources externes,</w:t>
      </w:r>
    </w:p>
    <w:p w:rsidR="00FE2F76" w:rsidRPr="00FE2F76" w:rsidRDefault="00FE2F76" w:rsidP="00FE2F76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FE2F76" w:rsidRPr="00FE2F76" w:rsidRDefault="005531D9" w:rsidP="00FE2F76">
      <w:pPr>
        <w:numPr>
          <w:ilvl w:val="0"/>
          <w:numId w:val="48"/>
        </w:numPr>
        <w:ind w:left="81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</w:t>
      </w:r>
      <w:r w:rsidR="00FE2F76" w:rsidRPr="00FE2F76">
        <w:rPr>
          <w:rFonts w:ascii="Arial" w:hAnsi="Arial" w:cs="Arial"/>
          <w:sz w:val="22"/>
          <w:szCs w:val="22"/>
          <w:lang w:val="fr-FR"/>
        </w:rPr>
        <w:t>outenir les Parties dans la mise en œuvre de la décision 12.AA ;</w:t>
      </w:r>
    </w:p>
    <w:p w:rsidR="00FE2F76" w:rsidRPr="00FE2F76" w:rsidRDefault="00FE2F76" w:rsidP="00FE2F76">
      <w:pPr>
        <w:ind w:left="810"/>
        <w:jc w:val="both"/>
        <w:rPr>
          <w:rFonts w:ascii="Arial" w:hAnsi="Arial" w:cs="Arial"/>
          <w:sz w:val="22"/>
          <w:szCs w:val="22"/>
          <w:lang w:val="fr-FR"/>
        </w:rPr>
      </w:pPr>
    </w:p>
    <w:p w:rsidR="00FE2F76" w:rsidRPr="00FE2F76" w:rsidRDefault="005531D9" w:rsidP="00FE2F76">
      <w:pPr>
        <w:numPr>
          <w:ilvl w:val="0"/>
          <w:numId w:val="48"/>
        </w:numPr>
        <w:ind w:left="81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</w:t>
      </w:r>
      <w:r w:rsidR="00FE2F76" w:rsidRPr="00FE2F76">
        <w:rPr>
          <w:rFonts w:ascii="Arial" w:hAnsi="Arial" w:cs="Arial"/>
          <w:sz w:val="22"/>
          <w:szCs w:val="22"/>
          <w:lang w:val="fr-FR"/>
        </w:rPr>
        <w:t>endre compte au Comité permanent lors de ses 48</w:t>
      </w:r>
      <w:r w:rsidR="00FE2F76" w:rsidRPr="00FE2F76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FE2F76" w:rsidRPr="00FE2F76">
        <w:rPr>
          <w:rFonts w:ascii="Arial" w:hAnsi="Arial" w:cs="Arial"/>
          <w:sz w:val="22"/>
          <w:szCs w:val="22"/>
          <w:lang w:val="fr-FR"/>
        </w:rPr>
        <w:t xml:space="preserve"> et 49</w:t>
      </w:r>
      <w:r w:rsidR="00FE2F76" w:rsidRPr="00FE2F76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FE2F76" w:rsidRPr="00FE2F76">
        <w:rPr>
          <w:rFonts w:ascii="Arial" w:hAnsi="Arial" w:cs="Arial"/>
          <w:sz w:val="22"/>
          <w:szCs w:val="22"/>
          <w:lang w:val="fr-FR"/>
        </w:rPr>
        <w:t xml:space="preserve"> réunions, ainsi qu’à la Conférence des Parties lors de sa 13</w:t>
      </w:r>
      <w:r w:rsidR="00FE2F76" w:rsidRPr="00FE2F76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FE2F76" w:rsidRPr="00FE2F76">
        <w:rPr>
          <w:rFonts w:ascii="Arial" w:hAnsi="Arial" w:cs="Arial"/>
          <w:sz w:val="22"/>
          <w:szCs w:val="22"/>
          <w:lang w:val="fr-FR"/>
        </w:rPr>
        <w:t xml:space="preserve"> session, des progrès dans la mise en œuvre de cette décision.</w:t>
      </w:r>
    </w:p>
    <w:p w:rsidR="00FE2F76" w:rsidRPr="00FE2F76" w:rsidRDefault="00FE2F76" w:rsidP="00FE2F7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2F76" w:rsidRPr="00FE2F76" w:rsidRDefault="00FE2F76" w:rsidP="00FE2F76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E2F76">
        <w:rPr>
          <w:rFonts w:ascii="Arial" w:hAnsi="Arial" w:cs="Arial"/>
          <w:b/>
          <w:i/>
          <w:sz w:val="22"/>
          <w:szCs w:val="22"/>
          <w:lang w:val="fr-FR"/>
        </w:rPr>
        <w:t>À l’attention des Parties, organisations intergouvernementales et non-gouvernementales</w:t>
      </w:r>
    </w:p>
    <w:p w:rsidR="00FE2F76" w:rsidRPr="00FE2F76" w:rsidRDefault="00FE2F76" w:rsidP="00FE2F7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2F76" w:rsidRPr="00FE2F76" w:rsidRDefault="00FE2F76" w:rsidP="00FE2F76">
      <w:pPr>
        <w:ind w:left="810" w:hanging="810"/>
        <w:jc w:val="both"/>
        <w:rPr>
          <w:rFonts w:ascii="Arial" w:hAnsi="Arial" w:cs="Arial"/>
          <w:sz w:val="22"/>
          <w:szCs w:val="22"/>
          <w:lang w:val="fr-FR"/>
        </w:rPr>
      </w:pPr>
      <w:r w:rsidRPr="00FE2F76">
        <w:rPr>
          <w:rFonts w:ascii="Arial" w:hAnsi="Arial" w:cs="Arial"/>
          <w:sz w:val="22"/>
          <w:szCs w:val="22"/>
          <w:lang w:val="fr-FR"/>
        </w:rPr>
        <w:t>12.CC</w:t>
      </w:r>
      <w:r w:rsidRPr="00FE2F76">
        <w:rPr>
          <w:rFonts w:ascii="Arial" w:hAnsi="Arial" w:cs="Arial"/>
          <w:sz w:val="22"/>
          <w:szCs w:val="22"/>
          <w:lang w:val="fr-FR"/>
        </w:rPr>
        <w:tab/>
        <w:t>Les Parties, organisations intergouvernementales et non-gouvernementales sont encouragées à apporter un soutien financier et technique dans la mise en œuvre des décisions 12.AA et 12.BB.</w:t>
      </w:r>
    </w:p>
    <w:p w:rsidR="00FE2F76" w:rsidRPr="00FE2F76" w:rsidRDefault="00FE2F76" w:rsidP="00FE2F76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:rsidR="00FE2F76" w:rsidRPr="00FE2F76" w:rsidRDefault="00FE2F76" w:rsidP="00FE2F76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:rsidR="00FE2F76" w:rsidRPr="00FE2F76" w:rsidRDefault="00FE2F76" w:rsidP="00FE2F76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E2F76">
        <w:rPr>
          <w:rFonts w:ascii="Arial" w:hAnsi="Arial" w:cs="Arial"/>
          <w:b/>
          <w:i/>
          <w:sz w:val="22"/>
          <w:szCs w:val="22"/>
          <w:lang w:val="fr-FR"/>
        </w:rPr>
        <w:t>À l’attention du Comité permanent</w:t>
      </w:r>
    </w:p>
    <w:p w:rsidR="00FE2F76" w:rsidRPr="00FE2F76" w:rsidRDefault="00FE2F76" w:rsidP="00FE2F7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3F6700" w:rsidRDefault="00FE2F76" w:rsidP="005531D9">
      <w:pPr>
        <w:ind w:left="810" w:hanging="810"/>
        <w:jc w:val="both"/>
        <w:rPr>
          <w:rFonts w:ascii="Arial" w:hAnsi="Arial" w:cs="Arial"/>
          <w:sz w:val="22"/>
          <w:szCs w:val="22"/>
          <w:lang w:val="fr-FR"/>
        </w:rPr>
      </w:pPr>
      <w:r w:rsidRPr="00FE2F76">
        <w:rPr>
          <w:rFonts w:ascii="Arial" w:hAnsi="Arial" w:cs="Arial"/>
          <w:sz w:val="22"/>
          <w:szCs w:val="22"/>
          <w:lang w:val="fr-FR"/>
        </w:rPr>
        <w:t>12.DD</w:t>
      </w:r>
      <w:r w:rsidRPr="00FE2F76">
        <w:rPr>
          <w:rFonts w:ascii="Arial" w:hAnsi="Arial" w:cs="Arial"/>
          <w:sz w:val="22"/>
          <w:szCs w:val="22"/>
          <w:lang w:val="fr-FR"/>
        </w:rPr>
        <w:tab/>
        <w:t xml:space="preserve">Le Comité permanent doit prendre en compte le rapport soumis par le Secrétariat. </w:t>
      </w:r>
    </w:p>
    <w:sectPr w:rsidR="003F6700" w:rsidRPr="003F6700" w:rsidSect="003F6700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0" w:rsidRDefault="002667F0">
      <w:r>
        <w:separator/>
      </w:r>
    </w:p>
  </w:endnote>
  <w:endnote w:type="continuationSeparator" w:id="0">
    <w:p w:rsidR="002667F0" w:rsidRDefault="002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00" w:rsidRPr="000A534F" w:rsidRDefault="003F6700" w:rsidP="003F6700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F57AA4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Pr="000A534F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Pr="000A534F">
      <w:rPr>
        <w:rFonts w:asciiTheme="minorBidi" w:hAnsiTheme="minorBidi" w:cstheme="minorBidi"/>
        <w:noProof/>
        <w:sz w:val="18"/>
        <w:szCs w:val="18"/>
      </w:rPr>
      <w:t>UNEP/CMS/COP12/CRP</w:t>
    </w:r>
    <w:r w:rsidR="00FE2F76">
      <w:rPr>
        <w:rFonts w:asciiTheme="minorBidi" w:hAnsiTheme="minorBidi" w:cstheme="minorBidi"/>
        <w:noProof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0A534F" w:rsidRDefault="00D605A4" w:rsidP="000A534F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3F6700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="000A534F" w:rsidRPr="000A534F">
      <w:rPr>
        <w:rFonts w:ascii="Arial" w:hAnsi="Arial" w:cs="Arial"/>
        <w:noProof/>
        <w:sz w:val="18"/>
        <w:szCs w:val="18"/>
      </w:rPr>
      <w:t xml:space="preserve"> </w:t>
    </w:r>
    <w:r w:rsidR="000A534F"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="000A534F" w:rsidRPr="000A534F">
      <w:rPr>
        <w:rFonts w:asciiTheme="minorBidi" w:hAnsiTheme="minorBidi" w:cstheme="minorBidi"/>
        <w:noProof/>
        <w:sz w:val="18"/>
        <w:szCs w:val="18"/>
      </w:rPr>
      <w:t>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0" w:rsidRDefault="002667F0">
      <w:r>
        <w:separator/>
      </w:r>
    </w:p>
  </w:footnote>
  <w:footnote w:type="continuationSeparator" w:id="0">
    <w:p w:rsidR="002667F0" w:rsidRDefault="002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81C10F7"/>
    <w:multiLevelType w:val="hybridMultilevel"/>
    <w:tmpl w:val="F5C2C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2230F"/>
    <w:multiLevelType w:val="hybridMultilevel"/>
    <w:tmpl w:val="62AAA9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9F03B0"/>
    <w:multiLevelType w:val="hybridMultilevel"/>
    <w:tmpl w:val="924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F97102"/>
    <w:multiLevelType w:val="hybridMultilevel"/>
    <w:tmpl w:val="40148E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92584"/>
    <w:multiLevelType w:val="hybridMultilevel"/>
    <w:tmpl w:val="3F36649A"/>
    <w:lvl w:ilvl="0" w:tplc="48684A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5"/>
  </w:num>
  <w:num w:numId="3">
    <w:abstractNumId w:val="11"/>
  </w:num>
  <w:num w:numId="4">
    <w:abstractNumId w:val="24"/>
  </w:num>
  <w:num w:numId="5">
    <w:abstractNumId w:val="12"/>
  </w:num>
  <w:num w:numId="6">
    <w:abstractNumId w:val="37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7"/>
  </w:num>
  <w:num w:numId="10">
    <w:abstractNumId w:val="23"/>
  </w:num>
  <w:num w:numId="11">
    <w:abstractNumId w:val="41"/>
  </w:num>
  <w:num w:numId="12">
    <w:abstractNumId w:val="3"/>
  </w:num>
  <w:num w:numId="13">
    <w:abstractNumId w:val="20"/>
  </w:num>
  <w:num w:numId="14">
    <w:abstractNumId w:val="39"/>
  </w:num>
  <w:num w:numId="15">
    <w:abstractNumId w:val="2"/>
  </w:num>
  <w:num w:numId="16">
    <w:abstractNumId w:val="10"/>
  </w:num>
  <w:num w:numId="17">
    <w:abstractNumId w:val="42"/>
  </w:num>
  <w:num w:numId="18">
    <w:abstractNumId w:val="22"/>
  </w:num>
  <w:num w:numId="19">
    <w:abstractNumId w:val="40"/>
  </w:num>
  <w:num w:numId="20">
    <w:abstractNumId w:val="46"/>
  </w:num>
  <w:num w:numId="21">
    <w:abstractNumId w:val="4"/>
  </w:num>
  <w:num w:numId="22">
    <w:abstractNumId w:val="18"/>
  </w:num>
  <w:num w:numId="23">
    <w:abstractNumId w:val="27"/>
  </w:num>
  <w:num w:numId="24">
    <w:abstractNumId w:val="17"/>
  </w:num>
  <w:num w:numId="25">
    <w:abstractNumId w:val="32"/>
  </w:num>
  <w:num w:numId="26">
    <w:abstractNumId w:val="0"/>
  </w:num>
  <w:num w:numId="27">
    <w:abstractNumId w:val="43"/>
  </w:num>
  <w:num w:numId="28">
    <w:abstractNumId w:val="6"/>
  </w:num>
  <w:num w:numId="29">
    <w:abstractNumId w:val="21"/>
  </w:num>
  <w:num w:numId="30">
    <w:abstractNumId w:val="14"/>
  </w:num>
  <w:num w:numId="31">
    <w:abstractNumId w:val="30"/>
  </w:num>
  <w:num w:numId="32">
    <w:abstractNumId w:val="29"/>
  </w:num>
  <w:num w:numId="33">
    <w:abstractNumId w:val="5"/>
  </w:num>
  <w:num w:numId="34">
    <w:abstractNumId w:val="19"/>
  </w:num>
  <w:num w:numId="35">
    <w:abstractNumId w:val="16"/>
  </w:num>
  <w:num w:numId="36">
    <w:abstractNumId w:val="33"/>
  </w:num>
  <w:num w:numId="37">
    <w:abstractNumId w:val="38"/>
  </w:num>
  <w:num w:numId="38">
    <w:abstractNumId w:val="9"/>
  </w:num>
  <w:num w:numId="39">
    <w:abstractNumId w:val="31"/>
  </w:num>
  <w:num w:numId="40">
    <w:abstractNumId w:val="44"/>
  </w:num>
  <w:num w:numId="41">
    <w:abstractNumId w:val="25"/>
  </w:num>
  <w:num w:numId="42">
    <w:abstractNumId w:val="26"/>
  </w:num>
  <w:num w:numId="43">
    <w:abstractNumId w:val="35"/>
  </w:num>
  <w:num w:numId="44">
    <w:abstractNumId w:val="8"/>
  </w:num>
  <w:num w:numId="45">
    <w:abstractNumId w:val="28"/>
  </w:num>
  <w:num w:numId="46">
    <w:abstractNumId w:val="15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518C2"/>
    <w:rsid w:val="000564C8"/>
    <w:rsid w:val="00056DC1"/>
    <w:rsid w:val="00060156"/>
    <w:rsid w:val="00070BBC"/>
    <w:rsid w:val="00073C92"/>
    <w:rsid w:val="00080F03"/>
    <w:rsid w:val="000900E1"/>
    <w:rsid w:val="0009076A"/>
    <w:rsid w:val="000910F5"/>
    <w:rsid w:val="000A534F"/>
    <w:rsid w:val="000B6220"/>
    <w:rsid w:val="000C21B1"/>
    <w:rsid w:val="000C3C87"/>
    <w:rsid w:val="000C7460"/>
    <w:rsid w:val="000E01C1"/>
    <w:rsid w:val="000F1156"/>
    <w:rsid w:val="000F52BA"/>
    <w:rsid w:val="00111337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1DA4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667F0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3F6700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1D9"/>
    <w:rsid w:val="00553795"/>
    <w:rsid w:val="0055762E"/>
    <w:rsid w:val="00565445"/>
    <w:rsid w:val="00575334"/>
    <w:rsid w:val="00593736"/>
    <w:rsid w:val="005B0F06"/>
    <w:rsid w:val="005B42D9"/>
    <w:rsid w:val="005B6141"/>
    <w:rsid w:val="005C3F15"/>
    <w:rsid w:val="005F3989"/>
    <w:rsid w:val="005F4303"/>
    <w:rsid w:val="00601B52"/>
    <w:rsid w:val="0060280B"/>
    <w:rsid w:val="00604422"/>
    <w:rsid w:val="0062486D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6FC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94A29"/>
    <w:rsid w:val="008A0D8D"/>
    <w:rsid w:val="008B1A69"/>
    <w:rsid w:val="008C1A39"/>
    <w:rsid w:val="008E7DFB"/>
    <w:rsid w:val="008F7327"/>
    <w:rsid w:val="009076C8"/>
    <w:rsid w:val="009132DC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5DA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87F4A"/>
    <w:rsid w:val="00BA60CE"/>
    <w:rsid w:val="00BC5607"/>
    <w:rsid w:val="00BC6025"/>
    <w:rsid w:val="00BE0D1D"/>
    <w:rsid w:val="00BE2448"/>
    <w:rsid w:val="00BE24D4"/>
    <w:rsid w:val="00BE4F2A"/>
    <w:rsid w:val="00BF1084"/>
    <w:rsid w:val="00BF2BE7"/>
    <w:rsid w:val="00C05102"/>
    <w:rsid w:val="00C13FA6"/>
    <w:rsid w:val="00C169ED"/>
    <w:rsid w:val="00C203E8"/>
    <w:rsid w:val="00C5484D"/>
    <w:rsid w:val="00C57BE7"/>
    <w:rsid w:val="00C57F03"/>
    <w:rsid w:val="00C618F2"/>
    <w:rsid w:val="00C73207"/>
    <w:rsid w:val="00C7602A"/>
    <w:rsid w:val="00C82ED9"/>
    <w:rsid w:val="00C87D68"/>
    <w:rsid w:val="00C9281B"/>
    <w:rsid w:val="00C977E9"/>
    <w:rsid w:val="00CA367A"/>
    <w:rsid w:val="00CB1D26"/>
    <w:rsid w:val="00CC4C21"/>
    <w:rsid w:val="00CC57AD"/>
    <w:rsid w:val="00CE5B83"/>
    <w:rsid w:val="00CF6EDD"/>
    <w:rsid w:val="00D05922"/>
    <w:rsid w:val="00D30B30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E23367"/>
    <w:rsid w:val="00E30B00"/>
    <w:rsid w:val="00E31B92"/>
    <w:rsid w:val="00E3521F"/>
    <w:rsid w:val="00E475D4"/>
    <w:rsid w:val="00E74D1C"/>
    <w:rsid w:val="00E8776E"/>
    <w:rsid w:val="00E9237A"/>
    <w:rsid w:val="00EA0B88"/>
    <w:rsid w:val="00EB2285"/>
    <w:rsid w:val="00EC4294"/>
    <w:rsid w:val="00EC681E"/>
    <w:rsid w:val="00EC7DBF"/>
    <w:rsid w:val="00ED02D3"/>
    <w:rsid w:val="00ED5E31"/>
    <w:rsid w:val="00EE64C1"/>
    <w:rsid w:val="00EF3AD8"/>
    <w:rsid w:val="00F05AA0"/>
    <w:rsid w:val="00F061CB"/>
    <w:rsid w:val="00F06B5B"/>
    <w:rsid w:val="00F24050"/>
    <w:rsid w:val="00F248AA"/>
    <w:rsid w:val="00F31539"/>
    <w:rsid w:val="00F444EC"/>
    <w:rsid w:val="00F45FE3"/>
    <w:rsid w:val="00F54D03"/>
    <w:rsid w:val="00F57AA4"/>
    <w:rsid w:val="00F6347A"/>
    <w:rsid w:val="00F7503A"/>
    <w:rsid w:val="00F81FEF"/>
    <w:rsid w:val="00F84F20"/>
    <w:rsid w:val="00F901E4"/>
    <w:rsid w:val="00F978B9"/>
    <w:rsid w:val="00FA61AF"/>
    <w:rsid w:val="00FD3A06"/>
    <w:rsid w:val="00FD7D14"/>
    <w:rsid w:val="00FE2F76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63506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CRP_f</vt:lpstr>
    </vt:vector>
  </TitlesOfParts>
  <Company>United Nations Volunteers (UNV) programme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CRP_f</dc:title>
  <dc:subject/>
  <dc:creator>barbara.schoenberg@cms.int</dc:creator>
  <cp:keywords/>
  <cp:lastModifiedBy>USER</cp:lastModifiedBy>
  <cp:revision>2</cp:revision>
  <cp:lastPrinted>2017-03-22T10:51:00Z</cp:lastPrinted>
  <dcterms:created xsi:type="dcterms:W3CDTF">2017-10-27T04:37:00Z</dcterms:created>
  <dcterms:modified xsi:type="dcterms:W3CDTF">2017-10-27T04:37:00Z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