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FA462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623BA9">
              <w:rPr>
                <w:rFonts w:ascii="Arial" w:hAnsi="Arial" w:cs="Arial"/>
                <w:sz w:val="22"/>
                <w:szCs w:val="22"/>
                <w:lang w:val="fr-FR"/>
              </w:rPr>
              <w:t>14</w:t>
            </w:r>
          </w:p>
          <w:p w:rsidR="00260772" w:rsidRPr="005B42D9" w:rsidRDefault="00623BA9"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623BA9" w:rsidRPr="00623BA9" w:rsidRDefault="00623BA9" w:rsidP="00623BA9">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eastAsia="fr-FR" w:bidi="fr-FR"/>
        </w:rPr>
      </w:pPr>
      <w:r w:rsidRPr="00623BA9">
        <w:rPr>
          <w:rFonts w:ascii="Arial" w:hAnsi="Arial"/>
          <w:b/>
          <w:bCs/>
          <w:sz w:val="22"/>
          <w:lang w:val="fr-FR" w:eastAsia="fr-FR" w:bidi="fr-FR"/>
        </w:rPr>
        <w:t xml:space="preserve">PROPOSITION D'ACTION CONCERTÉE POUR </w:t>
      </w:r>
    </w:p>
    <w:p w:rsidR="00623BA9" w:rsidRPr="00623BA9" w:rsidRDefault="00623BA9" w:rsidP="00623BA9">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eastAsia="fr-FR" w:bidi="fr-FR"/>
        </w:rPr>
      </w:pPr>
      <w:r w:rsidRPr="00623BA9">
        <w:rPr>
          <w:rFonts w:ascii="Arial" w:hAnsi="Arial"/>
          <w:b/>
          <w:bCs/>
          <w:sz w:val="22"/>
          <w:lang w:val="fr-FR" w:eastAsia="fr-FR" w:bidi="fr-FR"/>
        </w:rPr>
        <w:t xml:space="preserve">L'ANGUILLE D'EUROPE </w:t>
      </w:r>
      <w:r w:rsidRPr="00623BA9">
        <w:rPr>
          <w:rFonts w:ascii="Arial" w:hAnsi="Arial"/>
          <w:b/>
          <w:bCs/>
          <w:i/>
          <w:sz w:val="22"/>
          <w:lang w:val="fr-FR" w:eastAsia="fr-FR" w:bidi="fr-FR"/>
        </w:rPr>
        <w:t xml:space="preserve">(Anguilla </w:t>
      </w:r>
      <w:proofErr w:type="spellStart"/>
      <w:r w:rsidRPr="00623BA9">
        <w:rPr>
          <w:rFonts w:ascii="Arial" w:hAnsi="Arial"/>
          <w:b/>
          <w:bCs/>
          <w:i/>
          <w:sz w:val="22"/>
          <w:lang w:val="fr-FR" w:eastAsia="fr-FR" w:bidi="fr-FR"/>
        </w:rPr>
        <w:t>Anguilla</w:t>
      </w:r>
      <w:proofErr w:type="spellEnd"/>
      <w:r w:rsidRPr="00623BA9">
        <w:rPr>
          <w:rFonts w:ascii="Arial" w:hAnsi="Arial"/>
          <w:b/>
          <w:bCs/>
          <w:i/>
          <w:sz w:val="22"/>
          <w:lang w:val="fr-FR" w:eastAsia="fr-FR" w:bidi="fr-FR"/>
        </w:rPr>
        <w:t>)</w:t>
      </w:r>
      <w:r w:rsidRPr="00623BA9">
        <w:rPr>
          <w:rFonts w:ascii="Arial" w:hAnsi="Arial"/>
          <w:b/>
          <w:bCs/>
          <w:sz w:val="22"/>
          <w:lang w:val="fr-FR" w:eastAsia="fr-FR" w:bidi="fr-FR"/>
        </w:rPr>
        <w:t xml:space="preserve"> </w:t>
      </w:r>
    </w:p>
    <w:p w:rsidR="00623BA9" w:rsidRPr="00623BA9" w:rsidRDefault="00623BA9" w:rsidP="00623BA9">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eastAsia="fr-FR" w:bidi="fr-FR"/>
        </w:rPr>
      </w:pPr>
      <w:r w:rsidRPr="00623BA9">
        <w:rPr>
          <w:rFonts w:ascii="Arial" w:hAnsi="Arial"/>
          <w:b/>
          <w:bCs/>
          <w:sz w:val="22"/>
          <w:lang w:val="fr-FR" w:eastAsia="fr-FR" w:bidi="fr-FR"/>
        </w:rPr>
        <w:t xml:space="preserve">DÉJÁ INSCRITE Á L'ANNEXE II DE LA CONVENTION </w:t>
      </w:r>
    </w:p>
    <w:p w:rsidR="00BC6025" w:rsidRPr="001F1DA4" w:rsidRDefault="00BC6025" w:rsidP="00432694">
      <w:pPr>
        <w:rPr>
          <w:rFonts w:ascii="Arial" w:hAnsi="Arial" w:cs="Arial"/>
          <w:b/>
          <w:caps/>
          <w:sz w:val="22"/>
          <w:szCs w:val="22"/>
          <w:lang w:val="fr-FR"/>
        </w:rPr>
      </w:pP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w:t>
      </w:r>
      <w:r w:rsidR="00623BA9">
        <w:rPr>
          <w:rFonts w:ascii="Arial" w:hAnsi="Arial" w:cs="Arial"/>
          <w:bCs/>
          <w:caps/>
          <w:sz w:val="22"/>
          <w:szCs w:val="22"/>
          <w:lang w:val="fr-FR"/>
        </w:rPr>
        <w:t>26.2.1</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tbl>
      <w:tblPr>
        <w:tblStyle w:val="TableGrid"/>
        <w:tblW w:w="9083" w:type="dxa"/>
        <w:tblInd w:w="-5" w:type="dxa"/>
        <w:tblLook w:val="04A0" w:firstRow="1" w:lastRow="0" w:firstColumn="1" w:lastColumn="0" w:noHBand="0" w:noVBand="1"/>
      </w:tblPr>
      <w:tblGrid>
        <w:gridCol w:w="1914"/>
        <w:gridCol w:w="7169"/>
      </w:tblGrid>
      <w:tr w:rsidR="00623BA9" w:rsidRPr="00FA462D" w:rsidTr="00FA462D">
        <w:tc>
          <w:tcPr>
            <w:tcW w:w="1914" w:type="dxa"/>
          </w:tcPr>
          <w:p w:rsidR="00623BA9" w:rsidRPr="00623BA9" w:rsidRDefault="00623BA9" w:rsidP="00623BA9">
            <w:pPr>
              <w:widowControl/>
              <w:autoSpaceDE/>
              <w:autoSpaceDN/>
              <w:adjustRightInd/>
              <w:spacing w:before="40" w:after="40"/>
              <w:rPr>
                <w:rFonts w:ascii="Arial" w:hAnsi="Arial" w:cs="Arial"/>
                <w:b/>
                <w:sz w:val="22"/>
                <w:szCs w:val="22"/>
              </w:rPr>
            </w:pPr>
            <w:r w:rsidRPr="00623BA9">
              <w:rPr>
                <w:rFonts w:ascii="Arial" w:hAnsi="Arial"/>
                <w:b/>
                <w:sz w:val="22"/>
              </w:rPr>
              <w:t>Auteur de la proposition</w:t>
            </w:r>
          </w:p>
        </w:tc>
        <w:tc>
          <w:tcPr>
            <w:tcW w:w="7169" w:type="dxa"/>
            <w:shd w:val="clear" w:color="auto" w:fill="auto"/>
          </w:tcPr>
          <w:p w:rsidR="00623BA9" w:rsidRPr="00623BA9" w:rsidRDefault="00623BA9" w:rsidP="00623BA9">
            <w:pPr>
              <w:widowControl/>
              <w:autoSpaceDE/>
              <w:autoSpaceDN/>
              <w:adjustRightInd/>
              <w:jc w:val="both"/>
              <w:rPr>
                <w:rFonts w:ascii="Arial" w:hAnsi="Arial" w:cs="Arial"/>
                <w:sz w:val="22"/>
                <w:szCs w:val="22"/>
              </w:rPr>
            </w:pPr>
            <w:r w:rsidRPr="00623BA9">
              <w:rPr>
                <w:rFonts w:ascii="Arial" w:hAnsi="Arial"/>
                <w:sz w:val="22"/>
              </w:rPr>
              <w:t>Le Gouvernement de la Principauté de Monaco, en collaboration avec la Commission de la mer des Sargasses (SSC) et le Secrétariat de la CMS.</w:t>
            </w:r>
          </w:p>
          <w:p w:rsidR="00623BA9" w:rsidRPr="00623BA9" w:rsidRDefault="00623BA9" w:rsidP="00623BA9">
            <w:pPr>
              <w:widowControl/>
              <w:autoSpaceDE/>
              <w:autoSpaceDN/>
              <w:adjustRightInd/>
              <w:jc w:val="both"/>
              <w:rPr>
                <w:rFonts w:ascii="Arial" w:hAnsi="Arial" w:cs="Arial"/>
                <w:sz w:val="22"/>
                <w:szCs w:val="22"/>
              </w:rPr>
            </w:pPr>
          </w:p>
          <w:p w:rsidR="00623BA9" w:rsidRPr="00623BA9" w:rsidRDefault="00623BA9" w:rsidP="00623BA9">
            <w:pPr>
              <w:widowControl/>
              <w:autoSpaceDE/>
              <w:autoSpaceDN/>
              <w:adjustRightInd/>
              <w:jc w:val="both"/>
              <w:rPr>
                <w:rFonts w:ascii="Arial" w:hAnsi="Arial"/>
                <w:sz w:val="22"/>
              </w:rPr>
            </w:pPr>
            <w:r w:rsidRPr="00623BA9">
              <w:rPr>
                <w:rFonts w:ascii="Arial" w:hAnsi="Arial"/>
                <w:sz w:val="22"/>
              </w:rPr>
              <w:t>Monaco a proposé l'inscription de l’anguille d’Europe (</w:t>
            </w:r>
            <w:r w:rsidRPr="00623BA9">
              <w:rPr>
                <w:rFonts w:ascii="Arial" w:hAnsi="Arial"/>
                <w:i/>
                <w:sz w:val="22"/>
              </w:rPr>
              <w:t xml:space="preserve">Anguilla </w:t>
            </w:r>
            <w:proofErr w:type="spellStart"/>
            <w:r w:rsidRPr="00623BA9">
              <w:rPr>
                <w:rFonts w:ascii="Arial" w:hAnsi="Arial"/>
                <w:i/>
                <w:sz w:val="22"/>
              </w:rPr>
              <w:t>Anguilla</w:t>
            </w:r>
            <w:proofErr w:type="spellEnd"/>
            <w:r w:rsidRPr="00623BA9">
              <w:rPr>
                <w:rFonts w:ascii="Arial" w:hAnsi="Arial"/>
                <w:sz w:val="22"/>
              </w:rPr>
              <w:t>) à l’’Annexe II de la CMS en 2014. La Commission de la mer des Sargasses avait commandé une étude scientifique de base pour l'inscription de l'</w:t>
            </w:r>
            <w:r w:rsidRPr="00623BA9">
              <w:rPr>
                <w:rFonts w:ascii="Arial" w:hAnsi="Arial"/>
                <w:i/>
                <w:sz w:val="22"/>
              </w:rPr>
              <w:t>Anguilla Anguilla</w:t>
            </w:r>
            <w:r w:rsidRPr="00623BA9">
              <w:rPr>
                <w:rFonts w:ascii="Arial" w:hAnsi="Arial"/>
                <w:sz w:val="22"/>
              </w:rPr>
              <w:t xml:space="preserve"> dans l'Annexe II - sur laquelle Monaco s'est appuyée pour présenter sa candidature au Conseil scientifique et à la COP en 2014. La Commission de la mer des Sargasses a par la suite travaillé avec le Secrétariat de la CMS, Monaco, le groupe de spécialistes des anguillidés de l'UICN (AESG) et la société zoologique de Londres (ZSL) pour réunir les États de l'aire de répartition de l'anguille d'Europe à un premier atelier à Galway (Irlande) en 2016. </w:t>
            </w:r>
          </w:p>
          <w:p w:rsidR="00623BA9" w:rsidRPr="00623BA9" w:rsidRDefault="00623BA9" w:rsidP="00623BA9">
            <w:pPr>
              <w:widowControl/>
              <w:autoSpaceDE/>
              <w:autoSpaceDN/>
              <w:adjustRightInd/>
              <w:jc w:val="both"/>
              <w:rPr>
                <w:rFonts w:ascii="Arial" w:hAnsi="Arial" w:cs="Arial"/>
                <w:sz w:val="22"/>
                <w:szCs w:val="22"/>
              </w:rPr>
            </w:pPr>
          </w:p>
        </w:tc>
      </w:tr>
      <w:tr w:rsidR="00623BA9" w:rsidRPr="00FA462D" w:rsidTr="00FA462D">
        <w:tc>
          <w:tcPr>
            <w:tcW w:w="1914" w:type="dxa"/>
            <w:shd w:val="clear" w:color="auto" w:fill="auto"/>
          </w:tcPr>
          <w:p w:rsidR="00623BA9" w:rsidRPr="00623BA9" w:rsidRDefault="00623BA9" w:rsidP="00623BA9">
            <w:pPr>
              <w:widowControl/>
              <w:autoSpaceDE/>
              <w:autoSpaceDN/>
              <w:adjustRightInd/>
              <w:spacing w:before="40" w:after="40"/>
              <w:rPr>
                <w:rFonts w:ascii="Arial" w:hAnsi="Arial" w:cs="Arial"/>
                <w:b/>
                <w:sz w:val="22"/>
                <w:szCs w:val="22"/>
              </w:rPr>
            </w:pPr>
            <w:r w:rsidRPr="00623BA9">
              <w:rPr>
                <w:rFonts w:ascii="Arial" w:hAnsi="Arial"/>
                <w:b/>
                <w:sz w:val="22"/>
              </w:rPr>
              <w:t>Espèces cibles, taxon inférieur ou population, ou groupe de taxons ayant des besoins communs</w:t>
            </w:r>
          </w:p>
        </w:tc>
        <w:tc>
          <w:tcPr>
            <w:tcW w:w="7169" w:type="dxa"/>
            <w:shd w:val="clear" w:color="auto" w:fill="auto"/>
          </w:tcPr>
          <w:p w:rsidR="00623BA9" w:rsidRPr="00623BA9" w:rsidRDefault="00623BA9" w:rsidP="00623BA9">
            <w:pPr>
              <w:widowControl/>
              <w:rPr>
                <w:rFonts w:ascii="Arial" w:hAnsi="Arial" w:cs="Arial"/>
                <w:sz w:val="22"/>
                <w:szCs w:val="22"/>
              </w:rPr>
            </w:pPr>
            <w:r w:rsidRPr="00623BA9">
              <w:rPr>
                <w:rFonts w:ascii="Arial" w:hAnsi="Arial"/>
                <w:sz w:val="22"/>
              </w:rPr>
              <w:t xml:space="preserve">Classe : </w:t>
            </w:r>
            <w:proofErr w:type="spellStart"/>
            <w:r w:rsidRPr="00623BA9">
              <w:rPr>
                <w:rFonts w:ascii="Arial" w:hAnsi="Arial"/>
                <w:sz w:val="22"/>
              </w:rPr>
              <w:t>Actinopterygii</w:t>
            </w:r>
            <w:proofErr w:type="spellEnd"/>
          </w:p>
          <w:p w:rsidR="00623BA9" w:rsidRPr="00623BA9" w:rsidRDefault="00623BA9" w:rsidP="00623BA9">
            <w:pPr>
              <w:widowControl/>
              <w:rPr>
                <w:rFonts w:ascii="Arial" w:hAnsi="Arial" w:cs="Arial"/>
                <w:sz w:val="22"/>
                <w:szCs w:val="22"/>
              </w:rPr>
            </w:pPr>
            <w:r w:rsidRPr="00623BA9">
              <w:rPr>
                <w:rFonts w:ascii="Arial" w:hAnsi="Arial"/>
                <w:sz w:val="22"/>
              </w:rPr>
              <w:t>Ordre : Anguilliformes</w:t>
            </w:r>
          </w:p>
          <w:p w:rsidR="00623BA9" w:rsidRPr="00623BA9" w:rsidRDefault="00623BA9" w:rsidP="00623BA9">
            <w:pPr>
              <w:widowControl/>
              <w:rPr>
                <w:rFonts w:ascii="Arial" w:hAnsi="Arial" w:cs="Arial"/>
                <w:sz w:val="22"/>
                <w:szCs w:val="22"/>
              </w:rPr>
            </w:pPr>
            <w:r w:rsidRPr="00623BA9">
              <w:rPr>
                <w:rFonts w:ascii="Arial" w:hAnsi="Arial"/>
                <w:sz w:val="22"/>
              </w:rPr>
              <w:t xml:space="preserve">Famille : </w:t>
            </w:r>
            <w:proofErr w:type="spellStart"/>
            <w:r w:rsidRPr="00623BA9">
              <w:rPr>
                <w:rFonts w:ascii="Arial" w:hAnsi="Arial"/>
                <w:sz w:val="22"/>
              </w:rPr>
              <w:t>Anguillidae</w:t>
            </w:r>
            <w:proofErr w:type="spellEnd"/>
          </w:p>
          <w:p w:rsidR="00623BA9" w:rsidRPr="00623BA9" w:rsidRDefault="00623BA9" w:rsidP="00623BA9">
            <w:pPr>
              <w:widowControl/>
              <w:rPr>
                <w:rFonts w:ascii="Arial" w:hAnsi="Arial" w:cs="Arial"/>
                <w:sz w:val="22"/>
                <w:szCs w:val="22"/>
              </w:rPr>
            </w:pPr>
            <w:r w:rsidRPr="00623BA9">
              <w:rPr>
                <w:rFonts w:ascii="Arial" w:hAnsi="Arial"/>
                <w:sz w:val="22"/>
              </w:rPr>
              <w:t>Genre : Anguilla</w:t>
            </w:r>
          </w:p>
          <w:p w:rsidR="00623BA9" w:rsidRPr="00623BA9" w:rsidRDefault="00623BA9" w:rsidP="00623BA9">
            <w:r w:rsidRPr="00623BA9">
              <w:rPr>
                <w:rFonts w:ascii="Arial" w:hAnsi="Arial"/>
                <w:sz w:val="22"/>
              </w:rPr>
              <w:t>Espèce :</w:t>
            </w:r>
            <w:r w:rsidRPr="00623BA9">
              <w:rPr>
                <w:rFonts w:ascii="Arial" w:hAnsi="Arial"/>
                <w:b/>
                <w:sz w:val="22"/>
              </w:rPr>
              <w:t xml:space="preserve"> </w:t>
            </w:r>
            <w:r w:rsidRPr="00623BA9">
              <w:rPr>
                <w:rFonts w:ascii="Arial" w:hAnsi="Arial"/>
                <w:sz w:val="22"/>
              </w:rPr>
              <w:t xml:space="preserve">A. </w:t>
            </w:r>
            <w:proofErr w:type="spellStart"/>
            <w:r w:rsidRPr="00623BA9">
              <w:rPr>
                <w:rFonts w:ascii="Arial" w:hAnsi="Arial"/>
                <w:sz w:val="22"/>
              </w:rPr>
              <w:t>anguilla</w:t>
            </w:r>
            <w:proofErr w:type="spellEnd"/>
            <w:r w:rsidRPr="00623BA9">
              <w:t xml:space="preserve"> </w:t>
            </w:r>
          </w:p>
          <w:p w:rsidR="00623BA9" w:rsidRPr="00623BA9" w:rsidRDefault="00623BA9" w:rsidP="00623BA9"/>
          <w:p w:rsidR="00623BA9" w:rsidRPr="00623BA9" w:rsidRDefault="00623BA9" w:rsidP="00623BA9">
            <w:pPr>
              <w:rPr>
                <w:rFonts w:ascii="Arial" w:hAnsi="Arial" w:cs="Arial"/>
                <w:i/>
                <w:color w:val="0000FF"/>
                <w:sz w:val="22"/>
                <w:szCs w:val="22"/>
              </w:rPr>
            </w:pPr>
            <w:r w:rsidRPr="00623BA9">
              <w:rPr>
                <w:rFonts w:ascii="Arial" w:hAnsi="Arial"/>
                <w:sz w:val="22"/>
              </w:rPr>
              <w:t>Inscrit dans l'Annexe II de la CMS en 2014</w:t>
            </w:r>
          </w:p>
        </w:tc>
      </w:tr>
      <w:tr w:rsidR="00623BA9" w:rsidRPr="00FA462D" w:rsidTr="00FA462D">
        <w:tc>
          <w:tcPr>
            <w:tcW w:w="1914" w:type="dxa"/>
          </w:tcPr>
          <w:p w:rsidR="00623BA9" w:rsidRPr="00623BA9" w:rsidRDefault="00623BA9" w:rsidP="00623BA9">
            <w:pPr>
              <w:widowControl/>
              <w:autoSpaceDE/>
              <w:autoSpaceDN/>
              <w:adjustRightInd/>
              <w:spacing w:before="40" w:after="40"/>
              <w:rPr>
                <w:rFonts w:ascii="Arial" w:hAnsi="Arial" w:cs="Arial"/>
                <w:b/>
                <w:sz w:val="22"/>
                <w:szCs w:val="22"/>
              </w:rPr>
            </w:pPr>
            <w:r w:rsidRPr="00623BA9">
              <w:rPr>
                <w:rFonts w:ascii="Arial" w:hAnsi="Arial"/>
                <w:b/>
                <w:sz w:val="22"/>
              </w:rPr>
              <w:t>Distribution :</w:t>
            </w:r>
          </w:p>
        </w:tc>
        <w:tc>
          <w:tcPr>
            <w:tcW w:w="7169" w:type="dxa"/>
          </w:tcPr>
          <w:p w:rsidR="00623BA9" w:rsidRPr="00623BA9" w:rsidRDefault="00623BA9" w:rsidP="00623BA9">
            <w:pPr>
              <w:widowControl/>
              <w:jc w:val="both"/>
              <w:rPr>
                <w:rFonts w:ascii="Arial" w:hAnsi="Arial" w:cs="Arial"/>
                <w:sz w:val="22"/>
                <w:szCs w:val="22"/>
              </w:rPr>
            </w:pPr>
            <w:r w:rsidRPr="00623BA9">
              <w:rPr>
                <w:rFonts w:ascii="Arial" w:hAnsi="Arial"/>
                <w:sz w:val="22"/>
              </w:rPr>
              <w:t>La phase de croissance continentale (anguille jaune) s’effectue dans les cours d’eau, estuaires et eaux côtières d’eau douce des États de l’aire de répartition (</w:t>
            </w:r>
            <w:proofErr w:type="spellStart"/>
            <w:r w:rsidRPr="00623BA9">
              <w:rPr>
                <w:rFonts w:ascii="Arial" w:hAnsi="Arial"/>
                <w:sz w:val="22"/>
              </w:rPr>
              <w:t>Moriarty</w:t>
            </w:r>
            <w:proofErr w:type="spellEnd"/>
            <w:r w:rsidRPr="00623BA9">
              <w:rPr>
                <w:rFonts w:ascii="Arial" w:hAnsi="Arial"/>
                <w:sz w:val="22"/>
              </w:rPr>
              <w:t xml:space="preserve"> et Dekker 1997). Une partie de la vie de l’</w:t>
            </w:r>
            <w:r w:rsidRPr="00623BA9">
              <w:rPr>
                <w:rFonts w:ascii="Arial" w:hAnsi="Arial"/>
                <w:i/>
                <w:sz w:val="22"/>
              </w:rPr>
              <w:t>Anguilla Anguilla</w:t>
            </w:r>
            <w:r w:rsidRPr="00623BA9">
              <w:rPr>
                <w:rFonts w:ascii="Arial" w:hAnsi="Arial"/>
                <w:sz w:val="22"/>
              </w:rPr>
              <w:t>, à la fois la migration adulte vers la zone de fraie et la migration larvaire qui s’ensuit, se passe en pleine mer, à la fois dans les Zones économiques exclusives (ZEE) des États de l’aire de répartition et en haute mer.</w:t>
            </w:r>
          </w:p>
          <w:p w:rsidR="00623BA9" w:rsidRPr="00623BA9" w:rsidRDefault="00623BA9" w:rsidP="00623BA9">
            <w:pPr>
              <w:widowControl/>
              <w:autoSpaceDE/>
              <w:autoSpaceDN/>
              <w:adjustRightInd/>
              <w:jc w:val="both"/>
              <w:rPr>
                <w:rFonts w:ascii="Arial" w:hAnsi="Arial" w:cs="Arial"/>
                <w:sz w:val="22"/>
                <w:szCs w:val="22"/>
              </w:rPr>
            </w:pPr>
          </w:p>
          <w:p w:rsidR="00623BA9" w:rsidRPr="00623BA9" w:rsidRDefault="00623BA9" w:rsidP="00395E08">
            <w:pPr>
              <w:widowControl/>
              <w:spacing w:after="120"/>
              <w:jc w:val="both"/>
              <w:rPr>
                <w:rFonts w:ascii="Arial" w:hAnsi="Arial" w:cs="Arial"/>
                <w:sz w:val="22"/>
                <w:szCs w:val="22"/>
              </w:rPr>
            </w:pPr>
            <w:r w:rsidRPr="00623BA9">
              <w:rPr>
                <w:rFonts w:ascii="Arial" w:hAnsi="Arial"/>
                <w:sz w:val="22"/>
              </w:rPr>
              <w:t>Son aire de répartition est décrite comme allant du cap Nord de la Norvège jusqu’aux côtes de la Méditerranée, en passant par toutes les côtes européennes sur le chemin, sans oublier la côte de l’Afrique du Nord, ainsi que l’Islande</w:t>
            </w:r>
            <w:r w:rsidRPr="00623BA9">
              <w:rPr>
                <w:rFonts w:ascii="Arial" w:hAnsi="Arial"/>
                <w:color w:val="000000"/>
                <w:sz w:val="22"/>
              </w:rPr>
              <w:t xml:space="preserve"> (Schmidt, </w:t>
            </w:r>
            <w:proofErr w:type="gramStart"/>
            <w:r w:rsidRPr="00623BA9">
              <w:rPr>
                <w:rFonts w:ascii="Arial" w:hAnsi="Arial"/>
                <w:color w:val="000000"/>
                <w:sz w:val="22"/>
              </w:rPr>
              <w:t>1922;</w:t>
            </w:r>
            <w:proofErr w:type="gramEnd"/>
            <w:r w:rsidRPr="00623BA9">
              <w:rPr>
                <w:rFonts w:ascii="Arial" w:hAnsi="Arial"/>
                <w:color w:val="000000"/>
                <w:sz w:val="22"/>
              </w:rPr>
              <w:t xml:space="preserve"> Dekker, 2003).</w:t>
            </w:r>
          </w:p>
        </w:tc>
      </w:tr>
      <w:tr w:rsidR="00623BA9" w:rsidRPr="00FA462D" w:rsidTr="00FA462D">
        <w:tc>
          <w:tcPr>
            <w:tcW w:w="1914" w:type="dxa"/>
            <w:shd w:val="clear" w:color="auto" w:fill="auto"/>
          </w:tcPr>
          <w:p w:rsidR="00623BA9" w:rsidRPr="00623BA9" w:rsidRDefault="00623BA9" w:rsidP="00623BA9">
            <w:pPr>
              <w:spacing w:before="40" w:after="40"/>
              <w:rPr>
                <w:rFonts w:ascii="Arial" w:hAnsi="Arial" w:cs="Arial"/>
                <w:b/>
                <w:sz w:val="22"/>
                <w:szCs w:val="22"/>
              </w:rPr>
            </w:pPr>
            <w:r w:rsidRPr="00623BA9">
              <w:rPr>
                <w:rFonts w:ascii="Arial" w:hAnsi="Arial"/>
                <w:b/>
                <w:sz w:val="22"/>
              </w:rPr>
              <w:t>Activités et résultats escomptés</w:t>
            </w:r>
          </w:p>
        </w:tc>
        <w:tc>
          <w:tcPr>
            <w:tcW w:w="7169" w:type="dxa"/>
            <w:shd w:val="clear" w:color="auto" w:fill="auto"/>
          </w:tcPr>
          <w:p w:rsidR="00395E08" w:rsidRDefault="00623BA9" w:rsidP="00685BBF">
            <w:pPr>
              <w:widowControl/>
              <w:numPr>
                <w:ilvl w:val="0"/>
                <w:numId w:val="47"/>
              </w:numPr>
              <w:tabs>
                <w:tab w:val="left" w:pos="386"/>
              </w:tabs>
              <w:autoSpaceDE/>
              <w:autoSpaceDN/>
              <w:adjustRightInd/>
              <w:spacing w:before="40" w:after="40"/>
              <w:ind w:left="386" w:hanging="283"/>
              <w:contextualSpacing/>
              <w:jc w:val="both"/>
              <w:rPr>
                <w:rFonts w:ascii="Arial" w:hAnsi="Arial" w:cs="Arial"/>
                <w:color w:val="000000" w:themeColor="text1"/>
                <w:sz w:val="22"/>
                <w:szCs w:val="22"/>
              </w:rPr>
            </w:pPr>
            <w:r w:rsidRPr="00623BA9">
              <w:rPr>
                <w:rFonts w:ascii="Arial" w:hAnsi="Arial"/>
                <w:color w:val="000000" w:themeColor="text1"/>
                <w:sz w:val="22"/>
              </w:rPr>
              <w:t xml:space="preserve">Convoquer une </w:t>
            </w:r>
            <w:r w:rsidR="00FA462D">
              <w:rPr>
                <w:rFonts w:ascii="Arial" w:hAnsi="Arial"/>
                <w:color w:val="000000" w:themeColor="text1"/>
                <w:sz w:val="22"/>
              </w:rPr>
              <w:t xml:space="preserve">deuxième </w:t>
            </w:r>
            <w:r w:rsidRPr="00623BA9">
              <w:rPr>
                <w:rFonts w:ascii="Arial" w:hAnsi="Arial"/>
                <w:color w:val="000000" w:themeColor="text1"/>
                <w:sz w:val="22"/>
              </w:rPr>
              <w:t>réunion de politique entre les États de l'aire de répartition en vue d</w:t>
            </w:r>
            <w:r w:rsidR="00FA462D">
              <w:rPr>
                <w:rFonts w:ascii="Arial" w:hAnsi="Arial"/>
                <w:color w:val="000000" w:themeColor="text1"/>
                <w:sz w:val="22"/>
              </w:rPr>
              <w:t xml:space="preserve">’explorer toutes les options qui peuvent renforcer les efforts de conservation pour l’anguille européenne. Cette réunion devrait </w:t>
            </w:r>
            <w:r w:rsidR="00FA462D" w:rsidRPr="00FA462D">
              <w:rPr>
                <w:rFonts w:ascii="Arial" w:hAnsi="Arial"/>
                <w:color w:val="000000" w:themeColor="text1"/>
                <w:sz w:val="22"/>
              </w:rPr>
              <w:t>se concentrer sur l'exploration des synergies entre les instruments existants, afin de consolider le rôle de la CMS, et le mécanisme de mise en œuvre associé, dans les efforts de conservation en cours.</w:t>
            </w:r>
            <w:r w:rsidR="00FA462D">
              <w:rPr>
                <w:rFonts w:ascii="Arial" w:hAnsi="Arial"/>
                <w:color w:val="000000" w:themeColor="text1"/>
                <w:sz w:val="22"/>
              </w:rPr>
              <w:t xml:space="preserve"> </w:t>
            </w:r>
          </w:p>
          <w:p w:rsidR="00395E08" w:rsidRDefault="00623BA9" w:rsidP="00395E08">
            <w:pPr>
              <w:widowControl/>
              <w:tabs>
                <w:tab w:val="left" w:pos="386"/>
              </w:tabs>
              <w:autoSpaceDE/>
              <w:autoSpaceDN/>
              <w:adjustRightInd/>
              <w:spacing w:before="40" w:after="40"/>
              <w:ind w:left="386"/>
              <w:contextualSpacing/>
              <w:jc w:val="both"/>
              <w:rPr>
                <w:rFonts w:ascii="Arial" w:hAnsi="Arial"/>
                <w:color w:val="000000" w:themeColor="text1"/>
                <w:sz w:val="22"/>
              </w:rPr>
            </w:pPr>
            <w:r w:rsidRPr="00395E08">
              <w:rPr>
                <w:rFonts w:ascii="Arial" w:hAnsi="Arial"/>
                <w:color w:val="000000" w:themeColor="text1"/>
                <w:sz w:val="22"/>
              </w:rPr>
              <w:lastRenderedPageBreak/>
              <w:t>Une première réunion s'est tenue à Galway (Irlande) en octobre 2016. Des représentants des 11 États de l'aire de répartition ainsi que des scientifiques de plus de 10 pays y ont pris part. La réunion a porté sur les lacunes dans les connaissances scientifiques relatives à l'espèce et à ses besoins en matière de conservation</w:t>
            </w:r>
            <w:r w:rsidR="00F02043" w:rsidRPr="00395E08">
              <w:rPr>
                <w:rFonts w:ascii="Arial" w:hAnsi="Arial"/>
                <w:color w:val="000000" w:themeColor="text1"/>
                <w:sz w:val="22"/>
              </w:rPr>
              <w:t xml:space="preserve"> et a discuté des arguments en faveur du développement d'un éventuel instrument de la </w:t>
            </w:r>
            <w:proofErr w:type="spellStart"/>
            <w:r w:rsidR="00F02043" w:rsidRPr="00395E08">
              <w:rPr>
                <w:rFonts w:ascii="Arial" w:hAnsi="Arial"/>
                <w:color w:val="000000" w:themeColor="text1"/>
                <w:sz w:val="22"/>
              </w:rPr>
              <w:t>CMS</w:t>
            </w:r>
            <w:r w:rsidRPr="00395E08">
              <w:rPr>
                <w:rFonts w:ascii="Arial" w:hAnsi="Arial"/>
                <w:color w:val="000000" w:themeColor="text1"/>
                <w:sz w:val="22"/>
              </w:rPr>
              <w:t>Comme</w:t>
            </w:r>
            <w:proofErr w:type="spellEnd"/>
            <w:r w:rsidRPr="00395E08">
              <w:rPr>
                <w:rFonts w:ascii="Arial" w:hAnsi="Arial"/>
                <w:color w:val="000000" w:themeColor="text1"/>
                <w:sz w:val="22"/>
              </w:rPr>
              <w:t xml:space="preserve"> consigné dans le Rapport de la réunion, les participants ont proposé une deuxième réunion, avec une plus large participation des États de l'aire de répartition, notamment ceux hors UE. </w:t>
            </w:r>
          </w:p>
          <w:p w:rsidR="00395E08" w:rsidRDefault="00395E08" w:rsidP="00395E08">
            <w:pPr>
              <w:widowControl/>
              <w:tabs>
                <w:tab w:val="left" w:pos="386"/>
              </w:tabs>
              <w:autoSpaceDE/>
              <w:autoSpaceDN/>
              <w:adjustRightInd/>
              <w:spacing w:before="40" w:after="40"/>
              <w:ind w:left="386"/>
              <w:contextualSpacing/>
              <w:jc w:val="both"/>
              <w:rPr>
                <w:rFonts w:ascii="Arial" w:hAnsi="Arial"/>
                <w:color w:val="000000" w:themeColor="text1"/>
                <w:sz w:val="22"/>
              </w:rPr>
            </w:pPr>
          </w:p>
          <w:p w:rsidR="00395E08" w:rsidRDefault="00F02043" w:rsidP="00395E08">
            <w:pPr>
              <w:widowControl/>
              <w:tabs>
                <w:tab w:val="left" w:pos="386"/>
              </w:tabs>
              <w:autoSpaceDE/>
              <w:autoSpaceDN/>
              <w:adjustRightInd/>
              <w:spacing w:before="40" w:after="40"/>
              <w:ind w:left="386"/>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Il est essentiel que les États de l’aire de répartition, et d’autres parties prenantes et des ORP, qui comprend les ORGP, sont invités et fortement encouragés à participer dans la réunion proposée. CITES devrait être </w:t>
            </w:r>
            <w:r w:rsidR="003906BD">
              <w:rPr>
                <w:rFonts w:ascii="Arial" w:hAnsi="Arial" w:cs="Arial"/>
                <w:color w:val="000000" w:themeColor="text1"/>
                <w:sz w:val="22"/>
                <w:szCs w:val="22"/>
              </w:rPr>
              <w:t xml:space="preserve">engagé </w:t>
            </w:r>
            <w:r w:rsidR="00315393">
              <w:rPr>
                <w:rFonts w:ascii="Arial" w:hAnsi="Arial" w:cs="Arial"/>
                <w:color w:val="000000" w:themeColor="text1"/>
                <w:sz w:val="22"/>
                <w:szCs w:val="22"/>
              </w:rPr>
              <w:t xml:space="preserve">en raison de leur expertise en relation au commerce à la fois légal et illégal des espèces. </w:t>
            </w:r>
          </w:p>
          <w:p w:rsidR="00395E08" w:rsidRDefault="00395E08" w:rsidP="00395E08">
            <w:pPr>
              <w:widowControl/>
              <w:tabs>
                <w:tab w:val="left" w:pos="386"/>
              </w:tabs>
              <w:autoSpaceDE/>
              <w:autoSpaceDN/>
              <w:adjustRightInd/>
              <w:spacing w:before="40" w:after="40"/>
              <w:ind w:left="386"/>
              <w:contextualSpacing/>
              <w:jc w:val="both"/>
              <w:rPr>
                <w:rFonts w:ascii="Arial" w:hAnsi="Arial" w:cs="Arial"/>
                <w:color w:val="000000" w:themeColor="text1"/>
                <w:sz w:val="22"/>
                <w:szCs w:val="22"/>
              </w:rPr>
            </w:pPr>
          </w:p>
          <w:p w:rsidR="00315393" w:rsidRPr="00395E08" w:rsidRDefault="00315393" w:rsidP="00395E08">
            <w:pPr>
              <w:widowControl/>
              <w:tabs>
                <w:tab w:val="left" w:pos="386"/>
              </w:tabs>
              <w:autoSpaceDE/>
              <w:autoSpaceDN/>
              <w:adjustRightInd/>
              <w:spacing w:before="40" w:after="40"/>
              <w:ind w:left="386"/>
              <w:contextualSpacing/>
              <w:jc w:val="both"/>
              <w:rPr>
                <w:rFonts w:ascii="Arial" w:hAnsi="Arial" w:cs="Arial"/>
                <w:color w:val="000000" w:themeColor="text1"/>
                <w:sz w:val="22"/>
                <w:szCs w:val="22"/>
              </w:rPr>
            </w:pPr>
            <w:r>
              <w:rPr>
                <w:rFonts w:ascii="Arial" w:hAnsi="Arial"/>
                <w:color w:val="000000" w:themeColor="text1"/>
                <w:sz w:val="22"/>
              </w:rPr>
              <w:t>La réunion</w:t>
            </w:r>
            <w:r w:rsidRPr="00623BA9">
              <w:rPr>
                <w:rFonts w:ascii="Arial" w:hAnsi="Arial"/>
                <w:color w:val="000000" w:themeColor="text1"/>
                <w:sz w:val="22"/>
              </w:rPr>
              <w:t xml:space="preserve"> </w:t>
            </w:r>
            <w:r>
              <w:rPr>
                <w:rFonts w:ascii="Arial" w:hAnsi="Arial"/>
                <w:color w:val="000000" w:themeColor="text1"/>
                <w:sz w:val="22"/>
              </w:rPr>
              <w:t>devra se tenir</w:t>
            </w:r>
            <w:r w:rsidR="00623BA9" w:rsidRPr="00623BA9">
              <w:rPr>
                <w:rFonts w:ascii="Arial" w:hAnsi="Arial"/>
                <w:color w:val="000000" w:themeColor="text1"/>
                <w:sz w:val="22"/>
              </w:rPr>
              <w:t xml:space="preserve"> début 2018, et sera convoquée par le Secrétariat de la CMS, avec l'aide financière et matérielle de Monaco et de la Commission de la mer des Sargasses.</w:t>
            </w:r>
          </w:p>
          <w:p w:rsidR="00623BA9" w:rsidRPr="00623BA9" w:rsidRDefault="00623BA9" w:rsidP="00623BA9">
            <w:pPr>
              <w:ind w:left="226"/>
              <w:jc w:val="both"/>
              <w:rPr>
                <w:rFonts w:ascii="Arial" w:hAnsi="Arial" w:cs="Arial"/>
                <w:color w:val="000000" w:themeColor="text1"/>
                <w:sz w:val="22"/>
                <w:szCs w:val="22"/>
              </w:rPr>
            </w:pPr>
            <w:r w:rsidRPr="00623BA9">
              <w:rPr>
                <w:rFonts w:ascii="Arial" w:hAnsi="Arial"/>
                <w:color w:val="000000" w:themeColor="text1"/>
                <w:sz w:val="22"/>
              </w:rPr>
              <w:t xml:space="preserve"> </w:t>
            </w:r>
          </w:p>
          <w:p w:rsidR="00623BA9" w:rsidRPr="00623BA9" w:rsidRDefault="00623BA9" w:rsidP="00623BA9">
            <w:pPr>
              <w:widowControl/>
              <w:numPr>
                <w:ilvl w:val="0"/>
                <w:numId w:val="47"/>
              </w:numPr>
              <w:tabs>
                <w:tab w:val="left" w:pos="406"/>
              </w:tabs>
              <w:autoSpaceDE/>
              <w:autoSpaceDN/>
              <w:adjustRightInd/>
              <w:spacing w:before="40" w:after="40"/>
              <w:ind w:left="316" w:hanging="270"/>
              <w:contextualSpacing/>
              <w:jc w:val="both"/>
              <w:rPr>
                <w:rFonts w:ascii="Arial" w:hAnsi="Arial" w:cs="Arial"/>
                <w:color w:val="000000" w:themeColor="text1"/>
                <w:sz w:val="22"/>
                <w:szCs w:val="22"/>
              </w:rPr>
            </w:pPr>
            <w:r w:rsidRPr="00623BA9">
              <w:rPr>
                <w:rFonts w:ascii="Arial" w:hAnsi="Arial"/>
                <w:color w:val="000000" w:themeColor="text1"/>
                <w:sz w:val="22"/>
              </w:rPr>
              <w:t xml:space="preserve">Réaliser une étude des États de l'aire de répartition afin d'identifier les lacunes en matière de conservation et de gestion de l'espèce. </w:t>
            </w:r>
          </w:p>
          <w:p w:rsidR="00623BA9" w:rsidRPr="00623BA9" w:rsidRDefault="00623BA9" w:rsidP="00395E08">
            <w:pPr>
              <w:ind w:left="318"/>
              <w:rPr>
                <w:rFonts w:ascii="Arial" w:hAnsi="Arial" w:cs="Arial"/>
                <w:color w:val="000000" w:themeColor="text1"/>
                <w:sz w:val="22"/>
                <w:szCs w:val="22"/>
              </w:rPr>
            </w:pPr>
            <w:r w:rsidRPr="00623BA9">
              <w:rPr>
                <w:rFonts w:ascii="Arial" w:hAnsi="Arial"/>
                <w:color w:val="000000" w:themeColor="text1"/>
                <w:sz w:val="22"/>
              </w:rPr>
              <w:t>Cela fournirait une base pour préparer le débat de la deuxième réunion. Aucune dépense financière ne serait exigée par les États de l'aire de répartition.</w:t>
            </w:r>
          </w:p>
          <w:p w:rsidR="00623BA9" w:rsidRPr="00623BA9" w:rsidRDefault="00623BA9" w:rsidP="00623BA9">
            <w:pPr>
              <w:widowControl/>
              <w:tabs>
                <w:tab w:val="left" w:pos="226"/>
                <w:tab w:val="left" w:pos="406"/>
              </w:tabs>
              <w:autoSpaceDE/>
              <w:autoSpaceDN/>
              <w:adjustRightInd/>
              <w:ind w:hanging="270"/>
              <w:contextualSpacing/>
              <w:jc w:val="both"/>
              <w:rPr>
                <w:rFonts w:ascii="Arial" w:hAnsi="Arial" w:cs="Arial"/>
                <w:color w:val="000000" w:themeColor="text1"/>
                <w:sz w:val="22"/>
                <w:szCs w:val="22"/>
              </w:rPr>
            </w:pPr>
          </w:p>
          <w:p w:rsidR="00623BA9" w:rsidRPr="00623BA9" w:rsidRDefault="00623BA9" w:rsidP="00623BA9">
            <w:pPr>
              <w:widowControl/>
              <w:numPr>
                <w:ilvl w:val="0"/>
                <w:numId w:val="47"/>
              </w:numPr>
              <w:tabs>
                <w:tab w:val="left" w:pos="226"/>
                <w:tab w:val="left" w:pos="406"/>
              </w:tabs>
              <w:autoSpaceDE/>
              <w:autoSpaceDN/>
              <w:adjustRightInd/>
              <w:spacing w:before="40" w:after="40"/>
              <w:ind w:left="316" w:hanging="270"/>
              <w:contextualSpacing/>
              <w:jc w:val="both"/>
              <w:rPr>
                <w:rFonts w:ascii="Arial" w:hAnsi="Arial" w:cs="Arial"/>
                <w:sz w:val="22"/>
                <w:szCs w:val="22"/>
              </w:rPr>
            </w:pPr>
            <w:r w:rsidRPr="00623BA9">
              <w:rPr>
                <w:rFonts w:ascii="Arial" w:hAnsi="Arial"/>
                <w:sz w:val="22"/>
              </w:rPr>
              <w:t>Identifier les actions qui complètent à la fois la décision de la COP 17 de la CITES 2016 et la résolution du Congrès mondial de la nature 2016 de l'UICN relatives aux anguillidés.</w:t>
            </w:r>
          </w:p>
          <w:p w:rsidR="00623BA9" w:rsidRPr="00623BA9" w:rsidRDefault="00623BA9" w:rsidP="00623BA9">
            <w:pPr>
              <w:widowControl/>
              <w:tabs>
                <w:tab w:val="left" w:pos="226"/>
                <w:tab w:val="left" w:pos="406"/>
              </w:tabs>
              <w:autoSpaceDE/>
              <w:autoSpaceDN/>
              <w:adjustRightInd/>
              <w:spacing w:before="40" w:after="40"/>
              <w:ind w:left="316"/>
              <w:contextualSpacing/>
              <w:jc w:val="both"/>
              <w:rPr>
                <w:rFonts w:ascii="Arial" w:hAnsi="Arial" w:cs="Arial"/>
                <w:sz w:val="22"/>
                <w:szCs w:val="22"/>
              </w:rPr>
            </w:pPr>
          </w:p>
          <w:p w:rsidR="00623BA9" w:rsidRPr="00623BA9" w:rsidRDefault="00623BA9" w:rsidP="00623BA9">
            <w:pPr>
              <w:widowControl/>
              <w:numPr>
                <w:ilvl w:val="0"/>
                <w:numId w:val="47"/>
              </w:numPr>
              <w:tabs>
                <w:tab w:val="left" w:pos="226"/>
                <w:tab w:val="left" w:pos="406"/>
              </w:tabs>
              <w:autoSpaceDE/>
              <w:autoSpaceDN/>
              <w:adjustRightInd/>
              <w:spacing w:before="40" w:after="40"/>
              <w:ind w:left="316" w:hanging="270"/>
              <w:contextualSpacing/>
              <w:jc w:val="both"/>
              <w:rPr>
                <w:rFonts w:ascii="Arial" w:hAnsi="Arial" w:cs="Arial"/>
                <w:sz w:val="22"/>
                <w:szCs w:val="22"/>
              </w:rPr>
            </w:pPr>
            <w:r w:rsidRPr="00623BA9">
              <w:rPr>
                <w:rFonts w:ascii="Arial" w:hAnsi="Arial"/>
                <w:sz w:val="22"/>
              </w:rPr>
              <w:t>Encourager l'amélioration du flux et de la collecte de données au CIEM pour le rapport annuel et au groupe de spécialistes des anguillidés (AESG) pour l'évaluation de la Liste rouge en 2018.</w:t>
            </w:r>
          </w:p>
          <w:p w:rsidR="00623BA9" w:rsidRPr="00623BA9" w:rsidRDefault="00623BA9" w:rsidP="00623BA9">
            <w:pPr>
              <w:ind w:left="720"/>
              <w:contextualSpacing/>
              <w:rPr>
                <w:rFonts w:cs="Arial"/>
                <w:sz w:val="22"/>
                <w:szCs w:val="22"/>
              </w:rPr>
            </w:pPr>
          </w:p>
          <w:p w:rsidR="00623BA9" w:rsidRPr="00623BA9" w:rsidRDefault="00623BA9" w:rsidP="00623BA9">
            <w:pPr>
              <w:widowControl/>
              <w:numPr>
                <w:ilvl w:val="0"/>
                <w:numId w:val="47"/>
              </w:numPr>
              <w:tabs>
                <w:tab w:val="left" w:pos="226"/>
                <w:tab w:val="left" w:pos="406"/>
              </w:tabs>
              <w:autoSpaceDE/>
              <w:autoSpaceDN/>
              <w:adjustRightInd/>
              <w:ind w:left="316" w:hanging="270"/>
              <w:contextualSpacing/>
              <w:jc w:val="both"/>
              <w:rPr>
                <w:rFonts w:ascii="Arial" w:hAnsi="Arial" w:cs="Arial"/>
                <w:sz w:val="22"/>
                <w:szCs w:val="22"/>
              </w:rPr>
            </w:pPr>
            <w:r w:rsidRPr="00623BA9">
              <w:rPr>
                <w:rFonts w:ascii="Arial" w:hAnsi="Arial"/>
                <w:sz w:val="22"/>
              </w:rPr>
              <w:t>Collaborer avec des intervenants pertinents ne faisant pas partie de l'aire de répartition, tels que l'organe régional des pêches</w:t>
            </w:r>
            <w:r w:rsidR="00BC538F">
              <w:rPr>
                <w:rFonts w:ascii="Arial" w:hAnsi="Arial"/>
                <w:sz w:val="22"/>
              </w:rPr>
              <w:t xml:space="preserve">, particulièrement </w:t>
            </w:r>
            <w:r w:rsidR="00BC538F">
              <w:rPr>
                <w:rFonts w:ascii="Arial" w:eastAsia="MS Mincho" w:hAnsi="Arial" w:cs="Arial"/>
                <w:sz w:val="22"/>
                <w:szCs w:val="22"/>
                <w:lang w:eastAsia="ja-JP"/>
              </w:rPr>
              <w:t>la commission générale des pêches pour la méditerranée (CGPM)</w:t>
            </w:r>
          </w:p>
          <w:p w:rsidR="00623BA9" w:rsidRPr="00623BA9" w:rsidRDefault="00623BA9" w:rsidP="00623BA9">
            <w:pPr>
              <w:ind w:left="46"/>
              <w:rPr>
                <w:rFonts w:ascii="Arial" w:hAnsi="Arial" w:cs="Arial"/>
                <w:sz w:val="22"/>
                <w:szCs w:val="22"/>
              </w:rPr>
            </w:pPr>
          </w:p>
          <w:p w:rsidR="00623BA9" w:rsidRPr="00623BA9" w:rsidRDefault="00623BA9" w:rsidP="00395E08">
            <w:pPr>
              <w:spacing w:after="120"/>
              <w:ind w:left="45"/>
              <w:rPr>
                <w:rFonts w:ascii="Arial" w:hAnsi="Arial" w:cs="Arial"/>
                <w:sz w:val="22"/>
                <w:szCs w:val="22"/>
              </w:rPr>
            </w:pPr>
            <w:r w:rsidRPr="00623BA9">
              <w:rPr>
                <w:rFonts w:ascii="Arial" w:hAnsi="Arial"/>
                <w:sz w:val="22"/>
              </w:rPr>
              <w:t>Les intervenants identifieront les sources de financement essentielles en cas de besoin.</w:t>
            </w:r>
          </w:p>
        </w:tc>
      </w:tr>
      <w:tr w:rsidR="00623BA9" w:rsidRPr="00FA462D" w:rsidTr="00FA462D">
        <w:tc>
          <w:tcPr>
            <w:tcW w:w="1914" w:type="dxa"/>
            <w:shd w:val="clear" w:color="auto" w:fill="auto"/>
          </w:tcPr>
          <w:p w:rsidR="00623BA9" w:rsidRPr="00623BA9" w:rsidRDefault="00623BA9" w:rsidP="00623BA9">
            <w:pPr>
              <w:spacing w:before="40" w:after="40"/>
              <w:rPr>
                <w:rFonts w:ascii="Arial" w:hAnsi="Arial" w:cs="Arial"/>
                <w:b/>
                <w:sz w:val="22"/>
                <w:szCs w:val="22"/>
              </w:rPr>
            </w:pPr>
            <w:r w:rsidRPr="00623BA9">
              <w:rPr>
                <w:rFonts w:ascii="Arial" w:hAnsi="Arial"/>
                <w:b/>
                <w:sz w:val="22"/>
              </w:rPr>
              <w:lastRenderedPageBreak/>
              <w:t>Avantages associés</w:t>
            </w:r>
          </w:p>
          <w:p w:rsidR="00623BA9" w:rsidRPr="00623BA9" w:rsidRDefault="00623BA9" w:rsidP="00623BA9">
            <w:pPr>
              <w:spacing w:before="40" w:after="40"/>
              <w:rPr>
                <w:rFonts w:ascii="Arial" w:hAnsi="Arial" w:cs="Arial"/>
                <w:b/>
                <w:i/>
                <w:sz w:val="22"/>
                <w:szCs w:val="22"/>
              </w:rPr>
            </w:pPr>
          </w:p>
        </w:tc>
        <w:tc>
          <w:tcPr>
            <w:tcW w:w="7169" w:type="dxa"/>
            <w:shd w:val="clear" w:color="auto" w:fill="auto"/>
          </w:tcPr>
          <w:p w:rsidR="00623BA9" w:rsidRPr="00623BA9" w:rsidRDefault="00BC538F" w:rsidP="00395E08">
            <w:pPr>
              <w:widowControl/>
              <w:autoSpaceDE/>
              <w:autoSpaceDN/>
              <w:adjustRightInd/>
              <w:spacing w:after="120"/>
              <w:jc w:val="both"/>
              <w:rPr>
                <w:rFonts w:ascii="Arial" w:hAnsi="Arial" w:cs="Arial"/>
                <w:sz w:val="22"/>
                <w:szCs w:val="22"/>
              </w:rPr>
            </w:pPr>
            <w:r>
              <w:rPr>
                <w:rFonts w:ascii="Arial" w:hAnsi="Arial"/>
                <w:sz w:val="22"/>
              </w:rPr>
              <w:t>Coopération sous la</w:t>
            </w:r>
            <w:r w:rsidR="00623BA9" w:rsidRPr="00623BA9">
              <w:rPr>
                <w:rFonts w:ascii="Arial" w:hAnsi="Arial"/>
                <w:sz w:val="22"/>
              </w:rPr>
              <w:t xml:space="preserve"> CMS pour l'anguille européenne dans toutes ses zones de répartition pourrait fournir un modèle important pour la gestion des autres anguillidés. Les autres espèces vivant dans les eaux continentales bénéficieront probablement également des initiatives axées sur l'amélioration de l'état de leur l'habitat et/ou de la connectivité des eaux douces.</w:t>
            </w:r>
          </w:p>
        </w:tc>
      </w:tr>
      <w:tr w:rsidR="00623BA9" w:rsidRPr="00FA462D" w:rsidTr="00FA462D">
        <w:tc>
          <w:tcPr>
            <w:tcW w:w="1914" w:type="dxa"/>
            <w:shd w:val="clear" w:color="auto" w:fill="auto"/>
          </w:tcPr>
          <w:p w:rsidR="00623BA9" w:rsidRPr="00623BA9" w:rsidRDefault="00623BA9" w:rsidP="00623BA9">
            <w:pPr>
              <w:spacing w:before="40" w:after="40"/>
              <w:rPr>
                <w:rFonts w:ascii="Arial" w:hAnsi="Arial" w:cs="Arial"/>
                <w:b/>
                <w:sz w:val="22"/>
                <w:szCs w:val="22"/>
              </w:rPr>
            </w:pPr>
            <w:r w:rsidRPr="00623BA9">
              <w:rPr>
                <w:rFonts w:ascii="Arial" w:hAnsi="Arial"/>
                <w:b/>
                <w:sz w:val="22"/>
              </w:rPr>
              <w:t>Délai</w:t>
            </w:r>
          </w:p>
          <w:p w:rsidR="00623BA9" w:rsidRPr="00623BA9" w:rsidRDefault="00623BA9" w:rsidP="00623BA9">
            <w:pPr>
              <w:spacing w:before="40" w:after="40"/>
              <w:rPr>
                <w:rFonts w:ascii="Arial" w:hAnsi="Arial" w:cs="Arial"/>
                <w:b/>
                <w:sz w:val="22"/>
                <w:szCs w:val="22"/>
              </w:rPr>
            </w:pPr>
          </w:p>
        </w:tc>
        <w:tc>
          <w:tcPr>
            <w:tcW w:w="7169" w:type="dxa"/>
            <w:shd w:val="clear" w:color="auto" w:fill="auto"/>
          </w:tcPr>
          <w:p w:rsidR="00623BA9" w:rsidRPr="00623BA9" w:rsidRDefault="00623BA9" w:rsidP="00623BA9">
            <w:pPr>
              <w:widowControl/>
              <w:autoSpaceDE/>
              <w:autoSpaceDN/>
              <w:adjustRightInd/>
              <w:spacing w:before="40" w:after="40"/>
              <w:jc w:val="both"/>
              <w:rPr>
                <w:rFonts w:ascii="Arial" w:hAnsi="Arial" w:cs="Arial"/>
                <w:sz w:val="22"/>
                <w:szCs w:val="22"/>
              </w:rPr>
            </w:pPr>
            <w:r w:rsidRPr="00623BA9">
              <w:rPr>
                <w:rFonts w:ascii="Arial" w:hAnsi="Arial"/>
                <w:sz w:val="22"/>
              </w:rPr>
              <w:t xml:space="preserve">La deuxième réunion des États de l'aire de répartition aura lieu au cours du premier trimestre 2018 si possible. </w:t>
            </w:r>
          </w:p>
          <w:p w:rsidR="00623BA9" w:rsidRPr="00623BA9" w:rsidRDefault="00623BA9" w:rsidP="00395E08">
            <w:pPr>
              <w:widowControl/>
              <w:autoSpaceDE/>
              <w:autoSpaceDN/>
              <w:adjustRightInd/>
              <w:spacing w:after="120"/>
              <w:jc w:val="both"/>
              <w:rPr>
                <w:rFonts w:ascii="Arial" w:hAnsi="Arial" w:cs="Arial"/>
                <w:sz w:val="22"/>
                <w:szCs w:val="22"/>
              </w:rPr>
            </w:pPr>
            <w:r w:rsidRPr="00623BA9">
              <w:rPr>
                <w:rFonts w:ascii="Arial" w:hAnsi="Arial"/>
                <w:sz w:val="22"/>
              </w:rPr>
              <w:t xml:space="preserve">Si cela s'avère nécessaire, des activités connexes se poursuivront jusqu'à la COP 13. </w:t>
            </w:r>
          </w:p>
        </w:tc>
      </w:tr>
      <w:tr w:rsidR="00623BA9" w:rsidRPr="00FA462D" w:rsidTr="00FA462D">
        <w:trPr>
          <w:trHeight w:val="636"/>
        </w:trPr>
        <w:tc>
          <w:tcPr>
            <w:tcW w:w="1914" w:type="dxa"/>
            <w:shd w:val="clear" w:color="auto" w:fill="auto"/>
          </w:tcPr>
          <w:p w:rsidR="00623BA9" w:rsidRPr="00623BA9" w:rsidRDefault="00623BA9" w:rsidP="00623BA9">
            <w:pPr>
              <w:spacing w:before="40" w:after="40"/>
              <w:rPr>
                <w:rFonts w:ascii="Arial" w:hAnsi="Arial" w:cs="Arial"/>
                <w:b/>
                <w:sz w:val="22"/>
                <w:szCs w:val="22"/>
              </w:rPr>
            </w:pPr>
            <w:r w:rsidRPr="00623BA9">
              <w:rPr>
                <w:rFonts w:ascii="Arial" w:hAnsi="Arial"/>
                <w:b/>
                <w:sz w:val="22"/>
              </w:rPr>
              <w:t>Liens avec d’autres actions de la CMS</w:t>
            </w:r>
          </w:p>
        </w:tc>
        <w:tc>
          <w:tcPr>
            <w:tcW w:w="7169" w:type="dxa"/>
            <w:shd w:val="clear" w:color="auto" w:fill="auto"/>
          </w:tcPr>
          <w:p w:rsidR="00623BA9" w:rsidRPr="00623BA9" w:rsidRDefault="00623BA9" w:rsidP="00623BA9">
            <w:pPr>
              <w:widowControl/>
              <w:autoSpaceDE/>
              <w:autoSpaceDN/>
              <w:adjustRightInd/>
              <w:spacing w:before="40" w:after="40"/>
              <w:jc w:val="both"/>
              <w:rPr>
                <w:rFonts w:ascii="Arial" w:hAnsi="Arial" w:cs="Arial"/>
                <w:sz w:val="22"/>
                <w:szCs w:val="22"/>
              </w:rPr>
            </w:pPr>
            <w:r w:rsidRPr="00623BA9">
              <w:rPr>
                <w:rFonts w:ascii="Arial" w:hAnsi="Arial"/>
                <w:sz w:val="22"/>
              </w:rPr>
              <w:t xml:space="preserve">En inscrivant l'espèce à l'Annexe II, les Parties de la CMS ont </w:t>
            </w:r>
            <w:proofErr w:type="gramStart"/>
            <w:r w:rsidRPr="00623BA9">
              <w:rPr>
                <w:rFonts w:ascii="Arial" w:hAnsi="Arial"/>
                <w:sz w:val="22"/>
              </w:rPr>
              <w:t>d'</w:t>
            </w:r>
            <w:proofErr w:type="spellStart"/>
            <w:r w:rsidRPr="00623BA9">
              <w:rPr>
                <w:rFonts w:ascii="Arial" w:hAnsi="Arial"/>
                <w:sz w:val="22"/>
              </w:rPr>
              <w:t>ors</w:t>
            </w:r>
            <w:proofErr w:type="spellEnd"/>
            <w:r w:rsidRPr="00623BA9">
              <w:rPr>
                <w:rFonts w:ascii="Arial" w:hAnsi="Arial"/>
                <w:sz w:val="22"/>
              </w:rPr>
              <w:t xml:space="preserve"> et déjà</w:t>
            </w:r>
            <w:proofErr w:type="gramEnd"/>
            <w:r w:rsidRPr="00623BA9">
              <w:rPr>
                <w:rFonts w:ascii="Arial" w:hAnsi="Arial"/>
                <w:sz w:val="22"/>
              </w:rPr>
              <w:t xml:space="preserve"> convenu qu'un</w:t>
            </w:r>
            <w:r w:rsidR="00BC538F">
              <w:rPr>
                <w:rFonts w:ascii="Arial" w:hAnsi="Arial"/>
                <w:sz w:val="22"/>
              </w:rPr>
              <w:t xml:space="preserve">e </w:t>
            </w:r>
            <w:proofErr w:type="spellStart"/>
            <w:r w:rsidR="00BC538F">
              <w:rPr>
                <w:rFonts w:ascii="Arial" w:hAnsi="Arial"/>
                <w:sz w:val="22"/>
              </w:rPr>
              <w:t>coopération</w:t>
            </w:r>
            <w:r w:rsidRPr="00623BA9">
              <w:rPr>
                <w:rFonts w:ascii="Arial" w:hAnsi="Arial"/>
                <w:sz w:val="22"/>
              </w:rPr>
              <w:t>international</w:t>
            </w:r>
            <w:proofErr w:type="spellEnd"/>
            <w:r w:rsidRPr="00623BA9">
              <w:rPr>
                <w:rFonts w:ascii="Arial" w:hAnsi="Arial"/>
                <w:sz w:val="22"/>
              </w:rPr>
              <w:t xml:space="preserve"> lui serait profitable.</w:t>
            </w:r>
          </w:p>
        </w:tc>
      </w:tr>
      <w:tr w:rsidR="00623BA9" w:rsidRPr="00FA462D" w:rsidTr="00FA462D">
        <w:tc>
          <w:tcPr>
            <w:tcW w:w="1914" w:type="dxa"/>
            <w:shd w:val="clear" w:color="auto" w:fill="auto"/>
          </w:tcPr>
          <w:p w:rsidR="00623BA9" w:rsidRPr="00623BA9" w:rsidRDefault="00623BA9" w:rsidP="00623BA9">
            <w:pPr>
              <w:spacing w:before="40" w:after="40"/>
              <w:rPr>
                <w:rFonts w:ascii="Arial" w:hAnsi="Arial" w:cs="Arial"/>
                <w:b/>
                <w:color w:val="000000"/>
                <w:sz w:val="22"/>
                <w:szCs w:val="22"/>
              </w:rPr>
            </w:pPr>
            <w:r w:rsidRPr="00623BA9">
              <w:rPr>
                <w:rFonts w:ascii="Arial" w:hAnsi="Arial"/>
                <w:b/>
                <w:color w:val="000000"/>
                <w:sz w:val="22"/>
              </w:rPr>
              <w:lastRenderedPageBreak/>
              <w:t>Priorité de la conservation</w:t>
            </w:r>
          </w:p>
          <w:p w:rsidR="00623BA9" w:rsidRPr="00623BA9" w:rsidRDefault="00623BA9" w:rsidP="00623BA9">
            <w:pPr>
              <w:spacing w:before="40" w:after="40"/>
              <w:rPr>
                <w:rFonts w:ascii="Arial" w:hAnsi="Arial" w:cs="Arial"/>
                <w:b/>
                <w:i/>
                <w:color w:val="000000"/>
                <w:sz w:val="22"/>
                <w:szCs w:val="22"/>
              </w:rPr>
            </w:pPr>
          </w:p>
        </w:tc>
        <w:tc>
          <w:tcPr>
            <w:tcW w:w="7169" w:type="dxa"/>
            <w:shd w:val="clear" w:color="auto" w:fill="auto"/>
          </w:tcPr>
          <w:p w:rsidR="00623BA9" w:rsidRPr="00623BA9" w:rsidRDefault="00623BA9" w:rsidP="00623BA9">
            <w:pPr>
              <w:widowControl/>
              <w:jc w:val="both"/>
              <w:rPr>
                <w:rFonts w:ascii="Arial" w:hAnsi="Arial" w:cs="Arial"/>
                <w:sz w:val="22"/>
                <w:szCs w:val="22"/>
              </w:rPr>
            </w:pPr>
            <w:r w:rsidRPr="00623BA9">
              <w:rPr>
                <w:rFonts w:ascii="Arial" w:hAnsi="Arial"/>
                <w:sz w:val="22"/>
              </w:rPr>
              <w:t xml:space="preserve">Comme exposé dans la </w:t>
            </w:r>
            <w:hyperlink r:id="rId8">
              <w:r w:rsidRPr="00623BA9">
                <w:rPr>
                  <w:rFonts w:ascii="Arial" w:hAnsi="Arial"/>
                  <w:color w:val="0000FF"/>
                  <w:sz w:val="22"/>
                  <w:u w:val="single"/>
                </w:rPr>
                <w:t>proposition</w:t>
              </w:r>
            </w:hyperlink>
            <w:r w:rsidRPr="00623BA9">
              <w:rPr>
                <w:rFonts w:ascii="Arial" w:hAnsi="Arial"/>
                <w:sz w:val="22"/>
              </w:rPr>
              <w:t xml:space="preserve"> visant à inscrire l'espèce à l'Annexe II,</w:t>
            </w:r>
            <w:r w:rsidRPr="00623BA9">
              <w:t xml:space="preserve"> </w:t>
            </w:r>
            <w:r w:rsidRPr="00623BA9">
              <w:rPr>
                <w:rFonts w:ascii="Arial" w:hAnsi="Arial"/>
                <w:sz w:val="22"/>
              </w:rPr>
              <w:t>les inquiétudes sont grandes quant au statut de l’espèce en raison d’un déclin des captures, des populations et de l’échappement de l’espèce au cours des quarante dernières années. Elle est pour le moment considérée comme « En danger critique d’extinction » sur la Liste rouge de l’UICN et est inscrite à l’Annexe II de la CITES, ainsi qu'à l'Annexe II de la CMS.</w:t>
            </w:r>
          </w:p>
          <w:p w:rsidR="00623BA9" w:rsidRPr="00623BA9" w:rsidRDefault="00623BA9" w:rsidP="00623BA9">
            <w:pPr>
              <w:widowControl/>
              <w:autoSpaceDE/>
              <w:autoSpaceDN/>
              <w:adjustRightInd/>
              <w:jc w:val="both"/>
              <w:rPr>
                <w:rFonts w:ascii="Arial" w:hAnsi="Arial" w:cs="Arial"/>
                <w:sz w:val="22"/>
                <w:szCs w:val="22"/>
              </w:rPr>
            </w:pPr>
          </w:p>
          <w:p w:rsidR="00623BA9" w:rsidRPr="00623BA9" w:rsidRDefault="00623BA9" w:rsidP="00395E08">
            <w:pPr>
              <w:widowControl/>
              <w:spacing w:after="120"/>
              <w:jc w:val="both"/>
              <w:rPr>
                <w:rFonts w:ascii="Arial" w:hAnsi="Arial" w:cs="Arial"/>
                <w:sz w:val="22"/>
                <w:szCs w:val="22"/>
              </w:rPr>
            </w:pPr>
            <w:r w:rsidRPr="00623BA9">
              <w:rPr>
                <w:rFonts w:ascii="Arial" w:hAnsi="Arial"/>
                <w:sz w:val="22"/>
              </w:rPr>
              <w:t>L’espèce a été inscrite à l’Annexe II de la CITES en 2007 suite aux inquiétudes concernant l’impact du commerce international sur les réserves d’anguille d’Europe et ce, dans une tentative de s’assurer que tout commerce de cette espèce soit durable. Cependant, en décembre 2010, l’Union européenne a interdit toute importation ou exportation d’anguille d’Europe vivante et préparée de et vers l’UE, car il n’était pas prouvé que ce commerce ne nuise pas à l’espèce (</w:t>
            </w:r>
            <w:proofErr w:type="spellStart"/>
            <w:r w:rsidRPr="00623BA9">
              <w:rPr>
                <w:rFonts w:ascii="Arial" w:hAnsi="Arial"/>
                <w:sz w:val="22"/>
              </w:rPr>
              <w:t>Crook</w:t>
            </w:r>
            <w:proofErr w:type="spellEnd"/>
            <w:r w:rsidRPr="00623BA9">
              <w:rPr>
                <w:rFonts w:ascii="Arial" w:hAnsi="Arial"/>
                <w:sz w:val="22"/>
              </w:rPr>
              <w:t>, 2011). Mais cette espèce peut toujours être commercialisée en-dehors de l’UE, à partir de pays de l’aire de répartition n’appartenant pas à l’UE, comme par exemple les pays d’Afrique du Nord.</w:t>
            </w:r>
          </w:p>
        </w:tc>
      </w:tr>
      <w:tr w:rsidR="00623BA9" w:rsidRPr="00FA462D" w:rsidTr="00FA462D">
        <w:tc>
          <w:tcPr>
            <w:tcW w:w="1914" w:type="dxa"/>
          </w:tcPr>
          <w:p w:rsidR="00623BA9" w:rsidRPr="00623BA9" w:rsidRDefault="00623BA9" w:rsidP="00623BA9">
            <w:pPr>
              <w:spacing w:before="40" w:after="40"/>
              <w:rPr>
                <w:rFonts w:ascii="Arial" w:hAnsi="Arial" w:cs="Arial"/>
                <w:b/>
                <w:color w:val="000000"/>
                <w:sz w:val="22"/>
                <w:szCs w:val="22"/>
              </w:rPr>
            </w:pPr>
            <w:r w:rsidRPr="00623BA9">
              <w:rPr>
                <w:rFonts w:ascii="Arial" w:hAnsi="Arial"/>
                <w:b/>
                <w:color w:val="000000"/>
                <w:sz w:val="22"/>
              </w:rPr>
              <w:t>Pertinence</w:t>
            </w:r>
          </w:p>
          <w:p w:rsidR="00623BA9" w:rsidRPr="00623BA9" w:rsidRDefault="00623BA9" w:rsidP="00623BA9">
            <w:pPr>
              <w:spacing w:before="40" w:after="40"/>
              <w:rPr>
                <w:rFonts w:ascii="Arial" w:hAnsi="Arial" w:cs="Arial"/>
                <w:b/>
                <w:i/>
                <w:color w:val="000000"/>
                <w:sz w:val="22"/>
                <w:szCs w:val="22"/>
              </w:rPr>
            </w:pPr>
          </w:p>
        </w:tc>
        <w:tc>
          <w:tcPr>
            <w:tcW w:w="7169" w:type="dxa"/>
            <w:shd w:val="clear" w:color="auto" w:fill="auto"/>
          </w:tcPr>
          <w:p w:rsidR="00623BA9" w:rsidRPr="00623BA9" w:rsidRDefault="00623BA9" w:rsidP="00623BA9">
            <w:pPr>
              <w:widowControl/>
              <w:autoSpaceDE/>
              <w:autoSpaceDN/>
              <w:adjustRightInd/>
              <w:jc w:val="both"/>
              <w:rPr>
                <w:rFonts w:ascii="Arial" w:hAnsi="Arial" w:cs="Arial"/>
                <w:color w:val="000000"/>
                <w:sz w:val="22"/>
                <w:szCs w:val="22"/>
              </w:rPr>
            </w:pPr>
            <w:r w:rsidRPr="00623BA9">
              <w:rPr>
                <w:rFonts w:ascii="Arial" w:hAnsi="Arial"/>
                <w:color w:val="000000"/>
                <w:sz w:val="22"/>
              </w:rPr>
              <w:t xml:space="preserve">L'espèce est actuellement inscrite à l'Annexe II de la CMS. De nombreux États clés de l'aire de répartition, notamment de l'Afrique du Nord, n'ont pas encore participé aux réunions. Toutefois, des mesures collectives sont nécessaires pour assurer une protection adéquate. </w:t>
            </w:r>
          </w:p>
          <w:p w:rsidR="00623BA9" w:rsidRPr="00623BA9" w:rsidRDefault="00623BA9" w:rsidP="00623BA9">
            <w:pPr>
              <w:widowControl/>
              <w:autoSpaceDE/>
              <w:autoSpaceDN/>
              <w:adjustRightInd/>
              <w:jc w:val="both"/>
              <w:rPr>
                <w:rFonts w:ascii="Arial" w:hAnsi="Arial" w:cs="Arial"/>
                <w:color w:val="000000"/>
                <w:sz w:val="22"/>
                <w:szCs w:val="22"/>
              </w:rPr>
            </w:pPr>
          </w:p>
          <w:p w:rsidR="00623BA9" w:rsidRPr="00623BA9" w:rsidRDefault="00623BA9" w:rsidP="00623BA9">
            <w:pPr>
              <w:widowControl/>
              <w:jc w:val="both"/>
              <w:rPr>
                <w:rFonts w:ascii="Arial" w:hAnsi="Arial" w:cs="Arial"/>
                <w:sz w:val="22"/>
                <w:szCs w:val="22"/>
              </w:rPr>
            </w:pPr>
            <w:r w:rsidRPr="00623BA9">
              <w:rPr>
                <w:rFonts w:ascii="Arial" w:hAnsi="Arial"/>
                <w:sz w:val="22"/>
              </w:rPr>
              <w:t xml:space="preserve">Comme exposé dans la </w:t>
            </w:r>
            <w:hyperlink r:id="rId9">
              <w:r w:rsidRPr="00623BA9">
                <w:rPr>
                  <w:rFonts w:ascii="Arial" w:hAnsi="Arial"/>
                  <w:color w:val="0000FF"/>
                  <w:sz w:val="22"/>
                  <w:u w:val="single"/>
                </w:rPr>
                <w:t>proposition</w:t>
              </w:r>
            </w:hyperlink>
            <w:r w:rsidRPr="00623BA9">
              <w:rPr>
                <w:rFonts w:ascii="Arial" w:hAnsi="Arial"/>
                <w:sz w:val="22"/>
              </w:rPr>
              <w:t xml:space="preserve"> visant à inscrire l'espèce à l'annexe II, « L’anguille d’Europe mène une vie que l’on pourrait décrire comme « catadrome avec options ». La véritable </w:t>
            </w:r>
            <w:proofErr w:type="spellStart"/>
            <w:r w:rsidRPr="00623BA9">
              <w:rPr>
                <w:rFonts w:ascii="Arial" w:hAnsi="Arial"/>
                <w:sz w:val="22"/>
              </w:rPr>
              <w:t>catadromie</w:t>
            </w:r>
            <w:proofErr w:type="spellEnd"/>
            <w:r w:rsidRPr="00623BA9">
              <w:rPr>
                <w:rFonts w:ascii="Arial" w:hAnsi="Arial"/>
                <w:sz w:val="22"/>
              </w:rPr>
              <w:t xml:space="preserve"> peut être décrite comme le fait de grandir et de se nourrir en eau douce, et de se reproduire en mer. Toutefois, la phase de croissance de l’anguille d’Europe est souvent décrite comme étant « continentale », car elle vit dans les eaux côtières, douces et saumâtres. Ainsi, « l’eau douce » ne serait pas essentielle à la perpétuation de l’espèce, d’où le terme de </w:t>
            </w:r>
            <w:proofErr w:type="spellStart"/>
            <w:r w:rsidRPr="00623BA9">
              <w:rPr>
                <w:rFonts w:ascii="Arial" w:hAnsi="Arial"/>
                <w:sz w:val="22"/>
              </w:rPr>
              <w:t>catadromie</w:t>
            </w:r>
            <w:proofErr w:type="spellEnd"/>
            <w:r w:rsidRPr="00623BA9">
              <w:rPr>
                <w:rFonts w:ascii="Arial" w:hAnsi="Arial"/>
                <w:sz w:val="22"/>
              </w:rPr>
              <w:t xml:space="preserve"> optionnelle. La reproduction et la fraie de l’anguille d’Europe se font en environnement marin et l’on considère cet élément comme essentiel à l’achèvement du cycle de vie »</w:t>
            </w:r>
          </w:p>
          <w:p w:rsidR="00623BA9" w:rsidRPr="00623BA9" w:rsidRDefault="00623BA9" w:rsidP="00623BA9">
            <w:pPr>
              <w:widowControl/>
              <w:adjustRightInd/>
              <w:jc w:val="both"/>
              <w:rPr>
                <w:rFonts w:ascii="Arial" w:hAnsi="Arial" w:cs="Arial"/>
                <w:color w:val="000000"/>
                <w:sz w:val="22"/>
                <w:szCs w:val="22"/>
              </w:rPr>
            </w:pPr>
          </w:p>
          <w:p w:rsidR="00623BA9" w:rsidRDefault="00623BA9" w:rsidP="00623BA9">
            <w:pPr>
              <w:widowControl/>
              <w:jc w:val="both"/>
              <w:rPr>
                <w:rFonts w:ascii="Arial" w:hAnsi="Arial"/>
                <w:sz w:val="22"/>
              </w:rPr>
            </w:pPr>
            <w:r w:rsidRPr="00623BA9">
              <w:rPr>
                <w:rFonts w:ascii="Arial" w:hAnsi="Arial"/>
                <w:sz w:val="22"/>
              </w:rPr>
              <w:t>« Il n’existe toujours pas de données exactes sur les zones de fraie. Néanmoins, à partir des travaux de Johannes Schmidt au début du XXème siècle (Schmidt, 1922), il en a été déduit que la fraie s’effectue dans une zone elliptique d’environ 2 000 km de large dans la mer des Sargasses, dans l’Atlantique Centre-Ouest (situé à environ 26°N 60°W) »</w:t>
            </w:r>
          </w:p>
          <w:p w:rsidR="00395E08" w:rsidRPr="00623BA9" w:rsidRDefault="00395E08" w:rsidP="00623BA9">
            <w:pPr>
              <w:widowControl/>
              <w:jc w:val="both"/>
              <w:rPr>
                <w:rFonts w:ascii="Arial" w:hAnsi="Arial" w:cs="Arial"/>
                <w:sz w:val="22"/>
                <w:szCs w:val="22"/>
              </w:rPr>
            </w:pPr>
          </w:p>
          <w:p w:rsidR="00623BA9" w:rsidRPr="00623BA9" w:rsidRDefault="00623BA9" w:rsidP="00395E08">
            <w:pPr>
              <w:widowControl/>
              <w:autoSpaceDE/>
              <w:autoSpaceDN/>
              <w:adjustRightInd/>
              <w:spacing w:after="120"/>
              <w:jc w:val="both"/>
              <w:rPr>
                <w:rFonts w:ascii="Arial" w:hAnsi="Arial" w:cs="Arial"/>
                <w:sz w:val="22"/>
                <w:szCs w:val="22"/>
              </w:rPr>
            </w:pPr>
            <w:r w:rsidRPr="00623BA9">
              <w:rPr>
                <w:rFonts w:ascii="Arial" w:hAnsi="Arial"/>
                <w:sz w:val="22"/>
              </w:rPr>
              <w:t xml:space="preserve">Les </w:t>
            </w:r>
            <w:proofErr w:type="spellStart"/>
            <w:r w:rsidRPr="00623BA9">
              <w:rPr>
                <w:rFonts w:ascii="Arial" w:hAnsi="Arial"/>
                <w:sz w:val="22"/>
              </w:rPr>
              <w:t>anguillées</w:t>
            </w:r>
            <w:proofErr w:type="spellEnd"/>
            <w:r w:rsidRPr="00623BA9">
              <w:rPr>
                <w:rFonts w:ascii="Arial" w:hAnsi="Arial"/>
                <w:sz w:val="22"/>
              </w:rPr>
              <w:t xml:space="preserve"> sont panmictiques et sémelpares, et leurs échappements d'une région ne se traduisent pas directement par un renvoi du recrutement larvaire dans la même localité. De ce fait, ces caractéristiques de leur cycle biologique, ainsi que les longues migrations suspectées vers et depuis la mer des Sargasses, signifient qu'ils sont exposés à toute une série de menaces, tant dans les milieux marins que dans les milieux d'eau douce, et leur gestion, ainsi que leur conservation, résultent difficiles.</w:t>
            </w:r>
          </w:p>
        </w:tc>
      </w:tr>
      <w:tr w:rsidR="00623BA9" w:rsidRPr="00FA462D" w:rsidTr="00FA462D">
        <w:tc>
          <w:tcPr>
            <w:tcW w:w="1914" w:type="dxa"/>
            <w:shd w:val="clear" w:color="auto" w:fill="auto"/>
          </w:tcPr>
          <w:p w:rsidR="00623BA9" w:rsidRPr="00623BA9" w:rsidRDefault="00623BA9" w:rsidP="00623BA9">
            <w:pPr>
              <w:spacing w:before="40" w:after="40"/>
              <w:rPr>
                <w:rFonts w:ascii="Arial" w:hAnsi="Arial" w:cs="Arial"/>
                <w:b/>
                <w:color w:val="000000"/>
                <w:sz w:val="22"/>
                <w:szCs w:val="22"/>
              </w:rPr>
            </w:pPr>
            <w:r w:rsidRPr="00623BA9">
              <w:rPr>
                <w:rFonts w:ascii="Arial" w:hAnsi="Arial"/>
                <w:b/>
                <w:color w:val="000000"/>
                <w:sz w:val="22"/>
              </w:rPr>
              <w:t>Absence de meilleures voies de recours</w:t>
            </w:r>
          </w:p>
        </w:tc>
        <w:tc>
          <w:tcPr>
            <w:tcW w:w="7169" w:type="dxa"/>
            <w:shd w:val="clear" w:color="auto" w:fill="auto"/>
          </w:tcPr>
          <w:p w:rsidR="00623BA9" w:rsidRPr="00623BA9" w:rsidRDefault="00623BA9" w:rsidP="00623BA9">
            <w:pPr>
              <w:widowControl/>
              <w:autoSpaceDE/>
              <w:autoSpaceDN/>
              <w:adjustRightInd/>
              <w:jc w:val="both"/>
              <w:rPr>
                <w:rFonts w:ascii="Arial" w:hAnsi="Arial" w:cs="Arial"/>
                <w:sz w:val="22"/>
                <w:szCs w:val="22"/>
              </w:rPr>
            </w:pPr>
            <w:r w:rsidRPr="00623BA9">
              <w:rPr>
                <w:rFonts w:ascii="Arial" w:hAnsi="Arial"/>
                <w:sz w:val="22"/>
              </w:rPr>
              <w:t>Cette action évalue directement si un instrument de la CMS serait une solution adéquate.</w:t>
            </w:r>
            <w:r w:rsidR="00BC538F">
              <w:rPr>
                <w:rFonts w:ascii="Arial" w:hAnsi="Arial"/>
                <w:sz w:val="22"/>
              </w:rPr>
              <w:t xml:space="preserve"> Cette action adresse directement le besoin pour une coordination et harmonisation à l’échelle de l’aire de répartition.</w:t>
            </w:r>
          </w:p>
          <w:p w:rsidR="00623BA9" w:rsidRPr="00623BA9" w:rsidRDefault="00623BA9" w:rsidP="00623BA9">
            <w:pPr>
              <w:widowControl/>
              <w:autoSpaceDE/>
              <w:autoSpaceDN/>
              <w:adjustRightInd/>
              <w:jc w:val="both"/>
              <w:rPr>
                <w:rFonts w:ascii="Arial" w:hAnsi="Arial" w:cs="Arial"/>
                <w:sz w:val="22"/>
                <w:szCs w:val="22"/>
              </w:rPr>
            </w:pPr>
          </w:p>
          <w:p w:rsidR="00623BA9" w:rsidRPr="00623BA9" w:rsidRDefault="00623BA9" w:rsidP="00623BA9">
            <w:pPr>
              <w:widowControl/>
              <w:autoSpaceDE/>
              <w:autoSpaceDN/>
              <w:adjustRightInd/>
              <w:jc w:val="both"/>
              <w:rPr>
                <w:rFonts w:ascii="Arial" w:hAnsi="Arial" w:cs="Arial"/>
                <w:sz w:val="22"/>
                <w:szCs w:val="22"/>
              </w:rPr>
            </w:pPr>
            <w:r w:rsidRPr="00623BA9">
              <w:rPr>
                <w:rFonts w:ascii="Arial" w:hAnsi="Arial"/>
                <w:sz w:val="22"/>
              </w:rPr>
              <w:t>La gestion de l'espèce est traitée dans le règlement (CE) N</w:t>
            </w:r>
            <w:r w:rsidRPr="00623BA9">
              <w:rPr>
                <w:rFonts w:ascii="Arial" w:hAnsi="Arial"/>
                <w:sz w:val="22"/>
                <w:vertAlign w:val="superscript"/>
              </w:rPr>
              <w:t>o</w:t>
            </w:r>
            <w:r w:rsidRPr="00623BA9">
              <w:rPr>
                <w:rFonts w:ascii="Arial" w:hAnsi="Arial"/>
                <w:sz w:val="22"/>
              </w:rPr>
              <w:t xml:space="preserve"> 1100/2007 du Conseil de l'Union européenne et tous les États membres dans </w:t>
            </w:r>
            <w:r w:rsidRPr="00623BA9">
              <w:rPr>
                <w:rFonts w:ascii="Arial" w:hAnsi="Arial"/>
                <w:sz w:val="22"/>
              </w:rPr>
              <w:lastRenderedPageBreak/>
              <w:t xml:space="preserve">lesquels il y a un potentiel habitat d'anguilles sont tenus d'avoir des plans nationaux de gestion de l'anguille. Cependant, l'aire de répartition de l'espèce s'étend au-delà des États membres de l'UE, en particulier aux pays d'Afrique du Nord, qui sont Parties à la CMS. </w:t>
            </w:r>
          </w:p>
          <w:p w:rsidR="00623BA9" w:rsidRPr="00623BA9" w:rsidRDefault="00623BA9" w:rsidP="00623BA9">
            <w:pPr>
              <w:jc w:val="both"/>
              <w:rPr>
                <w:rFonts w:ascii="Arial" w:hAnsi="Arial" w:cs="Arial"/>
                <w:color w:val="000000" w:themeColor="text1"/>
                <w:sz w:val="22"/>
                <w:szCs w:val="22"/>
              </w:rPr>
            </w:pPr>
          </w:p>
        </w:tc>
      </w:tr>
      <w:tr w:rsidR="00623BA9" w:rsidRPr="00FA462D" w:rsidTr="00FA462D">
        <w:tc>
          <w:tcPr>
            <w:tcW w:w="1914" w:type="dxa"/>
            <w:shd w:val="clear" w:color="auto" w:fill="auto"/>
          </w:tcPr>
          <w:p w:rsidR="00623BA9" w:rsidRPr="00623BA9" w:rsidRDefault="00623BA9" w:rsidP="00623BA9">
            <w:pPr>
              <w:widowControl/>
              <w:autoSpaceDE/>
              <w:autoSpaceDN/>
              <w:adjustRightInd/>
              <w:spacing w:before="40" w:after="40"/>
              <w:rPr>
                <w:rFonts w:ascii="Arial" w:hAnsi="Arial" w:cs="Arial"/>
                <w:b/>
                <w:sz w:val="22"/>
                <w:szCs w:val="22"/>
              </w:rPr>
            </w:pPr>
            <w:r w:rsidRPr="00623BA9">
              <w:rPr>
                <w:rFonts w:ascii="Arial" w:hAnsi="Arial"/>
                <w:b/>
                <w:sz w:val="22"/>
              </w:rPr>
              <w:lastRenderedPageBreak/>
              <w:t>Préparation et faisabilité</w:t>
            </w:r>
          </w:p>
          <w:p w:rsidR="00623BA9" w:rsidRPr="00623BA9" w:rsidRDefault="00623BA9" w:rsidP="00623BA9">
            <w:pPr>
              <w:widowControl/>
              <w:autoSpaceDE/>
              <w:autoSpaceDN/>
              <w:adjustRightInd/>
              <w:spacing w:before="40" w:after="40"/>
              <w:rPr>
                <w:rFonts w:ascii="Arial" w:hAnsi="Arial" w:cs="Arial"/>
                <w:b/>
                <w:i/>
                <w:sz w:val="22"/>
                <w:szCs w:val="22"/>
              </w:rPr>
            </w:pPr>
          </w:p>
        </w:tc>
        <w:tc>
          <w:tcPr>
            <w:tcW w:w="7169" w:type="dxa"/>
            <w:shd w:val="clear" w:color="auto" w:fill="auto"/>
          </w:tcPr>
          <w:p w:rsidR="00623BA9" w:rsidRPr="00623BA9" w:rsidRDefault="00623BA9" w:rsidP="00395E08">
            <w:pPr>
              <w:widowControl/>
              <w:autoSpaceDE/>
              <w:autoSpaceDN/>
              <w:adjustRightInd/>
              <w:spacing w:after="120"/>
              <w:jc w:val="both"/>
              <w:rPr>
                <w:rFonts w:ascii="Arial" w:hAnsi="Arial" w:cs="Arial"/>
                <w:sz w:val="22"/>
                <w:szCs w:val="22"/>
              </w:rPr>
            </w:pPr>
            <w:r w:rsidRPr="00623BA9">
              <w:rPr>
                <w:rFonts w:ascii="Arial" w:hAnsi="Arial"/>
                <w:sz w:val="22"/>
              </w:rPr>
              <w:t>L’action serait financée par le Gouvernement de Monaco, le Secrétariat de la CMS et le Secrétariat de la Commission de la mer des Sargasses, et financée par Monaco, la Commission de la mer des Sargasses et d'autres donateurs.</w:t>
            </w:r>
          </w:p>
        </w:tc>
      </w:tr>
      <w:tr w:rsidR="00623BA9" w:rsidRPr="00FA462D" w:rsidTr="00FA462D">
        <w:tc>
          <w:tcPr>
            <w:tcW w:w="1914" w:type="dxa"/>
            <w:shd w:val="clear" w:color="auto" w:fill="auto"/>
          </w:tcPr>
          <w:p w:rsidR="00623BA9" w:rsidRPr="00623BA9" w:rsidRDefault="00623BA9" w:rsidP="00623BA9">
            <w:pPr>
              <w:widowControl/>
              <w:autoSpaceDE/>
              <w:autoSpaceDN/>
              <w:adjustRightInd/>
              <w:spacing w:before="40" w:after="40"/>
              <w:rPr>
                <w:rFonts w:ascii="Arial" w:hAnsi="Arial" w:cs="Arial"/>
                <w:b/>
                <w:sz w:val="22"/>
                <w:szCs w:val="22"/>
              </w:rPr>
            </w:pPr>
            <w:r w:rsidRPr="00623BA9">
              <w:rPr>
                <w:rFonts w:ascii="Arial" w:hAnsi="Arial"/>
                <w:b/>
                <w:sz w:val="22"/>
              </w:rPr>
              <w:t>Probabilité de réussite</w:t>
            </w:r>
          </w:p>
          <w:p w:rsidR="00623BA9" w:rsidRPr="00623BA9" w:rsidRDefault="00623BA9" w:rsidP="00623BA9">
            <w:pPr>
              <w:widowControl/>
              <w:autoSpaceDE/>
              <w:autoSpaceDN/>
              <w:adjustRightInd/>
              <w:spacing w:before="40" w:after="40"/>
              <w:rPr>
                <w:rFonts w:ascii="Arial" w:hAnsi="Arial" w:cs="Arial"/>
                <w:b/>
                <w:i/>
                <w:sz w:val="22"/>
                <w:szCs w:val="22"/>
              </w:rPr>
            </w:pPr>
          </w:p>
        </w:tc>
        <w:tc>
          <w:tcPr>
            <w:tcW w:w="7169" w:type="dxa"/>
            <w:shd w:val="clear" w:color="auto" w:fill="auto"/>
          </w:tcPr>
          <w:p w:rsidR="00623BA9" w:rsidRPr="00623BA9" w:rsidRDefault="00623BA9" w:rsidP="00395E08">
            <w:pPr>
              <w:widowControl/>
              <w:autoSpaceDE/>
              <w:autoSpaceDN/>
              <w:adjustRightInd/>
              <w:spacing w:after="120"/>
              <w:jc w:val="both"/>
              <w:rPr>
                <w:rFonts w:ascii="Arial" w:hAnsi="Arial" w:cs="Arial"/>
                <w:sz w:val="22"/>
                <w:szCs w:val="22"/>
              </w:rPr>
            </w:pPr>
            <w:r w:rsidRPr="00623BA9">
              <w:rPr>
                <w:rFonts w:ascii="Arial" w:hAnsi="Arial"/>
                <w:sz w:val="22"/>
              </w:rPr>
              <w:t xml:space="preserve">L’engagement de Monaco, un des États de l'aire de répartition, et de la Commission de la mer des Sargasses, appuie la faisabilité des actions. </w:t>
            </w:r>
          </w:p>
          <w:p w:rsidR="00623BA9" w:rsidRPr="00623BA9" w:rsidRDefault="00623BA9" w:rsidP="00395E08">
            <w:pPr>
              <w:widowControl/>
              <w:autoSpaceDE/>
              <w:autoSpaceDN/>
              <w:adjustRightInd/>
              <w:spacing w:after="120"/>
              <w:jc w:val="both"/>
              <w:rPr>
                <w:rFonts w:ascii="Arial" w:hAnsi="Arial" w:cs="Arial"/>
                <w:sz w:val="22"/>
                <w:szCs w:val="22"/>
              </w:rPr>
            </w:pPr>
            <w:r w:rsidRPr="00623BA9">
              <w:rPr>
                <w:rFonts w:ascii="Arial" w:hAnsi="Arial"/>
                <w:sz w:val="22"/>
              </w:rPr>
              <w:t>Les facteurs de risque comprennent le manque de participation des États de l'aire de répartition et le manque de financement pour soutenir les futurs ateliers et réunions.</w:t>
            </w:r>
          </w:p>
        </w:tc>
      </w:tr>
      <w:tr w:rsidR="00623BA9" w:rsidRPr="00FA462D" w:rsidTr="00FA462D">
        <w:tc>
          <w:tcPr>
            <w:tcW w:w="1914" w:type="dxa"/>
            <w:shd w:val="clear" w:color="auto" w:fill="auto"/>
          </w:tcPr>
          <w:p w:rsidR="00623BA9" w:rsidRPr="00623BA9" w:rsidRDefault="00623BA9" w:rsidP="00623BA9">
            <w:pPr>
              <w:widowControl/>
              <w:autoSpaceDE/>
              <w:autoSpaceDN/>
              <w:adjustRightInd/>
              <w:spacing w:before="40" w:after="40"/>
              <w:rPr>
                <w:rFonts w:ascii="Arial" w:hAnsi="Arial" w:cs="Arial"/>
                <w:b/>
                <w:sz w:val="22"/>
                <w:szCs w:val="22"/>
              </w:rPr>
            </w:pPr>
            <w:r w:rsidRPr="00623BA9">
              <w:rPr>
                <w:rFonts w:ascii="Arial" w:hAnsi="Arial"/>
                <w:b/>
                <w:sz w:val="22"/>
              </w:rPr>
              <w:t>Ampleur de l’impact potentiel</w:t>
            </w:r>
          </w:p>
          <w:p w:rsidR="00623BA9" w:rsidRPr="00623BA9" w:rsidRDefault="00623BA9" w:rsidP="00623BA9">
            <w:pPr>
              <w:widowControl/>
              <w:autoSpaceDE/>
              <w:autoSpaceDN/>
              <w:adjustRightInd/>
              <w:spacing w:before="40" w:after="40"/>
              <w:rPr>
                <w:rFonts w:ascii="Arial" w:hAnsi="Arial" w:cs="Arial"/>
                <w:b/>
                <w:i/>
                <w:sz w:val="22"/>
                <w:szCs w:val="22"/>
              </w:rPr>
            </w:pPr>
          </w:p>
        </w:tc>
        <w:tc>
          <w:tcPr>
            <w:tcW w:w="7169" w:type="dxa"/>
            <w:shd w:val="clear" w:color="auto" w:fill="auto"/>
          </w:tcPr>
          <w:p w:rsidR="00623BA9" w:rsidRPr="00623BA9" w:rsidRDefault="00623BA9" w:rsidP="00395E08">
            <w:pPr>
              <w:widowControl/>
              <w:autoSpaceDE/>
              <w:autoSpaceDN/>
              <w:adjustRightInd/>
              <w:spacing w:after="120"/>
              <w:jc w:val="both"/>
              <w:rPr>
                <w:rFonts w:ascii="Arial" w:hAnsi="Arial" w:cs="Arial"/>
                <w:sz w:val="22"/>
                <w:szCs w:val="22"/>
              </w:rPr>
            </w:pPr>
            <w:r w:rsidRPr="00623BA9">
              <w:rPr>
                <w:rFonts w:ascii="Arial" w:hAnsi="Arial"/>
                <w:sz w:val="22"/>
              </w:rPr>
              <w:t>De nouvelles initiatives, qui complètent les plans existants pour la gestion de l'espèce, sont développées et mises en œuvre.</w:t>
            </w:r>
          </w:p>
          <w:p w:rsidR="00623BA9" w:rsidRPr="00623BA9" w:rsidRDefault="00623BA9" w:rsidP="00395E08">
            <w:pPr>
              <w:widowControl/>
              <w:autoSpaceDE/>
              <w:autoSpaceDN/>
              <w:adjustRightInd/>
              <w:spacing w:after="120"/>
              <w:jc w:val="both"/>
              <w:rPr>
                <w:rFonts w:ascii="Arial" w:hAnsi="Arial" w:cs="Arial"/>
                <w:sz w:val="22"/>
                <w:szCs w:val="22"/>
              </w:rPr>
            </w:pPr>
            <w:r w:rsidRPr="00623BA9">
              <w:rPr>
                <w:rFonts w:ascii="Arial" w:hAnsi="Arial"/>
                <w:sz w:val="22"/>
              </w:rPr>
              <w:t xml:space="preserve">Une gestion améliorée pourrait servir de modèle pour la conservation d'autres espèces d'anguilles. </w:t>
            </w:r>
          </w:p>
        </w:tc>
      </w:tr>
      <w:tr w:rsidR="00623BA9" w:rsidRPr="00FA462D" w:rsidTr="00FA462D">
        <w:tc>
          <w:tcPr>
            <w:tcW w:w="1914" w:type="dxa"/>
            <w:shd w:val="clear" w:color="auto" w:fill="auto"/>
          </w:tcPr>
          <w:p w:rsidR="00623BA9" w:rsidRPr="00623BA9" w:rsidRDefault="00623BA9" w:rsidP="00623BA9">
            <w:pPr>
              <w:widowControl/>
              <w:autoSpaceDE/>
              <w:autoSpaceDN/>
              <w:adjustRightInd/>
              <w:spacing w:before="40" w:after="40"/>
              <w:rPr>
                <w:rFonts w:ascii="Arial" w:hAnsi="Arial" w:cs="Arial"/>
                <w:b/>
                <w:i/>
                <w:sz w:val="22"/>
                <w:szCs w:val="22"/>
              </w:rPr>
            </w:pPr>
            <w:r w:rsidRPr="00623BA9">
              <w:rPr>
                <w:rFonts w:ascii="Arial" w:hAnsi="Arial"/>
                <w:b/>
                <w:sz w:val="22"/>
              </w:rPr>
              <w:t>Rapport coût-efficacité</w:t>
            </w:r>
          </w:p>
        </w:tc>
        <w:tc>
          <w:tcPr>
            <w:tcW w:w="7169" w:type="dxa"/>
            <w:shd w:val="clear" w:color="auto" w:fill="auto"/>
          </w:tcPr>
          <w:p w:rsidR="00623BA9" w:rsidRPr="00623BA9" w:rsidRDefault="00623BA9" w:rsidP="00395E08">
            <w:pPr>
              <w:widowControl/>
              <w:autoSpaceDE/>
              <w:autoSpaceDN/>
              <w:adjustRightInd/>
              <w:spacing w:after="120"/>
              <w:jc w:val="both"/>
              <w:rPr>
                <w:rFonts w:ascii="Arial" w:hAnsi="Arial" w:cs="Arial"/>
                <w:sz w:val="22"/>
                <w:szCs w:val="22"/>
              </w:rPr>
            </w:pPr>
            <w:r w:rsidRPr="00623BA9">
              <w:rPr>
                <w:rFonts w:ascii="Arial" w:hAnsi="Arial"/>
                <w:sz w:val="22"/>
              </w:rPr>
              <w:t xml:space="preserve">Ce plan est le moyen le plus efficace pour impliquer les États de l'aire de répartition et </w:t>
            </w:r>
            <w:r w:rsidR="001C67B3">
              <w:rPr>
                <w:rFonts w:ascii="Arial" w:hAnsi="Arial"/>
                <w:sz w:val="22"/>
              </w:rPr>
              <w:t>déterminer le rôle de la CMS dans la conservation de l’anguille européen</w:t>
            </w:r>
            <w:bookmarkStart w:id="0" w:name="_GoBack"/>
            <w:bookmarkEnd w:id="0"/>
            <w:r w:rsidR="001C67B3">
              <w:rPr>
                <w:rFonts w:ascii="Arial" w:hAnsi="Arial"/>
                <w:sz w:val="22"/>
              </w:rPr>
              <w:t xml:space="preserve">ne. </w:t>
            </w:r>
          </w:p>
        </w:tc>
      </w:tr>
    </w:tbl>
    <w:p w:rsidR="00623BA9" w:rsidRPr="00623BA9" w:rsidRDefault="00623BA9" w:rsidP="00623BA9">
      <w:pPr>
        <w:spacing w:after="40"/>
        <w:rPr>
          <w:rFonts w:ascii="Arial" w:hAnsi="Arial" w:cs="Arial"/>
          <w:szCs w:val="20"/>
          <w:lang w:val="fr-FR" w:eastAsia="fr-FR" w:bidi="fr-FR"/>
        </w:rPr>
      </w:pPr>
    </w:p>
    <w:p w:rsidR="00623BA9" w:rsidRPr="00623BA9" w:rsidRDefault="00623BA9" w:rsidP="00623BA9">
      <w:pPr>
        <w:spacing w:after="40"/>
        <w:rPr>
          <w:rFonts w:ascii="Arial" w:hAnsi="Arial" w:cs="Arial"/>
          <w:szCs w:val="20"/>
          <w:lang w:val="fr-FR" w:eastAsia="fr-FR" w:bidi="fr-FR"/>
        </w:rPr>
      </w:pPr>
    </w:p>
    <w:p w:rsidR="00623BA9" w:rsidRPr="00685BBF" w:rsidRDefault="00623BA9" w:rsidP="00623BA9">
      <w:pPr>
        <w:rPr>
          <w:rFonts w:ascii="Arial" w:hAnsi="Arial" w:cs="Arial"/>
          <w:sz w:val="22"/>
          <w:szCs w:val="22"/>
          <w:lang w:val="fr-FR" w:eastAsia="fr-FR" w:bidi="fr-FR"/>
        </w:rPr>
      </w:pPr>
      <w:r w:rsidRPr="00685BBF">
        <w:rPr>
          <w:rFonts w:ascii="Arial" w:hAnsi="Arial" w:cs="Arial"/>
          <w:b/>
          <w:sz w:val="22"/>
          <w:szCs w:val="22"/>
          <w:lang w:val="fr-FR" w:eastAsia="fr-FR" w:bidi="fr-FR"/>
        </w:rPr>
        <w:t>Références</w:t>
      </w:r>
    </w:p>
    <w:p w:rsidR="00623BA9" w:rsidRPr="00685BBF" w:rsidRDefault="00623BA9" w:rsidP="00623BA9">
      <w:pPr>
        <w:rPr>
          <w:rFonts w:ascii="Arial" w:hAnsi="Arial" w:cs="Arial"/>
          <w:szCs w:val="20"/>
          <w:lang w:val="fr-FR" w:eastAsia="fr-FR" w:bidi="fr-FR"/>
        </w:rPr>
      </w:pPr>
    </w:p>
    <w:p w:rsidR="00623BA9" w:rsidRPr="00623BA9" w:rsidRDefault="00623BA9" w:rsidP="00623BA9">
      <w:pPr>
        <w:ind w:left="360" w:hanging="360"/>
        <w:jc w:val="both"/>
        <w:rPr>
          <w:rFonts w:ascii="Arial" w:hAnsi="Arial" w:cs="Arial"/>
          <w:color w:val="000000"/>
          <w:szCs w:val="20"/>
          <w:lang w:eastAsia="fr-FR" w:bidi="fr-FR"/>
        </w:rPr>
      </w:pPr>
      <w:proofErr w:type="spellStart"/>
      <w:r w:rsidRPr="00685BBF">
        <w:rPr>
          <w:rFonts w:ascii="Arial" w:hAnsi="Arial" w:cs="Arial"/>
          <w:color w:val="000000"/>
          <w:szCs w:val="20"/>
          <w:lang w:val="fr-FR" w:eastAsia="fr-FR" w:bidi="fr-FR"/>
        </w:rPr>
        <w:t>Crook</w:t>
      </w:r>
      <w:proofErr w:type="spellEnd"/>
      <w:r w:rsidRPr="00685BBF">
        <w:rPr>
          <w:rFonts w:ascii="Arial" w:hAnsi="Arial" w:cs="Arial"/>
          <w:color w:val="000000"/>
          <w:szCs w:val="20"/>
          <w:lang w:val="fr-FR" w:eastAsia="fr-FR" w:bidi="fr-FR"/>
        </w:rPr>
        <w:t xml:space="preserve">, V. (2011) Trade in </w:t>
      </w:r>
      <w:proofErr w:type="spellStart"/>
      <w:r w:rsidRPr="00685BBF">
        <w:rPr>
          <w:rFonts w:ascii="Arial" w:hAnsi="Arial" w:cs="Arial"/>
          <w:color w:val="000000"/>
          <w:szCs w:val="20"/>
          <w:lang w:val="fr-FR" w:eastAsia="fr-FR" w:bidi="fr-FR"/>
        </w:rPr>
        <w:t>European</w:t>
      </w:r>
      <w:proofErr w:type="spellEnd"/>
      <w:r w:rsidRPr="00685BBF">
        <w:rPr>
          <w:rFonts w:ascii="Arial" w:hAnsi="Arial" w:cs="Arial"/>
          <w:color w:val="000000"/>
          <w:szCs w:val="20"/>
          <w:lang w:val="fr-FR" w:eastAsia="fr-FR" w:bidi="fr-FR"/>
        </w:rPr>
        <w:t xml:space="preserve"> </w:t>
      </w:r>
      <w:proofErr w:type="spellStart"/>
      <w:proofErr w:type="gramStart"/>
      <w:r w:rsidRPr="00685BBF">
        <w:rPr>
          <w:rFonts w:ascii="Arial" w:hAnsi="Arial" w:cs="Arial"/>
          <w:color w:val="000000"/>
          <w:szCs w:val="20"/>
          <w:lang w:val="fr-FR" w:eastAsia="fr-FR" w:bidi="fr-FR"/>
        </w:rPr>
        <w:t>Eels</w:t>
      </w:r>
      <w:proofErr w:type="spellEnd"/>
      <w:r w:rsidRPr="00685BBF">
        <w:rPr>
          <w:rFonts w:ascii="Arial" w:hAnsi="Arial" w:cs="Arial"/>
          <w:color w:val="000000"/>
          <w:szCs w:val="20"/>
          <w:lang w:val="fr-FR" w:eastAsia="fr-FR" w:bidi="fr-FR"/>
        </w:rPr>
        <w:t>:</w:t>
      </w:r>
      <w:proofErr w:type="gramEnd"/>
      <w:r w:rsidRPr="00685BBF">
        <w:rPr>
          <w:rFonts w:ascii="Arial" w:hAnsi="Arial" w:cs="Arial"/>
          <w:color w:val="000000"/>
          <w:szCs w:val="20"/>
          <w:lang w:val="fr-FR" w:eastAsia="fr-FR" w:bidi="fr-FR"/>
        </w:rPr>
        <w:t xml:space="preserve"> </w:t>
      </w:r>
      <w:proofErr w:type="spellStart"/>
      <w:r w:rsidRPr="00685BBF">
        <w:rPr>
          <w:rFonts w:ascii="Arial" w:hAnsi="Arial" w:cs="Arial"/>
          <w:color w:val="000000"/>
          <w:szCs w:val="20"/>
          <w:lang w:val="fr-FR" w:eastAsia="fr-FR" w:bidi="fr-FR"/>
        </w:rPr>
        <w:t>Recent</w:t>
      </w:r>
      <w:proofErr w:type="spellEnd"/>
      <w:r w:rsidRPr="00685BBF">
        <w:rPr>
          <w:rFonts w:ascii="Arial" w:hAnsi="Arial" w:cs="Arial"/>
          <w:color w:val="000000"/>
          <w:szCs w:val="20"/>
          <w:lang w:val="fr-FR" w:eastAsia="fr-FR" w:bidi="fr-FR"/>
        </w:rPr>
        <w:t xml:space="preserve"> </w:t>
      </w:r>
      <w:proofErr w:type="spellStart"/>
      <w:r w:rsidRPr="00685BBF">
        <w:rPr>
          <w:rFonts w:ascii="Arial" w:hAnsi="Arial" w:cs="Arial"/>
          <w:color w:val="000000"/>
          <w:szCs w:val="20"/>
          <w:lang w:val="fr-FR" w:eastAsia="fr-FR" w:bidi="fr-FR"/>
        </w:rPr>
        <w:t>Developments</w:t>
      </w:r>
      <w:proofErr w:type="spellEnd"/>
      <w:r w:rsidRPr="00685BBF">
        <w:rPr>
          <w:rFonts w:ascii="Arial" w:hAnsi="Arial" w:cs="Arial"/>
          <w:color w:val="000000"/>
          <w:szCs w:val="20"/>
          <w:lang w:val="fr-FR" w:eastAsia="fr-FR" w:bidi="fr-FR"/>
        </w:rPr>
        <w:t xml:space="preserve"> </w:t>
      </w:r>
      <w:proofErr w:type="spellStart"/>
      <w:r w:rsidRPr="00685BBF">
        <w:rPr>
          <w:rFonts w:ascii="Arial" w:hAnsi="Arial" w:cs="Arial"/>
          <w:color w:val="000000"/>
          <w:szCs w:val="20"/>
          <w:lang w:val="fr-FR" w:eastAsia="fr-FR" w:bidi="fr-FR"/>
        </w:rPr>
        <w:t>under</w:t>
      </w:r>
      <w:proofErr w:type="spellEnd"/>
      <w:r w:rsidRPr="00685BBF">
        <w:rPr>
          <w:rFonts w:ascii="Arial" w:hAnsi="Arial" w:cs="Arial"/>
          <w:color w:val="000000"/>
          <w:szCs w:val="20"/>
          <w:lang w:val="fr-FR" w:eastAsia="fr-FR" w:bidi="fr-FR"/>
        </w:rPr>
        <w:t xml:space="preserve"> CITES and the EU </w:t>
      </w:r>
      <w:proofErr w:type="spellStart"/>
      <w:r w:rsidRPr="00685BBF">
        <w:rPr>
          <w:rFonts w:ascii="Arial" w:hAnsi="Arial" w:cs="Arial"/>
          <w:color w:val="000000"/>
          <w:szCs w:val="20"/>
          <w:lang w:val="fr-FR" w:eastAsia="fr-FR" w:bidi="fr-FR"/>
        </w:rPr>
        <w:t>Wildlife</w:t>
      </w:r>
      <w:proofErr w:type="spellEnd"/>
      <w:r w:rsidRPr="00685BBF">
        <w:rPr>
          <w:rFonts w:ascii="Arial" w:hAnsi="Arial" w:cs="Arial"/>
          <w:color w:val="000000"/>
          <w:szCs w:val="20"/>
          <w:lang w:val="fr-FR" w:eastAsia="fr-FR" w:bidi="fr-FR"/>
        </w:rPr>
        <w:t xml:space="preserve"> Trade</w:t>
      </w:r>
      <w:r w:rsidRPr="00685BBF">
        <w:rPr>
          <w:rFonts w:ascii="Arial" w:hAnsi="Arial" w:cs="Arial"/>
          <w:color w:val="000000"/>
          <w:szCs w:val="20"/>
          <w:lang w:val="fr-FR" w:eastAsia="fr-FR" w:bidi="fr-FR"/>
        </w:rPr>
        <w:br/>
      </w:r>
      <w:proofErr w:type="spellStart"/>
      <w:r w:rsidRPr="00685BBF">
        <w:rPr>
          <w:rFonts w:ascii="Arial" w:hAnsi="Arial" w:cs="Arial"/>
          <w:color w:val="000000"/>
          <w:szCs w:val="20"/>
          <w:lang w:val="fr-FR" w:eastAsia="fr-FR" w:bidi="fr-FR"/>
        </w:rPr>
        <w:t>Regulations</w:t>
      </w:r>
      <w:proofErr w:type="spellEnd"/>
      <w:r w:rsidRPr="00685BBF">
        <w:rPr>
          <w:rFonts w:ascii="Arial" w:hAnsi="Arial" w:cs="Arial"/>
          <w:color w:val="000000"/>
          <w:szCs w:val="20"/>
          <w:lang w:val="fr-FR" w:eastAsia="fr-FR" w:bidi="fr-FR"/>
        </w:rPr>
        <w:t xml:space="preserve">. </w:t>
      </w:r>
      <w:r w:rsidRPr="00623BA9">
        <w:rPr>
          <w:rFonts w:ascii="Arial" w:hAnsi="Arial" w:cs="Arial"/>
          <w:i/>
          <w:iCs/>
          <w:color w:val="000000"/>
          <w:szCs w:val="20"/>
          <w:lang w:eastAsia="fr-FR" w:bidi="fr-FR"/>
        </w:rPr>
        <w:t xml:space="preserve">TRAFFIC Bulletin </w:t>
      </w:r>
      <w:r w:rsidRPr="00623BA9">
        <w:rPr>
          <w:rFonts w:ascii="Arial" w:hAnsi="Arial" w:cs="Arial"/>
          <w:color w:val="000000"/>
          <w:szCs w:val="20"/>
          <w:lang w:eastAsia="fr-FR" w:bidi="fr-FR"/>
        </w:rPr>
        <w:t>23(2): 71-74.</w:t>
      </w:r>
    </w:p>
    <w:p w:rsidR="00623BA9" w:rsidRPr="00623BA9" w:rsidRDefault="00623BA9" w:rsidP="00623BA9">
      <w:pPr>
        <w:ind w:left="360" w:hanging="360"/>
        <w:jc w:val="both"/>
        <w:rPr>
          <w:rFonts w:ascii="Arial" w:hAnsi="Arial" w:cs="Arial"/>
          <w:color w:val="000000"/>
          <w:szCs w:val="20"/>
          <w:lang w:eastAsia="fr-FR" w:bidi="fr-FR"/>
        </w:rPr>
      </w:pPr>
      <w:r w:rsidRPr="00623BA9">
        <w:rPr>
          <w:rFonts w:ascii="Arial" w:hAnsi="Arial" w:cs="Arial"/>
          <w:color w:val="000000"/>
          <w:szCs w:val="20"/>
          <w:lang w:eastAsia="fr-FR" w:bidi="fr-FR"/>
        </w:rPr>
        <w:t xml:space="preserve">Dekker, W. (2003) Did lack of </w:t>
      </w:r>
      <w:proofErr w:type="spellStart"/>
      <w:r w:rsidRPr="00623BA9">
        <w:rPr>
          <w:rFonts w:ascii="Arial" w:hAnsi="Arial" w:cs="Arial"/>
          <w:color w:val="000000"/>
          <w:szCs w:val="20"/>
          <w:lang w:eastAsia="fr-FR" w:bidi="fr-FR"/>
        </w:rPr>
        <w:t>spawners</w:t>
      </w:r>
      <w:proofErr w:type="spellEnd"/>
      <w:r w:rsidRPr="00623BA9">
        <w:rPr>
          <w:rFonts w:ascii="Arial" w:hAnsi="Arial" w:cs="Arial"/>
          <w:color w:val="000000"/>
          <w:szCs w:val="20"/>
          <w:lang w:eastAsia="fr-FR" w:bidi="fr-FR"/>
        </w:rPr>
        <w:t xml:space="preserve"> cause the collapse of the European Eel, </w:t>
      </w:r>
      <w:r w:rsidRPr="00623BA9">
        <w:rPr>
          <w:rFonts w:ascii="Arial" w:hAnsi="Arial" w:cs="Arial"/>
          <w:i/>
          <w:iCs/>
          <w:color w:val="000000"/>
          <w:szCs w:val="20"/>
          <w:lang w:eastAsia="fr-FR" w:bidi="fr-FR"/>
        </w:rPr>
        <w:t xml:space="preserve">Anguilla </w:t>
      </w:r>
      <w:proofErr w:type="spellStart"/>
      <w:r w:rsidRPr="00623BA9">
        <w:rPr>
          <w:rFonts w:ascii="Arial" w:hAnsi="Arial" w:cs="Arial"/>
          <w:i/>
          <w:iCs/>
          <w:color w:val="000000"/>
          <w:szCs w:val="20"/>
          <w:lang w:eastAsia="fr-FR" w:bidi="fr-FR"/>
        </w:rPr>
        <w:t>anguilla</w:t>
      </w:r>
      <w:proofErr w:type="spellEnd"/>
      <w:r w:rsidRPr="00623BA9">
        <w:rPr>
          <w:rFonts w:ascii="Arial" w:hAnsi="Arial" w:cs="Arial"/>
          <w:color w:val="000000"/>
          <w:szCs w:val="20"/>
          <w:lang w:eastAsia="fr-FR" w:bidi="fr-FR"/>
        </w:rPr>
        <w:t xml:space="preserve">? </w:t>
      </w:r>
      <w:r w:rsidRPr="00623BA9">
        <w:rPr>
          <w:rFonts w:ascii="Arial" w:hAnsi="Arial" w:cs="Arial"/>
          <w:i/>
          <w:iCs/>
          <w:color w:val="000000"/>
          <w:szCs w:val="20"/>
          <w:lang w:eastAsia="fr-FR" w:bidi="fr-FR"/>
        </w:rPr>
        <w:t xml:space="preserve">Fisheries Management and Ecology </w:t>
      </w:r>
      <w:r w:rsidRPr="00623BA9">
        <w:rPr>
          <w:rFonts w:ascii="Arial" w:hAnsi="Arial" w:cs="Arial"/>
          <w:bCs/>
          <w:color w:val="000000"/>
          <w:szCs w:val="20"/>
          <w:lang w:eastAsia="fr-FR" w:bidi="fr-FR"/>
        </w:rPr>
        <w:t>10</w:t>
      </w:r>
      <w:r w:rsidRPr="00623BA9">
        <w:rPr>
          <w:rFonts w:ascii="Arial" w:hAnsi="Arial" w:cs="Arial"/>
          <w:color w:val="000000"/>
          <w:szCs w:val="20"/>
          <w:lang w:eastAsia="fr-FR" w:bidi="fr-FR"/>
        </w:rPr>
        <w:t>: 365-376.</w:t>
      </w:r>
    </w:p>
    <w:p w:rsidR="00623BA9" w:rsidRPr="00623BA9" w:rsidRDefault="00623BA9" w:rsidP="00623BA9">
      <w:pPr>
        <w:ind w:left="360" w:hanging="360"/>
        <w:jc w:val="both"/>
        <w:rPr>
          <w:rFonts w:ascii="Arial" w:hAnsi="Arial" w:cs="Arial"/>
          <w:color w:val="000000"/>
          <w:szCs w:val="20"/>
          <w:lang w:eastAsia="fr-FR" w:bidi="fr-FR"/>
        </w:rPr>
      </w:pPr>
      <w:r w:rsidRPr="00623BA9">
        <w:rPr>
          <w:rFonts w:ascii="Arial" w:hAnsi="Arial" w:cs="Arial"/>
          <w:color w:val="000000"/>
          <w:szCs w:val="20"/>
          <w:lang w:eastAsia="fr-FR" w:bidi="fr-FR"/>
        </w:rPr>
        <w:t>ICES (2009) Report of the Study Group on Anguillid Eels in Saline Waters (SGAESAW).</w:t>
      </w:r>
    </w:p>
    <w:p w:rsidR="00623BA9" w:rsidRPr="00623BA9" w:rsidRDefault="00623BA9" w:rsidP="00623BA9">
      <w:pPr>
        <w:ind w:left="360" w:hanging="360"/>
        <w:jc w:val="both"/>
        <w:rPr>
          <w:rFonts w:ascii="Arial" w:hAnsi="Arial" w:cs="Arial"/>
          <w:color w:val="000000"/>
          <w:szCs w:val="20"/>
          <w:lang w:eastAsia="fr-FR" w:bidi="fr-FR"/>
        </w:rPr>
      </w:pPr>
      <w:r w:rsidRPr="00623BA9">
        <w:rPr>
          <w:rFonts w:ascii="Arial" w:hAnsi="Arial" w:cs="Arial"/>
          <w:color w:val="000000"/>
          <w:szCs w:val="20"/>
          <w:lang w:eastAsia="fr-FR" w:bidi="fr-FR"/>
        </w:rPr>
        <w:t xml:space="preserve">Moriarty, C. and Dekker, W. (1997) Management of the European eel. </w:t>
      </w:r>
      <w:r w:rsidRPr="00623BA9">
        <w:rPr>
          <w:rFonts w:ascii="Arial" w:hAnsi="Arial" w:cs="Arial"/>
          <w:i/>
          <w:iCs/>
          <w:color w:val="000000"/>
          <w:szCs w:val="20"/>
          <w:lang w:eastAsia="fr-FR" w:bidi="fr-FR"/>
        </w:rPr>
        <w:t xml:space="preserve">Irish Fisheries Bulletin </w:t>
      </w:r>
      <w:r w:rsidRPr="00623BA9">
        <w:rPr>
          <w:rFonts w:ascii="Arial" w:hAnsi="Arial" w:cs="Arial"/>
          <w:bCs/>
          <w:color w:val="000000"/>
          <w:szCs w:val="20"/>
          <w:lang w:eastAsia="fr-FR" w:bidi="fr-FR"/>
        </w:rPr>
        <w:t>15</w:t>
      </w:r>
      <w:r w:rsidRPr="00623BA9">
        <w:rPr>
          <w:rFonts w:ascii="Arial" w:hAnsi="Arial" w:cs="Arial"/>
          <w:color w:val="000000"/>
          <w:szCs w:val="20"/>
          <w:lang w:eastAsia="fr-FR" w:bidi="fr-FR"/>
        </w:rPr>
        <w:t>: 1-110.</w:t>
      </w:r>
    </w:p>
    <w:p w:rsidR="00623BA9" w:rsidRPr="00623BA9" w:rsidRDefault="00623BA9" w:rsidP="00623BA9">
      <w:pPr>
        <w:ind w:left="360" w:hanging="360"/>
        <w:jc w:val="both"/>
        <w:rPr>
          <w:rFonts w:ascii="Arial" w:hAnsi="Arial" w:cs="Arial"/>
          <w:color w:val="000000"/>
          <w:szCs w:val="20"/>
          <w:lang w:eastAsia="fr-FR" w:bidi="fr-FR"/>
        </w:rPr>
      </w:pPr>
      <w:r w:rsidRPr="00623BA9">
        <w:rPr>
          <w:rFonts w:ascii="Arial" w:hAnsi="Arial" w:cs="Arial"/>
          <w:color w:val="000000"/>
          <w:szCs w:val="20"/>
          <w:lang w:eastAsia="fr-FR" w:bidi="fr-FR"/>
        </w:rPr>
        <w:t xml:space="preserve">Schmidt, J. (1922) The breeding places of the eel. </w:t>
      </w:r>
      <w:r w:rsidRPr="00623BA9">
        <w:rPr>
          <w:rFonts w:ascii="Arial" w:hAnsi="Arial" w:cs="Arial"/>
          <w:i/>
          <w:iCs/>
          <w:color w:val="000000"/>
          <w:szCs w:val="20"/>
          <w:lang w:eastAsia="fr-FR" w:bidi="fr-FR"/>
        </w:rPr>
        <w:t>Philosophical Transactions of the Royal Society</w:t>
      </w:r>
      <w:r w:rsidRPr="00623BA9">
        <w:rPr>
          <w:rFonts w:ascii="Arial" w:hAnsi="Arial" w:cs="Arial"/>
          <w:color w:val="000000"/>
          <w:szCs w:val="20"/>
          <w:lang w:eastAsia="fr-FR" w:bidi="fr-FR"/>
        </w:rPr>
        <w:t xml:space="preserve"> </w:t>
      </w:r>
      <w:r w:rsidRPr="00623BA9">
        <w:rPr>
          <w:rFonts w:ascii="Arial" w:hAnsi="Arial" w:cs="Arial"/>
          <w:i/>
          <w:iCs/>
          <w:color w:val="000000"/>
          <w:szCs w:val="20"/>
          <w:lang w:eastAsia="fr-FR" w:bidi="fr-FR"/>
        </w:rPr>
        <w:t xml:space="preserve">of London Series B </w:t>
      </w:r>
      <w:r w:rsidRPr="00623BA9">
        <w:rPr>
          <w:rFonts w:ascii="Arial" w:hAnsi="Arial" w:cs="Arial"/>
          <w:bCs/>
          <w:color w:val="000000"/>
          <w:szCs w:val="20"/>
          <w:lang w:eastAsia="fr-FR" w:bidi="fr-FR"/>
        </w:rPr>
        <w:t>211</w:t>
      </w:r>
      <w:r w:rsidRPr="00623BA9">
        <w:rPr>
          <w:rFonts w:ascii="Arial" w:hAnsi="Arial" w:cs="Arial"/>
          <w:color w:val="000000"/>
          <w:szCs w:val="20"/>
          <w:lang w:eastAsia="fr-FR" w:bidi="fr-FR"/>
        </w:rPr>
        <w:t>: 179–208.</w:t>
      </w:r>
    </w:p>
    <w:p w:rsidR="00623BA9" w:rsidRPr="00623BA9" w:rsidRDefault="00623BA9" w:rsidP="00623BA9">
      <w:pPr>
        <w:ind w:left="360" w:hanging="360"/>
        <w:jc w:val="both"/>
        <w:rPr>
          <w:rFonts w:ascii="Arial" w:hAnsi="Arial" w:cs="Arial"/>
          <w:color w:val="333333"/>
          <w:szCs w:val="20"/>
          <w:shd w:val="clear" w:color="auto" w:fill="FFFFFF"/>
          <w:lang w:val="fr-FR" w:eastAsia="fr-FR" w:bidi="fr-FR"/>
        </w:rPr>
      </w:pPr>
      <w:r w:rsidRPr="00623BA9">
        <w:rPr>
          <w:rFonts w:ascii="Arial" w:hAnsi="Arial" w:cs="Arial"/>
          <w:color w:val="333333"/>
          <w:szCs w:val="20"/>
          <w:shd w:val="clear" w:color="auto" w:fill="FFFFFF"/>
          <w:lang w:eastAsia="fr-FR" w:bidi="fr-FR"/>
        </w:rPr>
        <w:t>UNEP/CMS (2014) Proposal for the Inclusion of the European Eel (</w:t>
      </w:r>
      <w:r w:rsidRPr="00623BA9">
        <w:rPr>
          <w:rFonts w:ascii="Arial" w:hAnsi="Arial" w:cs="Arial"/>
          <w:i/>
          <w:color w:val="333333"/>
          <w:szCs w:val="20"/>
          <w:shd w:val="clear" w:color="auto" w:fill="FFFFFF"/>
          <w:lang w:eastAsia="fr-FR" w:bidi="fr-FR"/>
        </w:rPr>
        <w:t>Anguilla Anguilla</w:t>
      </w:r>
      <w:r w:rsidRPr="00623BA9">
        <w:rPr>
          <w:rFonts w:ascii="Arial" w:hAnsi="Arial" w:cs="Arial"/>
          <w:color w:val="333333"/>
          <w:szCs w:val="20"/>
          <w:shd w:val="clear" w:color="auto" w:fill="FFFFFF"/>
          <w:lang w:eastAsia="fr-FR" w:bidi="fr-FR"/>
        </w:rPr>
        <w:t xml:space="preserve">) on CMS Appendix II. </w:t>
      </w:r>
      <w:hyperlink r:id="rId10" w:history="1">
        <w:r w:rsidRPr="00623BA9">
          <w:rPr>
            <w:rFonts w:ascii="Arial" w:hAnsi="Arial" w:cs="Arial"/>
            <w:color w:val="0000FF"/>
            <w:szCs w:val="20"/>
            <w:u w:val="single"/>
            <w:shd w:val="clear" w:color="auto" w:fill="FFFFFF"/>
            <w:lang w:val="fr-FR" w:eastAsia="fr-FR" w:bidi="fr-FR"/>
          </w:rPr>
          <w:t>UNEP/CMS/COP11/Doc.24.1.</w:t>
        </w:r>
        <w:proofErr w:type="gramStart"/>
        <w:r w:rsidRPr="00623BA9">
          <w:rPr>
            <w:rFonts w:ascii="Arial" w:hAnsi="Arial" w:cs="Arial"/>
            <w:color w:val="0000FF"/>
            <w:szCs w:val="20"/>
            <w:u w:val="single"/>
            <w:shd w:val="clear" w:color="auto" w:fill="FFFFFF"/>
            <w:lang w:val="fr-FR" w:eastAsia="fr-FR" w:bidi="fr-FR"/>
          </w:rPr>
          <w:t>18.Rev</w:t>
        </w:r>
        <w:proofErr w:type="gramEnd"/>
        <w:r w:rsidRPr="00623BA9">
          <w:rPr>
            <w:rFonts w:ascii="Arial" w:hAnsi="Arial" w:cs="Arial"/>
            <w:color w:val="0000FF"/>
            <w:szCs w:val="20"/>
            <w:u w:val="single"/>
            <w:shd w:val="clear" w:color="auto" w:fill="FFFFFF"/>
            <w:lang w:val="fr-FR" w:eastAsia="fr-FR" w:bidi="fr-FR"/>
          </w:rPr>
          <w:t>.1</w:t>
        </w:r>
      </w:hyperlink>
    </w:p>
    <w:p w:rsidR="00623BA9" w:rsidRPr="00623BA9" w:rsidRDefault="00623BA9" w:rsidP="00623BA9">
      <w:pPr>
        <w:spacing w:after="40"/>
        <w:rPr>
          <w:rFonts w:ascii="Arial" w:hAnsi="Arial" w:cs="Arial"/>
          <w:szCs w:val="20"/>
          <w:lang w:val="fr-FR" w:eastAsia="fr-FR" w:bidi="fr-FR"/>
        </w:rPr>
      </w:pPr>
    </w:p>
    <w:p w:rsidR="003F6700" w:rsidRPr="003F6700" w:rsidRDefault="003F6700" w:rsidP="00623BA9">
      <w:pPr>
        <w:jc w:val="center"/>
        <w:rPr>
          <w:rFonts w:ascii="Arial" w:hAnsi="Arial" w:cs="Arial"/>
          <w:sz w:val="22"/>
          <w:szCs w:val="22"/>
          <w:lang w:val="fr-FR"/>
        </w:rPr>
      </w:pPr>
    </w:p>
    <w:sectPr w:rsidR="003F6700" w:rsidRPr="003F6700" w:rsidSect="003F6700">
      <w:footerReference w:type="default" r:id="rId11"/>
      <w:footerReference w:type="first" r:id="rId12"/>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623BA9">
      <w:rPr>
        <w:rFonts w:asciiTheme="minorBidi" w:hAnsiTheme="minorBidi" w:cstheme="minorBidi"/>
        <w:noProof/>
        <w:sz w:val="18"/>
        <w:szCs w:val="18"/>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5B9D7153"/>
    <w:multiLevelType w:val="hybridMultilevel"/>
    <w:tmpl w:val="E0607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3"/>
  </w:num>
  <w:num w:numId="5">
    <w:abstractNumId w:val="12"/>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7"/>
  </w:num>
  <w:num w:numId="10">
    <w:abstractNumId w:val="22"/>
  </w:num>
  <w:num w:numId="11">
    <w:abstractNumId w:val="40"/>
  </w:num>
  <w:num w:numId="12">
    <w:abstractNumId w:val="3"/>
  </w:num>
  <w:num w:numId="13">
    <w:abstractNumId w:val="19"/>
  </w:num>
  <w:num w:numId="14">
    <w:abstractNumId w:val="38"/>
  </w:num>
  <w:num w:numId="15">
    <w:abstractNumId w:val="2"/>
  </w:num>
  <w:num w:numId="16">
    <w:abstractNumId w:val="10"/>
  </w:num>
  <w:num w:numId="17">
    <w:abstractNumId w:val="41"/>
  </w:num>
  <w:num w:numId="18">
    <w:abstractNumId w:val="21"/>
  </w:num>
  <w:num w:numId="19">
    <w:abstractNumId w:val="39"/>
  </w:num>
  <w:num w:numId="20">
    <w:abstractNumId w:val="45"/>
  </w:num>
  <w:num w:numId="21">
    <w:abstractNumId w:val="4"/>
  </w:num>
  <w:num w:numId="22">
    <w:abstractNumId w:val="17"/>
  </w:num>
  <w:num w:numId="23">
    <w:abstractNumId w:val="26"/>
  </w:num>
  <w:num w:numId="24">
    <w:abstractNumId w:val="16"/>
  </w:num>
  <w:num w:numId="25">
    <w:abstractNumId w:val="31"/>
  </w:num>
  <w:num w:numId="26">
    <w:abstractNumId w:val="0"/>
  </w:num>
  <w:num w:numId="27">
    <w:abstractNumId w:val="42"/>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7"/>
  </w:num>
  <w:num w:numId="38">
    <w:abstractNumId w:val="9"/>
  </w:num>
  <w:num w:numId="39">
    <w:abstractNumId w:val="30"/>
  </w:num>
  <w:num w:numId="40">
    <w:abstractNumId w:val="43"/>
  </w:num>
  <w:num w:numId="41">
    <w:abstractNumId w:val="24"/>
  </w:num>
  <w:num w:numId="42">
    <w:abstractNumId w:val="25"/>
  </w:num>
  <w:num w:numId="43">
    <w:abstractNumId w:val="33"/>
  </w:num>
  <w:num w:numId="44">
    <w:abstractNumId w:val="8"/>
  </w:num>
  <w:num w:numId="45">
    <w:abstractNumId w:val="27"/>
  </w:num>
  <w:num w:numId="46">
    <w:abstractNumId w:val="1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C67B3"/>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15393"/>
    <w:rsid w:val="003331C6"/>
    <w:rsid w:val="00345044"/>
    <w:rsid w:val="00351095"/>
    <w:rsid w:val="00354A9C"/>
    <w:rsid w:val="00364973"/>
    <w:rsid w:val="00372347"/>
    <w:rsid w:val="003779D4"/>
    <w:rsid w:val="00382398"/>
    <w:rsid w:val="003906BD"/>
    <w:rsid w:val="003909E4"/>
    <w:rsid w:val="00395E08"/>
    <w:rsid w:val="003A0D8F"/>
    <w:rsid w:val="003A3E30"/>
    <w:rsid w:val="003A70FE"/>
    <w:rsid w:val="003B0C35"/>
    <w:rsid w:val="003B219E"/>
    <w:rsid w:val="003E21B3"/>
    <w:rsid w:val="003F6700"/>
    <w:rsid w:val="00411E65"/>
    <w:rsid w:val="00420040"/>
    <w:rsid w:val="00423388"/>
    <w:rsid w:val="00426D73"/>
    <w:rsid w:val="00432694"/>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3BA9"/>
    <w:rsid w:val="0062486D"/>
    <w:rsid w:val="00644060"/>
    <w:rsid w:val="00651341"/>
    <w:rsid w:val="00667726"/>
    <w:rsid w:val="006815B2"/>
    <w:rsid w:val="00682B31"/>
    <w:rsid w:val="00685BBF"/>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38F"/>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513B3"/>
    <w:rsid w:val="00D605A4"/>
    <w:rsid w:val="00D61B13"/>
    <w:rsid w:val="00D7746A"/>
    <w:rsid w:val="00D838FE"/>
    <w:rsid w:val="00D8406F"/>
    <w:rsid w:val="00D859C7"/>
    <w:rsid w:val="00D9021F"/>
    <w:rsid w:val="00DA1080"/>
    <w:rsid w:val="00DA12C2"/>
    <w:rsid w:val="00DB30A6"/>
    <w:rsid w:val="00DD6A9E"/>
    <w:rsid w:val="00DF73DE"/>
    <w:rsid w:val="00E23367"/>
    <w:rsid w:val="00E30B00"/>
    <w:rsid w:val="00E31B92"/>
    <w:rsid w:val="00E3521F"/>
    <w:rsid w:val="00E475D4"/>
    <w:rsid w:val="00E74D1C"/>
    <w:rsid w:val="00E8776E"/>
    <w:rsid w:val="00E9237A"/>
    <w:rsid w:val="00EA0B88"/>
    <w:rsid w:val="00EA0F84"/>
    <w:rsid w:val="00EB2285"/>
    <w:rsid w:val="00EC4294"/>
    <w:rsid w:val="00EC681E"/>
    <w:rsid w:val="00EC7DBF"/>
    <w:rsid w:val="00ED02D3"/>
    <w:rsid w:val="00ED5E31"/>
    <w:rsid w:val="00EE64C1"/>
    <w:rsid w:val="00EF3AD8"/>
    <w:rsid w:val="00F02043"/>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462D"/>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6FDC74"/>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table" w:styleId="TableGrid">
    <w:name w:val="Table Grid"/>
    <w:basedOn w:val="TableNormal"/>
    <w:uiPriority w:val="59"/>
    <w:locked/>
    <w:rsid w:val="00623BA9"/>
    <w:rPr>
      <w:rFonts w:eastAsiaTheme="minorEastAsia" w:cstheme="minorBidi"/>
      <w:sz w:val="24"/>
      <w:szCs w:val="24"/>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european-eel-anguilla-anguilla-appendix-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mvirtue\AppData\Local\Microsoft\Windows\INetCache\Content.Outlook\F8RYXETW\UNEP\CMS%20%20(2014)%20%20Proposal%20for%20the%20Inclusion%20of%20the%20European%20Eel%20(Anguilla%20anguilla)%20%20on%20CMS%20Appendix%20II.%20%20UNEP\CMS\COP11\Doc.24.1.18.Rev.1" TargetMode="External"/><Relationship Id="rId4" Type="http://schemas.openxmlformats.org/officeDocument/2006/relationships/webSettings" Target="webSettings.xml"/><Relationship Id="rId9" Type="http://schemas.openxmlformats.org/officeDocument/2006/relationships/hyperlink" Target="http://www.cms.int/en/document/european-eel-anguilla-anguilla-appendix-i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6</TotalTime>
  <Pages>4</Pages>
  <Words>1724</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2017-10-26T08:04:00Z</dcterms:created>
  <dcterms:modified xsi:type="dcterms:W3CDTF">2017-10-26T08:11:00Z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