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CE6" w:rsidRDefault="000A5CE6" w:rsidP="000A5CE6">
      <w:pPr>
        <w:spacing w:after="0" w:line="240" w:lineRule="auto"/>
        <w:rPr>
          <w:rFonts w:ascii="Times New Roman" w:eastAsia="Calibri" w:hAnsi="Times New Roman" w:cs="Times New Roman"/>
          <w:bCs/>
          <w:sz w:val="24"/>
          <w:szCs w:val="24"/>
          <w:lang w:val="fr-FR"/>
        </w:rPr>
      </w:pPr>
    </w:p>
    <w:p w:rsidR="001A2886" w:rsidRPr="000A5CE6" w:rsidRDefault="001A2886" w:rsidP="000A5CE6">
      <w:pPr>
        <w:spacing w:after="0" w:line="240" w:lineRule="auto"/>
        <w:rPr>
          <w:rFonts w:ascii="Times New Roman" w:eastAsia="Calibri" w:hAnsi="Times New Roman" w:cs="Times New Roman"/>
          <w:bCs/>
          <w:sz w:val="24"/>
          <w:szCs w:val="24"/>
          <w:lang w:val="fr-FR"/>
        </w:rPr>
      </w:pPr>
    </w:p>
    <w:p w:rsidR="000A5CE6" w:rsidRPr="000A5CE6" w:rsidRDefault="000A5CE6" w:rsidP="000A5CE6">
      <w:pPr>
        <w:spacing w:after="0" w:line="240" w:lineRule="auto"/>
        <w:rPr>
          <w:rFonts w:ascii="Times New Roman" w:eastAsia="Calibri" w:hAnsi="Times New Roman" w:cs="Times New Roman"/>
          <w:bCs/>
          <w:sz w:val="24"/>
          <w:szCs w:val="24"/>
          <w:lang w:val="fr-FR"/>
        </w:rPr>
      </w:pPr>
    </w:p>
    <w:p w:rsidR="000A5CE6" w:rsidRDefault="000A5CE6" w:rsidP="000A5CE6">
      <w:pPr>
        <w:spacing w:after="0" w:line="240" w:lineRule="auto"/>
        <w:rPr>
          <w:rFonts w:ascii="Times New Roman" w:eastAsia="Calibri" w:hAnsi="Times New Roman" w:cs="Times New Roman"/>
          <w:bCs/>
          <w:sz w:val="24"/>
          <w:szCs w:val="24"/>
          <w:lang w:val="fr-FR"/>
        </w:rPr>
      </w:pPr>
    </w:p>
    <w:p w:rsidR="005B0A82" w:rsidRDefault="005B0A82" w:rsidP="000A5CE6">
      <w:pPr>
        <w:spacing w:after="0" w:line="240" w:lineRule="auto"/>
        <w:rPr>
          <w:rFonts w:ascii="Times New Roman" w:eastAsia="Calibri" w:hAnsi="Times New Roman" w:cs="Times New Roman"/>
          <w:bCs/>
          <w:sz w:val="24"/>
          <w:szCs w:val="24"/>
          <w:lang w:val="fr-FR"/>
        </w:rPr>
      </w:pPr>
    </w:p>
    <w:p w:rsidR="005B0A82" w:rsidRDefault="005B0A82" w:rsidP="000A5CE6">
      <w:pPr>
        <w:spacing w:after="0" w:line="240" w:lineRule="auto"/>
        <w:rPr>
          <w:rFonts w:ascii="Times New Roman" w:eastAsia="Calibri" w:hAnsi="Times New Roman" w:cs="Times New Roman"/>
          <w:bCs/>
          <w:sz w:val="24"/>
          <w:szCs w:val="24"/>
          <w:lang w:val="fr-FR"/>
        </w:rPr>
      </w:pPr>
    </w:p>
    <w:p w:rsidR="005B0A82" w:rsidRDefault="005B0A82" w:rsidP="000A5CE6">
      <w:pPr>
        <w:spacing w:after="0" w:line="240" w:lineRule="auto"/>
        <w:rPr>
          <w:rFonts w:ascii="Times New Roman" w:eastAsia="Calibri" w:hAnsi="Times New Roman" w:cs="Times New Roman"/>
          <w:bCs/>
          <w:sz w:val="24"/>
          <w:szCs w:val="24"/>
          <w:lang w:val="fr-FR"/>
        </w:rPr>
      </w:pPr>
    </w:p>
    <w:p w:rsidR="005B0A82" w:rsidRPr="000A5CE6" w:rsidRDefault="005B0A82" w:rsidP="000A5CE6">
      <w:pPr>
        <w:spacing w:after="0" w:line="240" w:lineRule="auto"/>
        <w:rPr>
          <w:rFonts w:ascii="Times New Roman" w:eastAsia="Calibri" w:hAnsi="Times New Roman" w:cs="Times New Roman"/>
          <w:bCs/>
          <w:sz w:val="24"/>
          <w:szCs w:val="24"/>
          <w:lang w:val="fr-FR"/>
        </w:rPr>
      </w:pPr>
    </w:p>
    <w:p w:rsidR="000A5CE6" w:rsidRPr="000A5CE6" w:rsidRDefault="000A5CE6" w:rsidP="000A5CE6">
      <w:pPr>
        <w:spacing w:after="0" w:line="240" w:lineRule="auto"/>
        <w:jc w:val="center"/>
        <w:rPr>
          <w:rFonts w:ascii="Calibri" w:eastAsia="Calibri" w:hAnsi="Calibri" w:cs="Times New Roman"/>
          <w:b/>
          <w:bCs/>
          <w:sz w:val="28"/>
          <w:szCs w:val="28"/>
          <w:lang w:val="fr-FR"/>
        </w:rPr>
      </w:pPr>
      <w:r w:rsidRPr="000A5CE6">
        <w:rPr>
          <w:rFonts w:ascii="Calibri" w:eastAsia="Calibri" w:hAnsi="Calibri" w:cs="Times New Roman"/>
          <w:b/>
          <w:bCs/>
          <w:sz w:val="28"/>
          <w:szCs w:val="28"/>
          <w:lang w:val="fr-FR"/>
        </w:rPr>
        <w:t>Plan d’action pour les oiseaux terrestres migrateurs d’Afrique-Eurasie (AEMLAP)</w:t>
      </w:r>
    </w:p>
    <w:p w:rsidR="000A5CE6" w:rsidRPr="000A5CE6" w:rsidRDefault="000A5CE6" w:rsidP="000A5CE6">
      <w:pPr>
        <w:spacing w:after="0" w:line="240" w:lineRule="auto"/>
        <w:jc w:val="center"/>
        <w:rPr>
          <w:rFonts w:ascii="Calibri" w:eastAsia="Calibri" w:hAnsi="Calibri" w:cs="Times New Roman"/>
          <w:sz w:val="28"/>
          <w:szCs w:val="28"/>
          <w:lang w:val="fr-FR"/>
        </w:rPr>
      </w:pPr>
    </w:p>
    <w:p w:rsidR="000A5CE6" w:rsidRPr="000A5CE6" w:rsidRDefault="000A5CE6" w:rsidP="000A5CE6">
      <w:pPr>
        <w:spacing w:after="0" w:line="240" w:lineRule="auto"/>
        <w:jc w:val="center"/>
        <w:rPr>
          <w:rFonts w:ascii="Calibri" w:eastAsia="Calibri" w:hAnsi="Calibri" w:cs="Times New Roman"/>
          <w:sz w:val="28"/>
          <w:szCs w:val="28"/>
          <w:lang w:val="fr-FR"/>
        </w:rPr>
      </w:pPr>
    </w:p>
    <w:p w:rsidR="000A5CE6" w:rsidRPr="000A5CE6" w:rsidRDefault="000A5CE6" w:rsidP="000A5CE6">
      <w:pPr>
        <w:spacing w:after="120" w:line="360" w:lineRule="auto"/>
        <w:jc w:val="center"/>
        <w:rPr>
          <w:rFonts w:ascii="Calibri" w:eastAsia="Calibri" w:hAnsi="Calibri" w:cs="Times New Roman"/>
          <w:b/>
          <w:bCs/>
          <w:sz w:val="28"/>
          <w:szCs w:val="28"/>
          <w:lang w:val="fr-FR"/>
        </w:rPr>
      </w:pPr>
      <w:r w:rsidRPr="000A5CE6">
        <w:rPr>
          <w:rFonts w:ascii="Calibri" w:eastAsia="Calibri" w:hAnsi="Calibri" w:cs="Times New Roman"/>
          <w:b/>
          <w:bCs/>
          <w:sz w:val="28"/>
          <w:szCs w:val="28"/>
          <w:lang w:val="fr-FR"/>
        </w:rPr>
        <w:t xml:space="preserve">Améliorer l’état de conservation des oiseaux terrestres migrateurs </w:t>
      </w:r>
    </w:p>
    <w:p w:rsidR="000A5CE6" w:rsidRPr="000A5CE6" w:rsidRDefault="000A5CE6" w:rsidP="000A5CE6">
      <w:pPr>
        <w:spacing w:after="120" w:line="360" w:lineRule="auto"/>
        <w:jc w:val="center"/>
        <w:rPr>
          <w:rFonts w:ascii="Calibri" w:eastAsia="Calibri" w:hAnsi="Calibri" w:cs="Times New Roman"/>
          <w:b/>
          <w:bCs/>
          <w:sz w:val="28"/>
          <w:szCs w:val="28"/>
          <w:lang w:val="fr-FR"/>
        </w:rPr>
      </w:pPr>
      <w:proofErr w:type="gramStart"/>
      <w:r w:rsidRPr="000A5CE6">
        <w:rPr>
          <w:rFonts w:ascii="Calibri" w:eastAsia="Calibri" w:hAnsi="Calibri" w:cs="Times New Roman"/>
          <w:b/>
          <w:bCs/>
          <w:sz w:val="28"/>
          <w:szCs w:val="28"/>
          <w:lang w:val="fr-FR"/>
        </w:rPr>
        <w:t>dans</w:t>
      </w:r>
      <w:proofErr w:type="gramEnd"/>
      <w:r w:rsidRPr="000A5CE6">
        <w:rPr>
          <w:rFonts w:ascii="Calibri" w:eastAsia="Calibri" w:hAnsi="Calibri" w:cs="Times New Roman"/>
          <w:b/>
          <w:bCs/>
          <w:sz w:val="28"/>
          <w:szCs w:val="28"/>
          <w:lang w:val="fr-FR"/>
        </w:rPr>
        <w:t xml:space="preserve"> la région Afrique-Eurasie</w:t>
      </w:r>
    </w:p>
    <w:p w:rsidR="000A5CE6" w:rsidRPr="000A5CE6" w:rsidRDefault="000A5CE6" w:rsidP="000A5CE6">
      <w:pPr>
        <w:spacing w:after="0" w:line="240" w:lineRule="auto"/>
        <w:jc w:val="center"/>
        <w:rPr>
          <w:rFonts w:ascii="Calibri" w:eastAsia="Calibri" w:hAnsi="Calibri" w:cs="Times New Roman"/>
          <w:b/>
          <w:bCs/>
          <w:sz w:val="28"/>
          <w:szCs w:val="28"/>
          <w:lang w:val="fr-FR"/>
        </w:rPr>
      </w:pPr>
    </w:p>
    <w:p w:rsidR="000A5CE6" w:rsidRPr="000A5CE6" w:rsidRDefault="000A5CE6" w:rsidP="000A5CE6">
      <w:pPr>
        <w:spacing w:after="0" w:line="240" w:lineRule="auto"/>
        <w:jc w:val="center"/>
        <w:rPr>
          <w:rFonts w:ascii="Calibri" w:eastAsia="Calibri" w:hAnsi="Calibri" w:cs="Times New Roman"/>
          <w:bCs/>
          <w:i/>
          <w:lang w:val="fr-FR"/>
        </w:rPr>
      </w:pPr>
      <w:r w:rsidRPr="000A5CE6">
        <w:rPr>
          <w:rFonts w:ascii="Calibri" w:eastAsia="Calibri" w:hAnsi="Calibri" w:cs="Times New Roman"/>
          <w:bCs/>
          <w:i/>
          <w:lang w:val="fr-FR"/>
        </w:rPr>
        <w:t>(</w:t>
      </w:r>
      <w:proofErr w:type="gramStart"/>
      <w:r w:rsidRPr="000A5CE6">
        <w:rPr>
          <w:rFonts w:ascii="Calibri" w:eastAsia="Calibri" w:hAnsi="Calibri" w:cs="Times New Roman"/>
          <w:bCs/>
          <w:i/>
          <w:lang w:val="fr-FR"/>
        </w:rPr>
        <w:t>préparé</w:t>
      </w:r>
      <w:proofErr w:type="gramEnd"/>
      <w:r w:rsidRPr="000A5CE6">
        <w:rPr>
          <w:rFonts w:ascii="Calibri" w:eastAsia="Calibri" w:hAnsi="Calibri" w:cs="Times New Roman"/>
          <w:bCs/>
          <w:i/>
          <w:lang w:val="fr-FR"/>
        </w:rPr>
        <w:t xml:space="preserve"> par le groupe de travail oiseaux migrateurs d’Afrique-Eurasie)</w:t>
      </w:r>
    </w:p>
    <w:p w:rsidR="000A5CE6" w:rsidRPr="000A5CE6" w:rsidRDefault="000A5CE6" w:rsidP="000A5CE6">
      <w:pPr>
        <w:spacing w:after="0" w:line="240" w:lineRule="auto"/>
        <w:rPr>
          <w:rFonts w:ascii="Calibri" w:eastAsia="Calibri" w:hAnsi="Calibri" w:cs="Times New Roman"/>
          <w:sz w:val="28"/>
          <w:szCs w:val="28"/>
          <w:lang w:val="fr-FR"/>
        </w:rPr>
      </w:pPr>
    </w:p>
    <w:p w:rsidR="000A5CE6" w:rsidRPr="000A5CE6" w:rsidRDefault="000A5CE6" w:rsidP="000A5CE6">
      <w:pPr>
        <w:spacing w:after="0" w:line="240" w:lineRule="auto"/>
        <w:jc w:val="center"/>
        <w:rPr>
          <w:rFonts w:ascii="Calibri" w:eastAsia="Calibri" w:hAnsi="Calibri" w:cs="Times New Roman"/>
          <w:lang w:val="fr-FR"/>
        </w:rPr>
      </w:pPr>
      <w:r w:rsidRPr="000A5CE6">
        <w:rPr>
          <w:rFonts w:ascii="Calibri" w:eastAsia="Calibri" w:hAnsi="Calibri" w:cs="Times New Roman"/>
          <w:lang w:val="fr-FR"/>
        </w:rPr>
        <w:t>Version 28 avril 2014</w:t>
      </w:r>
    </w:p>
    <w:p w:rsidR="000A5CE6" w:rsidRPr="000A5CE6" w:rsidRDefault="000A5CE6" w:rsidP="000A5CE6">
      <w:pPr>
        <w:spacing w:after="0" w:line="240" w:lineRule="auto"/>
        <w:jc w:val="center"/>
        <w:rPr>
          <w:rFonts w:ascii="Calibri" w:eastAsia="Calibri" w:hAnsi="Calibri" w:cs="Times New Roman"/>
          <w:lang w:val="fr-FR"/>
        </w:rPr>
      </w:pPr>
    </w:p>
    <w:p w:rsidR="000A5CE6" w:rsidRPr="000A5CE6" w:rsidRDefault="000A5CE6" w:rsidP="000A5CE6">
      <w:pPr>
        <w:spacing w:after="0" w:line="240" w:lineRule="auto"/>
        <w:jc w:val="center"/>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Times New Roman" w:eastAsia="Calibri" w:hAnsi="Times New Roman" w:cs="Times New Roman"/>
          <w:sz w:val="24"/>
          <w:lang w:val="fr-FR"/>
        </w:rPr>
        <w:br w:type="page"/>
      </w:r>
      <w:r w:rsidRPr="000A5CE6">
        <w:rPr>
          <w:rFonts w:ascii="Calibri" w:eastAsia="Calibri" w:hAnsi="Calibri" w:cs="Times New Roman"/>
          <w:b/>
          <w:lang w:val="fr-FR"/>
        </w:rPr>
        <w:lastRenderedPageBreak/>
        <w:t>RÉSUMÉ</w:t>
      </w:r>
    </w:p>
    <w:p w:rsidR="000A5CE6" w:rsidRPr="000A5CE6" w:rsidRDefault="000A5CE6" w:rsidP="000A5CE6">
      <w:pPr>
        <w:spacing w:after="360" w:line="360" w:lineRule="auto"/>
        <w:jc w:val="both"/>
        <w:rPr>
          <w:rFonts w:ascii="Calibri" w:eastAsia="Calibri" w:hAnsi="Calibri" w:cs="Times New Roman"/>
          <w:lang w:val="fr-FR"/>
        </w:rPr>
      </w:pPr>
      <w:r w:rsidRPr="000A5CE6">
        <w:rPr>
          <w:rFonts w:ascii="Calibri" w:eastAsia="Calibri" w:hAnsi="Calibri" w:cs="Times New Roman"/>
          <w:lang w:val="fr-FR"/>
        </w:rPr>
        <w:t xml:space="preserve">Le Plan d’action pour les oiseaux terrestres migrateurs d’Afrique-Eurasie (AEMLAP - African-Eurasian Migratory Landbirds Action Plan) vise à améliorer l’état de conservation des oiseaux terrestres migrateurs en Afrique et en Eurasie en coordonnant l’action en faveur de ces espèces au niveau international, et en catalysant les mesures nécessaires au niveau national. Le but général est de développer un cadre stratégique initial pour une action au niveau international, afin de conserver, restaurer et gérer durablement les populations d’oiseaux terrestres migrateurs et leurs habitats. </w:t>
      </w:r>
    </w:p>
    <w:p w:rsidR="000A5CE6" w:rsidRPr="000A5CE6" w:rsidRDefault="000A5CE6" w:rsidP="000A5CE6">
      <w:pPr>
        <w:spacing w:after="360" w:line="360" w:lineRule="auto"/>
        <w:jc w:val="both"/>
        <w:rPr>
          <w:rFonts w:ascii="Calibri" w:eastAsia="Calibri" w:hAnsi="Calibri" w:cs="Times New Roman"/>
          <w:lang w:val="fr-FR"/>
        </w:rPr>
      </w:pPr>
      <w:r w:rsidRPr="000A5CE6">
        <w:rPr>
          <w:rFonts w:ascii="Calibri" w:eastAsia="Calibri" w:hAnsi="Calibri" w:cs="Times New Roman"/>
          <w:lang w:val="fr-FR"/>
        </w:rPr>
        <w:t xml:space="preserve">Cela complète le travail de l’Accord sur la conservation des oiseaux d’eau migrateurs d’Afrique-Eurasie (AEWA) et du Mémorandum d’Entente sur les oiseaux de proie migrateurs d’Afrique-Eurasie (MdE Rapaces) en visant à restaurer l’état de conservation d’autres espèces d’oiseaux d’Afrique-Eurasie. </w:t>
      </w:r>
    </w:p>
    <w:p w:rsidR="000A5CE6" w:rsidRPr="000A5CE6" w:rsidRDefault="000A5CE6" w:rsidP="000A5CE6">
      <w:pPr>
        <w:spacing w:after="240" w:line="360" w:lineRule="auto"/>
        <w:jc w:val="both"/>
        <w:rPr>
          <w:rFonts w:ascii="Calibri" w:eastAsia="Calibri" w:hAnsi="Calibri" w:cs="Times New Roman"/>
          <w:lang w:val="fr-FR"/>
        </w:rPr>
      </w:pPr>
      <w:r w:rsidRPr="000A5CE6">
        <w:rPr>
          <w:rFonts w:ascii="Calibri" w:eastAsia="Calibri" w:hAnsi="Calibri" w:cs="Times New Roman"/>
          <w:lang w:val="fr-FR"/>
        </w:rPr>
        <w:t xml:space="preserve">Le présent Plan d’action couvre 34 espèces </w:t>
      </w:r>
      <w:r w:rsidRPr="000A5CE6">
        <w:rPr>
          <w:rFonts w:ascii="Calibri" w:eastAsia="Calibri" w:hAnsi="Calibri" w:cs="Times New Roman"/>
          <w:i/>
          <w:lang w:val="fr-FR"/>
        </w:rPr>
        <w:t>mondialement menacées</w:t>
      </w:r>
      <w:r w:rsidRPr="000A5CE6">
        <w:rPr>
          <w:rFonts w:ascii="Calibri" w:eastAsia="Calibri" w:hAnsi="Calibri" w:cs="Times New Roman"/>
          <w:lang w:val="fr-FR"/>
        </w:rPr>
        <w:t xml:space="preserve">, 124 espèces classées dans la catégorie </w:t>
      </w:r>
      <w:r w:rsidRPr="000A5CE6">
        <w:rPr>
          <w:rFonts w:ascii="Calibri" w:eastAsia="Calibri" w:hAnsi="Calibri" w:cs="Times New Roman"/>
          <w:i/>
          <w:lang w:val="fr-FR"/>
        </w:rPr>
        <w:t>Préoccupation mineure</w:t>
      </w:r>
      <w:r w:rsidRPr="000A5CE6">
        <w:rPr>
          <w:rFonts w:ascii="Calibri" w:eastAsia="Calibri" w:hAnsi="Calibri" w:cs="Times New Roman"/>
          <w:lang w:val="fr-FR"/>
        </w:rPr>
        <w:t xml:space="preserve"> et dont les populations mondiales présentent une tendance à la baisse, et 346 espèces classées dans la catégorie </w:t>
      </w:r>
      <w:r w:rsidRPr="000A5CE6">
        <w:rPr>
          <w:rFonts w:ascii="Calibri" w:eastAsia="Calibri" w:hAnsi="Calibri" w:cs="Times New Roman"/>
          <w:i/>
          <w:lang w:val="fr-FR"/>
        </w:rPr>
        <w:t>Préoccupation mineure</w:t>
      </w:r>
      <w:r w:rsidRPr="000A5CE6">
        <w:rPr>
          <w:rFonts w:ascii="Calibri" w:eastAsia="Calibri" w:hAnsi="Calibri" w:cs="Times New Roman"/>
          <w:lang w:val="fr-FR"/>
        </w:rPr>
        <w:t xml:space="preserve"> et dont les populations mondiales présentent une tendance à la hausse, stable ou inconnue. Voir respectivement l’annexe 1 et l’annexe 3 pour le fondement du Plan d’action et la liste des espèces.</w:t>
      </w:r>
    </w:p>
    <w:p w:rsidR="000A5CE6" w:rsidRPr="000A5CE6" w:rsidRDefault="000A5CE6" w:rsidP="000A5CE6">
      <w:pPr>
        <w:spacing w:after="360" w:line="360" w:lineRule="auto"/>
        <w:jc w:val="both"/>
        <w:rPr>
          <w:rFonts w:ascii="Calibri" w:eastAsia="Calibri" w:hAnsi="Calibri" w:cs="Times New Roman"/>
          <w:lang w:val="fr-FR"/>
        </w:rPr>
      </w:pPr>
      <w:r w:rsidRPr="000A5CE6">
        <w:rPr>
          <w:rFonts w:ascii="Calibri" w:eastAsia="Calibri" w:hAnsi="Calibri" w:cs="Times New Roman"/>
          <w:lang w:val="fr-FR"/>
        </w:rPr>
        <w:t>Les domaines thématiques de l’AEMLAP portent sur la conservation des habitats, le prélèvement et le commerce, la recherche et le suivi, l’éducation et l’information, ainsi que sur d’autres questions telles que les maladies et les collisions. Les menaces les plus importantes pesant sur les oiseaux terrestres migrateurs sont</w:t>
      </w:r>
      <w:r w:rsidRPr="000A5CE6">
        <w:rPr>
          <w:rFonts w:ascii="Calibri" w:eastAsia="Calibri" w:hAnsi="Calibri" w:cs="Times New Roman"/>
          <w:b/>
          <w:lang w:val="fr-FR"/>
        </w:rPr>
        <w:t xml:space="preserve"> la dégradation et la perte des habitats</w:t>
      </w:r>
      <w:r w:rsidRPr="000A5CE6">
        <w:rPr>
          <w:rFonts w:ascii="Calibri" w:eastAsia="Calibri" w:hAnsi="Calibri" w:cs="Times New Roman"/>
          <w:lang w:val="fr-FR"/>
        </w:rPr>
        <w:t xml:space="preserve"> sur les sites de reproduction et les zones utilisées en dehors de la reproduction, ainsi que sur le réseau de sites dont dépendent ces espèces pendant la migration. </w:t>
      </w:r>
      <w:r w:rsidRPr="000A5CE6">
        <w:rPr>
          <w:rFonts w:ascii="Calibri" w:eastAsia="Calibri" w:hAnsi="Calibri" w:cs="Times New Roman"/>
          <w:b/>
          <w:lang w:val="fr-FR"/>
        </w:rPr>
        <w:t>Les prélèvements et le commerce</w:t>
      </w:r>
      <w:r w:rsidRPr="000A5CE6">
        <w:rPr>
          <w:rFonts w:ascii="Calibri" w:eastAsia="Calibri" w:hAnsi="Calibri" w:cs="Times New Roman"/>
          <w:lang w:val="fr-FR"/>
        </w:rPr>
        <w:t xml:space="preserve"> à des fins économiques et culturelles peuvent également avoir un impact négatif sur certaines populations. Les autres menaces comprennent les risques de </w:t>
      </w:r>
      <w:r w:rsidRPr="000A5CE6">
        <w:rPr>
          <w:rFonts w:ascii="Calibri" w:eastAsia="Calibri" w:hAnsi="Calibri" w:cs="Times New Roman"/>
          <w:b/>
          <w:lang w:val="fr-FR"/>
        </w:rPr>
        <w:t>maladie et de collision</w:t>
      </w:r>
      <w:r w:rsidRPr="000A5CE6">
        <w:rPr>
          <w:rFonts w:ascii="Calibri" w:eastAsia="Calibri" w:hAnsi="Calibri" w:cs="Times New Roman"/>
          <w:lang w:val="fr-FR"/>
        </w:rPr>
        <w:t xml:space="preserve">. </w:t>
      </w: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 xml:space="preserve">En réponse à ces menaces, il est urgent d’engager des actions de </w:t>
      </w:r>
      <w:r w:rsidRPr="000A5CE6">
        <w:rPr>
          <w:rFonts w:ascii="Calibri" w:eastAsia="Calibri" w:hAnsi="Calibri" w:cs="Times New Roman"/>
          <w:b/>
          <w:lang w:val="fr-FR"/>
        </w:rPr>
        <w:t>recherche et de suivi,</w:t>
      </w:r>
      <w:r w:rsidRPr="000A5CE6">
        <w:rPr>
          <w:rFonts w:ascii="Calibri" w:eastAsia="Calibri" w:hAnsi="Calibri" w:cs="Times New Roman"/>
          <w:lang w:val="fr-FR"/>
        </w:rPr>
        <w:t xml:space="preserve"> ainsi que </w:t>
      </w:r>
      <w:r w:rsidRPr="000A5CE6">
        <w:rPr>
          <w:rFonts w:ascii="Calibri" w:eastAsia="Calibri" w:hAnsi="Calibri" w:cs="Times New Roman"/>
          <w:b/>
          <w:lang w:val="fr-FR"/>
        </w:rPr>
        <w:t>d’éducation et d’information,</w:t>
      </w:r>
      <w:r w:rsidRPr="000A5CE6">
        <w:rPr>
          <w:rFonts w:ascii="Calibri" w:eastAsia="Calibri" w:hAnsi="Calibri" w:cs="Times New Roman"/>
          <w:lang w:val="fr-FR"/>
        </w:rPr>
        <w:t xml:space="preserve"> pour fournir des données utiles permettant d’orienter les efforts de conservation, de renforcer la sensibilisation du public et de mobiliser son soutien. Les différentes actions proposées dans ce Plan d’action couvrent l’ensemble des menaces et les réponses qui devraient y être apportées.</w:t>
      </w:r>
      <w:r w:rsidRPr="000A5CE6">
        <w:rPr>
          <w:rFonts w:ascii="Calibri" w:eastAsia="Calibri" w:hAnsi="Calibri" w:cs="Times New Roman"/>
          <w:lang w:val="fr-FR"/>
        </w:rPr>
        <w:br w:type="page"/>
      </w:r>
    </w:p>
    <w:p w:rsidR="000A5CE6" w:rsidRPr="000A5CE6" w:rsidRDefault="000A5CE6" w:rsidP="000A5CE6">
      <w:pPr>
        <w:spacing w:after="120" w:line="360" w:lineRule="auto"/>
        <w:jc w:val="center"/>
        <w:rPr>
          <w:rFonts w:ascii="Calibri" w:eastAsia="Calibri" w:hAnsi="Calibri" w:cs="Times New Roman"/>
          <w:b/>
          <w:bCs/>
          <w:iCs/>
          <w:lang w:val="fr-FR"/>
        </w:rPr>
      </w:pPr>
      <w:bookmarkStart w:id="0" w:name="_Toc346486089"/>
    </w:p>
    <w:p w:rsidR="000A5CE6" w:rsidRPr="000A5CE6" w:rsidRDefault="000A5CE6" w:rsidP="000A5CE6">
      <w:pPr>
        <w:spacing w:after="120" w:line="360" w:lineRule="auto"/>
        <w:jc w:val="center"/>
        <w:rPr>
          <w:rFonts w:ascii="Calibri" w:eastAsia="Calibri" w:hAnsi="Calibri" w:cs="Times New Roman"/>
          <w:b/>
          <w:bCs/>
          <w:iCs/>
          <w:lang w:val="fr-FR"/>
        </w:rPr>
      </w:pPr>
      <w:r w:rsidRPr="000A5CE6">
        <w:rPr>
          <w:rFonts w:ascii="Calibri" w:eastAsia="Calibri" w:hAnsi="Calibri" w:cs="Times New Roman"/>
          <w:b/>
          <w:bCs/>
          <w:iCs/>
          <w:lang w:val="fr-FR"/>
        </w:rPr>
        <w:t xml:space="preserve">PLAN D’ACTION POUR LES OISEAUX TERRESTRES MIGRATEURS D’AFRIQUE-EURASIE </w:t>
      </w:r>
    </w:p>
    <w:p w:rsidR="000A5CE6" w:rsidRPr="000A5CE6" w:rsidRDefault="000A5CE6" w:rsidP="000A5CE6">
      <w:pPr>
        <w:spacing w:after="120" w:line="360" w:lineRule="auto"/>
        <w:jc w:val="center"/>
        <w:rPr>
          <w:rFonts w:ascii="Calibri" w:eastAsia="Calibri" w:hAnsi="Calibri" w:cs="Times New Roman"/>
          <w:iCs/>
          <w:lang w:val="fr-FR"/>
        </w:rPr>
      </w:pPr>
    </w:p>
    <w:p w:rsidR="000A5CE6" w:rsidRPr="000A5CE6" w:rsidRDefault="000A5CE6" w:rsidP="000A5CE6">
      <w:pPr>
        <w:spacing w:after="120" w:line="360" w:lineRule="auto"/>
        <w:rPr>
          <w:rFonts w:ascii="Calibri" w:eastAsia="Calibri" w:hAnsi="Calibri" w:cs="Times New Roman"/>
          <w:b/>
          <w:iCs/>
          <w:lang w:val="fr-FR"/>
        </w:rPr>
      </w:pPr>
      <w:r w:rsidRPr="000A5CE6">
        <w:rPr>
          <w:rFonts w:ascii="Calibri" w:eastAsia="Calibri" w:hAnsi="Calibri" w:cs="Times New Roman"/>
          <w:b/>
          <w:iCs/>
          <w:lang w:val="fr-FR"/>
        </w:rPr>
        <w:t>INTRODUCTION</w:t>
      </w:r>
    </w:p>
    <w:p w:rsidR="000A5CE6" w:rsidRPr="000A5CE6" w:rsidRDefault="000A5CE6" w:rsidP="000A5CE6">
      <w:pPr>
        <w:spacing w:after="120" w:line="360" w:lineRule="auto"/>
        <w:jc w:val="both"/>
        <w:rPr>
          <w:rFonts w:ascii="Calibri" w:eastAsia="Calibri" w:hAnsi="Calibri" w:cs="Times New Roman"/>
          <w:iCs/>
          <w:lang w:val="fr-FR"/>
        </w:rPr>
      </w:pPr>
      <w:r w:rsidRPr="000A5CE6">
        <w:rPr>
          <w:rFonts w:ascii="Calibri" w:eastAsia="Calibri" w:hAnsi="Calibri" w:cs="Times New Roman"/>
          <w:iCs/>
          <w:lang w:val="fr-FR"/>
        </w:rPr>
        <w:t xml:space="preserve">La Convention sur la conservation des espèces migratrices appartenant à la faune sauvage (CMS), signée à Bonn le 23 juin 1979, appelle à une action coopérative internationale pour la conservation des espèces migratrices. L’article IV.4 de la Convention encourage les Parties à conclure des accords, notamment des accords administratifs juridiquement non contraignants, à l’égard de toute population d’espèce migratrice. </w:t>
      </w:r>
    </w:p>
    <w:p w:rsidR="000A5CE6" w:rsidRPr="000A5CE6" w:rsidRDefault="000A5CE6" w:rsidP="000A5CE6">
      <w:pPr>
        <w:spacing w:after="120" w:line="360" w:lineRule="auto"/>
        <w:jc w:val="both"/>
        <w:rPr>
          <w:rFonts w:ascii="Calibri" w:eastAsia="Calibri" w:hAnsi="Calibri" w:cs="Times New Roman"/>
          <w:iCs/>
          <w:lang w:val="fr-FR"/>
        </w:rPr>
      </w:pPr>
    </w:p>
    <w:p w:rsidR="000A5CE6" w:rsidRPr="000A5CE6" w:rsidRDefault="000A5CE6" w:rsidP="000A5CE6">
      <w:pPr>
        <w:spacing w:after="120" w:line="360" w:lineRule="auto"/>
        <w:jc w:val="both"/>
        <w:rPr>
          <w:rFonts w:ascii="Calibri" w:eastAsia="Calibri" w:hAnsi="Calibri" w:cs="Times New Roman"/>
          <w:iCs/>
          <w:lang w:val="fr-FR"/>
        </w:rPr>
      </w:pPr>
      <w:r w:rsidRPr="000A5CE6">
        <w:rPr>
          <w:rFonts w:ascii="Calibri" w:eastAsia="Calibri" w:hAnsi="Calibri" w:cs="Times New Roman"/>
          <w:iCs/>
          <w:lang w:val="fr-FR"/>
        </w:rPr>
        <w:t xml:space="preserve">Par conséquent, la résolution 10.27 </w:t>
      </w:r>
      <w:r w:rsidRPr="000A5CE6">
        <w:rPr>
          <w:rFonts w:ascii="Calibri" w:eastAsia="Calibri" w:hAnsi="Calibri" w:cs="Times New Roman"/>
          <w:i/>
          <w:iCs/>
          <w:lang w:val="fr-FR"/>
        </w:rPr>
        <w:t>Améliorer l’état de conservation des oiseaux migrateurs terrestres en Afrique et en Eurasie</w:t>
      </w:r>
      <w:r w:rsidRPr="000A5CE6">
        <w:rPr>
          <w:rFonts w:ascii="Calibri" w:eastAsia="Calibri" w:hAnsi="Calibri" w:cs="Times New Roman"/>
          <w:iCs/>
          <w:lang w:val="fr-FR"/>
        </w:rPr>
        <w:t xml:space="preserve"> a été adoptée lors de la 10</w:t>
      </w:r>
      <w:r w:rsidRPr="000A5CE6">
        <w:rPr>
          <w:rFonts w:ascii="Calibri" w:eastAsia="Calibri" w:hAnsi="Calibri" w:cs="Times New Roman"/>
          <w:iCs/>
          <w:vertAlign w:val="superscript"/>
          <w:lang w:val="fr-FR"/>
        </w:rPr>
        <w:t>e</w:t>
      </w:r>
      <w:r w:rsidRPr="000A5CE6">
        <w:rPr>
          <w:rFonts w:ascii="Calibri" w:eastAsia="Calibri" w:hAnsi="Calibri" w:cs="Times New Roman"/>
          <w:iCs/>
          <w:lang w:val="fr-FR"/>
        </w:rPr>
        <w:t xml:space="preserve"> Conférence des Parties (COP) de la CMS. Elle prie instamment les Parties d’élaborer un plan d’action pour la conservation des oiseaux terrestres migrateurs d’Afrique-Eurasie et de leurs habitats tout au long la voie de migration, et appelle à la création d’un groupe de travail pour mener le développement et l’application du Plan d’action. </w:t>
      </w:r>
    </w:p>
    <w:p w:rsidR="000A5CE6" w:rsidRPr="000A5CE6" w:rsidRDefault="000A5CE6" w:rsidP="000A5CE6">
      <w:pPr>
        <w:spacing w:after="120" w:line="360" w:lineRule="auto"/>
        <w:jc w:val="both"/>
        <w:rPr>
          <w:rFonts w:ascii="Calibri" w:eastAsia="Calibri" w:hAnsi="Calibri" w:cs="Times New Roman"/>
          <w:iCs/>
          <w:lang w:val="fr-FR"/>
        </w:rPr>
      </w:pPr>
    </w:p>
    <w:p w:rsidR="000A5CE6" w:rsidRPr="000A5CE6" w:rsidRDefault="000A5CE6" w:rsidP="000A5CE6">
      <w:pPr>
        <w:spacing w:after="120" w:line="360" w:lineRule="auto"/>
        <w:jc w:val="both"/>
        <w:rPr>
          <w:rFonts w:ascii="Calibri" w:eastAsia="Calibri" w:hAnsi="Calibri" w:cs="Times New Roman"/>
          <w:iCs/>
          <w:lang w:val="fr-FR"/>
        </w:rPr>
      </w:pPr>
      <w:r w:rsidRPr="000A5CE6">
        <w:rPr>
          <w:rFonts w:ascii="Calibri" w:eastAsia="Calibri" w:hAnsi="Calibri" w:cs="Times New Roman"/>
          <w:iCs/>
          <w:lang w:val="fr-FR"/>
        </w:rPr>
        <w:t>À cette fin, le Groupe de travail sur les oiseaux terrestres migrateurs d’Afrique-Eurasie (AEML-WG - African-Eurasian Migratory Landbird Working Group) et le Groupe de pilotage (AEML-SG - African-Eurasian Migratory Landbird Steering Group) ont été mis en place. L’AEML-WG est établi sous les auspices du Conseil scientifique. Il rassemble des experts techniques et politiques nommés par le Conseil et venant de toute la région de la voie de migration Afrique-Eurasie. Il doit contribuer à l’élaboration et à la mise en œuvre du Plan d’action. L’AEML-SG est un sous-ensemble de l’AEML-WG chargé de coordonner l’élaboration et le processus de mise en œuvre du Plan d’action.</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 xml:space="preserve">Les oiseaux terrestres migrateurs constituent une part importante de la diversité biologique mondiale qui, en accord avec l’esprit de la Convention sur la diversité biologique (1992) et de l’Agenda 21, devrait être conservée pour le bénéfice des générations actuelles et futures. Nombre de populations d’oiseaux terrestres qui migrent sur de longues distances entre l’Afrique et l’Eurasie, ou au sein de ces régions, sont particulièrement vulnérables car elles traversent les territoires de différents pays, et effectuent ces déplacements annuels et cycliques sur un large front - leur distribution étant diffuse à travers divers habitats. </w:t>
      </w: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lastRenderedPageBreak/>
        <w:t xml:space="preserve">Des inquiétudes croissantes portent sur le nombre d’espèces d’oiseaux terrestres migrateurs d’Afrique-Eurasie, notamment ceux qui séjournent au sud du Sahara en dehors de la période de reproduction, dont la population présente une tendance au déclin aux niveaux national, régional et/ou mondial. Le manque de connaissance de l’état et des tendances des populations de nombreuses espèces en Afrique et en Asie est également préoccupant. Une action urgente est donc nécessaire afin d’inverser ces déclins, qu’ils soient significatifs ou potentiellement significatifs. </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Parmi les facteurs qui contribuent à rendre défavorable l’état de conservation de nombreuses espèces d’oiseaux terrestres migrateurs d’Afrique-Eurasie, la perte, la dégradation et la fragmentation des habitats résultant d’activités économiques humaines et de pratiques d’utilisation des terres ayant des effets négatifs sur la biodiversité, sont hautement prioritaires. Le changement climatique est susceptible d’avoir un effet aggravant, provoquant une désynchronisation écologique, temporelle et spatiale ayant un impact négatif sur les populations d’oiseaux terrestres migrateurs.</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Le présent document constitue un plan d’action international uniformisé destiné à orienter la mise en œuvre et les résultats attendus permettant de répondre aux principales pressions auxquelles les oiseaux terrestres migrateurs font face dans la voie de migration Afrique-Eurasie. Il présente en détail des actions spécifiques, toutefois le mode de mise en œuvre dépendra des stratégies et des ressources disponibles dans les États de l’aire de répartition, et entre eux. Le présent Plan d’action complète les travaux de l’Accord sur la conservation des oiseaux d’eau migrateurs d’Afrique-Eurasie (AEWA) et du Mémorandum d’Entente sur la conservation des oiseaux de proie migrateurs d’Afrique et d’Eurasie (MdE Rapaces), ainsi que des MdE de la CMS sur le Phragmite aquatique et sur les populations d‘Europe Centrale de Grande Outarde. Il identifie les domaines de synergie avec d’autres instruments pouvant potentiellement contribuer à la conservation des oiseaux migrateurs, tels que la Convention de Berne.</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 xml:space="preserve"> Il est nécessaire que des mesures internationales immédiates et concertées soient prises pour la conservation des oiseaux terrestres migrateurs d’Afrique-Eurasie, afin de maintenir et/ou ramener leurs populations à un état de conservation favorable. La mise en œuvre et l’application effective des mesures énumérées dans le Plan d’action dépendent de l’engagement et de la coopération de tous États de l’aire de répartition de la région, des organisations intergouvernementales, non gouvernementales internationales et nationales pertinentes, ainsi que du secteur privé, dans le but d’encourager la recherche, la formation et la sensibilisation nécessaires pour maintenir, restaurer, </w:t>
      </w:r>
      <w:r w:rsidRPr="000A5CE6">
        <w:rPr>
          <w:rFonts w:ascii="Calibri" w:eastAsia="Calibri" w:hAnsi="Calibri" w:cs="Times New Roman"/>
          <w:lang w:val="fr-FR"/>
        </w:rPr>
        <w:lastRenderedPageBreak/>
        <w:t>gérer et suivre les populations d’oiseaux terrestres migrateurs. Voir l’annexe 1 pour plus de détails sur l’introduction et le fondement du Plan d’action.</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bookmarkStart w:id="1" w:name="_Toc341449191"/>
      <w:r w:rsidRPr="000A5CE6">
        <w:rPr>
          <w:rFonts w:ascii="Calibri" w:eastAsia="Calibri" w:hAnsi="Calibri" w:cs="Times New Roman"/>
          <w:b/>
          <w:lang w:val="fr-FR"/>
        </w:rPr>
        <w:t>L’objectif</w:t>
      </w:r>
      <w:r w:rsidRPr="000A5CE6">
        <w:rPr>
          <w:rFonts w:ascii="Calibri" w:eastAsia="Calibri" w:hAnsi="Calibri" w:cs="Times New Roman"/>
          <w:lang w:val="fr-FR"/>
        </w:rPr>
        <w:t xml:space="preserve"> de ce Plan d’action est d’améliorer l’état de conservation des oiseaux terrestres migrateurs dans la région Afrique-Eurasie en coordonnant l’action en faveur de ces espèces au niveau international, et en catalysant les mesures nécessaires au niveau national.</w:t>
      </w:r>
    </w:p>
    <w:p w:rsidR="000A5CE6" w:rsidRPr="000A5CE6" w:rsidRDefault="000A5CE6" w:rsidP="000A5CE6">
      <w:pPr>
        <w:spacing w:after="120" w:line="360" w:lineRule="auto"/>
        <w:jc w:val="both"/>
        <w:rPr>
          <w:rFonts w:ascii="Calibri" w:eastAsia="Calibri" w:hAnsi="Calibri" w:cs="Times New Roman"/>
          <w:lang w:val="fr-FR"/>
        </w:rPr>
      </w:pPr>
    </w:p>
    <w:bookmarkEnd w:id="1"/>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b/>
          <w:lang w:val="fr-FR"/>
        </w:rPr>
        <w:t>Le but général</w:t>
      </w:r>
      <w:r w:rsidRPr="000A5CE6">
        <w:rPr>
          <w:rFonts w:ascii="Calibri" w:eastAsia="Calibri" w:hAnsi="Calibri" w:cs="Times New Roman"/>
          <w:lang w:val="fr-FR"/>
        </w:rPr>
        <w:t xml:space="preserve"> est de développer un cadre stratégique initial et commun pour une action au niveau international, afin de protéger, conserver, restaurer et gérer durablement les populations d’oiseaux terrestres migrateurs et leurs habitats dans la région Afrique-Eurasie.</w:t>
      </w:r>
    </w:p>
    <w:p w:rsidR="000A5CE6" w:rsidRPr="000A5CE6" w:rsidRDefault="000A5CE6" w:rsidP="000A5CE6">
      <w:pPr>
        <w:spacing w:after="120" w:line="360" w:lineRule="auto"/>
        <w:jc w:val="both"/>
        <w:rPr>
          <w:rFonts w:ascii="Calibri" w:eastAsia="Calibri" w:hAnsi="Calibri" w:cs="Times New Roman"/>
          <w:b/>
          <w:lang w:val="fr-FR"/>
        </w:rPr>
      </w:pPr>
      <w:bookmarkStart w:id="2" w:name="_Toc346486090"/>
      <w:bookmarkEnd w:id="0"/>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PORTÉE DU PLAN D’ACTION</w:t>
      </w:r>
    </w:p>
    <w:bookmarkEnd w:id="2"/>
    <w:p w:rsidR="000A5CE6" w:rsidRPr="000A5CE6" w:rsidRDefault="000A5CE6" w:rsidP="000A5CE6">
      <w:p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La portée géographique du présent Plan d’action est l’aire des systèmes migratoires des oiseaux terrestres migrateurs d’Afrique-Eurasie, ci-après dénommée « aire du Plan d’action ». Cela comprend l’Afrique, l’Europe, le Moyen-Orient, l’Asie centrale, l’Afghanistan et le sous-continent indien. Voir l’annexe 2 pour la carte de l’aire de Plan d’action et la liste des États de l’aire de répartition.</w:t>
      </w:r>
    </w:p>
    <w:p w:rsidR="000A5CE6" w:rsidRPr="000A5CE6" w:rsidRDefault="000A5CE6" w:rsidP="000A5CE6">
      <w:pPr>
        <w:spacing w:after="120" w:line="360" w:lineRule="auto"/>
        <w:contextualSpacing/>
        <w:jc w:val="both"/>
        <w:rPr>
          <w:rFonts w:ascii="Calibri" w:eastAsia="Calibri" w:hAnsi="Calibri" w:cs="Times New Roman"/>
          <w:lang w:val="fr-FR"/>
        </w:rPr>
      </w:pPr>
    </w:p>
    <w:p w:rsidR="000A5CE6" w:rsidRPr="000A5CE6" w:rsidRDefault="000A5CE6" w:rsidP="000A5CE6">
      <w:p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 xml:space="preserve">Le champ d’application taxonomique du Plan d’action comprend les populations de Galliformes, Gruiformes, Charadriiformes, Columbiformes, Caprimulgiformes, Apodiformes, Cuculiformes, Coraciiformes, Piciformes et Passeriformes qui dépendent au niveau écologique principalement des habitats terrestres, et dont la totalité ou une proportion importante de la population franchit de manière cyclique et prévisible une ou plusieurs limites de juridiction nationale. </w:t>
      </w:r>
    </w:p>
    <w:p w:rsidR="000A5CE6" w:rsidRPr="000A5CE6" w:rsidRDefault="000A5CE6" w:rsidP="000A5CE6">
      <w:pPr>
        <w:spacing w:after="120" w:line="360" w:lineRule="auto"/>
        <w:contextualSpacing/>
        <w:jc w:val="both"/>
        <w:rPr>
          <w:rFonts w:ascii="Calibri" w:eastAsia="Calibri" w:hAnsi="Calibri" w:cs="Times New Roman"/>
          <w:lang w:val="fr-FR"/>
        </w:rPr>
      </w:pPr>
    </w:p>
    <w:p w:rsidR="000A5CE6" w:rsidRPr="000A5CE6" w:rsidRDefault="000A5CE6" w:rsidP="000A5CE6">
      <w:p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 xml:space="preserve">Les espèces d’oiseaux terrestres migrateurs couverts par le Plan d’action sont en outre classées en trois catégories : </w:t>
      </w:r>
    </w:p>
    <w:p w:rsidR="000A5CE6" w:rsidRPr="000A5CE6" w:rsidRDefault="000A5CE6" w:rsidP="000A5CE6">
      <w:pPr>
        <w:numPr>
          <w:ilvl w:val="0"/>
          <w:numId w:val="11"/>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A (</w:t>
      </w:r>
      <w:r w:rsidRPr="000A5CE6">
        <w:rPr>
          <w:rFonts w:ascii="Calibri" w:eastAsia="Calibri" w:hAnsi="Calibri" w:cs="Times New Roman"/>
          <w:i/>
          <w:lang w:val="fr-FR"/>
        </w:rPr>
        <w:t>mondialement menacées</w:t>
      </w:r>
      <w:r w:rsidRPr="000A5CE6">
        <w:rPr>
          <w:rFonts w:ascii="Calibri" w:eastAsia="Calibri" w:hAnsi="Calibri" w:cs="Times New Roman"/>
          <w:lang w:val="fr-FR"/>
        </w:rPr>
        <w:t xml:space="preserve"> et </w:t>
      </w:r>
      <w:r w:rsidRPr="000A5CE6">
        <w:rPr>
          <w:rFonts w:ascii="Calibri" w:eastAsia="Calibri" w:hAnsi="Calibri" w:cs="Times New Roman"/>
          <w:i/>
          <w:lang w:val="fr-FR"/>
        </w:rPr>
        <w:t>Quasi menacées</w:t>
      </w:r>
      <w:r w:rsidRPr="000A5CE6">
        <w:rPr>
          <w:rFonts w:ascii="Calibri" w:eastAsia="Calibri" w:hAnsi="Calibri" w:cs="Times New Roman"/>
          <w:lang w:val="fr-FR"/>
        </w:rPr>
        <w:t xml:space="preserve">), </w:t>
      </w:r>
    </w:p>
    <w:p w:rsidR="000A5CE6" w:rsidRPr="000A5CE6" w:rsidRDefault="000A5CE6" w:rsidP="000A5CE6">
      <w:pPr>
        <w:numPr>
          <w:ilvl w:val="0"/>
          <w:numId w:val="11"/>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B (</w:t>
      </w:r>
      <w:r w:rsidRPr="000A5CE6">
        <w:rPr>
          <w:rFonts w:ascii="Calibri" w:eastAsia="Calibri" w:hAnsi="Calibri" w:cs="Times New Roman"/>
          <w:i/>
          <w:lang w:val="fr-FR"/>
        </w:rPr>
        <w:t>Préoccupation mineure</w:t>
      </w:r>
      <w:r w:rsidRPr="000A5CE6">
        <w:rPr>
          <w:rFonts w:ascii="Calibri" w:eastAsia="Calibri" w:hAnsi="Calibri" w:cs="Times New Roman"/>
          <w:lang w:val="fr-FR"/>
        </w:rPr>
        <w:t xml:space="preserve">, mais dont la population mondiale présente une tendance à la baisse), </w:t>
      </w:r>
    </w:p>
    <w:p w:rsidR="000A5CE6" w:rsidRPr="000A5CE6" w:rsidRDefault="000A5CE6" w:rsidP="000A5CE6">
      <w:pPr>
        <w:numPr>
          <w:ilvl w:val="0"/>
          <w:numId w:val="11"/>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C (</w:t>
      </w:r>
      <w:r w:rsidRPr="000A5CE6">
        <w:rPr>
          <w:rFonts w:ascii="Calibri" w:eastAsia="Calibri" w:hAnsi="Calibri" w:cs="Times New Roman"/>
          <w:i/>
          <w:lang w:val="fr-FR"/>
        </w:rPr>
        <w:t>Préoccupation mineure</w:t>
      </w:r>
      <w:r w:rsidRPr="000A5CE6">
        <w:rPr>
          <w:rFonts w:ascii="Calibri" w:eastAsia="Calibri" w:hAnsi="Calibri" w:cs="Times New Roman"/>
          <w:lang w:val="fr-FR"/>
        </w:rPr>
        <w:t xml:space="preserve">, mais dont la population mondiale présente une tendance à l’augmentation, à la stabilité ou inconnue). </w:t>
      </w:r>
    </w:p>
    <w:p w:rsidR="000A5CE6" w:rsidRPr="000A5CE6" w:rsidRDefault="000A5CE6" w:rsidP="000A5CE6">
      <w:pPr>
        <w:spacing w:after="120" w:line="360" w:lineRule="auto"/>
        <w:contextualSpacing/>
        <w:rPr>
          <w:rFonts w:ascii="Calibri" w:eastAsia="Calibri" w:hAnsi="Calibri" w:cs="Times New Roman"/>
          <w:lang w:val="fr-FR"/>
        </w:rPr>
      </w:pPr>
      <w:r w:rsidRPr="000A5CE6">
        <w:rPr>
          <w:rFonts w:ascii="Calibri" w:eastAsia="Calibri" w:hAnsi="Calibri" w:cs="Times New Roman"/>
          <w:lang w:val="fr-FR"/>
        </w:rPr>
        <w:lastRenderedPageBreak/>
        <w:t>Les espèces d’oiseaux terrestres migrateurs couvertes par l’AEWA, le MdE Rapaces ou d’autres instruments ont été incluses et figurent en annexe 3 du présent Plan d’action. La liste détaillée des espèces est présentée en annexe 3.</w:t>
      </w:r>
    </w:p>
    <w:p w:rsidR="000A5CE6" w:rsidRPr="000A5CE6" w:rsidRDefault="000A5CE6" w:rsidP="000A5CE6">
      <w:pPr>
        <w:spacing w:after="120" w:line="360" w:lineRule="auto"/>
        <w:contextualSpacing/>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b/>
          <w:lang w:val="fr-FR"/>
        </w:rPr>
      </w:pPr>
      <w:bookmarkStart w:id="3" w:name="_Toc346486091"/>
      <w:r w:rsidRPr="000A5CE6">
        <w:rPr>
          <w:rFonts w:ascii="Calibri" w:eastAsia="Calibri" w:hAnsi="Calibri" w:cs="Times New Roman"/>
          <w:b/>
          <w:lang w:val="fr-FR"/>
        </w:rPr>
        <w:t xml:space="preserve">MENACES PESANT SUR LES OISEAUX TERRESTRES MIGRATEURS </w:t>
      </w:r>
    </w:p>
    <w:p w:rsidR="000A5CE6" w:rsidRPr="000A5CE6" w:rsidRDefault="000A5CE6" w:rsidP="000A5CE6">
      <w:pPr>
        <w:spacing w:after="120" w:line="360" w:lineRule="auto"/>
        <w:rPr>
          <w:rFonts w:ascii="Calibri" w:eastAsia="Calibri" w:hAnsi="Calibri" w:cs="Times New Roman"/>
          <w:lang w:val="fr-FR"/>
        </w:rPr>
      </w:pPr>
      <w:r w:rsidRPr="000A5CE6">
        <w:rPr>
          <w:rFonts w:ascii="Calibri" w:eastAsia="Calibri" w:hAnsi="Calibri" w:cs="Times New Roman"/>
          <w:lang w:val="fr-FR"/>
        </w:rPr>
        <w:t>Les oiseaux terrestres migrateurs dépendent de divers habitats terrestres tout au long de la voie de migration. Les facteurs limitant les tendances de populations peuvent agir sur les sites et les milieux utilisés pendant et en dehors de la reproduction, ainsi qu’au cours la migration. La perte et la dégradation des habitats constituent la menace la plus importante pour ces espèces. Les prélèvements</w:t>
      </w:r>
      <w:r w:rsidRPr="000A5CE6">
        <w:rPr>
          <w:rFonts w:ascii="Calibri" w:eastAsia="Calibri" w:hAnsi="Calibri" w:cs="Times New Roman"/>
          <w:vertAlign w:val="superscript"/>
          <w:lang w:val="en-US"/>
        </w:rPr>
        <w:footnoteReference w:id="1"/>
      </w:r>
      <w:r w:rsidRPr="000A5CE6">
        <w:rPr>
          <w:rFonts w:ascii="Calibri" w:eastAsia="Calibri" w:hAnsi="Calibri" w:cs="Times New Roman"/>
          <w:lang w:val="fr-FR"/>
        </w:rPr>
        <w:t xml:space="preserve"> et le commerce à des fins économiques, de subsistance, de loisir et à des fins culturelles peuvent également avoir des impacts négatifs sur leurs populations. Les autres menaces comprennent les risques de maladie et de collision.</w:t>
      </w:r>
    </w:p>
    <w:p w:rsidR="000A5CE6" w:rsidRPr="000A5CE6" w:rsidRDefault="000A5CE6" w:rsidP="000A5CE6">
      <w:pPr>
        <w:spacing w:after="120" w:line="360" w:lineRule="auto"/>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lang w:val="fr-FR"/>
        </w:rPr>
      </w:pPr>
      <w:r w:rsidRPr="000A5CE6">
        <w:rPr>
          <w:rFonts w:ascii="Calibri" w:eastAsia="Calibri" w:hAnsi="Calibri" w:cs="Times New Roman"/>
          <w:lang w:val="fr-FR"/>
        </w:rPr>
        <w:t xml:space="preserve"> Outre l'action directe pour répondre à ces pressions, il est urgent d’engager des actions de recherche et de suivi ainsi que d’éducation et d’information pour fournir des données utiles permettant d’orienter les efforts de conservation, de renforcer la sensibilisation du public et de mobiliser son soutien. </w:t>
      </w:r>
    </w:p>
    <w:p w:rsidR="000A5CE6" w:rsidRPr="000A5CE6" w:rsidRDefault="000A5CE6" w:rsidP="000A5CE6">
      <w:pPr>
        <w:spacing w:after="120" w:line="360" w:lineRule="auto"/>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lang w:val="fr-FR"/>
        </w:rPr>
      </w:pPr>
      <w:r w:rsidRPr="000A5CE6">
        <w:rPr>
          <w:rFonts w:ascii="Calibri" w:eastAsia="Calibri" w:hAnsi="Calibri" w:cs="Times New Roman"/>
          <w:lang w:val="fr-FR"/>
        </w:rPr>
        <w:t>Toutes ces menaces et les réponses qui devraient y être apportées sont traitées par les différentes actions présentées ci-après. L’annexe 4 présente un tableau indiquant comment chaque action peut contribuer à la mise en œuvre d’autres cadres politiques et réglementations.</w:t>
      </w:r>
    </w:p>
    <w:p w:rsidR="000A5CE6" w:rsidRPr="000A5CE6" w:rsidRDefault="000A5CE6" w:rsidP="000A5CE6">
      <w:pPr>
        <w:spacing w:after="120" w:line="360" w:lineRule="auto"/>
        <w:rPr>
          <w:rFonts w:ascii="Calibri" w:eastAsia="Calibri" w:hAnsi="Calibri" w:cs="Times New Roman"/>
          <w:b/>
          <w:lang w:val="fr-FR"/>
        </w:rPr>
      </w:pPr>
    </w:p>
    <w:p w:rsidR="000A5CE6" w:rsidRPr="000A5CE6" w:rsidRDefault="000A5CE6" w:rsidP="000A5CE6">
      <w:pPr>
        <w:spacing w:after="120" w:line="360" w:lineRule="auto"/>
        <w:rPr>
          <w:rFonts w:ascii="Calibri" w:eastAsia="Calibri" w:hAnsi="Calibri" w:cs="Times New Roman"/>
          <w:b/>
          <w:lang w:val="fr-FR"/>
        </w:rPr>
      </w:pPr>
      <w:r w:rsidRPr="000A5CE6">
        <w:rPr>
          <w:rFonts w:ascii="Calibri" w:eastAsia="Calibri" w:hAnsi="Calibri" w:cs="Times New Roman"/>
          <w:b/>
          <w:lang w:val="fr-FR"/>
        </w:rPr>
        <w:t>LISTE DES ACTIONS</w:t>
      </w:r>
    </w:p>
    <w:bookmarkEnd w:id="3"/>
    <w:p w:rsidR="000A5CE6" w:rsidRPr="000A5CE6" w:rsidRDefault="000A5CE6" w:rsidP="000A5CE6">
      <w:pPr>
        <w:spacing w:after="120" w:line="360" w:lineRule="auto"/>
        <w:rPr>
          <w:rFonts w:ascii="Calibri" w:eastAsia="Calibri" w:hAnsi="Calibri" w:cs="Times New Roman"/>
          <w:lang w:val="fr-FR"/>
        </w:rPr>
      </w:pPr>
      <w:r w:rsidRPr="000A5CE6">
        <w:rPr>
          <w:rFonts w:ascii="Calibri" w:eastAsia="Calibri" w:hAnsi="Calibri" w:cs="Times New Roman"/>
          <w:lang w:val="fr-FR"/>
        </w:rPr>
        <w:t>Sauf indication contraire, les actions présentées ci-après sont destinées à être mises en œuvre par les Parties à la CMS et par les autres États de l’aire de répartition (voir l’annexe 2 pour la liste des États de l’aire de répartition), en liaison avec les organisations nationales et internationales compétentes et les autres parties prenantes concernées. Voir en annexe 5 le tableau indiquant les Parties et/ou les institutions responsables de la mise en œuvre de chaque action.</w:t>
      </w:r>
    </w:p>
    <w:p w:rsidR="000A5CE6" w:rsidRPr="000A5CE6" w:rsidRDefault="000A5CE6" w:rsidP="000A5CE6">
      <w:pPr>
        <w:spacing w:after="120" w:line="360" w:lineRule="auto"/>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lang w:val="fr-FR"/>
        </w:rPr>
      </w:pPr>
      <w:r w:rsidRPr="000A5CE6">
        <w:rPr>
          <w:rFonts w:ascii="Calibri" w:eastAsia="Calibri" w:hAnsi="Calibri" w:cs="Times New Roman"/>
          <w:lang w:val="fr-FR"/>
        </w:rPr>
        <w:lastRenderedPageBreak/>
        <w:t xml:space="preserve"> Les actions sont classées par groupe thématique, et bien que certaines actions soient transversales, des efforts ont été faits pour limiter les répétitions dans le Plan d’action. Voir l’annexe 1 pour plus de détails sur chaque section thématique et l’annexe 6 pour une liste des références des documents cités dans le Plan d’action.</w:t>
      </w:r>
    </w:p>
    <w:p w:rsidR="000A5CE6" w:rsidRPr="000A5CE6" w:rsidRDefault="000A5CE6" w:rsidP="000A5CE6">
      <w:pPr>
        <w:spacing w:after="120" w:line="360" w:lineRule="auto"/>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b/>
          <w:lang w:val="fr-FR"/>
        </w:rPr>
      </w:pPr>
      <w:bookmarkStart w:id="4" w:name="_Toc346486092"/>
      <w:r w:rsidRPr="000A5CE6">
        <w:rPr>
          <w:rFonts w:ascii="Calibri" w:eastAsia="Calibri" w:hAnsi="Calibri" w:cs="Times New Roman"/>
          <w:b/>
          <w:lang w:val="fr-FR"/>
        </w:rPr>
        <w:t>Clé de classification des actions</w:t>
      </w:r>
    </w:p>
    <w:bookmarkEnd w:id="4"/>
    <w:p w:rsidR="000A5CE6" w:rsidRPr="000A5CE6" w:rsidRDefault="000A5CE6" w:rsidP="000A5CE6">
      <w:pPr>
        <w:spacing w:after="120" w:line="360" w:lineRule="auto"/>
        <w:rPr>
          <w:rFonts w:ascii="Calibri" w:eastAsia="Calibri" w:hAnsi="Calibri" w:cs="Times New Roman"/>
          <w:lang w:val="fr-FR"/>
        </w:rPr>
      </w:pPr>
      <w:r w:rsidRPr="000A5CE6">
        <w:rPr>
          <w:rFonts w:ascii="Calibri" w:eastAsia="Calibri" w:hAnsi="Calibri" w:cs="Times New Roman"/>
          <w:lang w:val="fr-FR"/>
        </w:rPr>
        <w:t>Afin de prévoir un démarrage immédiat ou précoce des actions, chacune d’entre elles est classée en fonction du calendrier des résultats à produire (échéances des rapports) et en fonction de la priorité de l’action telle que déterminée par son influence probable sur la réalisation de le but général du Plan d’action.</w:t>
      </w:r>
    </w:p>
    <w:p w:rsidR="000A5CE6" w:rsidRPr="000A5CE6" w:rsidRDefault="000A5CE6" w:rsidP="000A5CE6">
      <w:pPr>
        <w:spacing w:after="120" w:line="360" w:lineRule="auto"/>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i/>
          <w:lang w:val="fr-FR"/>
        </w:rPr>
      </w:pPr>
      <w:r w:rsidRPr="000A5CE6">
        <w:rPr>
          <w:rFonts w:ascii="Calibri" w:eastAsia="Calibri" w:hAnsi="Calibri" w:cs="Times New Roman"/>
          <w:i/>
          <w:lang w:val="fr-FR"/>
        </w:rPr>
        <w:t>Calendrier :</w:t>
      </w:r>
    </w:p>
    <w:p w:rsidR="000A5CE6" w:rsidRPr="000A5CE6" w:rsidRDefault="000A5CE6" w:rsidP="000A5CE6">
      <w:pPr>
        <w:spacing w:after="120" w:line="360" w:lineRule="auto"/>
        <w:ind w:left="1080" w:hanging="360"/>
        <w:rPr>
          <w:rFonts w:ascii="Calibri" w:eastAsia="Calibri" w:hAnsi="Calibri" w:cs="Times New Roman"/>
          <w:lang w:val="fr-FR"/>
        </w:rPr>
      </w:pPr>
      <w:r w:rsidRPr="000A5CE6">
        <w:rPr>
          <w:rFonts w:ascii="Calibri" w:eastAsia="Calibri" w:hAnsi="Calibri" w:cs="Times New Roman"/>
          <w:lang w:val="fr-FR"/>
        </w:rPr>
        <w:t>C = résultats attendus à court terme et actions déjà en cours (dans un intervalle d’une période intersession de la COP de la CMS (soit trois ans))</w:t>
      </w:r>
    </w:p>
    <w:p w:rsidR="000A5CE6" w:rsidRPr="000A5CE6" w:rsidRDefault="000A5CE6" w:rsidP="000A5CE6">
      <w:pPr>
        <w:spacing w:after="120" w:line="360" w:lineRule="auto"/>
        <w:ind w:left="1134" w:hanging="425"/>
        <w:rPr>
          <w:rFonts w:ascii="Calibri" w:eastAsia="Calibri" w:hAnsi="Calibri" w:cs="Times New Roman"/>
          <w:lang w:val="fr-FR"/>
        </w:rPr>
      </w:pPr>
      <w:r w:rsidRPr="000A5CE6">
        <w:rPr>
          <w:rFonts w:ascii="Calibri" w:eastAsia="Calibri" w:hAnsi="Calibri" w:cs="Times New Roman"/>
          <w:lang w:val="fr-FR"/>
        </w:rPr>
        <w:t>M = résultats attendus à moyen terme (dans un intervalle de deux périodes intersessions de la COP (soit six ans))</w:t>
      </w:r>
    </w:p>
    <w:p w:rsidR="000A5CE6" w:rsidRPr="000A5CE6" w:rsidRDefault="000A5CE6" w:rsidP="000A5CE6">
      <w:pPr>
        <w:spacing w:after="120" w:line="360" w:lineRule="auto"/>
        <w:ind w:left="1080" w:hanging="360"/>
        <w:rPr>
          <w:rFonts w:ascii="Calibri" w:eastAsia="Calibri" w:hAnsi="Calibri" w:cs="Times New Roman"/>
          <w:lang w:val="fr-FR"/>
        </w:rPr>
      </w:pPr>
      <w:r w:rsidRPr="000A5CE6">
        <w:rPr>
          <w:rFonts w:ascii="Calibri" w:eastAsia="Calibri" w:hAnsi="Calibri" w:cs="Times New Roman"/>
          <w:lang w:val="fr-FR"/>
        </w:rPr>
        <w:t>L = résultats attendus à long terme (dans un intervalle de trois périodes intersessions de la COP (soit neuf ans ou plus))</w:t>
      </w:r>
    </w:p>
    <w:p w:rsidR="000A5CE6" w:rsidRPr="000A5CE6" w:rsidRDefault="000A5CE6" w:rsidP="000A5CE6">
      <w:pPr>
        <w:spacing w:after="120" w:line="360" w:lineRule="auto"/>
        <w:ind w:left="90"/>
        <w:rPr>
          <w:rFonts w:ascii="Calibri" w:eastAsia="Calibri" w:hAnsi="Calibri" w:cs="Times New Roman"/>
          <w:i/>
          <w:lang w:val="fr-FR"/>
        </w:rPr>
      </w:pPr>
    </w:p>
    <w:p w:rsidR="000A5CE6" w:rsidRPr="000A5CE6" w:rsidRDefault="000A5CE6" w:rsidP="000A5CE6">
      <w:pPr>
        <w:spacing w:after="120" w:line="360" w:lineRule="auto"/>
        <w:ind w:left="90"/>
        <w:rPr>
          <w:rFonts w:ascii="Calibri" w:eastAsia="Calibri" w:hAnsi="Calibri" w:cs="Times New Roman"/>
          <w:i/>
          <w:lang w:val="fr-FR"/>
        </w:rPr>
      </w:pPr>
      <w:r w:rsidRPr="000A5CE6">
        <w:rPr>
          <w:rFonts w:ascii="Calibri" w:eastAsia="Calibri" w:hAnsi="Calibri" w:cs="Times New Roman"/>
          <w:i/>
          <w:lang w:val="fr-FR"/>
        </w:rPr>
        <w:t>Priorité :</w:t>
      </w:r>
    </w:p>
    <w:p w:rsidR="000A5CE6" w:rsidRPr="000A5CE6" w:rsidRDefault="000A5CE6" w:rsidP="000A5CE6">
      <w:pPr>
        <w:spacing w:after="120" w:line="360" w:lineRule="auto"/>
        <w:ind w:left="1080" w:hanging="360"/>
        <w:rPr>
          <w:rFonts w:ascii="Calibri" w:eastAsia="Calibri" w:hAnsi="Calibri" w:cs="Times New Roman"/>
          <w:lang w:val="fr-FR"/>
        </w:rPr>
      </w:pPr>
      <w:r w:rsidRPr="000A5CE6">
        <w:rPr>
          <w:rFonts w:ascii="Calibri" w:eastAsia="Calibri" w:hAnsi="Calibri" w:cs="Times New Roman"/>
          <w:lang w:val="fr-FR"/>
        </w:rPr>
        <w:t>1 = haute (une activité nécessaire pour empêcher l’extinction de toute espèce d’oiseau terrestre migrateur dans l’aire du Plan d’action)</w:t>
      </w:r>
    </w:p>
    <w:p w:rsidR="000A5CE6" w:rsidRPr="000A5CE6" w:rsidRDefault="000A5CE6" w:rsidP="000A5CE6">
      <w:pPr>
        <w:spacing w:after="120" w:line="360" w:lineRule="auto"/>
        <w:ind w:left="1080" w:hanging="360"/>
        <w:rPr>
          <w:rFonts w:ascii="Calibri" w:eastAsia="Calibri" w:hAnsi="Calibri" w:cs="Times New Roman"/>
          <w:lang w:val="fr-FR"/>
        </w:rPr>
      </w:pPr>
      <w:r w:rsidRPr="000A5CE6">
        <w:rPr>
          <w:rFonts w:ascii="Calibri" w:eastAsia="Calibri" w:hAnsi="Calibri" w:cs="Times New Roman"/>
          <w:lang w:val="fr-FR"/>
        </w:rPr>
        <w:t xml:space="preserve">2 = moyenne (une activité nécessaire pour empêcher ou inverser le déclin de population de toute espèce d’oiseau terrestre migrateur </w:t>
      </w:r>
      <w:r w:rsidRPr="000A5CE6">
        <w:rPr>
          <w:rFonts w:ascii="Calibri" w:eastAsia="Calibri" w:hAnsi="Calibri" w:cs="Times New Roman"/>
          <w:i/>
          <w:lang w:val="fr-FR"/>
        </w:rPr>
        <w:t>mondialement menacée</w:t>
      </w:r>
      <w:r w:rsidRPr="000A5CE6">
        <w:rPr>
          <w:rFonts w:ascii="Calibri" w:eastAsia="Calibri" w:hAnsi="Calibri" w:cs="Times New Roman"/>
          <w:lang w:val="fr-FR"/>
        </w:rPr>
        <w:t xml:space="preserve"> ou </w:t>
      </w:r>
      <w:r w:rsidRPr="000A5CE6">
        <w:rPr>
          <w:rFonts w:ascii="Calibri" w:eastAsia="Calibri" w:hAnsi="Calibri" w:cs="Times New Roman"/>
          <w:i/>
          <w:lang w:val="fr-FR"/>
        </w:rPr>
        <w:t>Quasi menacée</w:t>
      </w:r>
      <w:r w:rsidRPr="000A5CE6">
        <w:rPr>
          <w:rFonts w:ascii="Calibri" w:eastAsia="Calibri" w:hAnsi="Calibri" w:cs="Times New Roman"/>
          <w:lang w:val="fr-FR"/>
        </w:rPr>
        <w:t>, ou de la majorité des autres espèces d’oiseaux terrestres migrateurs dont la population présente une tendance au déclin dans l’aire du plan d’action)</w:t>
      </w:r>
    </w:p>
    <w:p w:rsidR="000A5CE6" w:rsidRPr="000A5CE6" w:rsidRDefault="000A5CE6" w:rsidP="000A5CE6">
      <w:pPr>
        <w:spacing w:after="120" w:line="360" w:lineRule="auto"/>
        <w:ind w:left="1080" w:hanging="360"/>
        <w:rPr>
          <w:rFonts w:ascii="Calibri" w:eastAsia="Calibri" w:hAnsi="Calibri" w:cs="Times New Roman"/>
          <w:lang w:val="fr-FR"/>
        </w:rPr>
      </w:pPr>
      <w:r w:rsidRPr="000A5CE6">
        <w:rPr>
          <w:rFonts w:ascii="Calibri" w:eastAsia="Calibri" w:hAnsi="Calibri" w:cs="Times New Roman"/>
          <w:lang w:val="fr-FR"/>
        </w:rPr>
        <w:t xml:space="preserve">3 = faible (une activité nécessaire pour restaurer les populations de toute espèce d’oiseau terrestre migrateur </w:t>
      </w:r>
      <w:r w:rsidRPr="000A5CE6">
        <w:rPr>
          <w:rFonts w:ascii="Calibri" w:eastAsia="Calibri" w:hAnsi="Calibri" w:cs="Times New Roman"/>
          <w:i/>
          <w:lang w:val="fr-FR"/>
        </w:rPr>
        <w:t>mondialement menacée</w:t>
      </w:r>
      <w:r w:rsidRPr="000A5CE6">
        <w:rPr>
          <w:rFonts w:ascii="Calibri" w:eastAsia="Calibri" w:hAnsi="Calibri" w:cs="Times New Roman"/>
          <w:lang w:val="fr-FR"/>
        </w:rPr>
        <w:t xml:space="preserve"> ou </w:t>
      </w:r>
      <w:r w:rsidRPr="000A5CE6">
        <w:rPr>
          <w:rFonts w:ascii="Calibri" w:eastAsia="Calibri" w:hAnsi="Calibri" w:cs="Times New Roman"/>
          <w:i/>
          <w:lang w:val="fr-FR"/>
        </w:rPr>
        <w:t>Quasi menacée</w:t>
      </w:r>
      <w:r w:rsidRPr="000A5CE6">
        <w:rPr>
          <w:rFonts w:ascii="Calibri" w:eastAsia="Calibri" w:hAnsi="Calibri" w:cs="Times New Roman"/>
          <w:lang w:val="fr-FR"/>
        </w:rPr>
        <w:t>, ou pour éviter le déclin des populations de toute espèce d’oiseau terrestre migrateur)</w:t>
      </w:r>
    </w:p>
    <w:p w:rsidR="000A5CE6" w:rsidRPr="000A5CE6" w:rsidRDefault="000A5CE6" w:rsidP="000A5CE6">
      <w:pPr>
        <w:spacing w:after="120" w:line="360" w:lineRule="auto"/>
        <w:rPr>
          <w:rFonts w:ascii="Calibri" w:eastAsia="Calibri" w:hAnsi="Calibri" w:cs="Times New Roman"/>
          <w:lang w:val="fr-FR"/>
        </w:rPr>
      </w:pPr>
      <w:bookmarkStart w:id="5" w:name="_Toc346486093"/>
    </w:p>
    <w:p w:rsidR="000A5CE6" w:rsidRPr="000A5CE6" w:rsidRDefault="000A5CE6" w:rsidP="000A5CE6">
      <w:pPr>
        <w:numPr>
          <w:ilvl w:val="0"/>
          <w:numId w:val="10"/>
        </w:num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lastRenderedPageBreak/>
        <w:t>CONSERVATION DES HABITATS</w:t>
      </w:r>
    </w:p>
    <w:bookmarkEnd w:id="5"/>
    <w:p w:rsidR="000A5CE6" w:rsidRPr="000A5CE6" w:rsidRDefault="000A5CE6" w:rsidP="000A5CE6">
      <w:pPr>
        <w:spacing w:after="0" w:line="240" w:lineRule="auto"/>
        <w:rPr>
          <w:rFonts w:ascii="Calibri" w:eastAsia="Calibri" w:hAnsi="Calibri" w:cs="Times New Roman"/>
          <w:b/>
          <w:lang w:val="fr-FR"/>
        </w:rPr>
      </w:pPr>
      <w:r w:rsidRPr="000A5CE6">
        <w:rPr>
          <w:rFonts w:ascii="Calibri" w:eastAsia="Calibri" w:hAnsi="Calibri" w:cs="Times New Roman"/>
          <w:b/>
          <w:lang w:val="fr-FR"/>
        </w:rPr>
        <w:t>1.1</w:t>
      </w:r>
      <w:r w:rsidRPr="000A5CE6">
        <w:rPr>
          <w:rFonts w:ascii="Calibri" w:eastAsia="Calibri" w:hAnsi="Calibri" w:cs="Times New Roman"/>
          <w:b/>
          <w:lang w:val="fr-FR"/>
        </w:rPr>
        <w:tab/>
      </w:r>
      <w:bookmarkStart w:id="6" w:name="_Toc346486095"/>
      <w:r w:rsidRPr="000A5CE6">
        <w:rPr>
          <w:rFonts w:ascii="Calibri" w:eastAsia="Calibri" w:hAnsi="Calibri" w:cs="Times New Roman"/>
          <w:b/>
          <w:lang w:val="fr-FR"/>
        </w:rPr>
        <w:t>Changements dans l’utilisation des terres</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spacing w:after="0" w:line="240" w:lineRule="auto"/>
        <w:ind w:firstLine="720"/>
        <w:rPr>
          <w:rFonts w:ascii="Calibri" w:eastAsia="Calibri" w:hAnsi="Calibri" w:cs="Times New Roman"/>
          <w:b/>
          <w:lang w:val="fr-FR"/>
        </w:rPr>
      </w:pPr>
      <w:bookmarkStart w:id="7" w:name="_Toc346486096"/>
      <w:bookmarkEnd w:id="6"/>
      <w:r w:rsidRPr="000A5CE6">
        <w:rPr>
          <w:rFonts w:ascii="Calibri" w:eastAsia="Calibri" w:hAnsi="Calibri" w:cs="Times New Roman"/>
          <w:b/>
          <w:lang w:val="fr-FR"/>
        </w:rPr>
        <w:t>1.1.1</w:t>
      </w:r>
      <w:r w:rsidRPr="000A5CE6">
        <w:rPr>
          <w:rFonts w:ascii="Calibri" w:eastAsia="Calibri" w:hAnsi="Calibri" w:cs="Times New Roman"/>
          <w:b/>
          <w:lang w:val="fr-FR"/>
        </w:rPr>
        <w:tab/>
        <w:t xml:space="preserve">Agriculture </w:t>
      </w:r>
    </w:p>
    <w:p w:rsidR="000A5CE6" w:rsidRPr="000A5CE6" w:rsidRDefault="000A5CE6" w:rsidP="000A5CE6">
      <w:pPr>
        <w:spacing w:after="0" w:line="240" w:lineRule="auto"/>
        <w:ind w:firstLine="720"/>
        <w:rPr>
          <w:rFonts w:ascii="Calibri" w:eastAsia="Calibri" w:hAnsi="Calibri" w:cs="Times New Roman"/>
          <w:b/>
          <w:lang w:val="fr-FR"/>
        </w:rPr>
      </w:pPr>
    </w:p>
    <w:p w:rsidR="000A5CE6" w:rsidRPr="000A5CE6" w:rsidRDefault="000A5CE6" w:rsidP="000A5CE6">
      <w:pPr>
        <w:keepNext/>
        <w:spacing w:after="120" w:line="360" w:lineRule="auto"/>
        <w:ind w:firstLine="720"/>
        <w:jc w:val="both"/>
        <w:outlineLvl w:val="3"/>
        <w:rPr>
          <w:rFonts w:ascii="Calibri" w:eastAsia="Times New Roman" w:hAnsi="Calibri" w:cs="Times New Roman"/>
          <w:b/>
          <w:bCs/>
          <w:color w:val="000000"/>
          <w:lang w:val="en-GB"/>
        </w:rPr>
      </w:pPr>
      <w:r w:rsidRPr="000A5CE6">
        <w:rPr>
          <w:rFonts w:ascii="Calibri" w:eastAsia="Times New Roman" w:hAnsi="Calibri" w:cs="Times New Roman"/>
          <w:b/>
          <w:bCs/>
          <w:color w:val="000000"/>
          <w:lang w:val="en-GB"/>
        </w:rPr>
        <w:t>1.1</w:t>
      </w:r>
      <w:r w:rsidRPr="000A5CE6">
        <w:rPr>
          <w:rFonts w:ascii="Calibri" w:eastAsia="Times New Roman" w:hAnsi="Calibri" w:cs="Times New Roman"/>
          <w:b/>
          <w:bCs/>
          <w:color w:val="000000"/>
          <w:lang w:val="fr-FR"/>
        </w:rPr>
        <w:t>.1.1</w:t>
      </w:r>
      <w:r w:rsidRPr="000A5CE6">
        <w:rPr>
          <w:rFonts w:ascii="Calibri" w:eastAsia="Times New Roman" w:hAnsi="Calibri" w:cs="Times New Roman"/>
          <w:b/>
          <w:bCs/>
          <w:color w:val="000000"/>
          <w:lang w:val="fr-FR"/>
        </w:rPr>
        <w:tab/>
        <w:t>Agriculture intensive</w:t>
      </w:r>
    </w:p>
    <w:bookmarkEnd w:id="7"/>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r w:rsidRPr="000A5CE6">
        <w:rPr>
          <w:rFonts w:ascii="Calibri" w:eastAsia="Calibri" w:hAnsi="Calibri" w:cs="Times New Roman"/>
          <w:lang w:val="fr-FR"/>
        </w:rPr>
        <w:t xml:space="preserve"> incluant la promotion de programmes agro-environnementaux et, lorsqu’elles existent, la suppression des incitations et des subventions ayant des effets pervers - [M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Promouvoir des systèmes agricoles respectueux de la biodiversité </w:t>
      </w:r>
      <w:r w:rsidRPr="000A5CE6">
        <w:rPr>
          <w:rFonts w:ascii="Calibri" w:eastAsia="Calibri" w:hAnsi="Calibri" w:cs="Times New Roman"/>
          <w:lang w:val="fr-FR"/>
        </w:rPr>
        <w:t>et favorables aux oiseaux terrestres migrateurs - [C / 1].</w:t>
      </w:r>
    </w:p>
    <w:p w:rsidR="000A5CE6" w:rsidRPr="000A5CE6" w:rsidRDefault="000A5CE6" w:rsidP="000A5CE6">
      <w:pPr>
        <w:spacing w:after="0" w:line="240" w:lineRule="auto"/>
        <w:ind w:left="1530" w:hanging="81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Élaborer des principes d’aménagement de l’espace et des orientations visant à atténuer les conséquences négatives des formes d’agriculture à grande échelle et/ou intensive sur les oiseaux terrestres migrateurs et leurs habitats, </w:t>
      </w:r>
      <w:r w:rsidRPr="000A5CE6">
        <w:rPr>
          <w:rFonts w:ascii="Calibri" w:eastAsia="Calibri" w:hAnsi="Calibri" w:cs="Times New Roman"/>
          <w:lang w:val="fr-FR"/>
        </w:rPr>
        <w:t>et partager les expériences pertinentes et les bonnes pratiques, à travers la collaboration entre les États de l’aire de répartition - [C / 2].</w:t>
      </w:r>
    </w:p>
    <w:p w:rsidR="000A5CE6" w:rsidRPr="000A5CE6" w:rsidRDefault="000A5CE6" w:rsidP="000A5CE6">
      <w:pPr>
        <w:spacing w:after="0" w:line="240" w:lineRule="auto"/>
        <w:ind w:left="1530" w:hanging="81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Entreprendre des Évaluations environnementales stratégiques, </w:t>
      </w:r>
      <w:r w:rsidRPr="000A5CE6">
        <w:rPr>
          <w:rFonts w:ascii="Calibri" w:eastAsia="Calibri" w:hAnsi="Calibri" w:cs="Times New Roman"/>
          <w:lang w:val="fr-FR"/>
        </w:rPr>
        <w:t>autant que possible, afin de déterminer des politiques et plans généraux pour l’agriculture, qui tiennent pleinement compte des oiseaux terrestres migrateurs, de leurs habitats et des autres éléments de la biodiversité - [M / 2].</w:t>
      </w:r>
    </w:p>
    <w:p w:rsidR="000A5CE6" w:rsidRPr="000A5CE6" w:rsidRDefault="000A5CE6" w:rsidP="000A5CE6">
      <w:pPr>
        <w:spacing w:after="0" w:line="240" w:lineRule="auto"/>
        <w:ind w:left="1530" w:hanging="81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Élaborer des stratégies d’aménagement du territoire, en utilisant une approche écosystémique,</w:t>
      </w:r>
      <w:r w:rsidRPr="000A5CE6">
        <w:rPr>
          <w:rFonts w:ascii="Calibri" w:eastAsia="Calibri" w:hAnsi="Calibri" w:cs="Times New Roman"/>
          <w:lang w:val="fr-FR"/>
        </w:rPr>
        <w:t xml:space="preserve"> pour la conservation des habitats importants pour les oiseaux terrestres migrateurs, et veiller à l’intégration des considérations environnementales dans les politiques agricoles nationales - [M / 1].</w:t>
      </w:r>
    </w:p>
    <w:p w:rsidR="000A5CE6" w:rsidRPr="000A5CE6" w:rsidRDefault="000A5CE6" w:rsidP="000A5CE6">
      <w:pPr>
        <w:spacing w:after="0" w:line="240" w:lineRule="auto"/>
        <w:ind w:left="720"/>
        <w:rPr>
          <w:rFonts w:ascii="Times New Roman" w:eastAsia="Calibri" w:hAnsi="Times New Roman" w:cs="Times New Roman"/>
          <w:sz w:val="24"/>
          <w:lang w:val="fr-FR"/>
        </w:rPr>
      </w:pPr>
    </w:p>
    <w:p w:rsidR="000A5CE6" w:rsidRPr="000A5CE6" w:rsidRDefault="000A5CE6" w:rsidP="000A5CE6">
      <w:pPr>
        <w:spacing w:after="0" w:line="240" w:lineRule="auto"/>
        <w:ind w:left="720"/>
        <w:rPr>
          <w:rFonts w:ascii="Calibri" w:eastAsia="Calibri" w:hAnsi="Calibri" w:cs="Times New Roman"/>
          <w:lang w:val="fr-FR"/>
        </w:rPr>
      </w:pPr>
      <w:bookmarkStart w:id="8" w:name="_Toc346486097"/>
      <w:r w:rsidRPr="000A5CE6">
        <w:rPr>
          <w:rFonts w:ascii="Calibri" w:eastAsia="Calibri" w:hAnsi="Calibri" w:cs="Times New Roman"/>
          <w:b/>
          <w:lang w:val="fr-FR"/>
        </w:rPr>
        <w:t>1.1.1.2</w:t>
      </w:r>
      <w:r w:rsidRPr="000A5CE6">
        <w:rPr>
          <w:rFonts w:ascii="Calibri" w:eastAsia="Calibri" w:hAnsi="Calibri" w:cs="Times New Roman"/>
          <w:b/>
          <w:lang w:val="fr-FR"/>
        </w:rPr>
        <w:tab/>
        <w:t xml:space="preserve">Agriculture traditionnelle, y compris le pastoralisme et les systèmes de culture à petite </w:t>
      </w:r>
      <w:r w:rsidRPr="000A5CE6">
        <w:rPr>
          <w:rFonts w:ascii="Times New Roman" w:eastAsia="Calibri" w:hAnsi="Times New Roman" w:cs="Times New Roman"/>
          <w:b/>
          <w:sz w:val="24"/>
          <w:lang w:val="fr-FR"/>
        </w:rPr>
        <w:tab/>
      </w:r>
      <w:r w:rsidRPr="000A5CE6">
        <w:rPr>
          <w:rFonts w:ascii="Calibri" w:eastAsia="Calibri" w:hAnsi="Calibri" w:cs="Times New Roman"/>
          <w:b/>
          <w:lang w:val="fr-FR"/>
        </w:rPr>
        <w:t>échelle</w:t>
      </w:r>
      <w:r w:rsidRPr="000A5CE6">
        <w:rPr>
          <w:rFonts w:ascii="Calibri" w:eastAsia="Calibri" w:hAnsi="Calibri" w:cs="Times New Roman"/>
          <w:lang w:val="fr-FR"/>
        </w:rPr>
        <w:t xml:space="preserve"> </w:t>
      </w:r>
    </w:p>
    <w:p w:rsidR="000A5CE6" w:rsidRPr="000A5CE6" w:rsidRDefault="000A5CE6" w:rsidP="000A5CE6">
      <w:pPr>
        <w:spacing w:after="0" w:line="240" w:lineRule="auto"/>
        <w:ind w:left="720"/>
        <w:rPr>
          <w:rFonts w:ascii="Calibri" w:eastAsia="Calibri" w:hAnsi="Calibri" w:cs="Times New Roman"/>
          <w:lang w:val="fr-FR"/>
        </w:rPr>
      </w:pPr>
    </w:p>
    <w:bookmarkEnd w:id="8"/>
    <w:p w:rsidR="000A5CE6" w:rsidRPr="000A5CE6" w:rsidRDefault="000A5CE6" w:rsidP="000A5CE6">
      <w:pPr>
        <w:numPr>
          <w:ilvl w:val="0"/>
          <w:numId w:val="9"/>
        </w:numPr>
        <w:spacing w:after="120" w:line="360" w:lineRule="auto"/>
        <w:jc w:val="both"/>
        <w:rPr>
          <w:rFonts w:ascii="Calibri" w:eastAsia="Calibri" w:hAnsi="Calibri" w:cs="Times New Roman"/>
          <w:i/>
          <w:lang w:val="fr-FR"/>
        </w:rPr>
      </w:pPr>
      <w:r w:rsidRPr="000A5CE6">
        <w:rPr>
          <w:rFonts w:ascii="Calibri" w:eastAsia="Calibri" w:hAnsi="Calibri" w:cs="Times New Roman"/>
          <w:i/>
          <w:lang w:val="fr-FR"/>
        </w:rPr>
        <w:t xml:space="preserve">Promouvoir des politiques agricoles qui soutiennent les pratiques de gestion participatives et durables des ressources naturelles, </w:t>
      </w:r>
      <w:r w:rsidRPr="000A5CE6">
        <w:rPr>
          <w:rFonts w:ascii="Calibri" w:eastAsia="Calibri" w:hAnsi="Calibri" w:cs="Times New Roman"/>
          <w:lang w:val="fr-FR"/>
        </w:rPr>
        <w:t xml:space="preserve">p. ex. les méthodes d’agriculture </w:t>
      </w:r>
      <w:r w:rsidRPr="000A5CE6">
        <w:rPr>
          <w:rFonts w:ascii="Calibri" w:eastAsia="Calibri" w:hAnsi="Calibri" w:cs="Times New Roman"/>
          <w:lang w:val="fr-FR"/>
        </w:rPr>
        <w:lastRenderedPageBreak/>
        <w:t>à petite échelle et d’agriculture traditionnelle (y compris le pastoralisme)</w:t>
      </w:r>
      <w:r w:rsidRPr="000A5CE6">
        <w:rPr>
          <w:rFonts w:ascii="Calibri" w:eastAsia="Calibri" w:hAnsi="Calibri" w:cs="Times New Roman"/>
          <w:i/>
          <w:lang w:val="fr-FR"/>
        </w:rPr>
        <w:t xml:space="preserve">, favorables au maintien des populations d’oiseaux terrestres migrateurs et à d’autres éléments de la biodiversité, </w:t>
      </w:r>
      <w:r w:rsidRPr="000A5CE6">
        <w:rPr>
          <w:rFonts w:ascii="Calibri" w:eastAsia="Calibri" w:hAnsi="Calibri" w:cs="Times New Roman"/>
          <w:lang w:val="fr-FR"/>
        </w:rPr>
        <w:t>comprenant la promotion de mesures appropriées au sein de programmes agroenvironnementaux et l’élimination des incitations et des subventions ayant des effets pervers, lorsqu’elles existent - [M / 1].</w:t>
      </w:r>
    </w:p>
    <w:p w:rsidR="000A5CE6" w:rsidRPr="000A5CE6" w:rsidRDefault="000A5CE6" w:rsidP="000A5CE6">
      <w:pPr>
        <w:spacing w:after="0" w:line="240" w:lineRule="auto"/>
        <w:ind w:left="1571"/>
        <w:rPr>
          <w:rFonts w:ascii="Times New Roman" w:eastAsia="Calibri" w:hAnsi="Times New Roman" w:cs="Times New Roman"/>
          <w:i/>
          <w:sz w:val="24"/>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Travailler avec les communautés locales et leur donner les moyens de défendre, développer et mettre en œuvre des approches participatives et des mesures incitatives pour une gestion intégrée et durable des ressources naturelles. </w:t>
      </w:r>
      <w:r w:rsidRPr="000A5CE6">
        <w:rPr>
          <w:rFonts w:ascii="Calibri" w:eastAsia="Calibri" w:hAnsi="Calibri" w:cs="Times New Roman"/>
          <w:lang w:val="fr-FR"/>
        </w:rPr>
        <w:t>Cela devrait encourager la gestion des forêts et l’agriculture durables et à petite échelle, la zonation du pâturage, la génération de revenus alternatifs incluant la restauration des habitats le cas échéant, l’amélioration à la fois des moyens de subsistance des communautés et de la qualité des habitats des oiseaux terrestres migrateurs - [M / 1].</w:t>
      </w:r>
    </w:p>
    <w:p w:rsidR="000A5CE6" w:rsidRPr="000A5CE6" w:rsidRDefault="000A5CE6" w:rsidP="000A5CE6">
      <w:pPr>
        <w:spacing w:after="0" w:line="240" w:lineRule="auto"/>
        <w:ind w:left="1440" w:hanging="720"/>
        <w:rPr>
          <w:rFonts w:ascii="Times New Roman" w:eastAsia="Calibri" w:hAnsi="Times New Roman" w:cs="Times New Roman"/>
          <w:sz w:val="24"/>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Faciliter le partage, au niveau international, d’expériences pertinentes et de bonnes pratiques pastorales et agricoles à petite échelle, </w:t>
      </w:r>
      <w:r w:rsidRPr="000A5CE6">
        <w:rPr>
          <w:rFonts w:ascii="Calibri" w:eastAsia="Calibri" w:hAnsi="Calibri" w:cs="Times New Roman"/>
          <w:lang w:val="fr-FR"/>
        </w:rPr>
        <w:t>faisant appel à des systèmes d’utilisation des terres écologiquement durables et répondant aux besoins des populations d’oiseaux terrestres migrateurs. Soutenir la documentation des études de cas - [C / 2].</w:t>
      </w:r>
    </w:p>
    <w:p w:rsidR="000A5CE6" w:rsidRPr="000A5CE6" w:rsidRDefault="000A5CE6" w:rsidP="000A5CE6">
      <w:pPr>
        <w:spacing w:after="0" w:line="240" w:lineRule="auto"/>
        <w:ind w:left="1440" w:hanging="720"/>
        <w:rPr>
          <w:rFonts w:ascii="Calibri" w:eastAsia="Calibri" w:hAnsi="Calibri" w:cs="Times New Roman"/>
          <w:sz w:val="24"/>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S’efforcer d’inclure les besoins des oiseaux migrateurs en termes d’habitat dans les initiatives existantes qui travaillent avec les agriculteurs el les communautés locales, </w:t>
      </w:r>
      <w:r w:rsidRPr="000A5CE6">
        <w:rPr>
          <w:rFonts w:ascii="Calibri" w:eastAsia="Calibri" w:hAnsi="Calibri" w:cs="Times New Roman"/>
          <w:lang w:val="fr-FR"/>
        </w:rPr>
        <w:t>telles que l’Initiative mondiale pour un pastoralisme durable</w:t>
      </w:r>
      <w:r w:rsidRPr="000A5CE6">
        <w:rPr>
          <w:rFonts w:ascii="Calibri" w:eastAsia="Calibri" w:hAnsi="Calibri" w:cs="Times New Roman"/>
          <w:vertAlign w:val="superscript"/>
          <w:lang w:val="fr-FR"/>
        </w:rPr>
        <w:footnoteReference w:id="2"/>
      </w:r>
      <w:r w:rsidRPr="000A5CE6">
        <w:rPr>
          <w:rFonts w:ascii="Calibri" w:eastAsia="Calibri" w:hAnsi="Calibri" w:cs="Times New Roman"/>
          <w:lang w:val="fr-FR"/>
        </w:rPr>
        <w:t xml:space="preserve"> (IMPD) dans la mesure où elles répondent aux besoins des espèces d’oiseaux terrestres migrateurs, y compris en encourageant le développement et la mise en œuvre de stratégies interdisciplinaires pour un pastoralisme durable fondées sur des institutions traditionnelles de réglementation de l’utilisation des ressources, mais qui soient renseignées par des prévisions climatiques saisonnières ou à long terme - [M / 2].</w:t>
      </w:r>
    </w:p>
    <w:p w:rsidR="000A5CE6" w:rsidRDefault="000A5CE6" w:rsidP="000A5CE6">
      <w:pPr>
        <w:spacing w:after="0" w:line="240" w:lineRule="auto"/>
        <w:ind w:left="1440" w:hanging="720"/>
        <w:rPr>
          <w:rFonts w:ascii="Times New Roman" w:eastAsia="Calibri" w:hAnsi="Times New Roman" w:cs="Times New Roman"/>
          <w:sz w:val="24"/>
          <w:lang w:val="fr-FR"/>
        </w:rPr>
      </w:pPr>
    </w:p>
    <w:p w:rsidR="000A3209" w:rsidRDefault="000A3209" w:rsidP="000A5CE6">
      <w:pPr>
        <w:spacing w:after="0" w:line="240" w:lineRule="auto"/>
        <w:ind w:left="1440" w:hanging="720"/>
        <w:rPr>
          <w:rFonts w:ascii="Times New Roman" w:eastAsia="Calibri" w:hAnsi="Times New Roman" w:cs="Times New Roman"/>
          <w:sz w:val="24"/>
          <w:lang w:val="fr-FR"/>
        </w:rPr>
      </w:pPr>
    </w:p>
    <w:p w:rsidR="000A3209" w:rsidRDefault="000A3209" w:rsidP="000A5CE6">
      <w:pPr>
        <w:spacing w:after="0" w:line="240" w:lineRule="auto"/>
        <w:ind w:left="1440" w:hanging="720"/>
        <w:rPr>
          <w:rFonts w:ascii="Times New Roman" w:eastAsia="Calibri" w:hAnsi="Times New Roman" w:cs="Times New Roman"/>
          <w:sz w:val="24"/>
          <w:lang w:val="fr-FR"/>
        </w:rPr>
      </w:pPr>
    </w:p>
    <w:p w:rsidR="000A3209" w:rsidRPr="000A5CE6" w:rsidRDefault="000A3209" w:rsidP="000A5CE6">
      <w:pPr>
        <w:spacing w:after="0" w:line="240" w:lineRule="auto"/>
        <w:ind w:left="1440" w:hanging="720"/>
        <w:rPr>
          <w:rFonts w:ascii="Times New Roman" w:eastAsia="Calibri" w:hAnsi="Times New Roman" w:cs="Times New Roman"/>
          <w:sz w:val="24"/>
          <w:lang w:val="fr-FR"/>
        </w:rPr>
      </w:pPr>
    </w:p>
    <w:p w:rsidR="000A5CE6" w:rsidRPr="000A5CE6" w:rsidRDefault="000A5CE6" w:rsidP="000A5CE6">
      <w:pPr>
        <w:numPr>
          <w:ilvl w:val="2"/>
          <w:numId w:val="12"/>
        </w:num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lastRenderedPageBreak/>
        <w:t xml:space="preserve">Bois et produits forestiers non ligneux </w:t>
      </w:r>
    </w:p>
    <w:p w:rsidR="000A5CE6" w:rsidRPr="000A5CE6" w:rsidRDefault="000A5CE6" w:rsidP="000A5CE6">
      <w:pPr>
        <w:numPr>
          <w:ilvl w:val="0"/>
          <w:numId w:val="9"/>
        </w:numPr>
        <w:spacing w:after="120" w:line="360" w:lineRule="auto"/>
        <w:jc w:val="both"/>
        <w:rPr>
          <w:rFonts w:ascii="Calibri" w:eastAsia="Calibri" w:hAnsi="Calibri" w:cs="Times New Roman"/>
          <w:i/>
          <w:lang w:val="fr-FR"/>
        </w:rPr>
      </w:pPr>
      <w:r w:rsidRPr="000A5CE6">
        <w:rPr>
          <w:rFonts w:ascii="Calibri" w:eastAsia="Calibri" w:hAnsi="Calibri" w:cs="Times New Roman"/>
          <w:i/>
          <w:lang w:val="fr-FR"/>
        </w:rPr>
        <w:t xml:space="preserve">Inclure les besoins des oiseaux terrestres migrateurs en termes d’habitat dans l’élaboration et la mise en œuvre des plans nationaux de gestion intégrée des zones boisées. </w:t>
      </w:r>
      <w:r w:rsidRPr="000A5CE6">
        <w:rPr>
          <w:rFonts w:ascii="Calibri" w:eastAsia="Calibri" w:hAnsi="Calibri" w:cs="Times New Roman"/>
          <w:lang w:val="fr-FR"/>
        </w:rPr>
        <w:t>Le cas échéant, les boisements ou les plantations d’arbres destinés à l’exploitation et/ou les initiatives forestières communautaires gérées durablement devraient être encouragés pour réduire les pressions sur les milieux forestiers naturels. Contribuer à la mise en œuvre du Programme de travail sur les forêts de la CDB - [M / 1].</w:t>
      </w:r>
    </w:p>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0" w:line="240" w:lineRule="auto"/>
        <w:ind w:firstLine="720"/>
        <w:rPr>
          <w:rFonts w:ascii="Calibri" w:eastAsia="Calibri" w:hAnsi="Calibri" w:cs="Angsana New"/>
          <w:b/>
          <w:lang w:val="fr-FR"/>
        </w:rPr>
      </w:pPr>
      <w:bookmarkStart w:id="9" w:name="_Toc346486100"/>
      <w:r w:rsidRPr="000A5CE6">
        <w:rPr>
          <w:rFonts w:ascii="Calibri" w:eastAsia="Calibri" w:hAnsi="Calibri" w:cs="Angsana New"/>
          <w:b/>
          <w:lang w:val="fr-FR"/>
        </w:rPr>
        <w:t>1.1.3</w:t>
      </w:r>
      <w:r w:rsidRPr="000A5CE6">
        <w:rPr>
          <w:rFonts w:ascii="Calibri" w:eastAsia="Calibri" w:hAnsi="Calibri" w:cs="Angsana New"/>
          <w:b/>
          <w:lang w:val="fr-FR"/>
        </w:rPr>
        <w:tab/>
        <w:t>Gestion de l’eau</w:t>
      </w:r>
    </w:p>
    <w:p w:rsidR="000A5CE6" w:rsidRPr="000A5CE6" w:rsidRDefault="000A5CE6" w:rsidP="000A5CE6">
      <w:pPr>
        <w:spacing w:after="0" w:line="240" w:lineRule="auto"/>
        <w:rPr>
          <w:rFonts w:ascii="Times New Roman" w:eastAsia="Calibri" w:hAnsi="Times New Roman" w:cs="Times New Roman"/>
          <w:sz w:val="24"/>
          <w:lang w:val="fr-FR"/>
        </w:rPr>
      </w:pPr>
    </w:p>
    <w:bookmarkEnd w:id="9"/>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Mettre en œuvre et promouvoir largement les orientations de la Convention de Ramsar sur la gestion des zones humides et des bassins hydrographiques (résolution X.19), </w:t>
      </w:r>
      <w:r w:rsidRPr="000A5CE6">
        <w:rPr>
          <w:rFonts w:ascii="Calibri" w:eastAsia="Calibri" w:hAnsi="Calibri" w:cs="Times New Roman"/>
          <w:lang w:val="fr-FR"/>
        </w:rPr>
        <w:t>notamment, mais pas exclusivement, la nécessité de préserver les flux naturels des rivières qui maintiennent le caractère écologique des zones humides associées - [C / 1].</w:t>
      </w:r>
    </w:p>
    <w:p w:rsidR="000A5CE6" w:rsidRPr="000A5CE6" w:rsidRDefault="000A5CE6" w:rsidP="000A5CE6">
      <w:pPr>
        <w:spacing w:after="0" w:line="240" w:lineRule="auto"/>
        <w:ind w:left="144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Réglementer les menaces anthropiques susceptibles de provoquer la dégradation et/ou la perte de zones humides importantes pour les oiseaux terrestres migrateurs et initier des programmes de réhabilitation ou de restauration, lorsque cela est possible et approprié. </w:t>
      </w:r>
      <w:r w:rsidRPr="000A5CE6">
        <w:rPr>
          <w:rFonts w:ascii="Calibri" w:eastAsia="Calibri" w:hAnsi="Calibri" w:cs="Times New Roman"/>
          <w:lang w:val="fr-FR"/>
        </w:rPr>
        <w:t>Cela impliquera l’introduction ou l’application de règlements ou de normes et de mesures de contrôle dans les zones humides importantes, ainsi que sur les sites qui ont déjà souffert de dégradation en raison de l’impact des facteurs tels que l’utilisation non durable, l’agriculture, les feux incontrôlés, la dissémination d’espèces non indigènes envahissantes aquatiques, les changements hydrologiques, le changement climatique, les successions naturelles, l’eutrophisation et la pollution - [L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spacing w:after="0" w:line="240" w:lineRule="auto"/>
        <w:ind w:firstLine="720"/>
        <w:jc w:val="both"/>
        <w:rPr>
          <w:rFonts w:ascii="Calibri" w:eastAsia="Calibri" w:hAnsi="Calibri" w:cs="Times New Roman"/>
          <w:b/>
          <w:lang w:val="fr-FR"/>
        </w:rPr>
      </w:pPr>
      <w:r w:rsidRPr="000A5CE6">
        <w:rPr>
          <w:rFonts w:ascii="Calibri" w:eastAsia="Calibri" w:hAnsi="Calibri" w:cs="Times New Roman"/>
          <w:b/>
          <w:lang w:val="fr-FR"/>
        </w:rPr>
        <w:t>1.1.4</w:t>
      </w:r>
      <w:r w:rsidRPr="000A5CE6">
        <w:rPr>
          <w:rFonts w:ascii="Calibri" w:eastAsia="Calibri" w:hAnsi="Calibri" w:cs="Times New Roman"/>
          <w:b/>
          <w:lang w:val="fr-FR"/>
        </w:rPr>
        <w:tab/>
        <w:t>Énergie</w:t>
      </w:r>
    </w:p>
    <w:p w:rsidR="000A5CE6" w:rsidRPr="000A5CE6" w:rsidRDefault="000A5CE6" w:rsidP="000A5CE6">
      <w:pPr>
        <w:spacing w:after="0" w:line="240" w:lineRule="auto"/>
        <w:ind w:firstLine="720"/>
        <w:jc w:val="both"/>
        <w:rPr>
          <w:rFonts w:ascii="Calibri" w:eastAsia="Calibri" w:hAnsi="Calibri" w:cs="Times New Roman"/>
          <w:b/>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 </w:t>
      </w:r>
      <w:r w:rsidRPr="000A5CE6">
        <w:rPr>
          <w:rFonts w:ascii="Calibri" w:eastAsia="Calibri" w:hAnsi="Calibri" w:cs="Times New Roman"/>
          <w:lang w:val="fr-FR"/>
        </w:rPr>
        <w:t>et, si possible et approprié, préconiser des sources d’énergie renouvelable alternatives - [C / 1].</w:t>
      </w: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lastRenderedPageBreak/>
        <w:t>Veiller à ce qu’une approche stratégique soit adoptée concernant l’emplacement des projets alternatifs d’énergie renouvelable</w:t>
      </w:r>
      <w:r w:rsidRPr="000A5CE6">
        <w:rPr>
          <w:rFonts w:ascii="Calibri" w:eastAsia="Calibri" w:hAnsi="Calibri" w:cs="Times New Roman"/>
          <w:lang w:val="fr-FR"/>
        </w:rPr>
        <w:t>. Cela devrait inclure la cartographie du potentiel en énergie renouvelable et la superposition de ces informations à des cartes des sites et habitats essentiels pour les oiseaux terrestres migrateurs et pour d’autres éléments pertinents de la biodiversité, ainsi que des couloirs de migration - [M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Instituer des politiques de gestion durable de l’utilisation des terres et de l’énergie, </w:t>
      </w:r>
      <w:r w:rsidRPr="000A5CE6">
        <w:rPr>
          <w:rFonts w:ascii="Calibri" w:eastAsia="Calibri" w:hAnsi="Calibri" w:cs="Times New Roman"/>
          <w:lang w:val="fr-FR"/>
        </w:rPr>
        <w:t>qui tiennent compte de la biodiversité, et notamment des oiseaux terrestres migrateurs, de leurs habitats et des autres éléments de la biodiversité - [L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Chercher à réduire la dépendance à l’égard du bois de chauffage,</w:t>
      </w:r>
      <w:r w:rsidRPr="000A5CE6">
        <w:rPr>
          <w:rFonts w:ascii="Calibri" w:eastAsia="Calibri" w:hAnsi="Calibri" w:cs="Times New Roman"/>
          <w:lang w:val="fr-FR"/>
        </w:rPr>
        <w:t xml:space="preserve"> le cas échéant, par des politiques dédiées et en soutenant les initiatives qui favorisent et rendent disponibles des sources alternatives d’énergie renouvelable pour le chauffage, l’éclairage et la cuisine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Veiller à ce que les nouveaux réservoirs hydroélectriques prévus et les autres ouvrages modifiant l’hydrologie naturelle fassent l’objet d’études rigoureuses des impacts environnementaux </w:t>
      </w:r>
      <w:r w:rsidRPr="000A5CE6">
        <w:rPr>
          <w:rFonts w:ascii="Calibri" w:eastAsia="Calibri" w:hAnsi="Calibri" w:cs="Times New Roman"/>
          <w:lang w:val="fr-FR"/>
        </w:rPr>
        <w:t>afin que leur conception atténue tout dommage et optimise les avantages environnementaux potentiels pour les oiseaux terrestres migrateurs et leurs habitats - [C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Atténuer les impacts des barrages hydroélectriques existants en permettant des décharges et des inondations artificielles bien gérées en aval, </w:t>
      </w:r>
      <w:r w:rsidRPr="000A5CE6">
        <w:rPr>
          <w:rFonts w:ascii="Calibri" w:eastAsia="Calibri" w:hAnsi="Calibri" w:cs="Times New Roman"/>
          <w:lang w:val="fr-FR"/>
        </w:rPr>
        <w:t xml:space="preserve">qui peuvent constituer un moyen efficace pour restaurer les habitats des plaines d’inondation (incluant les forêts </w:t>
      </w:r>
      <w:proofErr w:type="gramStart"/>
      <w:r w:rsidRPr="000A5CE6">
        <w:rPr>
          <w:rFonts w:ascii="Calibri" w:eastAsia="Calibri" w:hAnsi="Calibri" w:cs="Times New Roman"/>
          <w:lang w:val="fr-FR"/>
        </w:rPr>
        <w:t>inondées -</w:t>
      </w:r>
      <w:proofErr w:type="gramEnd"/>
      <w:r w:rsidRPr="000A5CE6">
        <w:rPr>
          <w:rFonts w:ascii="Calibri" w:eastAsia="Calibri" w:hAnsi="Calibri" w:cs="Times New Roman"/>
          <w:lang w:val="fr-FR"/>
        </w:rPr>
        <w:t xml:space="preserve"> le cas échéant en favorisant le reboisement / la régénération) ainsi que les moyens de subsistance locaux, tels que la pêche, les rizières et autres cultures - [L / 2].</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spacing w:after="120" w:line="240" w:lineRule="auto"/>
        <w:ind w:left="720"/>
        <w:rPr>
          <w:rFonts w:ascii="Calibri" w:eastAsia="Calibri" w:hAnsi="Calibri" w:cs="Times New Roman"/>
          <w:b/>
          <w:lang w:val="fr-FR"/>
        </w:rPr>
      </w:pPr>
      <w:r w:rsidRPr="000A5CE6">
        <w:rPr>
          <w:rFonts w:ascii="Calibri" w:eastAsia="Calibri" w:hAnsi="Calibri" w:cs="Times New Roman"/>
          <w:b/>
          <w:lang w:val="fr-FR"/>
        </w:rPr>
        <w:t>1.1.5</w:t>
      </w:r>
      <w:r w:rsidRPr="000A5CE6">
        <w:rPr>
          <w:rFonts w:ascii="Calibri" w:eastAsia="Calibri" w:hAnsi="Calibri" w:cs="Times New Roman"/>
          <w:b/>
          <w:lang w:val="fr-FR"/>
        </w:rPr>
        <w:tab/>
        <w:t xml:space="preserve">Re-végétalisation (y compris reboisement) et réduction de la désertification et des </w:t>
      </w:r>
    </w:p>
    <w:p w:rsidR="000A5CE6" w:rsidRPr="000A5CE6" w:rsidRDefault="000A5CE6" w:rsidP="000A5CE6">
      <w:pPr>
        <w:spacing w:after="120" w:line="240" w:lineRule="auto"/>
        <w:ind w:left="720"/>
        <w:rPr>
          <w:rFonts w:ascii="Calibri" w:eastAsia="Calibri" w:hAnsi="Calibri" w:cs="Times New Roman"/>
          <w:b/>
          <w:lang w:val="fr-FR"/>
        </w:rPr>
      </w:pPr>
      <w:proofErr w:type="gramStart"/>
      <w:r w:rsidRPr="000A5CE6">
        <w:rPr>
          <w:rFonts w:ascii="Calibri" w:eastAsia="Calibri" w:hAnsi="Calibri" w:cs="Times New Roman"/>
          <w:b/>
          <w:lang w:val="fr-FR"/>
        </w:rPr>
        <w:t>émissions</w:t>
      </w:r>
      <w:proofErr w:type="gramEnd"/>
      <w:r w:rsidRPr="000A5CE6">
        <w:rPr>
          <w:rFonts w:ascii="Calibri" w:eastAsia="Calibri" w:hAnsi="Calibri" w:cs="Times New Roman"/>
          <w:b/>
          <w:lang w:val="fr-FR"/>
        </w:rPr>
        <w:t xml:space="preserve"> de carbone dues à la déforestation et à la dégradation des habitats</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dans les initiatives de boisement ou de reboisement, l’utilisation d’arbres ou d’autres plantes autochtones ayant une grande valeur pour les oiseaux terrestres migrateurs. </w:t>
      </w:r>
      <w:r w:rsidRPr="000A5CE6">
        <w:rPr>
          <w:rFonts w:ascii="Calibri" w:eastAsia="Calibri" w:hAnsi="Calibri" w:cs="Times New Roman"/>
          <w:lang w:val="fr-FR"/>
        </w:rPr>
        <w:t xml:space="preserve">Cette action nécessitera des recherches et des suivis </w:t>
      </w:r>
      <w:r w:rsidRPr="000A5CE6">
        <w:rPr>
          <w:rFonts w:ascii="Calibri" w:eastAsia="Calibri" w:hAnsi="Calibri" w:cs="Times New Roman"/>
          <w:lang w:val="fr-FR"/>
        </w:rPr>
        <w:lastRenderedPageBreak/>
        <w:t>approfondis portant sur l’utilisation des ressources par les oiseaux terrestres migrateurs, afin de fournir des éléments pour une mise en œuvre appropriée - [L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Incorporer les considérations relatives à la conservation des oiseaux terrestres migrateurs dans les mesures prises pour mettre en œuvre la Convention des Nations Unies sur la lutte contre la désertification (CNULD)</w:t>
      </w:r>
      <w:r w:rsidRPr="000A5CE6">
        <w:rPr>
          <w:rFonts w:ascii="Calibri" w:eastAsia="Calibri" w:hAnsi="Calibri" w:cs="Times New Roman"/>
          <w:lang w:val="fr-FR"/>
        </w:rPr>
        <w:t>, et en particulier les recommandations et mesures contenues dans le présent Plan d’action - [C / 1].</w:t>
      </w:r>
    </w:p>
    <w:p w:rsidR="000A5CE6" w:rsidRPr="000A5CE6" w:rsidRDefault="000A5CE6" w:rsidP="000A5CE6">
      <w:pPr>
        <w:spacing w:after="0" w:line="240" w:lineRule="auto"/>
        <w:jc w:val="both"/>
        <w:rPr>
          <w:rFonts w:ascii="Calibri" w:eastAsia="Calibri" w:hAnsi="Calibri" w:cs="Times New Roman"/>
          <w:lang w:val="fr-FR"/>
        </w:rPr>
      </w:pPr>
    </w:p>
    <w:p w:rsidR="000A5CE6" w:rsidRPr="000A5CE6" w:rsidRDefault="000A5CE6" w:rsidP="000A5CE6">
      <w:pPr>
        <w:spacing w:after="0" w:line="240" w:lineRule="auto"/>
        <w:ind w:firstLine="720"/>
        <w:jc w:val="both"/>
        <w:rPr>
          <w:rFonts w:ascii="Calibri" w:eastAsia="Calibri" w:hAnsi="Calibri" w:cs="Times New Roman"/>
          <w:b/>
          <w:lang w:val="fr-FR"/>
        </w:rPr>
      </w:pPr>
      <w:r w:rsidRPr="000A5CE6">
        <w:rPr>
          <w:rFonts w:ascii="Calibri" w:eastAsia="Calibri" w:hAnsi="Calibri" w:cs="Times New Roman"/>
          <w:b/>
          <w:lang w:val="fr-FR"/>
        </w:rPr>
        <w:t>1.1.6</w:t>
      </w:r>
      <w:r w:rsidRPr="000A5CE6">
        <w:rPr>
          <w:rFonts w:ascii="Calibri" w:eastAsia="Calibri" w:hAnsi="Calibri" w:cs="Times New Roman"/>
          <w:b/>
          <w:lang w:val="fr-FR"/>
        </w:rPr>
        <w:tab/>
        <w:t>Gestion intégrée de l’utilisation des terres</w:t>
      </w:r>
    </w:p>
    <w:p w:rsidR="000A5CE6" w:rsidRPr="000A5CE6" w:rsidRDefault="000A5CE6" w:rsidP="000A5CE6">
      <w:pPr>
        <w:spacing w:after="0" w:line="240" w:lineRule="auto"/>
        <w:ind w:firstLine="720"/>
        <w:jc w:val="both"/>
        <w:rPr>
          <w:rFonts w:ascii="Calibri" w:eastAsia="Calibri" w:hAnsi="Calibri" w:cs="Times New Roman"/>
          <w:b/>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la mise en œuvre locale de politiques de gestion de l’utilisation des terres, potentiellement à travers des programmes d’incitation appropriés. </w:t>
      </w:r>
      <w:r w:rsidRPr="000A5CE6">
        <w:rPr>
          <w:rFonts w:ascii="Calibri" w:eastAsia="Calibri" w:hAnsi="Calibri" w:cs="Times New Roman"/>
          <w:lang w:val="fr-FR"/>
        </w:rPr>
        <w:t>Apporter un soutien national aux thèmes transversaux tels que l’approche écosystémique de la CDB, qui est une stratégie pour la gestion intégrée des terres, de l’eau et des ressources biologiques visant à favoriser la conservation et l’utilisation durable de manière juste et équitable - [M / 1].</w:t>
      </w:r>
    </w:p>
    <w:p w:rsidR="000A5CE6" w:rsidRPr="000A5CE6" w:rsidRDefault="000A5CE6" w:rsidP="000A5CE6">
      <w:pPr>
        <w:spacing w:after="0" w:line="240" w:lineRule="auto"/>
        <w:ind w:left="1440" w:hanging="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r w:rsidRPr="000A5CE6">
        <w:rPr>
          <w:rFonts w:ascii="Calibri" w:eastAsia="Calibri" w:hAnsi="Calibri" w:cs="Times New Roman"/>
          <w:b/>
          <w:lang w:val="fr-FR"/>
        </w:rPr>
        <w:t>1.2</w:t>
      </w:r>
      <w:r w:rsidRPr="000A5CE6">
        <w:rPr>
          <w:rFonts w:ascii="Calibri" w:eastAsia="Calibri" w:hAnsi="Calibri" w:cs="Times New Roman"/>
          <w:b/>
          <w:lang w:val="fr-FR"/>
        </w:rPr>
        <w:tab/>
        <w:t xml:space="preserve">Sites d’importance nationale ou internationale pour les oiseaux terrestres migrateurs </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Entreprendre et publier des inventaires nationaux des sites d’importance pour les oiseaux terrestres migrateurs, </w:t>
      </w:r>
      <w:r w:rsidRPr="000A5CE6">
        <w:rPr>
          <w:rFonts w:ascii="Calibri" w:eastAsia="Calibri" w:hAnsi="Calibri" w:cs="Times New Roman"/>
          <w:lang w:val="fr-FR"/>
        </w:rPr>
        <w:t>en liaison, le cas échéant, avec les organisations de conservation internationales compétentes. [C / 1].</w:t>
      </w:r>
    </w:p>
    <w:p w:rsidR="000A5CE6" w:rsidRPr="000A5CE6" w:rsidRDefault="000A5CE6" w:rsidP="000A5CE6">
      <w:pPr>
        <w:spacing w:after="0" w:line="240" w:lineRule="auto"/>
        <w:ind w:left="144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Faciliter et promouvoir la désignation des sites importants pour les oiseaux terrestres migrateurs au titre de statuts de protection nationaux et internationaux appropriés </w:t>
      </w:r>
      <w:r w:rsidRPr="000A5CE6">
        <w:rPr>
          <w:rFonts w:ascii="Calibri" w:eastAsia="Calibri" w:hAnsi="Calibri" w:cs="Times New Roman"/>
          <w:lang w:val="fr-FR"/>
        </w:rPr>
        <w:t>(p. ex. réserves naturelles, parcs nationaux, réserves de faune, sanctuaires, zones de non-chasse et autres systèmes pertinents de protection), ou d’autres approches pouvant conduire à des pratiques de gestion appropriées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Mettre en place un réseau de sites critiques </w:t>
      </w:r>
      <w:r w:rsidRPr="000A5CE6">
        <w:rPr>
          <w:rFonts w:ascii="Calibri" w:eastAsia="Calibri" w:hAnsi="Calibri" w:cs="Times New Roman"/>
          <w:lang w:val="fr-FR"/>
        </w:rPr>
        <w:t xml:space="preserve">en tenant compte de la relation entre les sites susceptibles d’être écologiquement liés les uns aux autres, en termes physiques (p. ex. en tant que corridor reliant des habitats), ou en d’autres termes écologiques (p. ex. en tant que zones de reproduction liées à des zones utilisées en dehors de la reproduction, des étapes migratoires, des zones d’alimentation et/ou de repos). La recherche et la collecte d’informations sur les oiseaux terrestres migrateurs suivis </w:t>
      </w:r>
      <w:r w:rsidRPr="000A5CE6">
        <w:rPr>
          <w:rFonts w:ascii="Calibri" w:eastAsia="Calibri" w:hAnsi="Calibri" w:cs="Times New Roman"/>
          <w:lang w:val="fr-FR"/>
        </w:rPr>
        <w:lastRenderedPageBreak/>
        <w:t>pendant la migration permettront l’identification précise de ces réseaux de sites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Examiner et, si nécessaire, établir et mettre en œuvre des modes de gestion appropriés et efficaces pour la conservation,</w:t>
      </w:r>
      <w:r w:rsidRPr="000A5CE6">
        <w:rPr>
          <w:rFonts w:ascii="Calibri" w:eastAsia="Calibri" w:hAnsi="Calibri" w:cs="Times New Roman"/>
          <w:lang w:val="fr-FR"/>
        </w:rPr>
        <w:t xml:space="preserve"> qui incluent des prescriptions répondant aux besoins des oiseaux terrestres migrateurs - [M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Promouvoir des approches participatives de la planification, de la gestion et de la conservation des sites, </w:t>
      </w:r>
      <w:r w:rsidRPr="000A5CE6">
        <w:rPr>
          <w:rFonts w:ascii="Calibri" w:eastAsia="Calibri" w:hAnsi="Calibri" w:cs="Times New Roman"/>
          <w:lang w:val="fr-FR"/>
        </w:rPr>
        <w:t>de manière à favoriser l’implication des communautés locales, là où elles sont présentes, et le partage des avantages - [M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bookmarkStart w:id="10" w:name="_Toc346486103"/>
      <w:r w:rsidRPr="000A5CE6">
        <w:rPr>
          <w:rFonts w:ascii="Calibri" w:eastAsia="Calibri" w:hAnsi="Calibri" w:cs="Times New Roman"/>
          <w:b/>
          <w:lang w:val="fr-FR"/>
        </w:rPr>
        <w:t>1.3.</w:t>
      </w:r>
      <w:r w:rsidRPr="000A5CE6">
        <w:rPr>
          <w:rFonts w:ascii="Calibri" w:eastAsia="Calibri" w:hAnsi="Calibri" w:cs="Times New Roman"/>
          <w:b/>
          <w:lang w:val="fr-FR"/>
        </w:rPr>
        <w:tab/>
        <w:t>Changement climatique</w:t>
      </w:r>
    </w:p>
    <w:p w:rsidR="000A5CE6" w:rsidRPr="000A5CE6" w:rsidRDefault="000A5CE6" w:rsidP="000A5CE6">
      <w:pPr>
        <w:spacing w:after="0" w:line="240" w:lineRule="auto"/>
        <w:rPr>
          <w:rFonts w:ascii="Calibri" w:eastAsia="Calibri" w:hAnsi="Calibri" w:cs="Times New Roman"/>
          <w:b/>
          <w:lang w:val="fr-FR"/>
        </w:rPr>
      </w:pPr>
    </w:p>
    <w:bookmarkEnd w:id="10"/>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du changement climatique) et COP11/doc.23.4.2 (Programme de Travail sur les changements climatiques et les espèces migratrices)de la CMS, </w:t>
      </w:r>
      <w:r w:rsidRPr="000A5CE6">
        <w:rPr>
          <w:rFonts w:ascii="Calibri" w:eastAsia="Calibri" w:hAnsi="Calibri" w:cs="Times New Roman"/>
          <w:lang w:val="fr-FR"/>
        </w:rPr>
        <w:t>ainsi que les mesures décrites dans le présent Plan d’action, afin d’accroître la résilience des oiseaux terrestres migrateurs et leur potentiel d’adaptation au changement climatique - [L / 3].</w:t>
      </w:r>
    </w:p>
    <w:p w:rsidR="000A5CE6" w:rsidRPr="000A5CE6" w:rsidRDefault="000A5CE6" w:rsidP="000A5CE6">
      <w:pPr>
        <w:spacing w:after="0" w:line="240" w:lineRule="auto"/>
        <w:ind w:left="1440" w:hanging="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bookmarkStart w:id="11" w:name="_Toc346486104"/>
      <w:r w:rsidRPr="000A5CE6">
        <w:rPr>
          <w:rFonts w:ascii="Calibri" w:eastAsia="Calibri" w:hAnsi="Calibri" w:cs="Times New Roman"/>
          <w:b/>
          <w:lang w:val="fr-FR"/>
        </w:rPr>
        <w:t>2.0</w:t>
      </w:r>
      <w:r w:rsidRPr="000A5CE6">
        <w:rPr>
          <w:rFonts w:ascii="Calibri" w:eastAsia="Calibri" w:hAnsi="Calibri" w:cs="Times New Roman"/>
          <w:b/>
          <w:lang w:val="fr-FR"/>
        </w:rPr>
        <w:tab/>
        <w:t>PRÉLÈVEMENT</w:t>
      </w:r>
      <w:r w:rsidRPr="000A5CE6">
        <w:rPr>
          <w:rFonts w:ascii="Calibri" w:eastAsia="Calibri" w:hAnsi="Calibri" w:cs="Times New Roman"/>
          <w:b/>
          <w:vertAlign w:val="superscript"/>
          <w:lang w:val="fr-FR"/>
        </w:rPr>
        <w:footnoteReference w:id="3"/>
      </w:r>
      <w:r w:rsidRPr="000A5CE6">
        <w:rPr>
          <w:rFonts w:ascii="Calibri" w:eastAsia="Calibri" w:hAnsi="Calibri" w:cs="Times New Roman"/>
          <w:b/>
          <w:lang w:val="fr-FR"/>
        </w:rPr>
        <w:t xml:space="preserve"> ET COMMERCE</w:t>
      </w:r>
    </w:p>
    <w:p w:rsidR="000A5CE6" w:rsidRPr="000A5CE6" w:rsidRDefault="000A5CE6" w:rsidP="000A5CE6">
      <w:pPr>
        <w:spacing w:after="0" w:line="240" w:lineRule="auto"/>
        <w:rPr>
          <w:rFonts w:ascii="Calibri" w:eastAsia="Calibri" w:hAnsi="Calibri" w:cs="Times New Roman"/>
          <w:b/>
          <w:lang w:val="fr-FR"/>
        </w:rPr>
      </w:pPr>
    </w:p>
    <w:bookmarkEnd w:id="11"/>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Identifier les espèces d’oiseaux terrestres migrateurs qui font l’objet de prélèvements et de commerce, </w:t>
      </w:r>
      <w:r w:rsidRPr="000A5CE6">
        <w:rPr>
          <w:rFonts w:ascii="Calibri" w:eastAsia="Calibri" w:hAnsi="Calibri" w:cs="Times New Roman"/>
          <w:lang w:val="fr-FR"/>
        </w:rPr>
        <w:t>et déterminer dans quelle mesure cette exploitation est légale et réglementée et, en consultation avec les autres États de l’aire de répartition, si elle est durable à l’échelle de la population dans l’aire du Plan d’action - [M / 2].</w:t>
      </w:r>
    </w:p>
    <w:p w:rsidR="000A5CE6" w:rsidRPr="000A5CE6" w:rsidRDefault="000A5CE6" w:rsidP="000A5CE6">
      <w:pPr>
        <w:spacing w:after="0" w:line="240" w:lineRule="auto"/>
        <w:ind w:left="720"/>
        <w:rPr>
          <w:rFonts w:ascii="Times New Roman" w:eastAsia="Calibri" w:hAnsi="Times New Roman" w:cs="Times New Roman"/>
          <w:sz w:val="24"/>
          <w:lang w:val="fr-FR"/>
        </w:rPr>
      </w:pPr>
    </w:p>
    <w:p w:rsidR="000A5CE6" w:rsidRPr="000A5CE6" w:rsidRDefault="000A5CE6" w:rsidP="000A5CE6">
      <w:pPr>
        <w:spacing w:after="0" w:line="240" w:lineRule="auto"/>
        <w:rPr>
          <w:rFonts w:ascii="Calibri" w:eastAsia="Calibri" w:hAnsi="Calibri" w:cs="Times New Roman"/>
          <w:b/>
          <w:lang w:val="fr-FR"/>
        </w:rPr>
      </w:pPr>
      <w:r w:rsidRPr="000A5CE6">
        <w:rPr>
          <w:rFonts w:ascii="Calibri" w:eastAsia="Calibri" w:hAnsi="Calibri" w:cs="Times New Roman"/>
          <w:b/>
          <w:lang w:val="fr-FR"/>
        </w:rPr>
        <w:t>2.1</w:t>
      </w:r>
      <w:r w:rsidRPr="000A5CE6">
        <w:rPr>
          <w:rFonts w:ascii="Calibri" w:eastAsia="Calibri" w:hAnsi="Calibri" w:cs="Times New Roman"/>
          <w:b/>
          <w:lang w:val="fr-FR"/>
        </w:rPr>
        <w:tab/>
        <w:t>Réglementation des prélèvements autorisés</w:t>
      </w:r>
    </w:p>
    <w:p w:rsidR="000A5CE6" w:rsidRPr="000A5CE6" w:rsidRDefault="000A5CE6" w:rsidP="000A5CE6">
      <w:pPr>
        <w:spacing w:after="0" w:line="240" w:lineRule="auto"/>
        <w:rPr>
          <w:rFonts w:ascii="Calibri" w:eastAsia="Calibri" w:hAnsi="Calibri" w:cs="Times New Roman"/>
          <w:b/>
          <w:lang w:val="fr-FR"/>
        </w:rPr>
      </w:pPr>
    </w:p>
    <w:p w:rsidR="005066D2" w:rsidRDefault="000A5CE6" w:rsidP="005066D2">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Assurer la protection juridique des espèces migratrices d’oiseaux terrestres dont l’état de conservation est le plus préoccupant, </w:t>
      </w:r>
      <w:r w:rsidRPr="000A5CE6">
        <w:rPr>
          <w:rFonts w:ascii="Calibri" w:eastAsia="Calibri" w:hAnsi="Calibri" w:cs="Times New Roman"/>
          <w:lang w:val="fr-FR"/>
        </w:rPr>
        <w:t>notamment de celles figurant dans la catégorie A de l’annexe 3 du présent Plan d’action - [C / 1].</w:t>
      </w:r>
    </w:p>
    <w:p w:rsidR="000A5CE6" w:rsidRDefault="005066D2" w:rsidP="003060ED">
      <w:pPr>
        <w:numPr>
          <w:ilvl w:val="0"/>
          <w:numId w:val="9"/>
        </w:numPr>
        <w:spacing w:after="120" w:line="360" w:lineRule="auto"/>
        <w:ind w:right="-45"/>
        <w:jc w:val="both"/>
        <w:rPr>
          <w:rFonts w:ascii="Calibri" w:eastAsia="Calibri" w:hAnsi="Calibri" w:cs="Times New Roman"/>
          <w:lang w:val="fr-FR"/>
        </w:rPr>
      </w:pPr>
      <w:r w:rsidRPr="005066D2">
        <w:rPr>
          <w:rFonts w:ascii="Calibri" w:eastAsia="Calibri" w:hAnsi="Calibri" w:cs="Times New Roman"/>
          <w:i/>
          <w:lang w:val="fr-FR"/>
        </w:rPr>
        <w:lastRenderedPageBreak/>
        <w:t xml:space="preserve">Définir des restrictions sur le nombre et les moyens autorisés pour le prélèvement des oiseaux terrestres migrateurs utilisant, selon le cas, des mécanismes législatifs et autres et mettre en place des contrôles adéquats afin de veiller à ce que ces restrictions soient respectées. </w:t>
      </w:r>
      <w:r w:rsidRPr="005066D2">
        <w:rPr>
          <w:rFonts w:ascii="Calibri" w:eastAsia="Calibri" w:hAnsi="Calibri" w:cs="Times New Roman"/>
          <w:lang w:val="fr-FR"/>
        </w:rPr>
        <w:t>Ceci afin d’assurer que toute prise est durable. Des restrictions pourraient être précisées dans le cadre de plans nationaux ou autres plans de gestion pour la prise et l’exploitation des oiseaux terrestres migrateurs, et devra inclure l’interdiction de tous les moyens de prélèvements non sélectifs</w:t>
      </w:r>
      <w:r>
        <w:rPr>
          <w:rFonts w:ascii="Calibri" w:eastAsia="Calibri" w:hAnsi="Calibri" w:cs="Times New Roman"/>
          <w:lang w:val="fr-FR"/>
        </w:rPr>
        <w:t xml:space="preserve"> – [S / 1]</w:t>
      </w:r>
    </w:p>
    <w:p w:rsidR="003060ED" w:rsidRPr="005066D2" w:rsidRDefault="003060ED" w:rsidP="003060ED">
      <w:pPr>
        <w:spacing w:after="120" w:line="360" w:lineRule="auto"/>
        <w:ind w:left="1440" w:right="-45"/>
        <w:jc w:val="both"/>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Donner la priorité à la conservation des espèces d’oiseaux terrestres migrateurs dont la population mondiale présente une tendance au déclin</w:t>
      </w:r>
      <w:r w:rsidRPr="000A5CE6">
        <w:rPr>
          <w:rFonts w:ascii="Calibri" w:eastAsia="Calibri" w:hAnsi="Calibri" w:cs="Times New Roman"/>
          <w:lang w:val="fr-FR"/>
        </w:rPr>
        <w:t>, c.-à-d. les espèces figurant dans la catégorie B de l’annexe 3 du présent Plan d’action. L’adoption de systèmes de suivi appropriés et l’élaboration de plans de gestion adaptative sont suggérées pour les espèces dont le prélèvement peut contribuer significativement au déclin de population, notamment les espèces gibiers légales,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Réglementer tout prélèvement et commerce des espèces d’oiseaux terrestres migrateurs dont les tendances de la population sont en hausse, stables ou inconnues, </w:t>
      </w:r>
      <w:r w:rsidRPr="000A5CE6">
        <w:rPr>
          <w:rFonts w:ascii="Calibri" w:eastAsia="Calibri" w:hAnsi="Calibri" w:cs="Times New Roman"/>
          <w:lang w:val="fr-FR"/>
        </w:rPr>
        <w:t>c.-à-d. les espèces figurant dans la catégorie C de l’annexe 3 du présent Plan d’action, et mettre en place leur suivi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Compiler les listes nationales d’oiseaux terrestres migrateurs classées en tant qu’espèces gibiers, les périodes d’ouverture de la chasse dans chaque pays et les données relatives au commerce </w:t>
      </w:r>
      <w:r w:rsidRPr="000A5CE6">
        <w:rPr>
          <w:rFonts w:ascii="Calibri" w:eastAsia="Calibri" w:hAnsi="Calibri" w:cs="Times New Roman"/>
          <w:lang w:val="fr-FR"/>
        </w:rPr>
        <w:t>pratiqué dans les États de l’aire de répartition</w:t>
      </w:r>
      <w:r w:rsidRPr="000A5CE6">
        <w:rPr>
          <w:rFonts w:ascii="Calibri" w:eastAsia="Calibri" w:hAnsi="Calibri" w:cs="Times New Roman"/>
          <w:i/>
          <w:lang w:val="fr-FR"/>
        </w:rPr>
        <w:t xml:space="preserve">, </w:t>
      </w:r>
      <w:r w:rsidRPr="000A5CE6">
        <w:rPr>
          <w:rFonts w:ascii="Calibri" w:eastAsia="Calibri" w:hAnsi="Calibri" w:cs="Times New Roman"/>
          <w:lang w:val="fr-FR"/>
        </w:rPr>
        <w:t>pour assurer la pérennité des prélèvements à l’échelle de la voie de migration ainsi que la détermination précise de la pression de chasse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Mettre en œuvre des programmes sur les moyens de subsistance alternatifs ou des programmes d’élevage en captivité d’oiseaux terrestres migrateurs utilisés comme source de nourriture </w:t>
      </w:r>
      <w:r w:rsidRPr="000A5CE6">
        <w:rPr>
          <w:rFonts w:ascii="Calibri" w:eastAsia="Calibri" w:hAnsi="Calibri" w:cs="Times New Roman"/>
          <w:lang w:val="fr-FR"/>
        </w:rPr>
        <w:t>lorsqu’il apparaît que la chasse de subsistance des oiseaux terrestres migrateurs n’est pas durable - [M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r w:rsidRPr="000A5CE6">
        <w:rPr>
          <w:rFonts w:ascii="Calibri" w:eastAsia="Calibri" w:hAnsi="Calibri" w:cs="Times New Roman"/>
          <w:b/>
          <w:lang w:val="fr-FR"/>
        </w:rPr>
        <w:t>2.2</w:t>
      </w:r>
      <w:r w:rsidRPr="000A5CE6">
        <w:rPr>
          <w:rFonts w:ascii="Calibri" w:eastAsia="Calibri" w:hAnsi="Calibri" w:cs="Times New Roman"/>
          <w:b/>
          <w:lang w:val="fr-FR"/>
        </w:rPr>
        <w:tab/>
        <w:t>Prélèvements illicites</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Promouvoir la coopération internationale entre les services répressifs et d’autres parties prenantes </w:t>
      </w:r>
      <w:r w:rsidRPr="000A5CE6">
        <w:rPr>
          <w:rFonts w:ascii="Calibri" w:eastAsia="Calibri" w:hAnsi="Calibri" w:cs="Times New Roman"/>
          <w:lang w:val="fr-FR"/>
        </w:rPr>
        <w:t xml:space="preserve">dans la régulation, la mise en œuvre et l’application de la prise et </w:t>
      </w:r>
      <w:r w:rsidRPr="000A5CE6">
        <w:rPr>
          <w:rFonts w:ascii="Calibri" w:eastAsia="Calibri" w:hAnsi="Calibri" w:cs="Times New Roman"/>
          <w:lang w:val="fr-FR"/>
        </w:rPr>
        <w:lastRenderedPageBreak/>
        <w:t xml:space="preserve">la chasse des espèces migratrices terrestres, et la mise en </w:t>
      </w:r>
      <w:r w:rsidR="009C064B" w:rsidRPr="000A5CE6">
        <w:rPr>
          <w:rFonts w:ascii="Calibri" w:eastAsia="Calibri" w:hAnsi="Calibri" w:cs="Times New Roman"/>
          <w:lang w:val="fr-FR"/>
        </w:rPr>
        <w:t>œuvre</w:t>
      </w:r>
      <w:r w:rsidRPr="000A5CE6">
        <w:rPr>
          <w:rFonts w:ascii="Calibri" w:eastAsia="Calibri" w:hAnsi="Calibri" w:cs="Times New Roman"/>
          <w:lang w:val="fr-FR"/>
        </w:rPr>
        <w:t xml:space="preserve"> de mesures décrites dans la Résolution 11.XX « chasse et piégeages illégaux d’oiseaux migrateurs [C / 1].</w:t>
      </w:r>
    </w:p>
    <w:p w:rsidR="000A5CE6" w:rsidRPr="000A5CE6" w:rsidRDefault="000A5CE6" w:rsidP="000A5CE6">
      <w:pPr>
        <w:numPr>
          <w:ilvl w:val="0"/>
          <w:numId w:val="9"/>
        </w:numPr>
        <w:spacing w:after="120" w:line="360" w:lineRule="auto"/>
        <w:jc w:val="both"/>
        <w:rPr>
          <w:rFonts w:ascii="Calibri" w:eastAsia="Calibri" w:hAnsi="Calibri" w:cs="Times New Roman"/>
          <w:sz w:val="24"/>
          <w:lang w:val="fr-FR"/>
        </w:rPr>
      </w:pPr>
      <w:r w:rsidRPr="000A5CE6">
        <w:rPr>
          <w:rFonts w:ascii="Calibri" w:eastAsia="Calibri" w:hAnsi="Calibri" w:cs="Times New Roman"/>
          <w:i/>
          <w:lang w:val="fr-FR"/>
        </w:rPr>
        <w:t xml:space="preserve">Agir à travers les instruments juridiques de réglementation du commerce national et/ou international </w:t>
      </w:r>
      <w:r w:rsidRPr="000A5CE6">
        <w:rPr>
          <w:rFonts w:ascii="Calibri" w:eastAsia="Calibri" w:hAnsi="Calibri" w:cs="Times New Roman"/>
          <w:lang w:val="fr-FR"/>
        </w:rPr>
        <w:t>(p. ex. la CITES), lorsqu’il apparaît que le commerce (légal ou illégal) est responsable de prélèvements non durable d’oiseaux. La coopération active de tous les</w:t>
      </w:r>
      <w:r w:rsidRPr="000A5CE6">
        <w:rPr>
          <w:rFonts w:ascii="Times New Roman" w:eastAsia="Calibri" w:hAnsi="Times New Roman" w:cs="Times New Roman"/>
          <w:lang w:val="fr-FR"/>
        </w:rPr>
        <w:t xml:space="preserve"> </w:t>
      </w:r>
      <w:r w:rsidRPr="000A5CE6">
        <w:rPr>
          <w:rFonts w:ascii="Calibri" w:eastAsia="Calibri" w:hAnsi="Calibri" w:cs="Times New Roman"/>
          <w:lang w:val="fr-FR"/>
        </w:rPr>
        <w:t>États de l’aire de répartition avec la CITES est encouragée. Lorsque les instruments nationaux n’existent pas encore, étudier les processus nécessaires à leur introduction, leur mise en œuvre et leur application - [M /</w:t>
      </w:r>
      <w:r w:rsidRPr="000A5CE6">
        <w:rPr>
          <w:rFonts w:ascii="Calibri" w:eastAsia="Calibri" w:hAnsi="Calibri" w:cs="Times New Roman"/>
          <w:sz w:val="24"/>
          <w:szCs w:val="28"/>
          <w:lang w:val="fr-FR"/>
        </w:rPr>
        <w:t xml:space="preserve"> 2].</w:t>
      </w:r>
    </w:p>
    <w:p w:rsidR="000A5CE6" w:rsidRPr="000A5CE6" w:rsidRDefault="000A5CE6" w:rsidP="000A5CE6">
      <w:pPr>
        <w:spacing w:after="0" w:line="240" w:lineRule="auto"/>
        <w:ind w:left="720"/>
        <w:rPr>
          <w:rFonts w:ascii="Times New Roman" w:eastAsia="Calibri" w:hAnsi="Times New Roman" w:cs="Times New Roman"/>
          <w:sz w:val="24"/>
          <w:lang w:val="fr-FR"/>
        </w:rPr>
      </w:pPr>
    </w:p>
    <w:p w:rsidR="000A5CE6" w:rsidRPr="000A5CE6" w:rsidRDefault="000A5CE6" w:rsidP="000A5CE6">
      <w:pPr>
        <w:spacing w:after="0" w:line="240" w:lineRule="auto"/>
        <w:rPr>
          <w:rFonts w:ascii="Calibri" w:eastAsia="Calibri" w:hAnsi="Calibri" w:cs="Times New Roman"/>
          <w:b/>
          <w:lang w:val="fr-FR"/>
        </w:rPr>
      </w:pPr>
      <w:bookmarkStart w:id="12" w:name="_Toc346486105"/>
      <w:r w:rsidRPr="000A5CE6">
        <w:rPr>
          <w:rFonts w:ascii="Calibri" w:eastAsia="Calibri" w:hAnsi="Calibri" w:cs="Times New Roman"/>
          <w:b/>
          <w:lang w:val="fr-FR"/>
        </w:rPr>
        <w:t>2.3</w:t>
      </w:r>
      <w:r w:rsidRPr="000A5CE6">
        <w:rPr>
          <w:rFonts w:ascii="Calibri" w:eastAsia="Calibri" w:hAnsi="Calibri" w:cs="Times New Roman"/>
          <w:b/>
          <w:lang w:val="fr-FR"/>
        </w:rPr>
        <w:tab/>
        <w:t>Dérangement par les activités humaines</w:t>
      </w:r>
    </w:p>
    <w:p w:rsidR="000A5CE6" w:rsidRPr="000A5CE6" w:rsidRDefault="000A5CE6" w:rsidP="000A5CE6">
      <w:pPr>
        <w:spacing w:after="0" w:line="240" w:lineRule="auto"/>
        <w:rPr>
          <w:rFonts w:ascii="Calibri" w:eastAsia="Calibri" w:hAnsi="Calibri" w:cs="Times New Roman"/>
          <w:b/>
          <w:lang w:val="fr-FR"/>
        </w:rPr>
      </w:pPr>
    </w:p>
    <w:bookmarkEnd w:id="12"/>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Promouvoir des études destinées à évaluer l’effet du dérangement humain sur les principaux sites </w:t>
      </w:r>
      <w:r w:rsidRPr="000A5CE6">
        <w:rPr>
          <w:rFonts w:ascii="Calibri" w:eastAsia="Calibri" w:hAnsi="Calibri" w:cs="Times New Roman"/>
          <w:lang w:val="fr-FR"/>
        </w:rPr>
        <w:t>et</w:t>
      </w:r>
      <w:r w:rsidRPr="000A5CE6">
        <w:rPr>
          <w:rFonts w:ascii="Calibri" w:eastAsia="Calibri" w:hAnsi="Calibri" w:cs="Times New Roman"/>
          <w:i/>
          <w:lang w:val="fr-FR"/>
        </w:rPr>
        <w:t xml:space="preserve"> </w:t>
      </w:r>
      <w:r w:rsidRPr="000A5CE6">
        <w:rPr>
          <w:rFonts w:ascii="Calibri" w:eastAsia="Calibri" w:hAnsi="Calibri" w:cs="Times New Roman"/>
          <w:lang w:val="fr-FR"/>
        </w:rPr>
        <w:t>utiliser les résultats dans la planification de la gestion, afin de diminuer le plus possible les effets négatifs - [L / 3].</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le développement et la mise en œuvre de plans de gestion efficaces sur des sites sensibles, </w:t>
      </w:r>
      <w:r w:rsidRPr="000A5CE6">
        <w:rPr>
          <w:rFonts w:ascii="Calibri" w:eastAsia="Calibri" w:hAnsi="Calibri" w:cs="Times New Roman"/>
          <w:lang w:val="fr-FR"/>
        </w:rPr>
        <w:t>incluant une réglementation appropriée des activités de chasse et de loisirs pour supprimer les dérangements potentiellement préjudiciables à des périodes critiques du cycle annuel des oiseaux terrestres migrateurs - [C / 2].</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Promouvoir la découverte par le public du phénomène migratoire et des oiseaux terrestres migrateurs à travers la sensibilisation et l’information</w:t>
      </w:r>
      <w:r w:rsidRPr="000A5CE6">
        <w:rPr>
          <w:rFonts w:ascii="Calibri" w:eastAsia="Calibri" w:hAnsi="Calibri" w:cs="Times New Roman"/>
          <w:lang w:val="fr-FR"/>
        </w:rPr>
        <w:t>, et, le cas échéant, réglementer l’accès aux sites de rassemblement ou aux goulets migratoires - [C / 1].</w:t>
      </w:r>
    </w:p>
    <w:p w:rsidR="000A5CE6" w:rsidRPr="000A5CE6" w:rsidRDefault="000A5CE6" w:rsidP="000A5CE6">
      <w:pPr>
        <w:spacing w:after="0" w:line="240" w:lineRule="auto"/>
        <w:rPr>
          <w:rFonts w:ascii="Calibri" w:eastAsia="Calibri" w:hAnsi="Calibri" w:cs="Times New Roman"/>
          <w:b/>
          <w:lang w:val="fr-FR"/>
        </w:rPr>
      </w:pPr>
      <w:bookmarkStart w:id="13" w:name="_Toc346486106"/>
      <w:r w:rsidRPr="000A5CE6">
        <w:rPr>
          <w:rFonts w:ascii="Calibri" w:eastAsia="Calibri" w:hAnsi="Calibri" w:cs="Times New Roman"/>
          <w:b/>
          <w:lang w:val="fr-FR"/>
        </w:rPr>
        <w:t>2.4</w:t>
      </w:r>
      <w:r w:rsidRPr="000A5CE6">
        <w:rPr>
          <w:rFonts w:ascii="Calibri" w:eastAsia="Calibri" w:hAnsi="Calibri" w:cs="Times New Roman"/>
          <w:b/>
          <w:lang w:val="fr-FR"/>
        </w:rPr>
        <w:tab/>
        <w:t>Conflit entre les oiseaux terrestres migrateurs et les activités humaines</w:t>
      </w:r>
    </w:p>
    <w:p w:rsidR="000A5CE6" w:rsidRPr="000A5CE6" w:rsidRDefault="000A5CE6" w:rsidP="000A5CE6">
      <w:pPr>
        <w:spacing w:after="0" w:line="240" w:lineRule="auto"/>
        <w:rPr>
          <w:rFonts w:ascii="Calibri" w:eastAsia="Calibri" w:hAnsi="Calibri" w:cs="Times New Roman"/>
          <w:b/>
          <w:lang w:val="fr-FR"/>
        </w:rPr>
      </w:pPr>
    </w:p>
    <w:bookmarkEnd w:id="13"/>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Procéder à un examen national pour identifier les espèces d’oiseaux terrestres dont la présence entre en conflit avec les activités humaines, posant ainsi potentiellement un problème. </w:t>
      </w:r>
      <w:r w:rsidRPr="000A5CE6">
        <w:rPr>
          <w:rFonts w:ascii="Calibri" w:eastAsia="Calibri" w:hAnsi="Calibri" w:cs="Times New Roman"/>
          <w:lang w:val="fr-FR"/>
        </w:rPr>
        <w:t>Cette information devrait servir de base à toutes les délibérations au sujet de la mise en œuvre des programmes nationaux d’abattage ou de contrôle. Des exceptions ou des dérogations à la législation de protection, destinées à permettre le contrôle et/ou l’abattage d’oiseaux terrestres migrateurs, ne devraient être accordées que dans des conditions strictes, et devraient faire l’objet d’un suivi approfondi et d’un compte-rendu des résultats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lastRenderedPageBreak/>
        <w:t xml:space="preserve">Veiller à ce que des mesures réglementaires adéquates, relatives aux procédures de contrôle, soient en place </w:t>
      </w:r>
      <w:r w:rsidRPr="000A5CE6">
        <w:rPr>
          <w:rFonts w:ascii="Calibri" w:eastAsia="Calibri" w:hAnsi="Calibri" w:cs="Times New Roman"/>
          <w:lang w:val="fr-FR"/>
        </w:rPr>
        <w:t xml:space="preserve">et, si possible, fournir des orientations pour assurer la </w:t>
      </w:r>
      <w:r w:rsidRPr="000A5CE6">
        <w:rPr>
          <w:rFonts w:ascii="Times New Roman" w:eastAsia="Calibri" w:hAnsi="Times New Roman" w:cs="Times New Roman"/>
          <w:sz w:val="24"/>
          <w:lang w:val="fr-FR"/>
        </w:rPr>
        <w:t xml:space="preserve">liaison </w:t>
      </w:r>
      <w:r w:rsidRPr="000A5CE6">
        <w:rPr>
          <w:rFonts w:ascii="Calibri" w:eastAsia="Calibri" w:hAnsi="Calibri" w:cs="Times New Roman"/>
          <w:lang w:val="fr-FR"/>
        </w:rPr>
        <w:t>avec les ministères de l’Agriculture en ce qui concerne un contrôle approprié des espèces d’oiseaux nuisibles - [M / 2].</w:t>
      </w: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Promouvoir des moyens alternatifs non létaux pour éviter les conflits, </w:t>
      </w:r>
      <w:r w:rsidRPr="000A5CE6">
        <w:rPr>
          <w:rFonts w:ascii="Calibri" w:eastAsia="Calibri" w:hAnsi="Calibri" w:cs="Times New Roman"/>
          <w:lang w:val="fr-FR"/>
        </w:rPr>
        <w:t>en liaison avec les ministères de l’Agriculture et d’autres organismes de réglementation compétents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bookmarkStart w:id="14" w:name="_Toc346486107"/>
      <w:r w:rsidRPr="000A5CE6">
        <w:rPr>
          <w:rFonts w:ascii="Calibri" w:eastAsia="Calibri" w:hAnsi="Calibri" w:cs="Times New Roman"/>
          <w:b/>
          <w:lang w:val="fr-FR"/>
        </w:rPr>
        <w:t>2.5</w:t>
      </w:r>
      <w:r w:rsidRPr="000A5CE6">
        <w:rPr>
          <w:rFonts w:ascii="Calibri" w:eastAsia="Calibri" w:hAnsi="Calibri" w:cs="Times New Roman"/>
          <w:b/>
          <w:lang w:val="fr-FR"/>
        </w:rPr>
        <w:tab/>
        <w:t>Empoisonnement</w:t>
      </w:r>
    </w:p>
    <w:p w:rsidR="000A5CE6" w:rsidRPr="000A5CE6" w:rsidRDefault="000A5CE6" w:rsidP="000A5CE6">
      <w:pPr>
        <w:spacing w:after="0" w:line="240" w:lineRule="auto"/>
        <w:rPr>
          <w:rFonts w:ascii="Calibri" w:eastAsia="Calibri" w:hAnsi="Calibri" w:cs="Times New Roman"/>
          <w:b/>
          <w:lang w:val="fr-FR"/>
        </w:rPr>
      </w:pPr>
    </w:p>
    <w:bookmarkEnd w:id="14"/>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Substituer, restreindre ou interdire les substances présentant un risque élevé pour les oiseaux terrestres migrateurs,</w:t>
      </w:r>
      <w:r w:rsidRPr="000A5CE6">
        <w:rPr>
          <w:rFonts w:ascii="Calibri" w:eastAsia="Calibri" w:hAnsi="Calibri" w:cs="Times New Roman"/>
          <w:lang w:val="fr-FR"/>
        </w:rPr>
        <w:t xml:space="preserve"> incluant les insecticides, les rodonticides anticoagulants de deuxième génération (SGAR - second generation anticoagulant rodenticides) ainsi que les produits pharmaceutiques vétérinaires destinés aux ongulés domestiques, ayant des effets létaux et sub-létaux sur les oiseaux terrestres migrateurs, et la mise en œuvre de mesures décrites dans la Résolution CMS 11.XX Lignes directrices pour empêcher l’empoisonnement des oiseaux migrateurs [M/1].</w:t>
      </w:r>
    </w:p>
    <w:p w:rsidR="000A5CE6" w:rsidRPr="000A5CE6" w:rsidRDefault="000A5CE6" w:rsidP="000A5CE6">
      <w:pPr>
        <w:spacing w:after="0" w:line="240" w:lineRule="auto"/>
        <w:ind w:left="1571"/>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Inclure des critères relatifs aux oiseaux terrestres migrateurs dans la Convention de Rotterdam</w:t>
      </w:r>
      <w:r w:rsidRPr="000A5CE6">
        <w:rPr>
          <w:rFonts w:ascii="Calibri" w:eastAsia="Calibri" w:hAnsi="Calibri" w:cs="Times New Roman"/>
          <w:lang w:val="fr-FR"/>
        </w:rPr>
        <w:t xml:space="preserve"> pour réduire les risques d’importation de produits hautement toxiques pour les espèces d’oiseaux terrestres migrateurs dans les États de l’aire de répartition - [S/2].</w:t>
      </w:r>
    </w:p>
    <w:p w:rsidR="000A5CE6" w:rsidRPr="000A5CE6" w:rsidRDefault="000A5CE6" w:rsidP="000A5CE6">
      <w:pPr>
        <w:spacing w:after="0" w:line="240" w:lineRule="auto"/>
        <w:ind w:left="1571"/>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des mécanismes législatifs nationaux permettant de suivre l’utilisation agricole des substances pesticides, ainsi que l’adoption d’une gestion intégrée des ravageurs comprenant un système de certification pour les agriculteurs. </w:t>
      </w:r>
      <w:r w:rsidRPr="000A5CE6">
        <w:rPr>
          <w:rFonts w:ascii="Calibri" w:eastAsia="Calibri" w:hAnsi="Calibri" w:cs="Times New Roman"/>
          <w:lang w:val="fr-FR"/>
        </w:rPr>
        <w:t xml:space="preserve">La gestion intégrée des ravageurs est une approche durable de la production et de la protection qui combine des stratégies et des pratiques de gestion différentes pour cultiver des plantes en bonne santé et réduire au minimum l’utilisation de pesticides, ce qui limite le risque d’empoisonnement des espèces non visées, telles que les oiseaux. Des incitations sont nécessaires pour encourager les utilisateurs actuels de substances dangereuses pour les oiseaux à adopter une approche de lutte intégrée, en particulier dans les cultures agricoles (cultures alimentaires et non-alimentaires), - [M / </w:t>
      </w:r>
      <w:proofErr w:type="gramStart"/>
      <w:r w:rsidRPr="000A5CE6">
        <w:rPr>
          <w:rFonts w:ascii="Calibri" w:eastAsia="Calibri" w:hAnsi="Calibri" w:cs="Times New Roman"/>
          <w:lang w:val="fr-FR"/>
        </w:rPr>
        <w:t>2 ]</w:t>
      </w:r>
      <w:proofErr w:type="gramEnd"/>
      <w:r w:rsidRPr="000A5CE6">
        <w:rPr>
          <w:rFonts w:ascii="Calibri" w:eastAsia="Calibri" w:hAnsi="Calibri" w:cs="Times New Roman"/>
          <w:lang w:val="fr-FR"/>
        </w:rPr>
        <w:t>.</w:t>
      </w:r>
    </w:p>
    <w:p w:rsidR="000A5CE6" w:rsidRPr="000A5CE6" w:rsidRDefault="000A5CE6" w:rsidP="000A5CE6">
      <w:pPr>
        <w:spacing w:after="0" w:line="240" w:lineRule="auto"/>
        <w:ind w:left="1571"/>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lastRenderedPageBreak/>
        <w:t>Dissuader l’usage à long terme ou permanent d’appâts empoisonnés,</w:t>
      </w:r>
      <w:r w:rsidRPr="000A5CE6">
        <w:rPr>
          <w:rFonts w:ascii="Calibri" w:eastAsia="Calibri" w:hAnsi="Calibri" w:cs="Times New Roman"/>
          <w:lang w:val="fr-FR"/>
        </w:rPr>
        <w:t xml:space="preserve"> pour une utilisation de pesticides seulement lorsque des infestations surviennent, avec un retrait ultérieur des appâts, afin de réduire les risques pour les espèces non-cibles - [S / 1].</w:t>
      </w:r>
    </w:p>
    <w:p w:rsidR="000A5CE6" w:rsidRPr="000A5CE6" w:rsidRDefault="000A5CE6" w:rsidP="000A5CE6">
      <w:pPr>
        <w:spacing w:after="0" w:line="240" w:lineRule="auto"/>
        <w:ind w:left="1571"/>
        <w:rPr>
          <w:rFonts w:ascii="Times New Roman" w:eastAsia="Calibri" w:hAnsi="Times New Roman" w:cs="Times New Roman"/>
          <w:sz w:val="24"/>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2F37DB">
        <w:rPr>
          <w:rFonts w:ascii="Calibri" w:eastAsia="Calibri" w:hAnsi="Calibri" w:cs="Times New Roman"/>
          <w:lang w:val="fr-FR"/>
        </w:rPr>
        <w:t>Promouvoir la connaissance et la pratique de la chasse, de la pêche et de la gestion de la faune sans utilisation de plomb</w:t>
      </w:r>
      <w:r w:rsidRPr="000A5CE6">
        <w:rPr>
          <w:rFonts w:ascii="Calibri" w:eastAsia="Calibri" w:hAnsi="Calibri" w:cs="Times New Roman"/>
          <w:i/>
          <w:lang w:val="fr-FR"/>
        </w:rPr>
        <w:t>.</w:t>
      </w:r>
      <w:r w:rsidRPr="000A5CE6">
        <w:rPr>
          <w:rFonts w:ascii="Calibri" w:eastAsia="Calibri" w:hAnsi="Calibri" w:cs="Times New Roman"/>
          <w:lang w:val="fr-FR"/>
        </w:rPr>
        <w:t xml:space="preserve"> Compte tenu de l’évolution rapide des alternatives non-toxiques aux munitions contenan</w:t>
      </w:r>
      <w:bookmarkStart w:id="15" w:name="_GoBack"/>
      <w:bookmarkEnd w:id="15"/>
      <w:r w:rsidRPr="000A5CE6">
        <w:rPr>
          <w:rFonts w:ascii="Calibri" w:eastAsia="Calibri" w:hAnsi="Calibri" w:cs="Times New Roman"/>
          <w:lang w:val="fr-FR"/>
        </w:rPr>
        <w:t>t du plomb et aux plombs de pêche, une législation devrait être adoptée pour remplacer le plomb des munitions et des poids de pêche par des alternatives non-toxiques. Pour réduire les problèmes de suivi, de conformité et d’application, de tels procédés ne devraient pas être que partiellement restrictifs, et devraient induire une restriction à la fois de la vente et de la possession de munitions au plomb.</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bookmarkStart w:id="16" w:name="_Toc346486108"/>
      <w:r w:rsidRPr="000A5CE6">
        <w:rPr>
          <w:rFonts w:ascii="Calibri" w:eastAsia="Calibri" w:hAnsi="Calibri" w:cs="Times New Roman"/>
          <w:b/>
          <w:lang w:val="fr-FR"/>
        </w:rPr>
        <w:t>3.0</w:t>
      </w:r>
      <w:r w:rsidRPr="000A5CE6">
        <w:rPr>
          <w:rFonts w:ascii="Calibri" w:eastAsia="Calibri" w:hAnsi="Calibri" w:cs="Times New Roman"/>
          <w:b/>
          <w:lang w:val="fr-FR"/>
        </w:rPr>
        <w:tab/>
        <w:t>AUTRES MENACES</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spacing w:after="0" w:line="240" w:lineRule="auto"/>
        <w:rPr>
          <w:rFonts w:ascii="Calibri" w:eastAsia="Calibri" w:hAnsi="Calibri" w:cs="Times New Roman"/>
          <w:b/>
          <w:lang w:val="fr-FR"/>
        </w:rPr>
      </w:pPr>
      <w:r w:rsidRPr="000A5CE6">
        <w:rPr>
          <w:rFonts w:ascii="Calibri" w:eastAsia="Calibri" w:hAnsi="Calibri" w:cs="Times New Roman"/>
          <w:b/>
          <w:lang w:val="fr-FR"/>
        </w:rPr>
        <w:t>3.1</w:t>
      </w:r>
      <w:r w:rsidRPr="000A5CE6">
        <w:rPr>
          <w:rFonts w:ascii="Calibri" w:eastAsia="Calibri" w:hAnsi="Calibri" w:cs="Times New Roman"/>
          <w:b/>
          <w:lang w:val="fr-FR"/>
        </w:rPr>
        <w:tab/>
        <w:t>Maladies</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 cas d’épidémie ou d’épisode de mortalité massive pouvant avoir un impact sur les populations d’oiseaux terrestres migrateurs, mener des recherches épidémiologiques et d’autres recherches pour renseigner et guider les mesures d’atténuation et d’intervention. </w:t>
      </w:r>
      <w:r w:rsidRPr="000A5CE6">
        <w:rPr>
          <w:rFonts w:ascii="Calibri" w:eastAsia="Calibri" w:hAnsi="Calibri" w:cs="Times New Roman"/>
          <w:lang w:val="fr-FR"/>
        </w:rPr>
        <w:t xml:space="preserve">Sur la base de ces informations, intégrer la prévention de la transmission des maladies dans la planification de la gestion des aires protégées en suivant une approche </w:t>
      </w:r>
      <w:r w:rsidRPr="000A5CE6">
        <w:rPr>
          <w:rFonts w:ascii="Calibri" w:eastAsia="Calibri" w:hAnsi="Calibri" w:cs="Times New Roman"/>
          <w:i/>
          <w:lang w:val="fr-FR"/>
        </w:rPr>
        <w:t>One Health</w:t>
      </w:r>
      <w:r w:rsidRPr="000A5CE6">
        <w:rPr>
          <w:rFonts w:ascii="Calibri" w:eastAsia="Calibri" w:hAnsi="Calibri" w:cs="Times New Roman"/>
          <w:lang w:val="fr-FR"/>
        </w:rPr>
        <w:t xml:space="preserve">. L’orientation peut être tirée du </w:t>
      </w:r>
      <w:r w:rsidRPr="000A5CE6">
        <w:rPr>
          <w:rFonts w:ascii="Calibri" w:eastAsia="Calibri" w:hAnsi="Calibri" w:cs="Times New Roman"/>
          <w:i/>
          <w:lang w:val="fr-FR"/>
        </w:rPr>
        <w:t>Manuel Ramsar sur les maladies et les zones humides</w:t>
      </w:r>
      <w:r w:rsidRPr="000A5CE6">
        <w:rPr>
          <w:rFonts w:ascii="Calibri" w:eastAsia="Calibri" w:hAnsi="Calibri" w:cs="Times New Roman"/>
          <w:lang w:val="fr-FR"/>
        </w:rPr>
        <w:t xml:space="preserve"> (Ramsar Wetland Disease Manual) - [M / 2].</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Élaborer et mettre en œuvre des mesures d’urgence lorsque des conditions exceptionnellement défavorables ou dangereuses (p. ex. en raison de la présence de pesticides, de maladies de la faune, de conditions météorologiques particulièrement difficiles) apparaissent où que ce soit dans l’aire du Plan d’action, </w:t>
      </w:r>
      <w:r w:rsidRPr="000A5CE6">
        <w:rPr>
          <w:rFonts w:ascii="Calibri" w:eastAsia="Calibri" w:hAnsi="Calibri" w:cs="Times New Roman"/>
          <w:lang w:val="fr-FR"/>
        </w:rPr>
        <w:t>en étroite coopération avec d’autres acteurs au sein de l’aire du Plan d’action, lorsque cela est possible et pertinent - [M / 2].</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r w:rsidRPr="000A5CE6">
        <w:rPr>
          <w:rFonts w:ascii="Calibri" w:eastAsia="Calibri" w:hAnsi="Calibri" w:cs="Times New Roman"/>
          <w:b/>
          <w:lang w:val="fr-FR"/>
        </w:rPr>
        <w:t>3.2</w:t>
      </w:r>
      <w:r w:rsidRPr="000A5CE6">
        <w:rPr>
          <w:rFonts w:ascii="Calibri" w:eastAsia="Calibri" w:hAnsi="Calibri" w:cs="Times New Roman"/>
          <w:b/>
          <w:lang w:val="fr-FR"/>
        </w:rPr>
        <w:tab/>
        <w:t>Collisions</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lastRenderedPageBreak/>
        <w:t xml:space="preserve">Veiller à ce qu’une législation appropriée soit en place et l’appliquer pour limiter la construction de structures qui présentent des risques potentiels de collision </w:t>
      </w:r>
      <w:r w:rsidRPr="000A5CE6">
        <w:rPr>
          <w:rFonts w:ascii="Calibri" w:eastAsia="Calibri" w:hAnsi="Calibri" w:cs="Times New Roman"/>
          <w:lang w:val="fr-FR"/>
        </w:rPr>
        <w:t>sur les sites de haltes migratoires connus et le long des voies de migration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ind w:left="1571"/>
        <w:jc w:val="both"/>
        <w:rPr>
          <w:rFonts w:ascii="Calibri" w:eastAsia="Calibri" w:hAnsi="Calibri" w:cs="Times New Roman"/>
          <w:lang w:val="fr-FR"/>
        </w:rPr>
      </w:pPr>
      <w:r w:rsidRPr="000A5CE6">
        <w:rPr>
          <w:rFonts w:ascii="Calibri" w:eastAsia="Calibri" w:hAnsi="Calibri" w:cs="Times New Roman"/>
          <w:i/>
          <w:lang w:val="fr-FR"/>
        </w:rPr>
        <w:t xml:space="preserve">Introduire des mesures d’atténuation appropriées pour les différents risques de collision, </w:t>
      </w:r>
      <w:r w:rsidRPr="000A5CE6">
        <w:rPr>
          <w:rFonts w:ascii="Calibri" w:eastAsia="Calibri" w:hAnsi="Calibri" w:cs="Times New Roman"/>
          <w:lang w:val="fr-FR"/>
        </w:rPr>
        <w:t>p. ex. adapter les types de source de lumière pour réduire la pollution lumineuse lorsqu’elle est à l’origine de collisions d’oiseaux terrestres migrateurs</w:t>
      </w:r>
      <w:r w:rsidRPr="000A5CE6" w:rsidDel="00165942">
        <w:rPr>
          <w:rFonts w:ascii="Calibri" w:eastAsia="Calibri" w:hAnsi="Calibri" w:cs="Times New Roman"/>
          <w:lang w:val="fr-FR"/>
        </w:rPr>
        <w:t xml:space="preserve"> </w:t>
      </w:r>
      <w:r w:rsidRPr="000A5CE6">
        <w:rPr>
          <w:rFonts w:ascii="Calibri" w:eastAsia="Calibri" w:hAnsi="Calibri" w:cs="Times New Roman"/>
          <w:lang w:val="fr-FR"/>
        </w:rPr>
        <w:t xml:space="preserve">sur les baies vitrées, et introduire des mesures visant à réduire le risque de collision posé par les parcs éoliens. La résolution 10.11 de la CMS </w:t>
      </w:r>
      <w:r w:rsidRPr="000A5CE6">
        <w:rPr>
          <w:rFonts w:ascii="Calibri" w:eastAsia="Calibri" w:hAnsi="Calibri" w:cs="Times New Roman"/>
          <w:i/>
          <w:lang w:val="fr-FR"/>
        </w:rPr>
        <w:t xml:space="preserve">Lignes électriques et oiseaux migrateurs </w:t>
      </w:r>
      <w:r w:rsidRPr="000A5CE6">
        <w:rPr>
          <w:rFonts w:ascii="Calibri" w:eastAsia="Calibri" w:hAnsi="Calibri" w:cs="Times New Roman"/>
          <w:lang w:val="fr-FR"/>
        </w:rPr>
        <w:t>fournit un cadre pour la mise en œuvre de ces mesures dans les États de l’aire de répartition signataires de la CMS - [C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spacing w:after="0" w:line="240" w:lineRule="auto"/>
        <w:jc w:val="both"/>
        <w:rPr>
          <w:rFonts w:ascii="Calibri" w:eastAsia="Calibri" w:hAnsi="Calibri" w:cs="Times New Roman"/>
          <w:b/>
          <w:lang w:val="fr-FR"/>
        </w:rPr>
      </w:pPr>
      <w:r w:rsidRPr="000A5CE6">
        <w:rPr>
          <w:rFonts w:ascii="Calibri" w:eastAsia="Calibri" w:hAnsi="Calibri" w:cs="Times New Roman"/>
          <w:b/>
          <w:lang w:val="fr-FR"/>
        </w:rPr>
        <w:t>4.0</w:t>
      </w:r>
      <w:r w:rsidRPr="000A5CE6">
        <w:rPr>
          <w:rFonts w:ascii="Calibri" w:eastAsia="Calibri" w:hAnsi="Calibri" w:cs="Times New Roman"/>
          <w:b/>
          <w:lang w:val="fr-FR"/>
        </w:rPr>
        <w:tab/>
        <w:t>RECHERCHE ET SUIVI</w:t>
      </w:r>
    </w:p>
    <w:p w:rsidR="000A5CE6" w:rsidRPr="000A5CE6" w:rsidRDefault="000A5CE6" w:rsidP="000A5CE6">
      <w:pPr>
        <w:spacing w:after="0" w:line="240" w:lineRule="auto"/>
        <w:jc w:val="both"/>
        <w:rPr>
          <w:rFonts w:ascii="Calibri" w:eastAsia="Calibri" w:hAnsi="Calibri" w:cs="Times New Roman"/>
          <w:b/>
          <w:lang w:val="fr-FR"/>
        </w:rPr>
      </w:pPr>
    </w:p>
    <w:p w:rsidR="000A5CE6" w:rsidRPr="000A5CE6" w:rsidRDefault="000A5CE6" w:rsidP="000A5CE6">
      <w:pPr>
        <w:spacing w:after="0" w:line="240" w:lineRule="auto"/>
        <w:jc w:val="both"/>
        <w:rPr>
          <w:rFonts w:ascii="Calibri" w:eastAsia="Calibri" w:hAnsi="Calibri" w:cs="Times New Roman"/>
          <w:b/>
          <w:lang w:val="fr-FR"/>
        </w:rPr>
      </w:pPr>
      <w:bookmarkStart w:id="17" w:name="_Toc346486110"/>
      <w:bookmarkStart w:id="18" w:name="_Toc346486109"/>
      <w:bookmarkEnd w:id="16"/>
      <w:r w:rsidRPr="000A5CE6">
        <w:rPr>
          <w:rFonts w:ascii="Calibri" w:eastAsia="Calibri" w:hAnsi="Calibri" w:cs="Times New Roman"/>
          <w:b/>
          <w:lang w:val="fr-FR"/>
        </w:rPr>
        <w:t>4.1</w:t>
      </w:r>
      <w:r w:rsidRPr="000A5CE6">
        <w:rPr>
          <w:rFonts w:ascii="Calibri" w:eastAsia="Calibri" w:hAnsi="Calibri" w:cs="Times New Roman"/>
          <w:b/>
          <w:lang w:val="fr-FR"/>
        </w:rPr>
        <w:tab/>
        <w:t>Comprendre les schémas de migration et la connectivité le long des voies de migration</w:t>
      </w:r>
    </w:p>
    <w:p w:rsidR="000A5CE6" w:rsidRPr="000A5CE6" w:rsidRDefault="000A5CE6" w:rsidP="000A5CE6">
      <w:pPr>
        <w:spacing w:after="0" w:line="240" w:lineRule="auto"/>
        <w:jc w:val="both"/>
        <w:rPr>
          <w:rFonts w:ascii="Calibri" w:eastAsia="Calibri" w:hAnsi="Calibri" w:cs="Times New Roman"/>
          <w:b/>
          <w:lang w:val="fr-FR"/>
        </w:rPr>
      </w:pPr>
    </w:p>
    <w:bookmarkEnd w:id="17"/>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Poursuivre le développement des projets existants faisant appel à des collaborations internationales et locales et en établir de nouveaux, </w:t>
      </w:r>
      <w:r w:rsidRPr="000A5CE6">
        <w:rPr>
          <w:rFonts w:ascii="Calibri" w:eastAsia="Calibri" w:hAnsi="Calibri" w:cs="Times New Roman"/>
          <w:lang w:val="fr-FR"/>
        </w:rPr>
        <w:t>pour améliorer au niveau international les protocoles de terrain normalisés et les ensembles de données, et contribuer ainsi à une meilleure compréhension des flux migratoires, de l’utilisation des habitats et des effets de reports à l’échelle des voies de migration - [C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spacing w:after="0" w:line="240" w:lineRule="auto"/>
        <w:jc w:val="both"/>
        <w:rPr>
          <w:rFonts w:ascii="Calibri" w:eastAsia="Calibri" w:hAnsi="Calibri" w:cs="Times New Roman"/>
          <w:b/>
          <w:lang w:val="fr-FR"/>
        </w:rPr>
      </w:pPr>
      <w:bookmarkStart w:id="19" w:name="_Toc346486111"/>
      <w:r w:rsidRPr="000A5CE6">
        <w:rPr>
          <w:rFonts w:ascii="Calibri" w:eastAsia="Calibri" w:hAnsi="Calibri" w:cs="Times New Roman"/>
          <w:b/>
          <w:lang w:val="fr-FR"/>
        </w:rPr>
        <w:t>4.2</w:t>
      </w:r>
      <w:r w:rsidRPr="000A5CE6">
        <w:rPr>
          <w:rFonts w:ascii="Calibri" w:eastAsia="Calibri" w:hAnsi="Calibri" w:cs="Times New Roman"/>
          <w:b/>
          <w:lang w:val="fr-FR"/>
        </w:rPr>
        <w:tab/>
        <w:t>Suivi des tendances des populations</w:t>
      </w:r>
    </w:p>
    <w:p w:rsidR="000A5CE6" w:rsidRPr="000A5CE6" w:rsidRDefault="000A5CE6" w:rsidP="000A5CE6">
      <w:pPr>
        <w:spacing w:after="0" w:line="240" w:lineRule="auto"/>
        <w:jc w:val="both"/>
        <w:rPr>
          <w:rFonts w:ascii="Calibri" w:eastAsia="Calibri" w:hAnsi="Calibri" w:cs="Times New Roman"/>
          <w:b/>
          <w:lang w:val="fr-FR"/>
        </w:rPr>
      </w:pPr>
    </w:p>
    <w:bookmarkEnd w:id="19"/>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Élaborer et mettre en œuvre des programmes nationaux standardisés de suivi des oiseaux terrestres migrateurs et de leurs habitats. </w:t>
      </w:r>
      <w:r w:rsidRPr="000A5CE6">
        <w:rPr>
          <w:rFonts w:ascii="Calibri" w:eastAsia="Calibri" w:hAnsi="Calibri" w:cs="Times New Roman"/>
          <w:lang w:val="fr-FR"/>
        </w:rPr>
        <w:t>Envisager de suivre le modèle qui s’est avéré efficace en Europe et dans certains pays d’Afrique, basé sur les systèmes participatifs faisant appel à des observateurs bénévoles, des groupes de conservation locaux et des Groupes de soutien aux sites, coordonnés autant que possible avec les efforts internationaux, et comprenant une harmonisation des protocoles de suivi - [M / 1].</w:t>
      </w:r>
    </w:p>
    <w:p w:rsidR="000A5CE6" w:rsidRPr="000A5CE6" w:rsidRDefault="000A5CE6" w:rsidP="000A5CE6">
      <w:pPr>
        <w:spacing w:after="0" w:line="240" w:lineRule="auto"/>
        <w:ind w:left="720"/>
        <w:jc w:val="both"/>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soutenir et promouvoir les programmes standardisés de suivi des oiseaux sur les sites, ainsi que la recherche en écologie pour comprendre l’importance écologique de ces zones, et la publication des données et informations ainsi obtenues. </w:t>
      </w:r>
      <w:r w:rsidRPr="000A5CE6">
        <w:rPr>
          <w:rFonts w:ascii="Calibri" w:eastAsia="Calibri" w:hAnsi="Calibri" w:cs="Times New Roman"/>
          <w:lang w:val="fr-FR"/>
        </w:rPr>
        <w:t xml:space="preserve">Produire régulièrement des rapports nationaux et/ou régionaux </w:t>
      </w:r>
      <w:r w:rsidRPr="000A5CE6">
        <w:rPr>
          <w:rFonts w:ascii="Calibri" w:eastAsia="Calibri" w:hAnsi="Calibri" w:cs="Times New Roman"/>
          <w:lang w:val="fr-FR"/>
        </w:rPr>
        <w:lastRenderedPageBreak/>
        <w:t>détaillant les recherches menées sur les sites d’importance pour les oiseaux terrestres migrateurs - [C / 3].</w:t>
      </w: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l’utilisation active par les États de l’aire de répartition des bases de données en ligne régionales et sous-régionales existantes, </w:t>
      </w:r>
      <w:r w:rsidRPr="000A5CE6">
        <w:rPr>
          <w:rFonts w:ascii="Calibri" w:eastAsia="Calibri" w:hAnsi="Calibri" w:cs="Times New Roman"/>
          <w:lang w:val="fr-FR"/>
        </w:rPr>
        <w:t>et définir les modalités de partage de l’information et de liaison entre ces bases de données - [L / 2]</w:t>
      </w:r>
    </w:p>
    <w:p w:rsidR="000A5CE6" w:rsidRDefault="000A5CE6" w:rsidP="000A5CE6">
      <w:pPr>
        <w:spacing w:after="0" w:line="240" w:lineRule="auto"/>
        <w:ind w:left="720"/>
        <w:rPr>
          <w:rFonts w:ascii="Calibri" w:eastAsia="Calibri" w:hAnsi="Calibri" w:cs="Times New Roman"/>
          <w:lang w:val="fr-FR"/>
        </w:rPr>
      </w:pPr>
    </w:p>
    <w:p w:rsidR="000A3209" w:rsidRDefault="000A3209" w:rsidP="000A5CE6">
      <w:pPr>
        <w:spacing w:after="0" w:line="240" w:lineRule="auto"/>
        <w:ind w:left="720"/>
        <w:rPr>
          <w:rFonts w:ascii="Calibri" w:eastAsia="Calibri" w:hAnsi="Calibri" w:cs="Times New Roman"/>
          <w:lang w:val="fr-FR"/>
        </w:rPr>
      </w:pPr>
    </w:p>
    <w:p w:rsidR="000A3209" w:rsidRDefault="000A3209" w:rsidP="000A5CE6">
      <w:pPr>
        <w:spacing w:after="0" w:line="240" w:lineRule="auto"/>
        <w:ind w:left="720"/>
        <w:rPr>
          <w:rFonts w:ascii="Calibri" w:eastAsia="Calibri" w:hAnsi="Calibri" w:cs="Times New Roman"/>
          <w:lang w:val="fr-FR"/>
        </w:rPr>
      </w:pPr>
    </w:p>
    <w:p w:rsidR="000A3209" w:rsidRPr="000A5CE6" w:rsidRDefault="000A3209"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bookmarkStart w:id="20" w:name="_Toc346486112"/>
      <w:r w:rsidRPr="000A5CE6">
        <w:rPr>
          <w:rFonts w:ascii="Calibri" w:eastAsia="Calibri" w:hAnsi="Calibri" w:cs="Times New Roman"/>
          <w:b/>
          <w:lang w:val="fr-FR"/>
        </w:rPr>
        <w:t>4.3</w:t>
      </w:r>
      <w:r w:rsidRPr="000A5CE6">
        <w:rPr>
          <w:rFonts w:ascii="Calibri" w:eastAsia="Calibri" w:hAnsi="Calibri" w:cs="Times New Roman"/>
          <w:b/>
          <w:lang w:val="fr-FR"/>
        </w:rPr>
        <w:tab/>
        <w:t xml:space="preserve">Compréhension des causes de l’évolution des populations d’oiseaux terrestres migrateurs </w:t>
      </w:r>
    </w:p>
    <w:p w:rsidR="000A5CE6" w:rsidRPr="000A5CE6" w:rsidRDefault="000A5CE6" w:rsidP="000A5CE6">
      <w:pPr>
        <w:spacing w:after="0" w:line="240" w:lineRule="auto"/>
        <w:rPr>
          <w:rFonts w:ascii="Calibri" w:eastAsia="Calibri" w:hAnsi="Calibri" w:cs="Times New Roman"/>
          <w:b/>
          <w:lang w:val="fr-FR"/>
        </w:rPr>
      </w:pPr>
    </w:p>
    <w:bookmarkEnd w:id="20"/>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Diagnostiquer les causes de l’évolution des populations et entreprendre des études en écologie ciblées sur des « espèces indicatrices » sélectionnées et les habitats associés, </w:t>
      </w:r>
      <w:r w:rsidRPr="000A5CE6">
        <w:rPr>
          <w:rFonts w:ascii="Calibri" w:eastAsia="Calibri" w:hAnsi="Calibri" w:cs="Times New Roman"/>
          <w:lang w:val="fr-FR"/>
        </w:rPr>
        <w:t>comprenant des approches comparatives avec les populations qui ne sont pas en déclin - [M 2].</w:t>
      </w: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Comprendre les liens entre les facteurs écologiques qui limitent les populations migratrices d’oiseaux terrestres et les questions politiques et socio-économiques,</w:t>
      </w:r>
      <w:r w:rsidRPr="000A5CE6">
        <w:rPr>
          <w:rFonts w:ascii="Calibri" w:eastAsia="Calibri" w:hAnsi="Calibri" w:cs="Times New Roman"/>
          <w:lang w:val="fr-FR"/>
        </w:rPr>
        <w:t xml:space="preserve"> ainsi que les changements qui se produisent, notamment en ce qui concerne l’utilisation des terres et de l’énergie - [M/1].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120" w:line="360" w:lineRule="auto"/>
        <w:rPr>
          <w:rFonts w:ascii="Calibri" w:eastAsia="Calibri" w:hAnsi="Calibri" w:cs="Times New Roman"/>
          <w:b/>
          <w:lang w:val="fr-FR"/>
        </w:rPr>
      </w:pPr>
      <w:r w:rsidRPr="000A5CE6">
        <w:rPr>
          <w:rFonts w:ascii="Calibri" w:eastAsia="Calibri" w:hAnsi="Calibri" w:cs="Times New Roman"/>
          <w:b/>
          <w:lang w:val="fr-FR"/>
        </w:rPr>
        <w:t>4.4</w:t>
      </w:r>
      <w:r w:rsidRPr="000A5CE6">
        <w:rPr>
          <w:rFonts w:ascii="Calibri" w:eastAsia="Calibri" w:hAnsi="Calibri" w:cs="Times New Roman"/>
          <w:b/>
          <w:lang w:val="fr-FR"/>
        </w:rPr>
        <w:tab/>
        <w:t xml:space="preserve">Renforcer les capacités et améliorer l’échange d’informations, la collaboration et la coordination entre les chercheurs qui étudient les oiseaux terrestres migrateurs </w:t>
      </w:r>
    </w:p>
    <w:bookmarkEnd w:id="18"/>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Faciliter les analyses approfondies des lacunes pour identifier et hiérarchiser les besoins en termes de recherche, en incluant un inventaire des recherches passées et en cours au sein des sous-régions de l’aire du Plan d’action, </w:t>
      </w:r>
      <w:r w:rsidRPr="000A5CE6">
        <w:rPr>
          <w:rFonts w:ascii="Calibri" w:eastAsia="Calibri" w:hAnsi="Calibri" w:cs="Times New Roman"/>
          <w:lang w:val="fr-FR"/>
        </w:rPr>
        <w:t>tout</w:t>
      </w:r>
      <w:r w:rsidRPr="000A5CE6">
        <w:rPr>
          <w:rFonts w:ascii="Calibri" w:eastAsia="Calibri" w:hAnsi="Calibri" w:cs="Times New Roman"/>
          <w:i/>
          <w:lang w:val="fr-FR"/>
        </w:rPr>
        <w:t xml:space="preserve"> </w:t>
      </w:r>
      <w:r w:rsidRPr="000A5CE6">
        <w:rPr>
          <w:rFonts w:ascii="Calibri" w:eastAsia="Calibri" w:hAnsi="Calibri" w:cs="Times New Roman"/>
          <w:lang w:val="fr-FR"/>
        </w:rPr>
        <w:t>en encourageant la participation d’experts nationaux des oiseaux terrestres migrateurs aux organes de coordination du Plan d’action, tel que l’AEML-SG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le développement du Groupe d’étude des oiseaux terrestres migrateurs (MLSG - Migratory Landbird species Study Group), </w:t>
      </w:r>
      <w:r w:rsidRPr="000A5CE6">
        <w:rPr>
          <w:rFonts w:ascii="Calibri" w:eastAsia="Calibri" w:hAnsi="Calibri" w:cs="Times New Roman"/>
          <w:lang w:val="fr-FR"/>
        </w:rPr>
        <w:t xml:space="preserve">un réseau international de spécialistes et d’organisations impliqués dans la recherche, le suivi et la conservation des oiseaux terrestres migrateurs, et encourager la participation des experts nationaux au MLSG. Le MLSG sera mené par les chercheurs sur la base du volontariat, et devrait envisager d’avoir une fonction de centre d’échange d’informations, ou de contribuer au fonctionnement d’un tel centre (collecter, </w:t>
      </w:r>
      <w:r w:rsidRPr="000A5CE6">
        <w:rPr>
          <w:rFonts w:ascii="Calibri" w:eastAsia="Calibri" w:hAnsi="Calibri" w:cs="Times New Roman"/>
          <w:lang w:val="fr-FR"/>
        </w:rPr>
        <w:lastRenderedPageBreak/>
        <w:t>consolider et diffuser les résultats de la recherche et du suivi relatifs à la conservation des oiseaux terrestres migrateurs dans l’aire du Plan d’action) - [M / 1].</w:t>
      </w:r>
    </w:p>
    <w:p w:rsidR="000A5CE6" w:rsidRPr="000A5CE6" w:rsidRDefault="000A5CE6" w:rsidP="000A5CE6">
      <w:pPr>
        <w:spacing w:after="0" w:line="240" w:lineRule="auto"/>
        <w:ind w:left="720"/>
        <w:rPr>
          <w:rFonts w:ascii="Times New Roman" w:eastAsia="Calibri" w:hAnsi="Times New Roman" w:cs="Times New Roman"/>
          <w:sz w:val="24"/>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Encourager les chercheurs et les bailleurs de fonds à diriger leurs efforts sur les questions les plus importantes et les plus urgentes pour la conservation des oiseaux terrestres migrateurs, </w:t>
      </w:r>
      <w:r w:rsidRPr="000A5CE6">
        <w:rPr>
          <w:rFonts w:ascii="Calibri" w:eastAsia="Calibri" w:hAnsi="Calibri" w:cs="Times New Roman"/>
          <w:lang w:val="fr-FR"/>
        </w:rPr>
        <w:t>y compris en diffusant les besoins de recherche prioritaires, en analysant les données existantes, en créant des consortiums de recherche pour traiter des questions clés de conservation, et en identifiant et soutenant le développement et l’expansion géographique d’instituts de recherche sous-régionaux - [M / 2].</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 xml:space="preserve">Soutenir la formation ciblée sur la recherche et le suivi, </w:t>
      </w:r>
      <w:r w:rsidRPr="000A5CE6">
        <w:rPr>
          <w:rFonts w:ascii="Calibri" w:eastAsia="Calibri" w:hAnsi="Calibri" w:cs="Times New Roman"/>
          <w:lang w:val="fr-FR"/>
        </w:rPr>
        <w:t>afin de développer des compétences nationales, de l’expertise et des capacités à entreprendre des recherches et des suivis au profit de la conservation des oiseaux terrestres migrateurs - [C / 1].</w:t>
      </w:r>
    </w:p>
    <w:p w:rsidR="000A5CE6" w:rsidRPr="000A5CE6" w:rsidRDefault="000A5CE6" w:rsidP="000A5CE6">
      <w:pPr>
        <w:spacing w:after="0" w:line="240" w:lineRule="auto"/>
        <w:ind w:left="720"/>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b/>
          <w:lang w:val="fr-FR"/>
        </w:rPr>
      </w:pPr>
      <w:bookmarkStart w:id="21" w:name="_Toc346486113"/>
      <w:r w:rsidRPr="000A5CE6">
        <w:rPr>
          <w:rFonts w:ascii="Calibri" w:eastAsia="Calibri" w:hAnsi="Calibri" w:cs="Times New Roman"/>
          <w:b/>
          <w:lang w:val="fr-FR"/>
        </w:rPr>
        <w:t>5.0</w:t>
      </w:r>
      <w:r w:rsidRPr="000A5CE6">
        <w:rPr>
          <w:rFonts w:ascii="Calibri" w:eastAsia="Calibri" w:hAnsi="Calibri" w:cs="Times New Roman"/>
          <w:b/>
          <w:lang w:val="fr-FR"/>
        </w:rPr>
        <w:tab/>
        <w:t>ÉDUCATION ET INFORMATION</w:t>
      </w:r>
    </w:p>
    <w:p w:rsidR="000A5CE6" w:rsidRPr="000A5CE6" w:rsidRDefault="000A5CE6" w:rsidP="000A5CE6">
      <w:pPr>
        <w:spacing w:after="0" w:line="240" w:lineRule="auto"/>
        <w:rPr>
          <w:rFonts w:ascii="Calibri" w:eastAsia="Calibri" w:hAnsi="Calibri" w:cs="Times New Roman"/>
          <w:b/>
          <w:lang w:val="fr-FR"/>
        </w:rPr>
      </w:pPr>
    </w:p>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b/>
          <w:lang w:val="fr-FR"/>
        </w:rPr>
        <w:t>5.1</w:t>
      </w:r>
      <w:r w:rsidRPr="000A5CE6">
        <w:rPr>
          <w:rFonts w:ascii="Calibri" w:eastAsia="Calibri" w:hAnsi="Calibri" w:cs="Times New Roman"/>
          <w:b/>
          <w:lang w:val="fr-FR"/>
        </w:rPr>
        <w:tab/>
        <w:t>Améliorer la sensibilisation et la compréhension du public vis-à-vis des oiseaux terrestres migrateurs</w:t>
      </w:r>
      <w:r w:rsidRPr="000A5CE6">
        <w:rPr>
          <w:rFonts w:ascii="Calibri" w:eastAsia="Calibri" w:hAnsi="Calibri" w:cs="Times New Roman"/>
          <w:lang w:val="fr-FR"/>
        </w:rPr>
        <w:t xml:space="preserve"> </w:t>
      </w:r>
    </w:p>
    <w:p w:rsidR="000A5CE6" w:rsidRPr="000A5CE6" w:rsidRDefault="000A5CE6" w:rsidP="000A5CE6">
      <w:pPr>
        <w:spacing w:after="0" w:line="240" w:lineRule="auto"/>
        <w:rPr>
          <w:rFonts w:ascii="Calibri" w:eastAsia="Calibri" w:hAnsi="Calibri" w:cs="Times New Roman"/>
          <w:lang w:val="fr-FR"/>
        </w:rPr>
      </w:pPr>
    </w:p>
    <w:bookmarkEnd w:id="21"/>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Soutenir et encourager la participation du public dans « Les Amis du Plan d’action pour les oiseaux terrestres migrateurs » (FLAP - Friends of the Landbirds Action Plan),</w:t>
      </w:r>
      <w:r w:rsidRPr="000A5CE6">
        <w:rPr>
          <w:rFonts w:ascii="Calibri" w:eastAsia="Calibri" w:hAnsi="Calibri" w:cs="Times New Roman"/>
          <w:lang w:val="fr-FR"/>
        </w:rPr>
        <w:t xml:space="preserve"> une initiative qui utilisera les médias sociaux en ligne pour offrir un forum à toutes les personnes intéressées par les oiseaux terrestres migrateurs et qui souhaitent suivre, soutenir et contribuer aux travaux de l’AEML-WG - [C / 1].</w:t>
      </w:r>
    </w:p>
    <w:p w:rsidR="000A5CE6" w:rsidRPr="000A5CE6" w:rsidRDefault="000A5CE6" w:rsidP="000A5CE6">
      <w:pPr>
        <w:numPr>
          <w:ilvl w:val="0"/>
          <w:numId w:val="9"/>
        </w:numPr>
        <w:spacing w:after="120" w:line="360" w:lineRule="auto"/>
        <w:jc w:val="both"/>
        <w:rPr>
          <w:rFonts w:ascii="Calibri" w:eastAsia="Calibri" w:hAnsi="Calibri" w:cs="Times New Roman"/>
          <w:lang w:val="fr-FR"/>
        </w:rPr>
      </w:pPr>
      <w:r w:rsidRPr="000A5CE6">
        <w:rPr>
          <w:rFonts w:ascii="Calibri" w:eastAsia="Calibri" w:hAnsi="Calibri" w:cs="Times New Roman"/>
          <w:i/>
          <w:lang w:val="fr-FR"/>
        </w:rPr>
        <w:t>Encourager l’engagement local, national et international avec des organismes privés et publics, en particulier dans le secteur du développement,</w:t>
      </w:r>
      <w:r w:rsidRPr="000A5CE6">
        <w:rPr>
          <w:rFonts w:ascii="Calibri" w:eastAsia="Calibri" w:hAnsi="Calibri" w:cs="Times New Roman"/>
          <w:lang w:val="fr-FR"/>
        </w:rPr>
        <w:t xml:space="preserve"> et notamment dans l’agriculture, l’énergie et l’industrie. L’objectif est d’échanger des informations et de définir des stratégies de développement durables d’un point de vue économique et écologique - [M / 1].</w:t>
      </w:r>
    </w:p>
    <w:p w:rsidR="000A5CE6" w:rsidRPr="000A5CE6" w:rsidRDefault="000A5CE6" w:rsidP="000A5CE6">
      <w:pPr>
        <w:spacing w:after="0" w:line="240" w:lineRule="auto"/>
        <w:rPr>
          <w:rFonts w:ascii="Calibri" w:eastAsia="Calibri" w:hAnsi="Calibri" w:cs="Times New Roman"/>
          <w:lang w:val="fr-FR"/>
        </w:rPr>
      </w:pPr>
    </w:p>
    <w:p w:rsidR="000A5CE6" w:rsidRPr="000A5CE6" w:rsidRDefault="000A5CE6" w:rsidP="000A5CE6">
      <w:pPr>
        <w:spacing w:after="120" w:line="240" w:lineRule="auto"/>
        <w:rPr>
          <w:rFonts w:ascii="Calibri" w:eastAsia="Calibri" w:hAnsi="Calibri" w:cs="Times New Roman"/>
          <w:lang w:val="fr-FR"/>
        </w:rPr>
      </w:pPr>
      <w:r w:rsidRPr="000A5CE6">
        <w:rPr>
          <w:rFonts w:ascii="Calibri" w:eastAsia="Calibri" w:hAnsi="Calibri" w:cs="Times New Roman"/>
          <w:lang w:val="fr-FR"/>
        </w:rPr>
        <w:t>Annexe 1 : Fondement du Plan d’action</w:t>
      </w:r>
    </w:p>
    <w:p w:rsidR="000A5CE6" w:rsidRPr="000A5CE6" w:rsidRDefault="000A5CE6" w:rsidP="000A5CE6">
      <w:pPr>
        <w:spacing w:after="120" w:line="240" w:lineRule="auto"/>
        <w:rPr>
          <w:rFonts w:ascii="Calibri" w:eastAsia="Calibri" w:hAnsi="Calibri" w:cs="Times New Roman"/>
          <w:lang w:val="fr-FR"/>
        </w:rPr>
      </w:pPr>
      <w:r w:rsidRPr="000A5CE6">
        <w:rPr>
          <w:rFonts w:ascii="Calibri" w:eastAsia="Calibri" w:hAnsi="Calibri" w:cs="Times New Roman"/>
          <w:lang w:val="fr-FR"/>
        </w:rPr>
        <w:t>Annexe 2 : Carte de l’aire géographique couverte par le Plan d’action</w:t>
      </w:r>
    </w:p>
    <w:p w:rsidR="000A5CE6" w:rsidRPr="000A5CE6" w:rsidRDefault="000A5CE6" w:rsidP="000A5CE6">
      <w:pPr>
        <w:spacing w:after="120" w:line="240" w:lineRule="auto"/>
        <w:rPr>
          <w:rFonts w:ascii="Calibri" w:eastAsia="Calibri" w:hAnsi="Calibri" w:cs="Times New Roman"/>
          <w:lang w:val="fr-FR"/>
        </w:rPr>
      </w:pPr>
      <w:r w:rsidRPr="000A5CE6">
        <w:rPr>
          <w:rFonts w:ascii="Calibri" w:eastAsia="Calibri" w:hAnsi="Calibri" w:cs="Times New Roman"/>
          <w:lang w:val="fr-FR"/>
        </w:rPr>
        <w:t>Annexe 3 : Listes des espèces</w:t>
      </w:r>
    </w:p>
    <w:p w:rsidR="000A5CE6" w:rsidRPr="000A5CE6" w:rsidRDefault="000A5CE6" w:rsidP="000A5CE6">
      <w:pPr>
        <w:spacing w:after="120" w:line="240" w:lineRule="auto"/>
        <w:rPr>
          <w:rFonts w:ascii="Calibri" w:eastAsia="Calibri" w:hAnsi="Calibri" w:cs="Times New Roman"/>
          <w:lang w:val="fr-FR"/>
        </w:rPr>
      </w:pPr>
      <w:r w:rsidRPr="000A5CE6">
        <w:rPr>
          <w:rFonts w:ascii="Calibri" w:eastAsia="Calibri" w:hAnsi="Calibri" w:cs="Times New Roman"/>
          <w:lang w:val="fr-FR"/>
        </w:rPr>
        <w:t>Annexe 4 : Tableau des contributions aux politiques de conservation</w:t>
      </w:r>
    </w:p>
    <w:p w:rsidR="000A5CE6" w:rsidRPr="000A5CE6" w:rsidRDefault="000A5CE6" w:rsidP="000A5CE6">
      <w:pPr>
        <w:spacing w:after="120" w:line="240" w:lineRule="auto"/>
        <w:rPr>
          <w:rFonts w:ascii="Calibri" w:eastAsia="Calibri" w:hAnsi="Calibri" w:cs="Times New Roman"/>
          <w:lang w:val="fr-FR"/>
        </w:rPr>
      </w:pPr>
      <w:r w:rsidRPr="000A5CE6">
        <w:rPr>
          <w:rFonts w:ascii="Calibri" w:eastAsia="Calibri" w:hAnsi="Calibri" w:cs="Times New Roman"/>
          <w:lang w:val="fr-FR"/>
        </w:rPr>
        <w:t>Annexe 5 : Tableau de mise en œuvre du Plan d’action</w:t>
      </w:r>
    </w:p>
    <w:p w:rsidR="000A5CE6" w:rsidRPr="000A5CE6" w:rsidRDefault="000A5CE6" w:rsidP="000A5CE6">
      <w:pPr>
        <w:spacing w:after="120" w:line="240" w:lineRule="auto"/>
        <w:rPr>
          <w:rFonts w:ascii="Calibri" w:eastAsia="Calibri" w:hAnsi="Calibri" w:cs="Times New Roman"/>
          <w:lang w:val="fr-FR"/>
        </w:rPr>
        <w:sectPr w:rsidR="000A5CE6" w:rsidRPr="000A5CE6" w:rsidSect="000A5CE6">
          <w:headerReference w:type="even" r:id="rId8"/>
          <w:headerReference w:type="default" r:id="rId9"/>
          <w:footerReference w:type="even" r:id="rId10"/>
          <w:footerReference w:type="default" r:id="rId11"/>
          <w:headerReference w:type="first" r:id="rId12"/>
          <w:footerReference w:type="first" r:id="rId13"/>
          <w:pgSz w:w="11907" w:h="16840" w:code="9"/>
          <w:pgMar w:top="1128" w:right="1440" w:bottom="1440" w:left="1440" w:header="540" w:footer="454" w:gutter="0"/>
          <w:cols w:space="720"/>
          <w:docGrid w:linePitch="360"/>
        </w:sectPr>
      </w:pPr>
      <w:r w:rsidRPr="000A5CE6">
        <w:rPr>
          <w:rFonts w:ascii="Calibri" w:eastAsia="Calibri" w:hAnsi="Calibri" w:cs="Times New Roman"/>
          <w:lang w:val="fr-FR"/>
        </w:rPr>
        <w:lastRenderedPageBreak/>
        <w:t>Annexe 6 : Bibliographie du Plan d’action</w:t>
      </w:r>
    </w:p>
    <w:p w:rsidR="000A5CE6" w:rsidRPr="000A5CE6" w:rsidRDefault="000A5CE6" w:rsidP="000A5CE6">
      <w:pPr>
        <w:spacing w:after="0" w:line="240" w:lineRule="auto"/>
        <w:jc w:val="right"/>
        <w:rPr>
          <w:rFonts w:ascii="Calibri" w:eastAsia="Calibri" w:hAnsi="Calibri" w:cs="Times New Roman"/>
          <w:b/>
          <w:sz w:val="28"/>
          <w:szCs w:val="28"/>
          <w:lang w:val="fr-FR"/>
        </w:rPr>
      </w:pPr>
      <w:r w:rsidRPr="000A5CE6">
        <w:rPr>
          <w:rFonts w:ascii="Calibri" w:eastAsia="Calibri" w:hAnsi="Calibri" w:cs="Times New Roman"/>
          <w:b/>
          <w:sz w:val="28"/>
          <w:szCs w:val="28"/>
          <w:lang w:val="fr-FR"/>
        </w:rPr>
        <w:lastRenderedPageBreak/>
        <w:t>Annexe 1</w:t>
      </w:r>
    </w:p>
    <w:p w:rsidR="000A5CE6" w:rsidRPr="000A5CE6" w:rsidRDefault="000A5CE6" w:rsidP="000A5CE6">
      <w:pPr>
        <w:spacing w:after="0" w:line="240" w:lineRule="auto"/>
        <w:jc w:val="center"/>
        <w:rPr>
          <w:rFonts w:ascii="Times New Roman" w:eastAsia="Calibri" w:hAnsi="Times New Roman" w:cs="Times New Roman"/>
          <w:b/>
          <w:sz w:val="28"/>
          <w:szCs w:val="28"/>
          <w:lang w:val="fr-FR"/>
        </w:rPr>
      </w:pPr>
    </w:p>
    <w:p w:rsidR="000A5CE6" w:rsidRPr="000A5CE6" w:rsidRDefault="000A5CE6" w:rsidP="000A5CE6">
      <w:pPr>
        <w:spacing w:after="0" w:line="240" w:lineRule="auto"/>
        <w:jc w:val="center"/>
        <w:rPr>
          <w:rFonts w:ascii="Calibri" w:eastAsia="Calibri" w:hAnsi="Calibri" w:cs="Times New Roman"/>
          <w:b/>
          <w:sz w:val="28"/>
          <w:szCs w:val="28"/>
          <w:lang w:val="fr-FR"/>
        </w:rPr>
      </w:pPr>
      <w:r w:rsidRPr="000A5CE6">
        <w:rPr>
          <w:rFonts w:ascii="Calibri" w:eastAsia="Calibri" w:hAnsi="Calibri" w:cs="Times New Roman"/>
          <w:b/>
          <w:sz w:val="28"/>
          <w:szCs w:val="28"/>
          <w:lang w:val="fr-FR"/>
        </w:rPr>
        <w:t xml:space="preserve">Plan d’action pour les oiseaux terrestres migrateurs d’Afrique-Eurasie </w:t>
      </w:r>
    </w:p>
    <w:p w:rsidR="000A5CE6" w:rsidRPr="000A5CE6" w:rsidRDefault="000A5CE6" w:rsidP="000A5CE6">
      <w:pPr>
        <w:spacing w:after="0" w:line="240" w:lineRule="auto"/>
        <w:jc w:val="center"/>
        <w:rPr>
          <w:rFonts w:ascii="Calibri" w:eastAsia="Calibri" w:hAnsi="Calibri" w:cs="Times New Roman"/>
          <w:b/>
          <w:sz w:val="28"/>
          <w:szCs w:val="28"/>
          <w:lang w:val="fr-FR"/>
        </w:rPr>
      </w:pPr>
    </w:p>
    <w:p w:rsidR="000A5CE6" w:rsidRPr="000A5CE6" w:rsidRDefault="000A5CE6" w:rsidP="000A5CE6">
      <w:pPr>
        <w:spacing w:after="0" w:line="240" w:lineRule="auto"/>
        <w:jc w:val="center"/>
        <w:rPr>
          <w:rFonts w:ascii="Calibri" w:eastAsia="Calibri" w:hAnsi="Calibri" w:cs="Times New Roman"/>
          <w:b/>
          <w:sz w:val="28"/>
          <w:szCs w:val="28"/>
          <w:lang w:val="fr-FR"/>
        </w:rPr>
      </w:pPr>
      <w:r w:rsidRPr="000A5CE6">
        <w:rPr>
          <w:rFonts w:ascii="Calibri" w:eastAsia="Calibri" w:hAnsi="Calibri" w:cs="Times New Roman"/>
          <w:b/>
          <w:sz w:val="28"/>
          <w:szCs w:val="28"/>
          <w:lang w:val="fr-FR"/>
        </w:rPr>
        <w:t>Annexe 1 : Fondement du Plan d’action</w:t>
      </w:r>
    </w:p>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0" w:line="240" w:lineRule="auto"/>
        <w:jc w:val="center"/>
        <w:rPr>
          <w:rFonts w:ascii="Calibri" w:eastAsia="Calibri" w:hAnsi="Calibri" w:cs="Times New Roman"/>
          <w:lang w:val="fr-FR"/>
        </w:rPr>
      </w:pPr>
      <w:r w:rsidRPr="000A5CE6">
        <w:rPr>
          <w:rFonts w:ascii="Calibri" w:eastAsia="Calibri" w:hAnsi="Calibri" w:cs="Times New Roman"/>
          <w:lang w:val="fr-FR"/>
        </w:rPr>
        <w:t>Version 28-04-2014</w:t>
      </w:r>
    </w:p>
    <w:p w:rsidR="000A5CE6" w:rsidRPr="000A5CE6" w:rsidRDefault="000A5CE6" w:rsidP="000A5CE6">
      <w:pPr>
        <w:spacing w:after="0" w:line="240" w:lineRule="auto"/>
        <w:jc w:val="center"/>
        <w:rPr>
          <w:rFonts w:ascii="Calibri" w:eastAsia="Calibri" w:hAnsi="Calibri" w:cs="Times New Roman"/>
          <w:lang w:val="fr-FR"/>
        </w:rPr>
      </w:pPr>
    </w:p>
    <w:p w:rsidR="000A5CE6" w:rsidRPr="000A5CE6" w:rsidRDefault="000A5CE6" w:rsidP="000A5CE6">
      <w:pPr>
        <w:spacing w:after="0" w:line="240" w:lineRule="auto"/>
        <w:jc w:val="center"/>
        <w:rPr>
          <w:rFonts w:ascii="Calibri" w:eastAsia="Calibri" w:hAnsi="Calibri" w:cs="Times New Roman"/>
          <w:lang w:val="fr-FR"/>
        </w:rPr>
      </w:pPr>
    </w:p>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22" w:name="_Toc341449187"/>
      <w:r w:rsidRPr="000A5CE6">
        <w:rPr>
          <w:rFonts w:ascii="Times New Roman" w:eastAsia="Calibri" w:hAnsi="Times New Roman" w:cs="Times New Roman"/>
          <w:sz w:val="24"/>
          <w:lang w:val="fr-FR"/>
        </w:rPr>
        <w:br w:type="page"/>
      </w:r>
      <w:bookmarkStart w:id="23" w:name="_Toc341449188"/>
      <w:bookmarkEnd w:id="22"/>
      <w:r w:rsidRPr="000A5CE6">
        <w:rPr>
          <w:rFonts w:ascii="Calibri" w:eastAsia="Calibri" w:hAnsi="Calibri" w:cs="Times New Roman"/>
          <w:b/>
          <w:lang w:val="fr-FR"/>
        </w:rPr>
        <w:lastRenderedPageBreak/>
        <w:t>INTRODUCTION</w:t>
      </w:r>
      <w:bookmarkEnd w:id="23"/>
    </w:p>
    <w:p w:rsidR="000A5CE6" w:rsidRPr="000A5CE6" w:rsidRDefault="000A5CE6" w:rsidP="000A5CE6">
      <w:pPr>
        <w:spacing w:after="120" w:line="360" w:lineRule="auto"/>
        <w:jc w:val="both"/>
        <w:rPr>
          <w:rFonts w:ascii="Calibri" w:eastAsia="Calibri" w:hAnsi="Calibri" w:cs="Times New Roman"/>
          <w:b/>
          <w:lang w:val="fr-FR"/>
        </w:rPr>
      </w:pPr>
      <w:bookmarkStart w:id="24" w:name="_Toc341449189"/>
      <w:r w:rsidRPr="000A5CE6">
        <w:rPr>
          <w:rFonts w:ascii="Calibri" w:eastAsia="Calibri" w:hAnsi="Calibri" w:cs="Times New Roman"/>
          <w:b/>
          <w:lang w:val="fr-FR"/>
        </w:rPr>
        <w:t>Problématique</w:t>
      </w:r>
    </w:p>
    <w:bookmarkEnd w:id="24"/>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Une action urgente est nécessaire pour inverser l’important déclin des populations de nombreuses espèces d’oiseaux terrestres migrateurs de la voie de migration Afrique-Eurasie. Il est également crucial d’améliorer les connaissances sur leur état de conservation. Des actions appropriées sont indispensables, car ces espèces constituent une composante écologique, économique, culturelle et intrinsèque importante de la biodiversité, partagée dans une vaste zone géographique comprenant de nombreux États de l’aire de répartition.</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 xml:space="preserve">Au cours de leur cycle de vie, les oiseaux terrestres migrateurs utilisent de multiples habitats dans une aire géographique qui dépasse largement leur territoire de reproduction, souvent au-delà de nombreuses frontières nationales. Le réseau de sites constitués de divers habitats utilisés par les oiseaux migrateurs est comme une chaîne dont chacun des maillons est extrêmement important. Si l’un d’entre eux est affecté, les effets indésirables peuvent se répercuter sur les autres et avoir un impact sur la population dans son ensemble. </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 xml:space="preserve">Pour certaines espèces, le déclin peut s’expliquer par des changements de la productivité dans les zones de nidification en Europe en raison de la dégradation des habitats, pour d’autres le problème peut se poser sur les sites du nord de la Méditerranée où les oiseaux reconstituent leurs réserves énergétiques au printemps, et pour d’autres encore, le déclin peut être causé par une diminution de la survie en raison des modifications des habitats utilisés en dehors de la période de reproduction en Afrique subsaharienne. En outre, une disponibilité alimentaire réduite dans les zones fréquentées en dehors de la période de reproduction peut avoir des effets conduisant à une baisse de productivité dans les zones de reproduction. Ainsi, il est nécessaire, pour la conservation de ces espèces, de prendre en compte les exigences des espèces sur l’ensemble de la voie de migration. De plus, le changement climatique a un impact sur le succès de reproduction en raison de la désynchronisation entre les oiseaux et leurs proies (comme le montre l’étude de cas portant sur </w:t>
      </w:r>
      <w:r w:rsidRPr="000A5CE6">
        <w:rPr>
          <w:rFonts w:ascii="Calibri" w:eastAsia="Calibri" w:hAnsi="Calibri" w:cs="Times New Roman"/>
          <w:i/>
          <w:lang w:val="fr-FR"/>
        </w:rPr>
        <w:t>Ficedula hypoleuca</w:t>
      </w:r>
      <w:r w:rsidRPr="000A5CE6">
        <w:rPr>
          <w:rFonts w:ascii="Calibri" w:eastAsia="Calibri" w:hAnsi="Calibri" w:cs="Times New Roman"/>
          <w:lang w:val="fr-FR"/>
        </w:rPr>
        <w:t>). Enfin, les conditions favorables rencontrées actuellement par certaines espèces sur leurs zones de reproduction et sur leurs étapes migratoires doivent être suivies en raison des possibles changements futurs.</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lastRenderedPageBreak/>
        <w:t xml:space="preserve">De nombreuses espèces d’oiseaux terrestres migrateurs étant dispersées dans un ensemble de milieux, plutôt qu’inféodées à des sites particuliers, la conservation de la plupart d’entre elles ne peut être garantie à travers une approche basée seulement sur les sites, mais est étroitement dépendante de l’utilisation de l’environnement global par l’homme. </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Le déclin des populations d’oiseaux terrestres migrateurs est principalement causé par les modifications des habitats et les changements des modes d’utilisation des terres liés à la croissance rapide des populations humaines qui cherchent à améliorer leur qualité de vie et leurs moyens de subsistance. Cela conduit à une demande croissante en eau, en nourriture, en terres, en énergie et autres ressources. Ajoutées aux changements environnementaux liés au climat, ces pressions sur l’environnement sont à l’origine de modifications complexes, liées entre elles et affectant les paysages, les habitats, les sites et les populations des espèces qu’ils abritent.</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Le développement humain durable dépend des capacités d’un environnement sain à fournir des services écosystémiques : l’état des populations d’oiseaux fournit un indicateur important à ce sujet et un bon état de conservation des oiseaux est également reconnu comme un objectif de conservation important en tant que tel</w:t>
      </w:r>
      <w:r w:rsidRPr="000A5CE6">
        <w:rPr>
          <w:rFonts w:ascii="Calibri" w:eastAsia="Calibri" w:hAnsi="Calibri" w:cs="Times New Roman"/>
          <w:vertAlign w:val="superscript"/>
          <w:lang w:val="fr-FR"/>
        </w:rPr>
        <w:footnoteReference w:id="4"/>
      </w:r>
      <w:r w:rsidRPr="000A5CE6">
        <w:rPr>
          <w:rFonts w:ascii="Calibri" w:eastAsia="Calibri" w:hAnsi="Calibri" w:cs="Times New Roman"/>
          <w:lang w:val="fr-FR"/>
        </w:rPr>
        <w:t>. Reconnaissant les besoins continus du développement humain, les actions figurant dans ce Plan d’action cherchent à combiner les priorités de développement avec des mesures de conservation ciblées sur les oiseaux terrestres migrateurs, afin d’assurer un développement durable.</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Des politiques intégrées d’utilisation des terres, mises en place à travers les structures gouvernementales et impliquant tous les secteurs concernés, sont essentielles pour réussir à atteindre cet objectif. Cela contribuera au Plan stratégique pour la biodiversité de la Convention sur la diversité biologique (CDB), et en particulier à l’atteinte de l’Objectif 12 d’Aichi</w:t>
      </w:r>
      <w:r w:rsidRPr="000A5CE6">
        <w:rPr>
          <w:rFonts w:ascii="Calibri" w:eastAsia="Calibri" w:hAnsi="Calibri" w:cs="Times New Roman"/>
          <w:vertAlign w:val="superscript"/>
          <w:lang w:val="fr-FR"/>
        </w:rPr>
        <w:footnoteReference w:id="5"/>
      </w:r>
      <w:r w:rsidRPr="000A5CE6">
        <w:rPr>
          <w:rFonts w:ascii="Calibri" w:eastAsia="Calibri" w:hAnsi="Calibri" w:cs="Times New Roman"/>
          <w:lang w:val="fr-FR"/>
        </w:rPr>
        <w:t>.</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25" w:name="_Toc341449190"/>
      <w:r w:rsidRPr="000A5CE6">
        <w:rPr>
          <w:rFonts w:ascii="Calibri" w:eastAsia="Calibri" w:hAnsi="Calibri" w:cs="Times New Roman"/>
          <w:b/>
          <w:lang w:val="fr-FR"/>
        </w:rPr>
        <w:t xml:space="preserve">Mécanisme du Plan d’action </w:t>
      </w:r>
    </w:p>
    <w:bookmarkEnd w:id="25"/>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La 10</w:t>
      </w:r>
      <w:r w:rsidRPr="000A5CE6">
        <w:rPr>
          <w:rFonts w:ascii="Calibri" w:eastAsia="Calibri" w:hAnsi="Calibri" w:cs="Times New Roman"/>
          <w:vertAlign w:val="superscript"/>
          <w:lang w:val="fr-FR"/>
        </w:rPr>
        <w:t>e</w:t>
      </w:r>
      <w:r w:rsidRPr="000A5CE6">
        <w:rPr>
          <w:rFonts w:ascii="Calibri" w:eastAsia="Calibri" w:hAnsi="Calibri" w:cs="Times New Roman"/>
          <w:lang w:val="fr-FR"/>
        </w:rPr>
        <w:t xml:space="preserve"> Conférence des Parties (COP) à la Convention sur la conservation des espèces migratrices appartenant à la faune sauvage (PNUE/CMS) a adopté la résolution 10.27 </w:t>
      </w:r>
      <w:r w:rsidRPr="000A5CE6">
        <w:rPr>
          <w:rFonts w:ascii="Calibri" w:eastAsia="Calibri" w:hAnsi="Calibri" w:cs="Times New Roman"/>
          <w:i/>
          <w:lang w:val="fr-FR"/>
        </w:rPr>
        <w:t xml:space="preserve">Améliorer l’état de </w:t>
      </w:r>
      <w:r w:rsidRPr="000A5CE6">
        <w:rPr>
          <w:rFonts w:ascii="Calibri" w:eastAsia="Calibri" w:hAnsi="Calibri" w:cs="Times New Roman"/>
          <w:i/>
          <w:lang w:val="fr-FR"/>
        </w:rPr>
        <w:lastRenderedPageBreak/>
        <w:t>conservation des oiseaux migrateurs terrestres en Afrique et en Eurasie.</w:t>
      </w:r>
      <w:r w:rsidRPr="000A5CE6">
        <w:rPr>
          <w:rFonts w:ascii="Calibri" w:eastAsia="Calibri" w:hAnsi="Calibri" w:cs="Times New Roman"/>
          <w:lang w:val="fr-FR"/>
        </w:rPr>
        <w:t xml:space="preserve"> Celle-ci prie instamment les Parties d’élaborer un Plan d’action pour la conservation des oiseaux terrestres migrateurs d’Afrique-Eurasie et de leurs habitats sur toute la voie de migration, et appelle à la création d’un groupe de travail pour conduire l’élaboration et l’application de ce Plan. L’élaboration du Plan d’action par le Groupe de travail sur les oiseaux terrestres migrateurs d’Afrique-Eurasie (AEML-WG - African-Eurasian Migratory Landbird Working Group), avec l’appui du Secrétariat PNUE/CMS et de BirdLife International, découle du mandat de la résolution de la CMS, qui demande également la collaboration des États de l’aire de répartition et des autres acteurs concernés.</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Ce Plan complète le travail sur les espèces migratrices de l’Accord sur la conservation des oiseaux d’eau migrateurs d’Afrique-Eurasie (AEWA) et du Mémorandum d’Entente sur la conservation des oiseaux de proie migrateurs d’Afrique et d’Eurasie (MdE Rapaces). Il fournit un cadre pour accroître l’engagement pour la conservation et la protection des oiseaux terrestres migrateurs. Il met principalement l’accent sur le renforcement de la coopération internationale et le développement des capacités au niveau national.</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26" w:name="_Toc341449194"/>
      <w:r w:rsidRPr="000A5CE6">
        <w:rPr>
          <w:rFonts w:ascii="Calibri" w:eastAsia="Calibri" w:hAnsi="Calibri" w:cs="Times New Roman"/>
          <w:b/>
          <w:lang w:val="fr-FR"/>
        </w:rPr>
        <w:t>PORTÉE DU PLAN D’ACTION</w:t>
      </w: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 xml:space="preserve">États de l’aire de répartition </w:t>
      </w:r>
    </w:p>
    <w:bookmarkEnd w:id="26"/>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La portée géographique du Plan d’action est l’aire des systèmes migratoires des oiseaux terrestres migrateurs d’Afrique-Eurasie, ci-après dénommée « aire du Plan d’action ». Cela comprend l’Afrique, l’Europe, le Moyen-Orient, l’Asie centrale, l’Afghanistan et le sous-continent indien. Voir l’annexe 2 pour la carte de la zone du Plan d’action et la liste des États de l’aire de répartition.</w:t>
      </w:r>
    </w:p>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27" w:name="_Toc341449195"/>
      <w:r w:rsidRPr="000A5CE6">
        <w:rPr>
          <w:rFonts w:ascii="Calibri" w:eastAsia="Calibri" w:hAnsi="Calibri" w:cs="Times New Roman"/>
          <w:b/>
          <w:lang w:val="fr-FR"/>
        </w:rPr>
        <w:t>Espèces couvertes par le Plan d’action</w:t>
      </w:r>
    </w:p>
    <w:bookmarkEnd w:id="27"/>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Les espèces visées par le Plan d’action incluent toutes les populations migratrices de Galliformes, Gruiformes, Charadriformes, Columbiformes, Caprimulgiformes, Apodiformes, Cuculiformes, Coraciiformes, Piciformes et Passeriformes qui dépendent principalement au niveau écologique des habitats terrestres, dont l’aire de répartition est située entièrement ou partiellement dans l’aire du Plan d’action, et qui effectuent des déplacements inter et intracontinentaux saisonniers réguliers dans l’aire géographique du Plan d’action. Voir l’annexe 3 pour la liste détaillée des espèces.</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lastRenderedPageBreak/>
        <w:t>Le Plan d’action vise à inclure en particulier les espèces qui ne sont couvertes ni par l’Accord sur la conservation des oiseaux d’eau migrateurs d’Afrique-Eurasie (AEWA), ni par le Plan d’action pour la voie de migration d’Asie centrale (oiseaux d’eau), ni par le MdE Rapaces de la CMS. Toutefois, les espèces d’oiseaux terrestres migrateurs couvertes par ces instruments ou par d’autres instruments sont indiquées en annexe 3 du présent Plan d’action. La CMS définit les oiseaux d’eau (couverts par l’AEWA) comme « les espèces d’oiseaux qui dépendent écologiquement des zones humides pendant au moins une partie de leur cycle annuel » et les oiseaux de proie (couverts par le MdE Rapaces) comme « les populations migratrices de Falconiformes et de Strigiformes ».</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Les espèces d’oiseaux terrestres migrateurs figurant à l’annexe 3 sont classées en trois catégories :</w:t>
      </w:r>
    </w:p>
    <w:p w:rsidR="000A5CE6" w:rsidRPr="000A5CE6" w:rsidRDefault="000A5CE6" w:rsidP="000A5CE6">
      <w:pPr>
        <w:numPr>
          <w:ilvl w:val="0"/>
          <w:numId w:val="46"/>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 xml:space="preserve">Catégorie A : comprend les espèces d’oiseaux terrestres migrateurs considérées par l’UICN comme </w:t>
      </w:r>
      <w:r w:rsidRPr="000A5CE6">
        <w:rPr>
          <w:rFonts w:ascii="Calibri" w:eastAsia="Calibri" w:hAnsi="Calibri" w:cs="Times New Roman"/>
          <w:i/>
          <w:lang w:val="fr-FR"/>
        </w:rPr>
        <w:t>mondialement menacées</w:t>
      </w:r>
      <w:r w:rsidRPr="000A5CE6">
        <w:rPr>
          <w:rFonts w:ascii="Calibri" w:eastAsia="Calibri" w:hAnsi="Calibri" w:cs="Times New Roman"/>
          <w:lang w:val="fr-FR"/>
        </w:rPr>
        <w:t xml:space="preserve"> (</w:t>
      </w:r>
      <w:r w:rsidRPr="000A5CE6">
        <w:rPr>
          <w:rFonts w:ascii="Calibri" w:eastAsia="Calibri" w:hAnsi="Calibri" w:cs="Times New Roman"/>
          <w:i/>
          <w:lang w:val="fr-FR"/>
        </w:rPr>
        <w:t>En danger critique d’extinction</w:t>
      </w:r>
      <w:r w:rsidRPr="000A5CE6">
        <w:rPr>
          <w:rFonts w:ascii="Calibri" w:eastAsia="Calibri" w:hAnsi="Calibri" w:cs="Times New Roman"/>
          <w:lang w:val="fr-FR"/>
        </w:rPr>
        <w:t xml:space="preserve">, </w:t>
      </w:r>
      <w:r w:rsidRPr="000A5CE6">
        <w:rPr>
          <w:rFonts w:ascii="Calibri" w:eastAsia="Calibri" w:hAnsi="Calibri" w:cs="Times New Roman"/>
          <w:i/>
          <w:lang w:val="fr-FR"/>
        </w:rPr>
        <w:t>En danger</w:t>
      </w:r>
      <w:r w:rsidRPr="000A5CE6">
        <w:rPr>
          <w:rFonts w:ascii="Calibri" w:eastAsia="Calibri" w:hAnsi="Calibri" w:cs="Times New Roman"/>
          <w:lang w:val="fr-FR"/>
        </w:rPr>
        <w:t xml:space="preserve"> et </w:t>
      </w:r>
      <w:r w:rsidRPr="000A5CE6">
        <w:rPr>
          <w:rFonts w:ascii="Calibri" w:eastAsia="Calibri" w:hAnsi="Calibri" w:cs="Times New Roman"/>
          <w:i/>
          <w:lang w:val="fr-FR"/>
        </w:rPr>
        <w:t>Vulnérables</w:t>
      </w:r>
      <w:r w:rsidRPr="000A5CE6">
        <w:rPr>
          <w:rFonts w:ascii="Calibri" w:eastAsia="Calibri" w:hAnsi="Calibri" w:cs="Times New Roman"/>
          <w:lang w:val="fr-FR"/>
        </w:rPr>
        <w:t xml:space="preserve">) et </w:t>
      </w:r>
      <w:r w:rsidRPr="000A5CE6">
        <w:rPr>
          <w:rFonts w:ascii="Calibri" w:eastAsia="Calibri" w:hAnsi="Calibri" w:cs="Times New Roman"/>
          <w:i/>
          <w:lang w:val="fr-FR"/>
        </w:rPr>
        <w:t xml:space="preserve">Quasi-menacées, </w:t>
      </w:r>
      <w:r w:rsidRPr="000A5CE6">
        <w:rPr>
          <w:rFonts w:ascii="Calibri" w:eastAsia="Calibri" w:hAnsi="Calibri" w:cs="Times New Roman"/>
          <w:lang w:val="fr-FR"/>
        </w:rPr>
        <w:t>et qui devraient faire l’objet de mesures de protection stricte et d’un plan de restauration à l’échelle de la voie de migration ;</w:t>
      </w:r>
    </w:p>
    <w:p w:rsidR="000A5CE6" w:rsidRPr="000A5CE6" w:rsidRDefault="000A5CE6" w:rsidP="000A5CE6">
      <w:pPr>
        <w:numPr>
          <w:ilvl w:val="0"/>
          <w:numId w:val="46"/>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 xml:space="preserve">Catégorie B : comprend les espèces d’oiseaux terrestres migrateurs classées par l’UICN en </w:t>
      </w:r>
      <w:r w:rsidRPr="000A5CE6">
        <w:rPr>
          <w:rFonts w:ascii="Calibri" w:eastAsia="Calibri" w:hAnsi="Calibri" w:cs="Times New Roman"/>
          <w:i/>
          <w:lang w:val="fr-FR"/>
        </w:rPr>
        <w:t>Préoccupation mineure</w:t>
      </w:r>
      <w:r w:rsidRPr="000A5CE6">
        <w:rPr>
          <w:rFonts w:ascii="Calibri" w:eastAsia="Calibri" w:hAnsi="Calibri" w:cs="Times New Roman"/>
          <w:lang w:val="fr-FR"/>
        </w:rPr>
        <w:t>, mais dont la population mondiale présente une tendance au déclin ;</w:t>
      </w:r>
    </w:p>
    <w:p w:rsidR="000A5CE6" w:rsidRPr="000A5CE6" w:rsidRDefault="000A5CE6" w:rsidP="000A5CE6">
      <w:pPr>
        <w:numPr>
          <w:ilvl w:val="0"/>
          <w:numId w:val="46"/>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Catégorie C : comprend toutes les autres espèces d’oiseaux terrestres migrateurs de l’aire du Plan d’action dont la population mondiale présente une tendance à l’augmentation, à la stabilité ou inconnue.</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28" w:name="_Toc341449196"/>
      <w:r w:rsidRPr="000A5CE6">
        <w:rPr>
          <w:rFonts w:ascii="Calibri" w:eastAsia="Calibri" w:hAnsi="Calibri" w:cs="Times New Roman"/>
          <w:b/>
          <w:lang w:val="fr-FR"/>
        </w:rPr>
        <w:t xml:space="preserve">THÈMES DU PLAN D’ACTION </w:t>
      </w:r>
    </w:p>
    <w:p w:rsidR="000A5CE6" w:rsidRPr="000A5CE6" w:rsidRDefault="000A5CE6" w:rsidP="000A5CE6">
      <w:pPr>
        <w:spacing w:after="120" w:line="360" w:lineRule="auto"/>
        <w:jc w:val="both"/>
        <w:rPr>
          <w:rFonts w:ascii="Calibri" w:eastAsia="Calibri" w:hAnsi="Calibri" w:cs="Times New Roman"/>
          <w:b/>
          <w:lang w:val="fr-FR"/>
        </w:rPr>
      </w:pPr>
      <w:bookmarkStart w:id="29" w:name="_Toc341449198"/>
      <w:bookmarkEnd w:id="28"/>
      <w:r w:rsidRPr="000A5CE6">
        <w:rPr>
          <w:rFonts w:ascii="Calibri" w:eastAsia="Calibri" w:hAnsi="Calibri" w:cs="Times New Roman"/>
          <w:lang w:val="fr-FR"/>
        </w:rPr>
        <w:t>1.0</w:t>
      </w:r>
      <w:r w:rsidRPr="000A5CE6">
        <w:rPr>
          <w:rFonts w:ascii="Calibri" w:eastAsia="Calibri" w:hAnsi="Calibri" w:cs="Times New Roman"/>
          <w:b/>
          <w:lang w:val="fr-FR"/>
        </w:rPr>
        <w:tab/>
        <w:t>CONSERVATION DES HABITATS</w:t>
      </w:r>
    </w:p>
    <w:bookmarkEnd w:id="29"/>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oiseaux terrestres migrent sur un large front, ont une distribution très dispersée à travers les habitats, et utilisent pendant la reproduction et en dehors de cette période des habitats disséminés dans divers paysages ou biomes. Par conséquent, la conservation des sites, habitats et paysages adéquats dépendra de l’adoption de politiques et de pratiques d’utilisation des terres appropriées aux niveaux international, national et local.</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b/>
          <w:lang w:val="fr-FR"/>
        </w:rPr>
      </w:pPr>
      <w:bookmarkStart w:id="30" w:name="_Toc341449199"/>
      <w:r w:rsidRPr="000A5CE6">
        <w:rPr>
          <w:rFonts w:ascii="Calibri" w:eastAsia="Calibri" w:hAnsi="Calibri" w:cs="Times New Roman"/>
          <w:b/>
          <w:lang w:val="fr-FR"/>
        </w:rPr>
        <w:t>Habitats prioritaires</w:t>
      </w:r>
    </w:p>
    <w:bookmarkEnd w:id="30"/>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Dans le cadre du Plan d’action, les habitats prioritaires pour les oiseaux terrestres migrateurs d’Afrique-Eurasie sont les suivants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Zones arides et déserts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lastRenderedPageBreak/>
        <w:t>Prairies et zones arbustives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Forêts et boisements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Roselières et autres milieux naturels bordant les zones humides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Plaines d’inondation des cours d’eau (qui peuvent typiquement inclure des roselières et des prairies humides)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habitats côtiers utilisés comme étapes migratoires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oasis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îles.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lang w:val="fr-FR"/>
        </w:rPr>
        <w:t>1.1</w:t>
      </w:r>
      <w:r w:rsidRPr="000A5CE6">
        <w:rPr>
          <w:rFonts w:ascii="Calibri" w:eastAsia="Calibri" w:hAnsi="Calibri" w:cs="Times New Roman"/>
          <w:lang w:val="fr-FR"/>
        </w:rPr>
        <w:tab/>
      </w:r>
      <w:r w:rsidRPr="000A5CE6">
        <w:rPr>
          <w:rFonts w:ascii="Calibri" w:eastAsia="Calibri" w:hAnsi="Calibri" w:cs="Times New Roman"/>
          <w:b/>
          <w:lang w:val="fr-FR"/>
        </w:rPr>
        <w:t>Changements dans l’utilisation des terres</w:t>
      </w:r>
      <w:r w:rsidRPr="000A5CE6">
        <w:rPr>
          <w:rFonts w:ascii="Calibri" w:eastAsia="Calibri" w:hAnsi="Calibri" w:cs="Times New Roman"/>
          <w:lang w:val="fr-FR"/>
        </w:rPr>
        <w:t xml:space="preserve"> </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Malgré la distribution relativement large et dispersée de la plupart des espèces d’oiseaux terrestres migrateurs, nécessitant généralement une approche plus large de l’espace rural, plusieurs types de sites distincts</w:t>
      </w:r>
      <w:r w:rsidRPr="000A5CE6">
        <w:rPr>
          <w:rFonts w:ascii="Calibri" w:eastAsia="Calibri" w:hAnsi="Calibri" w:cs="Times New Roman"/>
          <w:vertAlign w:val="superscript"/>
          <w:lang w:val="fr-FR"/>
        </w:rPr>
        <w:footnoteReference w:id="6"/>
      </w:r>
      <w:r w:rsidRPr="000A5CE6">
        <w:rPr>
          <w:rFonts w:ascii="Calibri" w:eastAsia="Calibri" w:hAnsi="Calibri" w:cs="Times New Roman"/>
          <w:lang w:val="fr-FR"/>
        </w:rPr>
        <w:t xml:space="preserve"> peuvent être importants pour ces oiseaux et exiger ainsi une conservation ciblée. Ceux-ci incluent notamment des étapes migratoires (p.ex. dans des zones côtières ou des oasis du désert, ainsi que sur des îles), des zones de regroupement en dortoir, des sites de reproduction où les oiseaux nicheurs sont concentrés, des sites sur les routes migratoires où un grand nombre d’individus se rassemblent à certaines saisons, et des zones protégées au milieu de paysages constitués d’habitats inappropriés. La conservation de ces sites sera généralement bénéfique non seulement pour les oiseaux terrestres migrateurs mais aussi pour d’autres éléments de la biodiversité, ainsi que pour les communautés locales riveraines, en raison des services écologiques fiables fournis par ces milieux de manière continue.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La résolution 10.3 de la CMS sur </w:t>
      </w:r>
      <w:r w:rsidRPr="000A5CE6">
        <w:rPr>
          <w:rFonts w:ascii="Calibri" w:eastAsia="Calibri" w:hAnsi="Calibri" w:cs="Times New Roman"/>
          <w:i/>
          <w:lang w:val="fr-FR"/>
        </w:rPr>
        <w:t xml:space="preserve">Le rôle des réseaux écologiques pour la conservation des espèces migratrices </w:t>
      </w:r>
      <w:r w:rsidRPr="000A5CE6">
        <w:rPr>
          <w:rFonts w:ascii="Calibri" w:eastAsia="Calibri" w:hAnsi="Calibri" w:cs="Times New Roman"/>
          <w:lang w:val="fr-FR"/>
        </w:rPr>
        <w:t>appelle les Parties à considérer l’approche en réseau dans la mise en œuvre des instruments et des initiatives de la CMS, et invite les Parties, les États de l’aire de répartition et les autres organisations compétentes à identifier, désigner et maintenir des réseaux écologiques complets et cohérents de sites protégés et d’autres sites gérés de façon appropriée ayant une importance internationale et nationale pour la faune migratrice.</w:t>
      </w:r>
    </w:p>
    <w:p w:rsidR="000A5CE6" w:rsidRDefault="000A5CE6" w:rsidP="000A5CE6">
      <w:pPr>
        <w:spacing w:after="120" w:line="360" w:lineRule="auto"/>
        <w:ind w:left="720"/>
        <w:jc w:val="both"/>
        <w:rPr>
          <w:rFonts w:ascii="Calibri" w:eastAsia="Calibri" w:hAnsi="Calibri" w:cs="Times New Roman"/>
          <w:lang w:val="fr-FR"/>
        </w:rPr>
      </w:pPr>
    </w:p>
    <w:p w:rsidR="00DE2450" w:rsidRPr="000A5CE6" w:rsidRDefault="00DE2450"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firstLine="720"/>
        <w:jc w:val="both"/>
        <w:rPr>
          <w:rFonts w:ascii="Calibri" w:eastAsia="Calibri" w:hAnsi="Calibri" w:cs="Times New Roman"/>
          <w:b/>
          <w:lang w:val="fr-FR"/>
        </w:rPr>
      </w:pPr>
      <w:r w:rsidRPr="000A5CE6">
        <w:rPr>
          <w:rFonts w:ascii="Calibri" w:eastAsia="Calibri" w:hAnsi="Calibri" w:cs="Times New Roman"/>
          <w:b/>
          <w:lang w:val="fr-FR"/>
        </w:rPr>
        <w:lastRenderedPageBreak/>
        <w:t>1.1.1</w:t>
      </w:r>
      <w:r w:rsidRPr="000A5CE6">
        <w:rPr>
          <w:rFonts w:ascii="Calibri" w:eastAsia="Calibri" w:hAnsi="Calibri" w:cs="Times New Roman"/>
          <w:b/>
          <w:lang w:val="fr-FR"/>
        </w:rPr>
        <w:tab/>
        <w:t xml:space="preserve">Agriculture </w:t>
      </w:r>
    </w:p>
    <w:p w:rsidR="000A5CE6" w:rsidRPr="000A5CE6" w:rsidRDefault="000A5CE6" w:rsidP="000A5CE6">
      <w:pPr>
        <w:keepNext/>
        <w:spacing w:after="120" w:line="360" w:lineRule="auto"/>
        <w:ind w:firstLine="720"/>
        <w:jc w:val="both"/>
        <w:outlineLvl w:val="3"/>
        <w:rPr>
          <w:rFonts w:ascii="Calibri" w:eastAsia="Calibri" w:hAnsi="Calibri" w:cs="Times New Roman"/>
          <w:b/>
          <w:bCs/>
          <w:lang w:val="fr-FR"/>
        </w:rPr>
      </w:pPr>
      <w:r w:rsidRPr="000A5CE6">
        <w:rPr>
          <w:rFonts w:ascii="Calibri" w:eastAsia="Calibri" w:hAnsi="Calibri" w:cs="Times New Roman"/>
          <w:b/>
          <w:bCs/>
          <w:lang w:val="fr-FR"/>
        </w:rPr>
        <w:t>1.1.1.1</w:t>
      </w:r>
      <w:r w:rsidRPr="000A5CE6">
        <w:rPr>
          <w:rFonts w:ascii="Calibri" w:eastAsia="Calibri" w:hAnsi="Calibri" w:cs="Times New Roman"/>
          <w:b/>
          <w:bCs/>
          <w:lang w:val="fr-FR"/>
        </w:rPr>
        <w:tab/>
        <w:t>Agriculture intensive</w:t>
      </w:r>
    </w:p>
    <w:p w:rsidR="000A5CE6" w:rsidRPr="000A5CE6" w:rsidRDefault="000A5CE6" w:rsidP="000A5CE6">
      <w:pPr>
        <w:spacing w:after="120" w:line="360" w:lineRule="auto"/>
        <w:ind w:left="720"/>
        <w:jc w:val="both"/>
        <w:rPr>
          <w:rFonts w:ascii="Calibri" w:eastAsia="Calibri" w:hAnsi="Calibri" w:cs="Times New Roman"/>
          <w:lang w:val="fr-FR"/>
        </w:rPr>
      </w:pPr>
      <w:bookmarkStart w:id="31" w:name="_Toc341449203"/>
      <w:r w:rsidRPr="000A5CE6">
        <w:rPr>
          <w:rFonts w:ascii="Calibri" w:eastAsia="Calibri" w:hAnsi="Calibri" w:cs="Times New Roman"/>
          <w:lang w:val="fr-FR"/>
        </w:rPr>
        <w:t>Dans la majeure partie de la région Afrique-Eurasie, les tendances sont à la monoculture ou aux systèmes proches de la monoculture sur de vastes étendues, ces pratiques permettant des économies d’échelle. Typiquement, ces paysages très altérés constituent des environnements pauvres en ressources pour les oiseaux en raison de leur diversité structurelle et biologique limitée.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Des modifications relativement mineures de la structure spatiale et écologique [hétérogénéité] des zones d’agriculture intensive, telles que celles préconisées dans de nombreux programmes agro-environnementaux européens, peuvent nettement accroître leur importance pour les oiseaux. Ces changements peuvent en outre améliorer les services écologiques présentant un intérêt particulier pour les agriculteurs, comme le contrôle des ravageurs, la pollinisation, la stabilisation des sols et le contrôle des eaux de ruissellement.</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La conservation et/ou l’aménagement de ces paysages agricoles doivent être promus à travers les politiques agricoles et le plaidoyer, en intégrant les considérations de la biodiversité et des exigences des oiseaux terrestres migrateurs au maintien des services écosystémiques et aux mesures de lutte contre la pauvreté, la désertification et les effets à long terme du changement climatique, tout en tenant compte des impératifs de sécurité vis-à-vis de l’alimentation, de l’eau et de l’énergie. L’examen des lieux d’implantation de nouvelles zones de développement agricole intensif devrait donc idéalement être traité dans des évaluations environnementales stratégiques nationales ou régionales rassemblant l’ensemble de ces secteurs.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b/>
          <w:lang w:val="fr-FR"/>
        </w:rPr>
        <w:t>1.1.1.2</w:t>
      </w:r>
      <w:r w:rsidRPr="000A5CE6">
        <w:rPr>
          <w:rFonts w:ascii="Calibri" w:eastAsia="Calibri" w:hAnsi="Calibri" w:cs="Times New Roman"/>
          <w:b/>
          <w:lang w:val="fr-FR"/>
        </w:rPr>
        <w:tab/>
        <w:t>Agriculture traditionnelle, y compris le pastoralisme et les systèmes de culture à petite échelle</w:t>
      </w:r>
      <w:r w:rsidRPr="000A5CE6">
        <w:rPr>
          <w:rFonts w:ascii="Calibri" w:eastAsia="Calibri" w:hAnsi="Calibri" w:cs="Times New Roman"/>
          <w:lang w:val="fr-FR"/>
        </w:rPr>
        <w:t xml:space="preserve"> </w:t>
      </w:r>
    </w:p>
    <w:bookmarkEnd w:id="31"/>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pratiques de gestion des terres agricoles à petite échelle et/ou traditionnelles induisent souvent une mosaïque d’habitats plus ou moins transformés par rapport à l’état naturel et qui peuvent constituer des milieux importants pour les oiseaux terrestres migrateurs.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lastRenderedPageBreak/>
        <w:t>La nécessité de garantir la sécurité alimentaire à une population humaine croissante peut conduire à la perte des pratiques de gestion des terres agricoles à petite échelle et traditionnelles en faveur du développement de systèmes agricoles plus intensifs, et, finalement, aboutir à la dégradation des habitats et à l’appauvrissement de la biodiversité. De même, dans des paysages pastoraux, le surpâturage et l’abattage excessif des arbres peut conduire à terme à l’érosion des sols et à la désertification. Cela rend les paysages relativement inhospitaliers pour de nombreux oiseaux terrestres migrateurs et a pour effet d’étendre les barrières écologiques que les oiseaux doivent franchir pour atteindre les habitats riches en ressources naturelles dont ils dépendent.</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politiques qui soutiennent les systèmes d’agriculture à petite échelle et traditionnelle ne sont pas seulement utiles aux oiseaux terrestres migrateurs, mais favoriseront le maintien de nombre de services écosystémiques importants pour les populations humaines. Les politiques de soutien à ces systèmes d’exploitation, mises en œuvre avec la pleine participation des communautés locales, aident à maintenir des paysages importants culturellement. Il existe des opportunités de travailler avec les agences d’aide et de développement à l’application de politiques qui favorisent et appuient les entreprises agricoles durables et à petite échelle.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firstLine="720"/>
        <w:jc w:val="both"/>
        <w:rPr>
          <w:rFonts w:ascii="Calibri" w:eastAsia="Calibri" w:hAnsi="Calibri" w:cs="Times New Roman"/>
          <w:b/>
          <w:lang w:val="fr-FR"/>
        </w:rPr>
      </w:pPr>
      <w:r w:rsidRPr="000A5CE6">
        <w:rPr>
          <w:rFonts w:ascii="Calibri" w:eastAsia="Calibri" w:hAnsi="Calibri" w:cs="Times New Roman"/>
          <w:b/>
          <w:lang w:val="fr-FR"/>
        </w:rPr>
        <w:t>1.1.2</w:t>
      </w:r>
      <w:r w:rsidRPr="000A5CE6">
        <w:rPr>
          <w:rFonts w:ascii="Calibri" w:eastAsia="Calibri" w:hAnsi="Calibri" w:cs="Times New Roman"/>
          <w:b/>
          <w:lang w:val="fr-FR"/>
        </w:rPr>
        <w:tab/>
        <w:t xml:space="preserve">Bois et produits forestiers non ligneux </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La demande mondiale de bois pour les industries manufacturières et pour la construction est considérable. Lorsqu’elle n’est pas sélective ou si les ressources ne sont pas gérées durablement, cela peut avoir des impacts significatifs sur les habitats et les écosystèmes forestiers et boisés ainsi que sur l’hétérogénéité structurelle du paysage. En particulier, les coupes à blanc ou le prélèvement sélectif de produits forestiers ligneux ou non ligneux (p. ex. les noix et les graines, les baies, le feuillage, les plantes médicinales et le bois de chauffage) en forêt naturelle et dans les boisements peut conduire à la perte d’arbres et de plantes indigènes qui fournissent des ressources importantes aux oiseaux terrestres migrateurs.</w:t>
      </w:r>
    </w:p>
    <w:p w:rsidR="000A5CE6" w:rsidRDefault="000A5CE6" w:rsidP="000A5CE6">
      <w:pPr>
        <w:spacing w:after="120" w:line="360" w:lineRule="auto"/>
        <w:ind w:left="720"/>
        <w:jc w:val="both"/>
        <w:rPr>
          <w:rFonts w:ascii="Calibri" w:eastAsia="Calibri" w:hAnsi="Calibri" w:cs="Times New Roman"/>
          <w:lang w:val="fr-FR"/>
        </w:rPr>
      </w:pPr>
    </w:p>
    <w:p w:rsidR="00DE2450" w:rsidRDefault="00DE2450" w:rsidP="000A5CE6">
      <w:pPr>
        <w:spacing w:after="120" w:line="360" w:lineRule="auto"/>
        <w:ind w:left="720"/>
        <w:jc w:val="both"/>
        <w:rPr>
          <w:rFonts w:ascii="Calibri" w:eastAsia="Calibri" w:hAnsi="Calibri" w:cs="Times New Roman"/>
          <w:lang w:val="fr-FR"/>
        </w:rPr>
      </w:pPr>
    </w:p>
    <w:p w:rsidR="00DE2450" w:rsidRPr="000A5CE6" w:rsidRDefault="00DE2450"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firstLine="720"/>
        <w:jc w:val="both"/>
        <w:rPr>
          <w:rFonts w:ascii="Calibri" w:eastAsia="Calibri" w:hAnsi="Calibri" w:cs="Times New Roman"/>
          <w:b/>
          <w:lang w:val="fr-FR"/>
        </w:rPr>
      </w:pPr>
      <w:r w:rsidRPr="000A5CE6">
        <w:rPr>
          <w:rFonts w:ascii="Calibri" w:eastAsia="Calibri" w:hAnsi="Calibri" w:cs="Times New Roman"/>
          <w:b/>
          <w:lang w:val="fr-FR"/>
        </w:rPr>
        <w:lastRenderedPageBreak/>
        <w:t>1.2.3</w:t>
      </w:r>
      <w:r w:rsidRPr="000A5CE6">
        <w:rPr>
          <w:rFonts w:ascii="Calibri" w:eastAsia="Calibri" w:hAnsi="Calibri" w:cs="Times New Roman"/>
          <w:b/>
          <w:lang w:val="fr-FR"/>
        </w:rPr>
        <w:tab/>
        <w:t>Gestion de l’eau</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milieux humides, telles que les franges ripariennes, les roselières, les forêts inondées de façon saisonnière et les prairies inondables, sont importants non seulement pour les oiseaux d’eau, mais également pour les oiseaux terrestres. Les actions en faveur de la conservation et de l’utilisation durable de ces habitats seront bénéfiques pour les espèces qui les utilisent.</w:t>
      </w:r>
    </w:p>
    <w:p w:rsidR="000A5CE6" w:rsidRPr="000A5CE6" w:rsidRDefault="000A5CE6" w:rsidP="000A5CE6">
      <w:pPr>
        <w:spacing w:after="120" w:line="360" w:lineRule="auto"/>
        <w:ind w:left="720"/>
        <w:jc w:val="both"/>
        <w:rPr>
          <w:rFonts w:ascii="Calibri" w:eastAsia="Calibri" w:hAnsi="Calibri" w:cs="Times New Roman"/>
          <w:iCs/>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Les zones humides constituent le plus grand réservoir terrestre de carbone, remplissant ainsi une fonction écologique clé. Leur drainage et leur dégradation les transforment en une source de gaz à effet de serre. La restauration des zones humides dégradées peut réduire ces émissions et potentiellement inverser la tendance. </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La construction de barrages - d’envergure moyenne à grande - sur les cours d’eau peut avoir un effet radical sur les régimes hydrologiques à l’échelle des bassins versants, et potentiellement avoir un impact à plus grande échelle à la fois sur la biodiversité et sur les moyens de subsistance en altérant la dynamique en aval.</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firstLine="720"/>
        <w:jc w:val="both"/>
        <w:rPr>
          <w:rFonts w:ascii="Calibri" w:eastAsia="Calibri" w:hAnsi="Calibri" w:cs="Times New Roman"/>
          <w:b/>
          <w:lang w:val="fr-FR"/>
        </w:rPr>
      </w:pPr>
      <w:r w:rsidRPr="000A5CE6">
        <w:rPr>
          <w:rFonts w:ascii="Calibri" w:eastAsia="Calibri" w:hAnsi="Calibri" w:cs="Times New Roman"/>
          <w:b/>
          <w:lang w:val="fr-FR"/>
        </w:rPr>
        <w:t>1.1.4.</w:t>
      </w:r>
      <w:r w:rsidRPr="000A5CE6">
        <w:rPr>
          <w:rFonts w:ascii="Calibri" w:eastAsia="Calibri" w:hAnsi="Calibri" w:cs="Times New Roman"/>
          <w:b/>
          <w:lang w:val="fr-FR"/>
        </w:rPr>
        <w:tab/>
        <w:t>Énergie</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 développement d’infrastructures pour la production d’énergie, y compris les énergies renouvelables (p. ex. l’énergie solaire, éolienne, hydraulique ou la bioénergie) peut avoir des impacts significatifs sur l’utilisation des terres et sur les habitats importants pour les oiseaux terrestres migrateurs. Il est impératif d’intégrer la planification à un stade précoce et stratégique de haut niveau, les évaluations environnementales stratégiques (EES) et la consultation des parties prenantes afin de veiller à ce que l’impact sur les écosystèmes et la biodiversité, y compris les oiseaux terrestres migrateurs, soit réduit au minimum.</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Les politiques énergétiques doivent notamment veiller à ce que la production de biomasse ne conduise pas à la disparition d’habitats naturels, ni à la surexploitation des forêts ou à l’intensification non durable de l’agriculture. Dans de nombreux pays en développement, une cause majeure de dégradation de l’environnement provient de la demande croissante en bois de chauffage - conduisant à une perte d’arbres dans l’environnement et, à terme, à la déforestation. Les politiques permettant de réduire cette demande, par exemple grâce à la fourniture de fourneaux économes en carburant ou alimentés par des sources d’énergie </w:t>
      </w:r>
      <w:r w:rsidRPr="000A5CE6">
        <w:rPr>
          <w:rFonts w:ascii="Calibri" w:eastAsia="Calibri" w:hAnsi="Calibri" w:cs="Times New Roman"/>
          <w:lang w:val="fr-FR"/>
        </w:rPr>
        <w:lastRenderedPageBreak/>
        <w:t>renouvelable (comme l’énergie éolienne ou l’électricité photovoltaïque produites à petite échelle), ne devraient pas seulement améliorer la qualité de vie des populations, mais aussi être bénéfiques à l’environnement. Le travail mené en collaboration avec les agences de développement sur cette thématique sera très productif.</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L’investissement dans l’énergie solaire est préférable aux barrages hydroélectriques, en particulier dans les milieux arides, car l’eau trouve dans l’agriculture et la nature une meilleure utilisation que dans l’énergie. De même, l’utilisation des terres et de l’eau pour la production de biocombustibles (actuellement en majorité pour le marché européen) est une utilisation abusive de ressources précieuses dans de telles circonstances.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b/>
          <w:lang w:val="fr-FR"/>
        </w:rPr>
        <w:t>1.1.5</w:t>
      </w:r>
      <w:r w:rsidRPr="000A5CE6">
        <w:rPr>
          <w:rFonts w:ascii="Calibri" w:eastAsia="Calibri" w:hAnsi="Calibri" w:cs="Times New Roman"/>
          <w:b/>
          <w:lang w:val="fr-FR"/>
        </w:rPr>
        <w:tab/>
        <w:t>Re-végétalisation (y compris reboisement) et réduction de la désertification et des émissions de carbone dues à la déforestation et à la dégradation</w:t>
      </w:r>
      <w:r w:rsidRPr="000A5CE6">
        <w:rPr>
          <w:rFonts w:ascii="Calibri" w:eastAsia="Calibri" w:hAnsi="Calibri" w:cs="Times New Roman"/>
          <w:lang w:val="fr-FR"/>
        </w:rPr>
        <w:t xml:space="preserve"> </w:t>
      </w:r>
      <w:r w:rsidRPr="000A5CE6">
        <w:rPr>
          <w:rFonts w:ascii="Calibri" w:eastAsia="Calibri" w:hAnsi="Calibri" w:cs="Times New Roman"/>
          <w:b/>
          <w:lang w:val="fr-FR"/>
        </w:rPr>
        <w:t>des habitats</w:t>
      </w:r>
      <w:r w:rsidRPr="000A5CE6">
        <w:rPr>
          <w:rFonts w:ascii="Calibri" w:eastAsia="Calibri" w:hAnsi="Calibri" w:cs="Times New Roman"/>
          <w:lang w:val="fr-FR"/>
        </w:rPr>
        <w:t xml:space="preserve"> </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politiques de séquestration de carbone qui encouragent la plantation d’arbres ou la conservation des boisements peuvent fournir des opportunités bénéfiques pour les oiseaux terrestres migrateurs, en veillant à ce que des essences autochtones ayant une valeur relativement élevée pour les oiseaux terrestres migrateurs soient plantées ou entretenues. Le rôle écologique des différentes espèces d’arbres pour l’avifaune est très variable, et une simple modification des mélanges d’essences plantées peut induire des avantages importants pour les oiseaux.</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firstLine="720"/>
        <w:jc w:val="both"/>
        <w:rPr>
          <w:rFonts w:ascii="Calibri" w:eastAsia="Calibri" w:hAnsi="Calibri" w:cs="Times New Roman"/>
          <w:b/>
          <w:lang w:val="fr-FR"/>
        </w:rPr>
      </w:pPr>
      <w:bookmarkStart w:id="32" w:name="_Toc346486098"/>
      <w:r w:rsidRPr="000A5CE6">
        <w:rPr>
          <w:rFonts w:ascii="Calibri" w:eastAsia="Calibri" w:hAnsi="Calibri" w:cs="Times New Roman"/>
          <w:b/>
          <w:lang w:val="fr-FR"/>
        </w:rPr>
        <w:t>1.1.6</w:t>
      </w:r>
      <w:r w:rsidRPr="000A5CE6">
        <w:rPr>
          <w:rFonts w:ascii="Calibri" w:eastAsia="Calibri" w:hAnsi="Calibri" w:cs="Times New Roman"/>
          <w:b/>
          <w:lang w:val="fr-FR"/>
        </w:rPr>
        <w:tab/>
      </w:r>
      <w:bookmarkEnd w:id="32"/>
      <w:r w:rsidRPr="000A5CE6">
        <w:rPr>
          <w:rFonts w:ascii="Calibri" w:eastAsia="Calibri" w:hAnsi="Calibri" w:cs="Times New Roman"/>
          <w:b/>
          <w:lang w:val="fr-FR"/>
        </w:rPr>
        <w:t>Gestion intégrée de l’utilisation des terres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activités de presque tous les secteurs de l’économie affectent de manière directe ou indirecte la qualité et l’étendue des habitats des oiseaux terrestres migrateurs. Il est nécessaire de sensibiliser à la conservation dans tous les secteurs concernés, et d’inclure les besoins des oiseaux terrestres migrateurs et d’autres éléments de la biodiversité dans les processus de prise de décision. Des politiques écologiquement et socio- économiquement viables et des initiatives de gestion intégrée des terres doivent être développées pour bénéficier à la conservation des espèces d’oiseaux terrestres migrateurs et inverser le déclin de leurs populations.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lastRenderedPageBreak/>
        <w:t>Il est nécessaire de déterminer dans quelle mesure les objectifs des politiques publiques actuelles, notamment en matière de lutte contre la pauvreté, la désertification et le changement climatique, entrent en conflit ou sont complémentaires des objectifs de conservation des oiseaux terrestres migrateurs. Il est également essentiel de déterminer si les modifications des habitats ayant un impact négatif sur les oiseaux sont le résultat de processus que les politiques cherchent à promouvoir (p. ex. l’intensification) ou à stopper (p. ex. la dégradation). Cela permettra de veiller à ce que de précieux services fournis par les écosystèmes ne soient pas perdus, et que le développement soit véritablement durable.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33" w:name="_Toc341449210"/>
      <w:r w:rsidRPr="000A5CE6">
        <w:rPr>
          <w:rFonts w:ascii="Calibri" w:eastAsia="Calibri" w:hAnsi="Calibri" w:cs="Times New Roman"/>
          <w:b/>
          <w:lang w:val="fr-FR"/>
        </w:rPr>
        <w:t>1.2</w:t>
      </w:r>
      <w:r w:rsidRPr="000A5CE6">
        <w:rPr>
          <w:rFonts w:ascii="Calibri" w:eastAsia="Calibri" w:hAnsi="Calibri" w:cs="Times New Roman"/>
          <w:b/>
          <w:lang w:val="fr-FR"/>
        </w:rPr>
        <w:tab/>
        <w:t xml:space="preserve">Sites d’importance nationale ou internationale pour les oiseaux terrestres migrateurs </w:t>
      </w:r>
    </w:p>
    <w:p w:rsidR="000A5CE6" w:rsidRPr="000A5CE6" w:rsidRDefault="000A5CE6" w:rsidP="000A5CE6">
      <w:pPr>
        <w:spacing w:after="120" w:line="360" w:lineRule="auto"/>
        <w:ind w:left="720"/>
        <w:jc w:val="both"/>
        <w:rPr>
          <w:rFonts w:ascii="Calibri" w:eastAsia="Calibri" w:hAnsi="Calibri" w:cs="Times New Roman"/>
          <w:lang w:val="fr-FR"/>
        </w:rPr>
      </w:pPr>
      <w:bookmarkStart w:id="34" w:name="_Toc341449201"/>
      <w:bookmarkStart w:id="35" w:name="_Toc341449200"/>
      <w:r w:rsidRPr="000A5CE6">
        <w:rPr>
          <w:rFonts w:ascii="Calibri" w:eastAsia="Calibri" w:hAnsi="Calibri" w:cs="Times New Roman"/>
          <w:lang w:val="fr-FR"/>
        </w:rPr>
        <w:t>L’identification et la gestion des sites d’importance pour les oiseaux terrestres migrateurs dans la voie de migration d’Afrique-Eurasie facilitent la réussite de la conservation de ces espèces. Un bon réseau de sites permet à l’ensemble de ces espèces de se déplacer sur de longues ou de courtes distances en utilisant différentes stratégies.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Toute action menée sur un site de ce réseau aura un impact sur les populations d’oiseaux terrestres migrateurs qui utilisent ce site, qu’il soit utilisé pendant ou en dehors de la période de reproduction, ou bien en tant qu’étape migratoire. Il est donc essentiel de coordonner l’identification des sites, en particulier des sites critiques pour les oiseaux terrestres migrateurs figurant dans la catégorie A de l’annexe 3. Il est également nécessaire d’assurer la protection et la gestion de l’ensemble du réseau de sites importants pour les oiseaux terrestres migrateurs. La gestion des sites et l’élaboration de leurs plans de gestion devraient être spécifiques et adaptées aux conditions prévalant sur chaque site, tout en étant pertinentes et ouvertes à une approche de gestion à l’échelle des voies de migration.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 partage de l’information est un élément clé dans les réseaux de sites. L’outil du Réseau de sites critiques (CSN - Critical Site Network)</w:t>
      </w:r>
      <w:r w:rsidRPr="000A5CE6">
        <w:rPr>
          <w:rFonts w:ascii="Calibri" w:eastAsia="Calibri" w:hAnsi="Calibri" w:cs="Times New Roman"/>
          <w:color w:val="000000"/>
          <w:vertAlign w:val="superscript"/>
          <w:lang w:val="fr-FR"/>
        </w:rPr>
        <w:t xml:space="preserve"> </w:t>
      </w:r>
      <w:r w:rsidRPr="000A5CE6">
        <w:rPr>
          <w:rFonts w:ascii="Calibri" w:eastAsia="Calibri" w:hAnsi="Calibri" w:cs="Times New Roman"/>
          <w:color w:val="000000"/>
          <w:vertAlign w:val="superscript"/>
          <w:lang w:val="en-GB"/>
        </w:rPr>
        <w:footnoteReference w:id="7"/>
      </w:r>
      <w:r w:rsidRPr="000A5CE6">
        <w:rPr>
          <w:rFonts w:ascii="Calibri" w:eastAsia="Calibri" w:hAnsi="Calibri" w:cs="Calibri"/>
          <w:color w:val="000000"/>
          <w:lang w:val="fr-FR"/>
        </w:rPr>
        <w:t xml:space="preserve"> </w:t>
      </w:r>
      <w:r w:rsidRPr="000A5CE6">
        <w:rPr>
          <w:rFonts w:ascii="Calibri" w:eastAsia="Calibri" w:hAnsi="Calibri" w:cs="Times New Roman"/>
          <w:lang w:val="fr-FR"/>
        </w:rPr>
        <w:t xml:space="preserve"> développé par Wetlands International en est un bon exemple. Il facilite l’obtention d’informations sur les sites critiques pour les espèces d’oiseaux d’eau en permettant d’accéder à plusieurs bases de données indépendantes et d’analyser l’information au niveau de la population biogéographique, fournissant ainsi une base complète pour la gestion et la prise de décision. Un tel outil de partage de l’information </w:t>
      </w:r>
      <w:r w:rsidRPr="000A5CE6">
        <w:rPr>
          <w:rFonts w:ascii="Calibri" w:eastAsia="Calibri" w:hAnsi="Calibri" w:cs="Times New Roman"/>
          <w:lang w:val="fr-FR"/>
        </w:rPr>
        <w:lastRenderedPageBreak/>
        <w:t>est nécessaire pour la mise en réseau des sites importants pour les oiseaux terrestres migrateurs.</w:t>
      </w:r>
    </w:p>
    <w:bookmarkEnd w:id="34"/>
    <w:bookmarkEnd w:id="35"/>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1.3</w:t>
      </w:r>
      <w:r w:rsidRPr="000A5CE6">
        <w:rPr>
          <w:rFonts w:ascii="Calibri" w:eastAsia="Calibri" w:hAnsi="Calibri" w:cs="Times New Roman"/>
          <w:b/>
          <w:lang w:val="fr-FR"/>
        </w:rPr>
        <w:tab/>
      </w:r>
      <w:bookmarkEnd w:id="33"/>
      <w:r w:rsidRPr="000A5CE6">
        <w:rPr>
          <w:rFonts w:ascii="Calibri" w:eastAsia="Calibri" w:hAnsi="Calibri" w:cs="Times New Roman"/>
          <w:b/>
          <w:lang w:val="fr-FR"/>
        </w:rPr>
        <w:t>Changement climatique</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La manière dont le changement climatique influencera les espèces migratrices est encore incertaine. Les modèles de changement climatique prévoient des variations régionales considérables dans la nature et dans l’ampleur des changements, ce qui pourra affecter les différentes espèces migratrices de diverses façons. Les oiseaux terrestres migrateurs peuvent être affectés par des modifications des habitats touchant les zones de reproduction, les étapes migratoires et les zones utilisées en dehors de reproduction ; par des changements de la phénologie de la végétation et des sources de nourriture ; par l’expansion potentielle d’obstacles tels que les déserts ; et par l’évolution des systèmes météorologiques qui perturbent les déplacements migratoires.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Comme les effets exacts du changement climatique restent difficiles à prévoir, tout en étant susceptibles d’exercer une pression encore plus forte sur l’équilibre complexe de l’écologie des oiseaux migrateurs, il est important (a) de renforcer la résilience des populations d’oiseaux terrestres migrateurs en réduisant le plus possible les autres facteurs de stress, et (b) d’élargir le champ de l’adaptation future au changement climatique en protégeant des réseaux de sites clés et en étendant les zones dont la gestion durable crée des conditions favorables pour les espèces d’oiseaux terrestres migrateurs.</w:t>
      </w:r>
    </w:p>
    <w:p w:rsidR="000A5CE6" w:rsidRPr="000A5CE6" w:rsidRDefault="000A5CE6" w:rsidP="000A5CE6">
      <w:pPr>
        <w:spacing w:after="120" w:line="360" w:lineRule="auto"/>
        <w:jc w:val="both"/>
        <w:rPr>
          <w:rFonts w:ascii="Calibri" w:eastAsia="Calibri" w:hAnsi="Calibri" w:cs="Times New Roman"/>
          <w:lang w:val="fr-FR"/>
        </w:rPr>
      </w:pPr>
      <w:bookmarkStart w:id="36" w:name="_Toc341449211"/>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2.0</w:t>
      </w:r>
      <w:r w:rsidRPr="000A5CE6">
        <w:rPr>
          <w:rFonts w:ascii="Calibri" w:eastAsia="Calibri" w:hAnsi="Calibri" w:cs="Times New Roman"/>
          <w:b/>
          <w:lang w:val="fr-FR"/>
        </w:rPr>
        <w:tab/>
      </w:r>
      <w:bookmarkEnd w:id="36"/>
      <w:r w:rsidRPr="000A5CE6">
        <w:rPr>
          <w:rFonts w:ascii="Calibri" w:eastAsia="Calibri" w:hAnsi="Calibri" w:cs="Times New Roman"/>
          <w:b/>
          <w:lang w:val="fr-FR"/>
        </w:rPr>
        <w:t>PRÉLÈVEMENT ET COMMERCE</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populations d’oiseaux terrestres migrateurs sont touchées par diverses formes de prélèvements, légaux ou illégaux. Les motivations des prélèvements comprennent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Le loisir, en tant que qu’activité sportive pratiquée pour la nourriture, les trophées ou le tir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La consommation, pour la nourriture ou l’utilisation locale, y compris pour la subsistance personnelle et les usages coutumiers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La collecte d’oiseaux vivants pour le commerce ou l’utilisation en tant qu’appelants ;</w:t>
      </w:r>
    </w:p>
    <w:p w:rsidR="000A5CE6" w:rsidRPr="000A5CE6" w:rsidRDefault="000A5CE6" w:rsidP="000A5CE6">
      <w:pPr>
        <w:numPr>
          <w:ilvl w:val="0"/>
          <w:numId w:val="44"/>
        </w:numPr>
        <w:spacing w:after="120" w:line="360" w:lineRule="auto"/>
        <w:contextualSpacing/>
        <w:jc w:val="both"/>
        <w:rPr>
          <w:rFonts w:ascii="Calibri" w:eastAsia="Calibri" w:hAnsi="Calibri" w:cs="Times New Roman"/>
          <w:lang w:val="fr-FR"/>
        </w:rPr>
      </w:pPr>
      <w:r w:rsidRPr="000A5CE6">
        <w:rPr>
          <w:rFonts w:ascii="Calibri" w:eastAsia="Calibri" w:hAnsi="Calibri" w:cs="Times New Roman"/>
          <w:lang w:val="fr-FR"/>
        </w:rPr>
        <w:t>Le contrôle des espèces dont la présence entre en conflit avec des intérêts humains spécifiques.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lastRenderedPageBreak/>
        <w:t xml:space="preserve">Le commerce des oiseaux pour la nourriture, pour l’élevage en cage, pour les trophées ou pour des pratiques traditionnelles, peut motiver des prélèvements, et, en tant que tel, être entrepris légalement ou illégalement, et induire ainsi un prélèvement légal ou illégal. Il peut être pratiqué au niveau national ou international. </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Les moyens de prélèvement des oiseaux terrestres migrateurs comprennent le tir, le piégeage, l’empoisonnement, les explosifs, la fauconnerie et la collecte des œufs. Le piégeage et l’empoisonnement, ainsi que divers moyens de leurrer les oiseaux, ont tendance à être illicites car ils ne sont pas sélectifs. </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 prélèvement non réglementé des oiseaux terrestres migrateurs ainsi que le commerce qui en découle représentent des problèmes dans toute l’Afrique-Eurasie, indépendamment de la diversité des motivations sur chaque continent. On manque d’informations sur les niveaux et les effets des prélèvements d’oiseaux terrestres migrateurs dans la région, notamment en Afrique et en Asie centrale.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Comme pour les besoins de subsistance ou de survie, les motivations des prélèvements comprennent également le bénéfice financier direct ou indirect, au profit d’individus ou de groupes organisés. Ces activités se poursuivent en raison de l’absence ou d’une application insuffisante des dispositions relatives à la protection et à la chasse dans la législation concernant la conservation.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2.1</w:t>
      </w:r>
      <w:r w:rsidRPr="000A5CE6">
        <w:rPr>
          <w:rFonts w:ascii="Calibri" w:eastAsia="Calibri" w:hAnsi="Calibri" w:cs="Times New Roman"/>
          <w:b/>
          <w:lang w:val="fr-FR"/>
        </w:rPr>
        <w:tab/>
        <w:t>Règlementation des prélèvements autorisés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 prélèvement d’oiseaux terrestres migrateurs appartenant à des espèces gibiers peut être durable s’il est bien réglementé et suivi. Toutefois, lorsqu’il apparaît que la population d’une espèce est en déclin, le prélèvement peut être l’une des causes du déclin ou peut empêcher le rétablissement de la population. Il est particulièrement important d’éviter la chasse pendant les périodes de migration vers les zones de reproduction et pendant la saison de reproduction, car elle peut alors avoir un impact significativement plus important sur la population.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r w:rsidRPr="000A5CE6">
        <w:rPr>
          <w:rFonts w:ascii="Calibri" w:eastAsia="Calibri" w:hAnsi="Calibri" w:cs="Times New Roman"/>
          <w:b/>
          <w:lang w:val="fr-FR"/>
        </w:rPr>
        <w:lastRenderedPageBreak/>
        <w:t>2.2</w:t>
      </w:r>
      <w:r w:rsidRPr="000A5CE6">
        <w:rPr>
          <w:rFonts w:ascii="Calibri" w:eastAsia="Calibri" w:hAnsi="Calibri" w:cs="Times New Roman"/>
          <w:lang w:val="fr-FR"/>
        </w:rPr>
        <w:tab/>
      </w:r>
      <w:r w:rsidRPr="000A5CE6">
        <w:rPr>
          <w:rFonts w:ascii="Calibri" w:eastAsia="Calibri" w:hAnsi="Calibri" w:cs="Times New Roman"/>
          <w:b/>
          <w:lang w:val="fr-FR"/>
        </w:rPr>
        <w:t>Prélèvements illicites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motivations des prélèvements illicites incluent les profits financiers directs ou indirects de personnes ou de groupes du crime organisé, générant des bénéfices illégaux (non taxés) sans liens avec des besoins élémentaires de survie. Ces activités illégales se poursuivent en raison de l’application inadéquate des dispositions relatives à la protection et à la chasse dans la législation sur la conservation.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bookmarkStart w:id="37" w:name="_Toc341449212"/>
      <w:r w:rsidRPr="000A5CE6">
        <w:rPr>
          <w:rFonts w:ascii="Calibri" w:eastAsia="Calibri" w:hAnsi="Calibri" w:cs="Times New Roman"/>
          <w:b/>
          <w:lang w:val="fr-FR"/>
        </w:rPr>
        <w:t>2.3</w:t>
      </w:r>
      <w:r w:rsidRPr="000A5CE6">
        <w:rPr>
          <w:rFonts w:ascii="Calibri" w:eastAsia="Calibri" w:hAnsi="Calibri" w:cs="Times New Roman"/>
          <w:lang w:val="fr-FR"/>
        </w:rPr>
        <w:tab/>
      </w:r>
      <w:bookmarkEnd w:id="37"/>
      <w:r w:rsidRPr="000A5CE6">
        <w:rPr>
          <w:rFonts w:ascii="Calibri" w:eastAsia="Calibri" w:hAnsi="Calibri" w:cs="Times New Roman"/>
          <w:b/>
          <w:lang w:val="fr-FR"/>
        </w:rPr>
        <w:t>Dérangement par les activités humaines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 dérangement par la chasse et par d’autres activités humaines des sites d’étapes migratoires et des zones de rassemblement utilisées par les oiseaux terrestres migrateurs peut induire une perte fonctionnelle de l’habitat car il limite l’utilisation écologique de ces zones. Bien qu’elle ne soit pas permanente, la perte fonctionnelle de l’habitat peut représenter un problème important pour les oiseaux terrestres migrateurs - lorsque ces espèces dépendent de cet habitat pendant de courtes périodes, souvent pour reconstituer leurs réserves énergétiques, au cours de leur migration.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lang w:val="fr-FR"/>
        </w:rPr>
      </w:pPr>
      <w:bookmarkStart w:id="38" w:name="_Toc341449213"/>
      <w:r w:rsidRPr="000A5CE6">
        <w:rPr>
          <w:rFonts w:ascii="Calibri" w:eastAsia="Calibri" w:hAnsi="Calibri" w:cs="Times New Roman"/>
          <w:b/>
          <w:lang w:val="fr-FR"/>
        </w:rPr>
        <w:t>2.4</w:t>
      </w:r>
      <w:r w:rsidRPr="000A5CE6">
        <w:rPr>
          <w:rFonts w:ascii="Calibri" w:eastAsia="Calibri" w:hAnsi="Calibri" w:cs="Times New Roman"/>
          <w:lang w:val="fr-FR"/>
        </w:rPr>
        <w:tab/>
      </w:r>
      <w:bookmarkEnd w:id="38"/>
      <w:r w:rsidRPr="000A5CE6">
        <w:rPr>
          <w:rFonts w:ascii="Calibri" w:eastAsia="Calibri" w:hAnsi="Calibri" w:cs="Times New Roman"/>
          <w:b/>
          <w:lang w:val="fr-FR"/>
        </w:rPr>
        <w:t>Conflit entre les oiseaux terrestres migrateurs et les activités humaines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 contrôle ou l’abattage des oiseaux perçus comme étant en conflit avec certains intérêts humains - par exemple lorsqu’ils causent de dommages dans les cultures - peuvent avoir lieu soit légalement soit illégalement. Ces activités peuvent être considérées comme non durables au niveau de la population s’il apparaît que l’espèce est en déclin, ou si des autorisations de prélèvements trop importants sont délivrées.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39" w:name="_Toc341449214"/>
      <w:r w:rsidRPr="000A5CE6">
        <w:rPr>
          <w:rFonts w:ascii="Calibri" w:eastAsia="Calibri" w:hAnsi="Calibri" w:cs="Times New Roman"/>
          <w:b/>
          <w:lang w:val="fr-FR"/>
        </w:rPr>
        <w:t>2.5</w:t>
      </w:r>
      <w:r w:rsidRPr="000A5CE6">
        <w:rPr>
          <w:rFonts w:ascii="Calibri" w:eastAsia="Calibri" w:hAnsi="Calibri" w:cs="Times New Roman"/>
          <w:b/>
          <w:lang w:val="fr-FR"/>
        </w:rPr>
        <w:tab/>
      </w:r>
      <w:bookmarkEnd w:id="39"/>
      <w:r w:rsidRPr="000A5CE6">
        <w:rPr>
          <w:rFonts w:ascii="Calibri" w:eastAsia="Calibri" w:hAnsi="Calibri" w:cs="Times New Roman"/>
          <w:b/>
          <w:lang w:val="fr-FR"/>
        </w:rPr>
        <w:t>Empoisonnement</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Les oiseaux terrestres migrateurs souffrent de mortalité par empoisonnement, lorsqu’ils sont délibérément pris pour cible comme victimes désignées de l’empoisonnement, ou lorsqu’ils sont victimes de manière accidentelle (indirecte) de l’utilisation légale ou illégale de poisons. Il existe cinq domaines présentant des risques d’empoisonnement important pour les oiseaux terrestres migrateurs : la protection des cultures par des insecticides et des rodonticides, le contrôle des prédateurs du bétail et des biens à l’aide d’appâts empoisonnés, l’usage de produits pharmaceutiques vétérinaires destinés aux ongulés </w:t>
      </w:r>
      <w:r w:rsidRPr="000A5CE6">
        <w:rPr>
          <w:rFonts w:ascii="Calibri" w:eastAsia="Calibri" w:hAnsi="Calibri" w:cs="Times New Roman"/>
          <w:lang w:val="fr-FR"/>
        </w:rPr>
        <w:lastRenderedPageBreak/>
        <w:t>domestiques, ainsi que l’utilisation de plomb pour la chasse et la pêche. Ces cinq domaines prioritaires sont classés dans deux secteurs clés : l’agriculture et de la chasse/pêche.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Les effets sublétaux de l’empoisonnement peuvent également inclure des impacts sur la survie et la productivité, par exemple lorsque des substances organochlorées provoquent un amincissement de la coquille des œufs, et ce même lorsque ces produits chimiques sont ingérés en dehors des zones de reproduction. Ces effets physiologiques sublétaux sont potentiellement importants, mais restent encore mal compris. La résolution 10.26 de la CMS </w:t>
      </w:r>
      <w:r w:rsidRPr="000A5CE6">
        <w:rPr>
          <w:rFonts w:ascii="Calibri" w:eastAsia="Calibri" w:hAnsi="Calibri" w:cs="Times New Roman"/>
          <w:i/>
          <w:lang w:val="fr-FR"/>
        </w:rPr>
        <w:t>Réduire les risques d’empoisonnement des oiseaux migrateurs</w:t>
      </w:r>
      <w:r w:rsidRPr="000A5CE6">
        <w:rPr>
          <w:rFonts w:ascii="Calibri" w:eastAsia="Calibri" w:hAnsi="Calibri" w:cs="Times New Roman"/>
          <w:lang w:val="fr-FR"/>
        </w:rPr>
        <w:t xml:space="preserve"> a appelé à la création d’un groupe de travail afin de procéder à une évaluation de l’étendue et de la gravité de l’empoisonnement des oiseaux migrateurs et de l’importance des lacunes dans les connaissances, afin d’élaborer des lignes directrices pour la lutte contre l’empoisonnement. Ce groupe de travail fonctionne au titre du Conseil scientifique et s’intitule </w:t>
      </w:r>
      <w:r w:rsidRPr="000A5CE6">
        <w:rPr>
          <w:rFonts w:ascii="Calibri" w:eastAsia="Calibri" w:hAnsi="Calibri" w:cs="Times New Roman"/>
          <w:i/>
          <w:lang w:val="fr-FR"/>
        </w:rPr>
        <w:t xml:space="preserve">Groupe de travail pour une réduction au minimum de l’empoisonnement </w:t>
      </w:r>
      <w:r w:rsidRPr="000A5CE6">
        <w:rPr>
          <w:rFonts w:ascii="Calibri" w:eastAsia="Calibri" w:hAnsi="Calibri" w:cs="Times New Roman"/>
          <w:lang w:val="fr-FR"/>
        </w:rPr>
        <w:t>(Minimising Poisoning Working Group).</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3.0</w:t>
      </w:r>
      <w:r w:rsidRPr="000A5CE6">
        <w:rPr>
          <w:rFonts w:ascii="Calibri" w:eastAsia="Calibri" w:hAnsi="Calibri" w:cs="Times New Roman"/>
          <w:b/>
          <w:lang w:val="fr-FR"/>
        </w:rPr>
        <w:tab/>
        <w:t>AUTRES PROBLEMES</w:t>
      </w: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3.1</w:t>
      </w:r>
      <w:r w:rsidRPr="000A5CE6">
        <w:rPr>
          <w:rFonts w:ascii="Calibri" w:eastAsia="Calibri" w:hAnsi="Calibri" w:cs="Times New Roman"/>
          <w:b/>
          <w:lang w:val="fr-FR"/>
        </w:rPr>
        <w:tab/>
        <w:t>Maladies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oiseaux terrestres migrateurs peuvent être confrontés à des maladies qui induisent une mortalité additionnelle et une réduction de leur productivité. L’identification et la compréhension de la connectivité migratoire contribuera à une meilleure appréciation du rôle potentiel futur des maladies en tant que facteur limitant des populations de ces espèces.</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3.2</w:t>
      </w:r>
      <w:r w:rsidRPr="000A5CE6">
        <w:rPr>
          <w:rFonts w:ascii="Calibri" w:eastAsia="Calibri" w:hAnsi="Calibri" w:cs="Times New Roman"/>
          <w:b/>
          <w:lang w:val="fr-FR"/>
        </w:rPr>
        <w:tab/>
        <w:t>Collisions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Les oiseaux terrestres migrateurs sont sujet à des collisions mortelles avec des structures (telles que les baies vitrées, les phares, les tours, les torchères, les mâts) notamment lorsqu’elles sont illuminées, et quand la visibilité est mauvaise. De plus, les oiseaux terrestres migrateurs peuvent être affectés par des collisions avec les lignes électriques et les éoliennes.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 xml:space="preserve">À l’échelle locale, la mortalité due aux collisions avec les lignes électriques peut être un facteur important entraînant un déclin des populations de certaines espèces d’oiseaux </w:t>
      </w:r>
      <w:r w:rsidRPr="000A5CE6">
        <w:rPr>
          <w:rFonts w:ascii="Calibri" w:eastAsia="Calibri" w:hAnsi="Calibri" w:cs="Times New Roman"/>
          <w:lang w:val="fr-FR"/>
        </w:rPr>
        <w:lastRenderedPageBreak/>
        <w:t>terrestres migrateurs. Les espèces vulnérables à cette menace ont tendance à être des espèces longévives ayant un faible taux de reproduction, une distribution géographique limitée (même si elles migrent) et de faibles effectifs, telles que les outardes.</w:t>
      </w:r>
    </w:p>
    <w:p w:rsidR="000A5CE6" w:rsidRPr="000A5CE6" w:rsidRDefault="000A5CE6" w:rsidP="000A5CE6">
      <w:pPr>
        <w:spacing w:after="120" w:line="360" w:lineRule="auto"/>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4.0</w:t>
      </w:r>
      <w:r w:rsidRPr="000A5CE6">
        <w:rPr>
          <w:rFonts w:ascii="Calibri" w:eastAsia="Calibri" w:hAnsi="Calibri" w:cs="Times New Roman"/>
          <w:b/>
          <w:lang w:val="fr-FR"/>
        </w:rPr>
        <w:tab/>
        <w:t>RECHERCHE ET SUIVI</w:t>
      </w:r>
    </w:p>
    <w:p w:rsidR="000A5CE6" w:rsidRPr="000A5CE6" w:rsidRDefault="000A5CE6" w:rsidP="000A5CE6">
      <w:pPr>
        <w:spacing w:after="120" w:line="360" w:lineRule="auto"/>
        <w:jc w:val="both"/>
        <w:rPr>
          <w:rFonts w:ascii="Calibri" w:eastAsia="Calibri" w:hAnsi="Calibri" w:cs="Times New Roman"/>
          <w:b/>
          <w:lang w:val="fr-FR"/>
        </w:rPr>
      </w:pPr>
      <w:bookmarkStart w:id="40" w:name="_Toc341449217"/>
      <w:bookmarkStart w:id="41" w:name="_Toc341449216"/>
      <w:r w:rsidRPr="000A5CE6">
        <w:rPr>
          <w:rFonts w:ascii="Calibri" w:eastAsia="Calibri" w:hAnsi="Calibri" w:cs="Times New Roman"/>
          <w:b/>
          <w:lang w:val="fr-FR"/>
        </w:rPr>
        <w:t>4.1</w:t>
      </w:r>
      <w:r w:rsidRPr="000A5CE6">
        <w:rPr>
          <w:rFonts w:ascii="Calibri" w:eastAsia="Calibri" w:hAnsi="Calibri" w:cs="Times New Roman"/>
          <w:b/>
          <w:lang w:val="fr-FR"/>
        </w:rPr>
        <w:tab/>
      </w:r>
      <w:bookmarkEnd w:id="40"/>
      <w:r w:rsidRPr="000A5CE6">
        <w:rPr>
          <w:rFonts w:ascii="Calibri" w:eastAsia="Calibri" w:hAnsi="Calibri" w:cs="Times New Roman"/>
          <w:b/>
          <w:lang w:val="fr-FR"/>
        </w:rPr>
        <w:t>Comprendre les schémas de migration et la connectivité le long des voies de migration</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Pour que les populations soient efficacement conservées, il est important de connaître leur répartition tout au long de leur cycle annuel, ainsi que les principaux sites ou zones nécessaires à la réussite de leur migration.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42" w:name="_Toc341449218"/>
      <w:r w:rsidRPr="000A5CE6">
        <w:rPr>
          <w:rFonts w:ascii="Calibri" w:eastAsia="Calibri" w:hAnsi="Calibri" w:cs="Times New Roman"/>
          <w:b/>
          <w:lang w:val="fr-FR"/>
        </w:rPr>
        <w:t>4.2</w:t>
      </w:r>
      <w:r w:rsidRPr="000A5CE6">
        <w:rPr>
          <w:rFonts w:ascii="Calibri" w:eastAsia="Calibri" w:hAnsi="Calibri" w:cs="Times New Roman"/>
          <w:b/>
          <w:lang w:val="fr-FR"/>
        </w:rPr>
        <w:tab/>
      </w:r>
      <w:bookmarkEnd w:id="42"/>
      <w:r w:rsidRPr="000A5CE6">
        <w:rPr>
          <w:rFonts w:ascii="Calibri" w:eastAsia="Calibri" w:hAnsi="Calibri" w:cs="Times New Roman"/>
          <w:b/>
          <w:lang w:val="fr-FR"/>
        </w:rPr>
        <w:t>Suivi des tendances des populations</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Il est urgent de développer et de mettre en œuvre de nouveaux systèmes de suivis nationaux afin de fournir des données et des indices de population concernant les oiseaux terrestres migrateurs présents au Moyen-Orient, en Asie centrale, sur le sous-continent indien et en Afrique. Pour comprendre les priorités de conservation et les réactions des populations aux pressions et aux mesures de conservation, il est indispensable de suivre l’évolution des populations, et si possible de suivre également les modifications de l’habitat. Pour chaque espèce, il peut être nécessaire de convenir du stade du cycle de vie le plus pertinent pour le suivi, qui correspondra souvent à la saison de reproduction.</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bookmarkStart w:id="43" w:name="_Toc341449219"/>
      <w:r w:rsidRPr="000A5CE6">
        <w:rPr>
          <w:rFonts w:ascii="Calibri" w:eastAsia="Calibri" w:hAnsi="Calibri" w:cs="Times New Roman"/>
          <w:b/>
          <w:lang w:val="fr-FR"/>
        </w:rPr>
        <w:t>4.3</w:t>
      </w:r>
      <w:r w:rsidRPr="000A5CE6">
        <w:rPr>
          <w:rFonts w:ascii="Calibri" w:eastAsia="Calibri" w:hAnsi="Calibri" w:cs="Times New Roman"/>
          <w:b/>
          <w:lang w:val="fr-FR"/>
        </w:rPr>
        <w:tab/>
      </w:r>
      <w:bookmarkEnd w:id="43"/>
      <w:r w:rsidRPr="000A5CE6">
        <w:rPr>
          <w:rFonts w:ascii="Calibri" w:eastAsia="Calibri" w:hAnsi="Calibri" w:cs="Times New Roman"/>
          <w:b/>
          <w:lang w:val="fr-FR"/>
        </w:rPr>
        <w:t xml:space="preserve">Comprendre les causes de l’évolution des populations d’oiseaux terrestres migrateurs </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Pour concentrer l’action de conservation de manière efficace et efficiente, il est nécessaire de diagnostiquer avec précision les facteurs pouvant conduire au déclin de la population, leurs impacts relatifs à différents stades du cycle annuel, ainsi que les interactions et les répercutions pouvant avoir lieu. Il est nécessaire de comprendre les mécanismes démographiques qui sous-tendent les changements des populations, p. ex. si le déclin a pour origine les conditions rencontrées sur les zones de reproduction, les étapes migratoires ou les zones utilisées en dehors de la période de reproduction. Cette information est essentielle à l’élaboration des prescriptions relatives aux habitats qui guideront les interventions de conservation sur les sites des voies de migration.</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lastRenderedPageBreak/>
        <w:t>En outre, les liens entre les facteurs écologiques limitants (p. ex. des ressources alimentaires insuffisantes pour la reconstitution des réserves en raison de la dégradation de l’habitat) et les facteurs socio-économiques (p. ex. l’intensification de l’agriculture), ainsi que les facteurs de changement (p. ex. politiques agricoles, marchés, subventions) doivent être mieux compris, afin de développer des interventions efficaces qui permettent de restaurer les populations d’oiseaux.</w:t>
      </w:r>
    </w:p>
    <w:p w:rsidR="000A5CE6" w:rsidRPr="000A5CE6" w:rsidRDefault="000A5CE6" w:rsidP="000A5CE6">
      <w:pPr>
        <w:spacing w:after="120" w:line="360" w:lineRule="auto"/>
        <w:ind w:left="720" w:hanging="720"/>
        <w:jc w:val="both"/>
        <w:rPr>
          <w:rFonts w:ascii="Calibri" w:eastAsia="Calibri" w:hAnsi="Calibri" w:cs="Times New Roman"/>
          <w:lang w:val="fr-FR"/>
        </w:rPr>
      </w:pPr>
    </w:p>
    <w:p w:rsidR="000A5CE6" w:rsidRPr="000A5CE6" w:rsidRDefault="000A5CE6" w:rsidP="000A5CE6">
      <w:pPr>
        <w:spacing w:after="120" w:line="360" w:lineRule="auto"/>
        <w:jc w:val="both"/>
        <w:rPr>
          <w:rFonts w:ascii="Calibri" w:eastAsia="Calibri" w:hAnsi="Calibri" w:cs="Times New Roman"/>
          <w:b/>
          <w:lang w:val="fr-FR"/>
        </w:rPr>
      </w:pPr>
      <w:r w:rsidRPr="000A5CE6">
        <w:rPr>
          <w:rFonts w:ascii="Calibri" w:eastAsia="Calibri" w:hAnsi="Calibri" w:cs="Times New Roman"/>
          <w:b/>
          <w:lang w:val="fr-FR"/>
        </w:rPr>
        <w:t>4.4</w:t>
      </w:r>
      <w:r w:rsidRPr="000A5CE6">
        <w:rPr>
          <w:rFonts w:ascii="Calibri" w:eastAsia="Calibri" w:hAnsi="Calibri" w:cs="Times New Roman"/>
          <w:b/>
          <w:lang w:val="fr-FR"/>
        </w:rPr>
        <w:tab/>
        <w:t xml:space="preserve">Renforcer les capacités et améliorer l’échange d’informations, la collaboration et la coordination entre les chercheurs qui étudient les oiseaux terrestres migrateurs </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Dans certaines régions d’Afrique, d’Asie centrale et du Moyen-Orient, il est nécessaire de renforcer les capacités des agences nationales à recueillir des données et à développer ou relancer leur(s) propre(s) base(s) de données nationale(s), en particulier à travers l’utilisation de ressource en ligne afin que ces données soient accessibles à une communauté plus large.</w:t>
      </w:r>
    </w:p>
    <w:p w:rsidR="000A5CE6" w:rsidRPr="000A5CE6" w:rsidRDefault="000A5CE6" w:rsidP="000A5CE6">
      <w:pPr>
        <w:spacing w:after="120" w:line="360" w:lineRule="auto"/>
        <w:ind w:left="720"/>
        <w:jc w:val="both"/>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Comparativement à d’autres groupes d’oiseaux, pour lesquels il existe divers types d’organisations internationales spécialisées et des groupes de travail nationaux, les collaborations entre experts des oiseaux terrestres migrateurs sont moins nombreuses. En outre, la recherche et le suivi portant sur ces oiseaux et menés par des chercheurs non européens sont encore limités. Il y a un besoin urgent de renforcement des capacités pour combler ces lacunes et améliorer la diffusion des résultats de la recherche.</w:t>
      </w:r>
    </w:p>
    <w:p w:rsidR="000A5CE6" w:rsidRPr="000A5CE6" w:rsidRDefault="000A5CE6" w:rsidP="000A5CE6">
      <w:pPr>
        <w:spacing w:after="120" w:line="360" w:lineRule="auto"/>
        <w:ind w:left="720" w:hanging="720"/>
        <w:jc w:val="both"/>
        <w:rPr>
          <w:rFonts w:ascii="Calibri" w:eastAsia="Calibri" w:hAnsi="Calibri" w:cs="Times New Roman"/>
          <w:lang w:val="fr-FR"/>
        </w:rPr>
      </w:pPr>
    </w:p>
    <w:p w:rsidR="000A5CE6" w:rsidRPr="000A5CE6" w:rsidRDefault="000A5CE6" w:rsidP="000A5CE6">
      <w:pPr>
        <w:spacing w:after="120" w:line="360" w:lineRule="auto"/>
        <w:ind w:left="720" w:hanging="720"/>
        <w:jc w:val="both"/>
        <w:rPr>
          <w:rFonts w:ascii="Calibri" w:eastAsia="Calibri" w:hAnsi="Calibri" w:cs="Times New Roman"/>
          <w:b/>
          <w:lang w:val="fr-FR"/>
        </w:rPr>
      </w:pPr>
      <w:r w:rsidRPr="000A5CE6">
        <w:rPr>
          <w:rFonts w:ascii="Calibri" w:eastAsia="Calibri" w:hAnsi="Calibri" w:cs="Times New Roman"/>
          <w:b/>
          <w:lang w:val="fr-FR"/>
        </w:rPr>
        <w:t>5.0</w:t>
      </w:r>
      <w:r w:rsidRPr="000A5CE6">
        <w:rPr>
          <w:rFonts w:ascii="Calibri" w:eastAsia="Calibri" w:hAnsi="Calibri" w:cs="Times New Roman"/>
          <w:b/>
          <w:lang w:val="fr-FR"/>
        </w:rPr>
        <w:tab/>
        <w:t>ÉDUCATION ET INFORMATION</w:t>
      </w:r>
    </w:p>
    <w:p w:rsidR="000A5CE6" w:rsidRPr="000A5CE6" w:rsidRDefault="000A5CE6" w:rsidP="000A5CE6">
      <w:pPr>
        <w:spacing w:after="120" w:line="360" w:lineRule="auto"/>
        <w:jc w:val="both"/>
        <w:rPr>
          <w:rFonts w:ascii="Calibri" w:eastAsia="Calibri" w:hAnsi="Calibri" w:cs="Times New Roman"/>
          <w:lang w:val="fr-FR"/>
        </w:rPr>
      </w:pPr>
      <w:bookmarkStart w:id="44" w:name="_Toc341449220"/>
      <w:bookmarkEnd w:id="41"/>
      <w:r w:rsidRPr="000A5CE6">
        <w:rPr>
          <w:rFonts w:ascii="Calibri" w:eastAsia="Calibri" w:hAnsi="Calibri" w:cs="Times New Roman"/>
          <w:b/>
          <w:lang w:val="fr-FR"/>
        </w:rPr>
        <w:t>5.1</w:t>
      </w:r>
      <w:r w:rsidRPr="000A5CE6">
        <w:rPr>
          <w:rFonts w:ascii="Calibri" w:eastAsia="Calibri" w:hAnsi="Calibri" w:cs="Times New Roman"/>
          <w:b/>
          <w:lang w:val="fr-FR"/>
        </w:rPr>
        <w:tab/>
      </w:r>
      <w:bookmarkEnd w:id="44"/>
      <w:r w:rsidRPr="000A5CE6">
        <w:rPr>
          <w:rFonts w:ascii="Calibri" w:eastAsia="Calibri" w:hAnsi="Calibri" w:cs="Times New Roman"/>
          <w:b/>
          <w:lang w:val="fr-FR"/>
        </w:rPr>
        <w:t>Améliorer la sensibilisation et la compréhension du public vis-à-vis des espèces d’oiseaux terrestres migrateurs</w:t>
      </w:r>
      <w:r w:rsidRPr="000A5CE6">
        <w:rPr>
          <w:rFonts w:ascii="Calibri" w:eastAsia="Calibri" w:hAnsi="Calibri" w:cs="Times New Roman"/>
          <w:lang w:val="fr-FR"/>
        </w:rPr>
        <w:t xml:space="preserve"> </w:t>
      </w:r>
    </w:p>
    <w:p w:rsidR="000A5CE6" w:rsidRPr="000A5CE6" w:rsidRDefault="000A5CE6" w:rsidP="000A5CE6">
      <w:pPr>
        <w:spacing w:after="120" w:line="360" w:lineRule="auto"/>
        <w:ind w:left="720"/>
        <w:jc w:val="both"/>
        <w:rPr>
          <w:rFonts w:ascii="Calibri" w:eastAsia="Calibri" w:hAnsi="Calibri" w:cs="Times New Roman"/>
          <w:lang w:val="fr-FR"/>
        </w:rPr>
      </w:pPr>
      <w:r w:rsidRPr="000A5CE6">
        <w:rPr>
          <w:rFonts w:ascii="Calibri" w:eastAsia="Calibri" w:hAnsi="Calibri" w:cs="Times New Roman"/>
          <w:lang w:val="fr-FR"/>
        </w:rPr>
        <w:t>Pour une conservation efficace des oiseaux terrestres migrateurs, le grand public, les communautés locales des zones clés, ainsi que les décideurs et les bailleurs de fonds doivent être conscients à la fois de l’importance de prendre soin de ces oiseaux pour des raisons intrinsèques mais aussi culturelles et économiques, ainsi que des besoins de conservation de ces espèces.</w:t>
      </w:r>
    </w:p>
    <w:p w:rsidR="000A5CE6" w:rsidRPr="000A5CE6" w:rsidRDefault="000A5CE6" w:rsidP="000A5CE6">
      <w:pPr>
        <w:spacing w:after="120" w:line="360" w:lineRule="auto"/>
        <w:ind w:left="720"/>
        <w:jc w:val="both"/>
        <w:rPr>
          <w:rFonts w:ascii="Calibri" w:eastAsia="Calibri" w:hAnsi="Calibri" w:cs="Times New Roman"/>
          <w:lang w:val="fr-FR"/>
        </w:rPr>
        <w:sectPr w:rsidR="000A5CE6" w:rsidRPr="000A5CE6" w:rsidSect="000A5CE6">
          <w:headerReference w:type="even" r:id="rId14"/>
          <w:headerReference w:type="default" r:id="rId15"/>
          <w:footerReference w:type="even" r:id="rId16"/>
          <w:footerReference w:type="default" r:id="rId17"/>
          <w:pgSz w:w="11907" w:h="16840" w:code="9"/>
          <w:pgMar w:top="1440" w:right="1440" w:bottom="1440" w:left="1440" w:header="576" w:footer="485" w:gutter="0"/>
          <w:cols w:space="720"/>
          <w:docGrid w:linePitch="360"/>
        </w:sectPr>
      </w:pPr>
    </w:p>
    <w:p w:rsidR="000A5CE6" w:rsidRPr="000A5CE6" w:rsidRDefault="000A5CE6" w:rsidP="000A5CE6">
      <w:pPr>
        <w:spacing w:after="0" w:line="240" w:lineRule="auto"/>
        <w:jc w:val="right"/>
        <w:rPr>
          <w:rFonts w:ascii="Calibri" w:eastAsia="Calibri" w:hAnsi="Calibri" w:cs="Times New Roman"/>
          <w:b/>
          <w:lang w:val="fr-FR"/>
        </w:rPr>
      </w:pPr>
      <w:r w:rsidRPr="000A5CE6">
        <w:rPr>
          <w:rFonts w:ascii="Calibri" w:eastAsia="Calibri" w:hAnsi="Calibri" w:cs="Times New Roman"/>
          <w:b/>
          <w:lang w:val="fr-FR"/>
        </w:rPr>
        <w:lastRenderedPageBreak/>
        <w:t>ANNEXE 2</w:t>
      </w:r>
    </w:p>
    <w:p w:rsidR="000A5CE6" w:rsidRPr="000A5CE6" w:rsidRDefault="000A5CE6" w:rsidP="000A5CE6">
      <w:pPr>
        <w:spacing w:after="0" w:line="240" w:lineRule="auto"/>
        <w:jc w:val="center"/>
        <w:rPr>
          <w:rFonts w:ascii="Calibri" w:eastAsia="Calibri" w:hAnsi="Calibri" w:cs="Times New Roman"/>
          <w:b/>
          <w:lang w:val="fr-FR"/>
        </w:rPr>
      </w:pPr>
    </w:p>
    <w:p w:rsidR="000A5CE6" w:rsidRPr="000A5CE6" w:rsidRDefault="000A5CE6" w:rsidP="000A5CE6">
      <w:pPr>
        <w:spacing w:after="0" w:line="240" w:lineRule="auto"/>
        <w:jc w:val="center"/>
        <w:rPr>
          <w:rFonts w:ascii="Calibri" w:eastAsia="Calibri" w:hAnsi="Calibri" w:cs="Times New Roman"/>
          <w:b/>
          <w:lang w:val="fr-FR"/>
        </w:rPr>
      </w:pPr>
      <w:r w:rsidRPr="000A5CE6">
        <w:rPr>
          <w:rFonts w:ascii="Calibri" w:eastAsia="Calibri" w:hAnsi="Calibri" w:cs="Times New Roman"/>
          <w:b/>
          <w:lang w:val="fr-FR"/>
        </w:rPr>
        <w:t xml:space="preserve">Plan d’action pour les oiseaux terrestres migrateurs d’Afrique-Eurasie </w:t>
      </w:r>
    </w:p>
    <w:p w:rsidR="000A5CE6" w:rsidRPr="000A5CE6" w:rsidRDefault="000A5CE6" w:rsidP="000A5CE6">
      <w:pPr>
        <w:spacing w:after="0" w:line="240" w:lineRule="auto"/>
        <w:jc w:val="center"/>
        <w:rPr>
          <w:rFonts w:ascii="Calibri" w:eastAsia="Calibri" w:hAnsi="Calibri" w:cs="Times New Roman"/>
          <w:b/>
          <w:lang w:val="fr-FR"/>
        </w:rPr>
      </w:pPr>
      <w:r w:rsidRPr="000A5CE6">
        <w:rPr>
          <w:rFonts w:ascii="Calibri" w:eastAsia="Calibri" w:hAnsi="Calibri" w:cs="Times New Roman"/>
          <w:b/>
          <w:lang w:val="fr-FR"/>
        </w:rPr>
        <w:t>Annexe 2 : Carte de l’aire géographique couverte par le Plan d’action</w:t>
      </w:r>
    </w:p>
    <w:p w:rsidR="000A5CE6" w:rsidRPr="000A5CE6" w:rsidRDefault="000A5CE6" w:rsidP="000A5CE6">
      <w:pPr>
        <w:spacing w:after="0" w:line="240" w:lineRule="auto"/>
        <w:jc w:val="center"/>
        <w:rPr>
          <w:rFonts w:ascii="Calibri" w:eastAsia="Calibri" w:hAnsi="Calibri" w:cs="Times New Roman"/>
          <w:b/>
          <w:lang w:val="fr-FR"/>
        </w:rPr>
      </w:pPr>
      <w:r w:rsidRPr="000A5CE6">
        <w:rPr>
          <w:rFonts w:ascii="Calibri" w:eastAsia="Calibri" w:hAnsi="Calibri" w:cs="Times New Roman"/>
          <w:lang w:val="fr-FR"/>
        </w:rPr>
        <w:t>Version 28-04-2014</w:t>
      </w:r>
    </w:p>
    <w:p w:rsidR="000A5CE6" w:rsidRPr="000A5CE6" w:rsidRDefault="000A5CE6" w:rsidP="000A5CE6">
      <w:pPr>
        <w:spacing w:after="0" w:line="240" w:lineRule="auto"/>
        <w:jc w:val="center"/>
        <w:rPr>
          <w:rFonts w:ascii="Calibri" w:eastAsia="Calibri" w:hAnsi="Calibri" w:cs="Times New Roman"/>
          <w:b/>
          <w:lang w:val="fr-FR"/>
        </w:rPr>
      </w:pPr>
    </w:p>
    <w:p w:rsidR="000A5CE6" w:rsidRPr="000A5CE6" w:rsidRDefault="000A5CE6" w:rsidP="000A5CE6">
      <w:pPr>
        <w:spacing w:after="0" w:line="240" w:lineRule="auto"/>
        <w:ind w:right="4138"/>
        <w:jc w:val="center"/>
        <w:rPr>
          <w:rFonts w:ascii="Calibri" w:eastAsia="Calibri" w:hAnsi="Calibri" w:cs="Times New Roman"/>
          <w:lang w:val="en-US"/>
        </w:rPr>
      </w:pPr>
      <w:r w:rsidRPr="000A5CE6">
        <w:rPr>
          <w:rFonts w:ascii="Calibri" w:eastAsia="Calibri" w:hAnsi="Calibri" w:cs="Times New Roman"/>
          <w:noProof/>
          <w:lang w:val="en-US"/>
        </w:rPr>
        <w:drawing>
          <wp:inline distT="0" distB="0" distL="0" distR="0" wp14:anchorId="4204BA14" wp14:editId="4A63663C">
            <wp:extent cx="6334564" cy="4076462"/>
            <wp:effectExtent l="19050" t="19050" r="9525" b="19685"/>
            <wp:docPr id="1" name="Picture 1" descr="world map AEML_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ld map AEML_Polygon"/>
                    <pic:cNvPicPr>
                      <a:picLocks noChangeAspect="1" noChangeArrowheads="1"/>
                    </pic:cNvPicPr>
                  </pic:nvPicPr>
                  <pic:blipFill>
                    <a:blip r:embed="rId18" cstate="print">
                      <a:extLst>
                        <a:ext uri="{28A0092B-C50C-407E-A947-70E740481C1C}">
                          <a14:useLocalDpi xmlns:a14="http://schemas.microsoft.com/office/drawing/2010/main" val="0"/>
                        </a:ext>
                      </a:extLst>
                    </a:blip>
                    <a:srcRect l="34152" t="2007" r="870" b="15250"/>
                    <a:stretch>
                      <a:fillRect/>
                    </a:stretch>
                  </pic:blipFill>
                  <pic:spPr bwMode="auto">
                    <a:xfrm>
                      <a:off x="0" y="0"/>
                      <a:ext cx="6379202" cy="4105187"/>
                    </a:xfrm>
                    <a:prstGeom prst="rect">
                      <a:avLst/>
                    </a:prstGeom>
                    <a:noFill/>
                    <a:ln w="9525" cmpd="sng">
                      <a:solidFill>
                        <a:srgbClr val="000000"/>
                      </a:solidFill>
                      <a:miter lim="800000"/>
                      <a:headEnd/>
                      <a:tailEnd/>
                    </a:ln>
                    <a:effectLst/>
                  </pic:spPr>
                </pic:pic>
              </a:graphicData>
            </a:graphic>
          </wp:inline>
        </w:drawing>
      </w:r>
    </w:p>
    <w:p w:rsidR="000A5CE6" w:rsidRPr="000A5CE6" w:rsidRDefault="000A5CE6" w:rsidP="000A5CE6">
      <w:pPr>
        <w:spacing w:after="0" w:line="240" w:lineRule="auto"/>
        <w:ind w:right="4138"/>
        <w:jc w:val="center"/>
        <w:rPr>
          <w:rFonts w:ascii="Calibri" w:eastAsia="Calibri" w:hAnsi="Calibri" w:cs="Times New Roman"/>
          <w:lang w:val="en-US"/>
        </w:rPr>
      </w:pPr>
    </w:p>
    <w:p w:rsidR="000A5CE6" w:rsidRPr="000A5CE6" w:rsidRDefault="000A5CE6" w:rsidP="000A5CE6">
      <w:pPr>
        <w:spacing w:after="0" w:line="240" w:lineRule="auto"/>
        <w:ind w:right="4138"/>
        <w:jc w:val="center"/>
        <w:rPr>
          <w:rFonts w:ascii="Calibri" w:eastAsia="Calibri" w:hAnsi="Calibri" w:cs="Times New Roman"/>
          <w:lang w:val="en-US"/>
        </w:rPr>
      </w:pPr>
    </w:p>
    <w:p w:rsidR="000A5CE6" w:rsidRPr="000A5CE6" w:rsidRDefault="000A5CE6" w:rsidP="000A5CE6">
      <w:pPr>
        <w:spacing w:after="0" w:line="240" w:lineRule="auto"/>
        <w:jc w:val="center"/>
        <w:rPr>
          <w:rFonts w:ascii="Calibri" w:eastAsia="Calibri" w:hAnsi="Calibri" w:cs="Times New Roman"/>
          <w:lang w:val="fr-FR"/>
        </w:rPr>
      </w:pPr>
    </w:p>
    <w:p w:rsidR="000A5CE6" w:rsidRPr="000A5CE6" w:rsidRDefault="000A5CE6" w:rsidP="000A5CE6">
      <w:pPr>
        <w:spacing w:after="0" w:line="240" w:lineRule="auto"/>
        <w:jc w:val="both"/>
        <w:rPr>
          <w:rFonts w:ascii="Calibri" w:eastAsia="Calibri" w:hAnsi="Calibri" w:cs="Times New Roman"/>
          <w:lang w:val="fr-FR"/>
        </w:rPr>
        <w:sectPr w:rsidR="000A5CE6" w:rsidRPr="000A5CE6" w:rsidSect="00DB1D67">
          <w:headerReference w:type="even" r:id="rId19"/>
          <w:headerReference w:type="default" r:id="rId20"/>
          <w:footerReference w:type="even" r:id="rId21"/>
          <w:footerReference w:type="default" r:id="rId22"/>
          <w:pgSz w:w="11907" w:h="16840" w:code="9"/>
          <w:pgMar w:top="622" w:right="1531" w:bottom="1440" w:left="1531" w:header="450" w:footer="489" w:gutter="0"/>
          <w:cols w:space="708"/>
          <w:docGrid w:linePitch="360"/>
        </w:sectPr>
      </w:pPr>
    </w:p>
    <w:p w:rsidR="000A5CE6" w:rsidRPr="000A5CE6" w:rsidRDefault="000A5CE6" w:rsidP="000A5CE6">
      <w:pPr>
        <w:spacing w:after="0" w:line="240" w:lineRule="auto"/>
        <w:jc w:val="both"/>
        <w:rPr>
          <w:rFonts w:ascii="Calibri" w:eastAsia="Calibri" w:hAnsi="Calibri" w:cs="Times New Roman"/>
          <w:lang w:val="fr-FR"/>
        </w:rPr>
      </w:pPr>
      <w:r w:rsidRPr="000A5CE6">
        <w:rPr>
          <w:rFonts w:ascii="Calibri" w:eastAsia="Calibri" w:hAnsi="Calibri" w:cs="Times New Roman"/>
          <w:lang w:val="fr-FR"/>
        </w:rPr>
        <w:lastRenderedPageBreak/>
        <w:t>Seuls les États de l’aire de répartition et territoires énumérés ci-dessous, et figurés en vert sur la carte, sont inclus dans l’aire du Plan d’action.</w:t>
      </w:r>
    </w:p>
    <w:p w:rsidR="000A5CE6" w:rsidRPr="000A5CE6" w:rsidRDefault="000A5CE6" w:rsidP="000A5CE6">
      <w:pPr>
        <w:spacing w:after="0" w:line="240" w:lineRule="auto"/>
        <w:jc w:val="both"/>
        <w:rPr>
          <w:rFonts w:ascii="Calibri" w:eastAsia="Calibri" w:hAnsi="Calibri" w:cs="Times New Roman"/>
          <w:lang w:val="fr-FR"/>
        </w:rPr>
      </w:pP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2"/>
        <w:gridCol w:w="3177"/>
        <w:gridCol w:w="1871"/>
      </w:tblGrid>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Afghanistan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Ghana</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Ouganda</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Afrique du Sud</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Grèce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Ouzbékistan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Albanie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Guinée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Pakistan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Algérie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Guinée équatoriale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Pays-Bas</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Allemagne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Guinée-Bissau</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Pologne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Andorre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Hongrie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Portugal</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Angola</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Inde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Qatar</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Arabie saoudite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Irak</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République arabe syrienne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Arménie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Iran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République centrafricaine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Autriche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Irlande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République tchèque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Azerbaïdjan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Islande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République-Unie de Tanzanie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Bahreïn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Israël</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Roumanie</w:t>
            </w:r>
          </w:p>
        </w:tc>
      </w:tr>
      <w:tr w:rsidR="000A5CE6" w:rsidRPr="00A40610"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Belgique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Italie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Royaume-Uni de Grande-Bretagne et d’Irlande du Nord, y compris le bailliage de Guernesey, le bailliage de Jersey, l’Ile de Man, Gibraltar et les zones de souveraineté britannique à Chypre (Akrotiri et Okehelia)</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Bénin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Jordanie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Russie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Biélorussie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Kazakhstan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Rwanda</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Bosnie-Herzégovine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Kenya</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Saint-Marin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Botswana</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Kirghizistan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Sao Tomé et Principe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Bulgarie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Koweït</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Sénégal</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Burkina Faso</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Lesotho</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Serbie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Burundi</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Lettonie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Seychelles</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Cameroun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Liban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Sierra Leone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Cap-Vert</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Liberia</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Slovaquie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Chypre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Libye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Slovénie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Cité du Vatican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Liechtenstein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Somalie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Comores</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Lituanie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Soudan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Congo</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Luxembourg</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Sri Lanka</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Congo, République démocratique du</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Madagascar</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Sud-Soudan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Côte d’Ivoire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Malawi</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Suède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Croatie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Mali</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Suisse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Danemark, y compris les îles Féroé et le Groenland</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Malte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Swaziland</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lastRenderedPageBreak/>
              <w:t>Djibouti</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Maroc</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Tadjikistan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Égypte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Maurice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Tchad</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Émirats arabes unis</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Mauritanie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Territoires de l’Autorité palestinienne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Érythrée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Moldavie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Togo</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Espagne, y compris les îles Canaries</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Monaco</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Tunisie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Estonie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Monténégro</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Turkménistan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Éthiopie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Mozambique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Turquie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Ex-République yougoslave de Macédoine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Namibie</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Ukraine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Finlande, y compris les îles Åland</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Népal</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Yémen</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France, y compris Mayotte et à la Réunion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Niger</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Zambie</w:t>
            </w: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Gabon</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Nigeria</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Zimbabwe</w:t>
            </w:r>
          </w:p>
        </w:tc>
      </w:tr>
      <w:tr w:rsidR="000A5CE6" w:rsidRPr="00A40610"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Gambie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Norvège, y compris les îles</w:t>
            </w:r>
          </w:p>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 xml:space="preserve"> Svalbard et Jan Mayen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p>
        </w:tc>
      </w:tr>
      <w:tr w:rsidR="000A5CE6" w:rsidRPr="000A5CE6" w:rsidTr="000A5CE6">
        <w:tc>
          <w:tcPr>
            <w:tcW w:w="432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Géorgie</w:t>
            </w:r>
          </w:p>
        </w:tc>
        <w:tc>
          <w:tcPr>
            <w:tcW w:w="3240" w:type="dxa"/>
            <w:shd w:val="clear" w:color="auto" w:fill="auto"/>
          </w:tcPr>
          <w:p w:rsidR="000A5CE6" w:rsidRPr="000A5CE6" w:rsidRDefault="000A5CE6" w:rsidP="000A5CE6">
            <w:pPr>
              <w:spacing w:after="0" w:line="240" w:lineRule="auto"/>
              <w:rPr>
                <w:rFonts w:ascii="Calibri" w:eastAsia="Calibri" w:hAnsi="Calibri" w:cs="Times New Roman"/>
                <w:lang w:val="fr-FR"/>
              </w:rPr>
            </w:pPr>
            <w:r w:rsidRPr="000A5CE6">
              <w:rPr>
                <w:rFonts w:ascii="Calibri" w:eastAsia="Calibri" w:hAnsi="Calibri" w:cs="Times New Roman"/>
                <w:lang w:val="fr-FR"/>
              </w:rPr>
              <w:t>Oman</w:t>
            </w:r>
          </w:p>
        </w:tc>
        <w:tc>
          <w:tcPr>
            <w:tcW w:w="1886" w:type="dxa"/>
            <w:shd w:val="clear" w:color="auto" w:fill="auto"/>
          </w:tcPr>
          <w:p w:rsidR="000A5CE6" w:rsidRPr="000A5CE6" w:rsidRDefault="000A5CE6" w:rsidP="000A5CE6">
            <w:pPr>
              <w:spacing w:after="0" w:line="240" w:lineRule="auto"/>
              <w:rPr>
                <w:rFonts w:ascii="Calibri" w:eastAsia="Calibri" w:hAnsi="Calibri" w:cs="Times New Roman"/>
                <w:lang w:val="fr-FR"/>
              </w:rPr>
            </w:pPr>
          </w:p>
        </w:tc>
      </w:tr>
    </w:tbl>
    <w:p w:rsidR="000A5CE6" w:rsidRPr="000A5CE6" w:rsidRDefault="000A5CE6" w:rsidP="000A5CE6">
      <w:pPr>
        <w:autoSpaceDE w:val="0"/>
        <w:autoSpaceDN w:val="0"/>
        <w:adjustRightInd w:val="0"/>
        <w:spacing w:after="0" w:line="240" w:lineRule="auto"/>
        <w:rPr>
          <w:rFonts w:ascii="Calibri" w:eastAsia="Calibri" w:hAnsi="Calibri" w:cs="Times New Roman"/>
          <w:lang w:val="fr-FR"/>
        </w:rPr>
      </w:pPr>
    </w:p>
    <w:p w:rsidR="000A5CE6" w:rsidRPr="000A5CE6" w:rsidRDefault="000A5CE6" w:rsidP="000A5CE6">
      <w:pPr>
        <w:spacing w:after="120" w:line="360" w:lineRule="auto"/>
        <w:ind w:left="720"/>
        <w:jc w:val="both"/>
        <w:rPr>
          <w:rFonts w:ascii="Calibri" w:eastAsia="Calibri" w:hAnsi="Calibri" w:cs="Times New Roman"/>
          <w:lang w:val="fr-FR"/>
        </w:rPr>
        <w:sectPr w:rsidR="000A5CE6" w:rsidRPr="000A5CE6" w:rsidSect="00DB1D67">
          <w:headerReference w:type="even" r:id="rId23"/>
          <w:headerReference w:type="default" r:id="rId24"/>
          <w:footerReference w:type="even" r:id="rId25"/>
          <w:pgSz w:w="11907" w:h="16840" w:code="9"/>
          <w:pgMar w:top="619" w:right="1526" w:bottom="1440" w:left="1526" w:header="450" w:footer="706" w:gutter="0"/>
          <w:cols w:space="708"/>
          <w:docGrid w:linePitch="360"/>
        </w:sectPr>
      </w:pPr>
    </w:p>
    <w:p w:rsidR="000A5CE6" w:rsidRPr="000A5CE6" w:rsidRDefault="000A5CE6" w:rsidP="000A5CE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right"/>
        <w:outlineLvl w:val="1"/>
        <w:rPr>
          <w:rFonts w:ascii="Calibri" w:eastAsia="Times New Roman" w:hAnsi="Calibri" w:cs="Times New Roman"/>
          <w:b/>
          <w:bCs/>
          <w:lang w:val="fr-FR"/>
        </w:rPr>
      </w:pPr>
      <w:bookmarkStart w:id="45" w:name="_Toc341449226"/>
      <w:r w:rsidRPr="000A5CE6">
        <w:rPr>
          <w:rFonts w:ascii="Calibri" w:eastAsia="Times New Roman" w:hAnsi="Calibri" w:cs="Times New Roman"/>
          <w:b/>
          <w:bCs/>
          <w:lang w:val="fr-FR"/>
        </w:rPr>
        <w:lastRenderedPageBreak/>
        <w:t>Annexe 3</w:t>
      </w:r>
    </w:p>
    <w:p w:rsidR="000A5CE6" w:rsidRPr="000A5CE6" w:rsidRDefault="000A5CE6" w:rsidP="000A5CE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ascii="Times New Roman" w:eastAsia="Times New Roman" w:hAnsi="Times New Roman" w:cs="Times New Roman"/>
          <w:b/>
          <w:bCs/>
          <w:sz w:val="24"/>
          <w:szCs w:val="24"/>
          <w:lang w:val="fr-FR"/>
        </w:rPr>
      </w:pPr>
    </w:p>
    <w:p w:rsidR="000A5CE6" w:rsidRPr="001A2886" w:rsidRDefault="000A5CE6" w:rsidP="000A5CE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ascii="Cambria" w:eastAsia="Times New Roman" w:hAnsi="Cambria" w:cs="Times New Roman"/>
          <w:b/>
          <w:bCs/>
          <w:i/>
          <w:iCs/>
          <w:lang w:val="fr-FR"/>
        </w:rPr>
      </w:pPr>
      <w:r w:rsidRPr="001A2886">
        <w:rPr>
          <w:rFonts w:ascii="Cambria" w:eastAsia="Times New Roman" w:hAnsi="Cambria" w:cs="Times New Roman"/>
          <w:b/>
          <w:bCs/>
          <w:i/>
          <w:iCs/>
          <w:lang w:val="fr-FR"/>
        </w:rPr>
        <w:t xml:space="preserve">Plan d’action pour les oiseaux terrestres migrateurs d’Afrique-Eurasie </w:t>
      </w:r>
    </w:p>
    <w:p w:rsidR="000A5CE6" w:rsidRPr="001A2886" w:rsidRDefault="000A5CE6" w:rsidP="000A5CE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jc w:val="center"/>
        <w:outlineLvl w:val="1"/>
        <w:rPr>
          <w:rFonts w:ascii="Cambria" w:eastAsia="Times New Roman" w:hAnsi="Cambria" w:cs="Times New Roman"/>
          <w:b/>
          <w:bCs/>
          <w:i/>
          <w:iCs/>
          <w:lang w:val="fr-FR"/>
        </w:rPr>
      </w:pPr>
      <w:r w:rsidRPr="001A2886">
        <w:rPr>
          <w:rFonts w:ascii="Cambria" w:eastAsia="Times New Roman" w:hAnsi="Cambria" w:cs="Times New Roman"/>
          <w:b/>
          <w:bCs/>
          <w:i/>
          <w:iCs/>
          <w:lang w:val="fr-FR"/>
        </w:rPr>
        <w:t>Annexe 3 : List</w:t>
      </w:r>
      <w:bookmarkEnd w:id="45"/>
      <w:r w:rsidRPr="001A2886">
        <w:rPr>
          <w:rFonts w:ascii="Cambria" w:eastAsia="Times New Roman" w:hAnsi="Cambria" w:cs="Times New Roman"/>
          <w:b/>
          <w:bCs/>
          <w:i/>
          <w:iCs/>
          <w:lang w:val="fr-FR"/>
        </w:rPr>
        <w:t>es des espèces</w:t>
      </w:r>
    </w:p>
    <w:p w:rsidR="000A5CE6" w:rsidRPr="001A2886" w:rsidRDefault="000A5CE6" w:rsidP="000A5CE6">
      <w:pPr>
        <w:widowControl w:val="0"/>
        <w:autoSpaceDE w:val="0"/>
        <w:autoSpaceDN w:val="0"/>
        <w:adjustRightInd w:val="0"/>
        <w:spacing w:after="0" w:line="240" w:lineRule="auto"/>
        <w:jc w:val="center"/>
        <w:rPr>
          <w:rFonts w:ascii="Times New Roman" w:eastAsia="Times New Roman" w:hAnsi="Times New Roman" w:cs="Times New Roman"/>
          <w:sz w:val="20"/>
          <w:szCs w:val="24"/>
          <w:lang w:val="fr-FR"/>
        </w:rPr>
      </w:pPr>
      <w:r w:rsidRPr="001A2886">
        <w:rPr>
          <w:rFonts w:ascii="Times New Roman" w:eastAsia="Times New Roman" w:hAnsi="Times New Roman" w:cs="Times New Roman"/>
          <w:sz w:val="20"/>
          <w:szCs w:val="24"/>
          <w:lang w:val="fr-FR"/>
        </w:rPr>
        <w:t>Version 28-04-2014</w:t>
      </w:r>
    </w:p>
    <w:p w:rsidR="000A5CE6" w:rsidRPr="000A5CE6" w:rsidRDefault="000A5CE6" w:rsidP="000A5CE6">
      <w:pPr>
        <w:spacing w:after="60" w:line="240" w:lineRule="auto"/>
        <w:contextualSpacing/>
        <w:rPr>
          <w:rFonts w:ascii="Calibri" w:eastAsia="Calibri" w:hAnsi="Calibri" w:cs="Times New Roman"/>
          <w:lang w:val="fr-FR"/>
        </w:rPr>
      </w:pPr>
    </w:p>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La liste évolutive</w:t>
      </w:r>
      <w:r w:rsidRPr="000A5CE6">
        <w:rPr>
          <w:rFonts w:ascii="Times New Roman" w:eastAsia="Calibri" w:hAnsi="Times New Roman" w:cs="Times New Roman"/>
          <w:sz w:val="20"/>
          <w:szCs w:val="20"/>
          <w:vertAlign w:val="superscript"/>
          <w:lang w:val="en-US"/>
        </w:rPr>
        <w:footnoteReference w:id="8"/>
      </w:r>
      <w:r w:rsidRPr="000A5CE6">
        <w:rPr>
          <w:rFonts w:ascii="Times New Roman" w:eastAsia="Calibri" w:hAnsi="Times New Roman" w:cs="Times New Roman"/>
          <w:sz w:val="20"/>
          <w:szCs w:val="20"/>
          <w:lang w:val="fr-FR"/>
        </w:rPr>
        <w:t xml:space="preserve"> des espèces d’</w:t>
      </w:r>
      <w:r w:rsidRPr="000A5CE6">
        <w:rPr>
          <w:rFonts w:ascii="Times New Roman" w:eastAsia="Calibri" w:hAnsi="Times New Roman" w:cs="Times New Roman"/>
          <w:i/>
          <w:sz w:val="20"/>
          <w:szCs w:val="20"/>
          <w:lang w:val="fr-FR"/>
        </w:rPr>
        <w:t xml:space="preserve">oiseaux terrestres migrateurs </w:t>
      </w:r>
      <w:r w:rsidRPr="000A5CE6">
        <w:rPr>
          <w:rFonts w:ascii="Times New Roman" w:eastAsia="Calibri" w:hAnsi="Times New Roman" w:cs="Times New Roman"/>
          <w:sz w:val="20"/>
          <w:szCs w:val="20"/>
          <w:lang w:val="fr-FR"/>
        </w:rPr>
        <w:t xml:space="preserve">de la région </w:t>
      </w:r>
      <w:r w:rsidRPr="000A5CE6">
        <w:rPr>
          <w:rFonts w:ascii="Times New Roman" w:eastAsia="Calibri" w:hAnsi="Times New Roman" w:cs="Times New Roman"/>
          <w:i/>
          <w:sz w:val="20"/>
          <w:szCs w:val="20"/>
          <w:lang w:val="fr-FR"/>
        </w:rPr>
        <w:t>Afrique-Eurasie</w:t>
      </w:r>
      <w:r w:rsidRPr="000A5CE6">
        <w:rPr>
          <w:rFonts w:ascii="Times New Roman" w:eastAsia="Calibri" w:hAnsi="Times New Roman" w:cs="Times New Roman"/>
          <w:sz w:val="20"/>
          <w:szCs w:val="20"/>
          <w:lang w:val="fr-FR"/>
        </w:rPr>
        <w:t xml:space="preserve"> est présentée ci-après, selon les définitions suivantes :</w:t>
      </w:r>
    </w:p>
    <w:p w:rsidR="000A5CE6" w:rsidRPr="000A5CE6" w:rsidRDefault="000A5CE6" w:rsidP="000A5CE6">
      <w:pPr>
        <w:numPr>
          <w:ilvl w:val="0"/>
          <w:numId w:val="49"/>
        </w:numPr>
        <w:spacing w:after="120" w:line="240" w:lineRule="auto"/>
        <w:jc w:val="both"/>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Le terme « </w:t>
      </w:r>
      <w:r w:rsidRPr="000A5CE6">
        <w:rPr>
          <w:rFonts w:ascii="Times New Roman" w:eastAsia="Calibri" w:hAnsi="Times New Roman" w:cs="Times New Roman"/>
          <w:i/>
          <w:sz w:val="20"/>
          <w:szCs w:val="20"/>
          <w:lang w:val="fr-FR"/>
        </w:rPr>
        <w:t>migrateur »</w:t>
      </w:r>
      <w:r w:rsidRPr="000A5CE6">
        <w:rPr>
          <w:rFonts w:ascii="Times New Roman" w:eastAsia="Calibri" w:hAnsi="Times New Roman" w:cs="Times New Roman"/>
          <w:sz w:val="20"/>
          <w:szCs w:val="20"/>
          <w:lang w:val="fr-FR"/>
        </w:rPr>
        <w:t xml:space="preserve"> s’applique aux espèces recensées par le Service d’information sur les espèces (SIS) de l’UICN et par la base de données mondiale sur les oiseaux de BirdLife International (BMDA) dans la catégorie « </w:t>
      </w:r>
      <w:r w:rsidRPr="000A5CE6">
        <w:rPr>
          <w:rFonts w:ascii="Times New Roman" w:eastAsia="Calibri" w:hAnsi="Times New Roman" w:cs="Times New Roman"/>
          <w:i/>
          <w:sz w:val="20"/>
          <w:szCs w:val="20"/>
          <w:lang w:val="fr-FR"/>
        </w:rPr>
        <w:t>Migrateur vrai</w:t>
      </w:r>
      <w:r w:rsidRPr="000A5CE6">
        <w:rPr>
          <w:rFonts w:ascii="Times New Roman" w:eastAsia="Calibri" w:hAnsi="Times New Roman" w:cs="Times New Roman"/>
          <w:sz w:val="20"/>
          <w:szCs w:val="20"/>
          <w:lang w:val="fr-FR"/>
        </w:rPr>
        <w:t> » (</w:t>
      </w:r>
      <w:r w:rsidRPr="000A5CE6">
        <w:rPr>
          <w:rFonts w:ascii="Times New Roman" w:eastAsia="Calibri" w:hAnsi="Times New Roman" w:cs="Times New Roman"/>
          <w:i/>
          <w:sz w:val="20"/>
          <w:szCs w:val="20"/>
          <w:lang w:val="fr-FR"/>
        </w:rPr>
        <w:t>Full Migrant</w:t>
      </w:r>
      <w:r w:rsidRPr="000A5CE6">
        <w:rPr>
          <w:rFonts w:ascii="Times New Roman" w:eastAsia="Calibri" w:hAnsi="Times New Roman" w:cs="Times New Roman"/>
          <w:sz w:val="20"/>
          <w:szCs w:val="20"/>
          <w:lang w:val="fr-FR"/>
        </w:rPr>
        <w:t>), telles que les espèces dont un pourcentage important (&gt; 50 %) de la population mondiale migre :</w:t>
      </w:r>
    </w:p>
    <w:p w:rsidR="000A5CE6" w:rsidRPr="000A5CE6" w:rsidRDefault="000A5CE6" w:rsidP="000A5CE6">
      <w:pPr>
        <w:numPr>
          <w:ilvl w:val="1"/>
          <w:numId w:val="50"/>
        </w:numPr>
        <w:spacing w:after="120" w:line="240" w:lineRule="auto"/>
        <w:jc w:val="both"/>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Avec l’ajout de la Grande Outarde </w:t>
      </w:r>
      <w:r w:rsidRPr="000A5CE6">
        <w:rPr>
          <w:rFonts w:ascii="Times New Roman" w:eastAsia="Calibri" w:hAnsi="Times New Roman" w:cs="Times New Roman"/>
          <w:i/>
          <w:sz w:val="20"/>
          <w:szCs w:val="20"/>
          <w:lang w:val="fr-FR"/>
        </w:rPr>
        <w:t>Otis tarda</w:t>
      </w:r>
      <w:r w:rsidRPr="000A5CE6">
        <w:rPr>
          <w:rFonts w:ascii="Times New Roman" w:eastAsia="Calibri" w:hAnsi="Times New Roman" w:cs="Times New Roman"/>
          <w:sz w:val="20"/>
          <w:szCs w:val="20"/>
          <w:lang w:val="fr-FR"/>
        </w:rPr>
        <w:t xml:space="preserve"> qui figure à l’Annexe I de la CMS et est probablement enregistrée à tort au sein du SIS et de la BMDA en tant que migrateur altitudinal. </w:t>
      </w:r>
    </w:p>
    <w:p w:rsidR="000A5CE6" w:rsidRPr="000A5CE6" w:rsidRDefault="000A5CE6" w:rsidP="000A5CE6">
      <w:pPr>
        <w:numPr>
          <w:ilvl w:val="1"/>
          <w:numId w:val="50"/>
        </w:numPr>
        <w:spacing w:after="120" w:line="240" w:lineRule="auto"/>
        <w:jc w:val="both"/>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En excluant tous les migrateurs endémiques d’un seul pays afin de se conformer à la définition des espèces migratrices de la CMS, qui considère qu’une espèce migratrice « </w:t>
      </w:r>
      <w:r w:rsidRPr="000A5CE6">
        <w:rPr>
          <w:rFonts w:ascii="Times New Roman" w:eastAsia="Calibri" w:hAnsi="Times New Roman" w:cs="Times New Roman"/>
          <w:i/>
          <w:sz w:val="20"/>
          <w:szCs w:val="20"/>
          <w:lang w:val="fr-FR"/>
        </w:rPr>
        <w:t>franchit (…) une ou plusieurs limites de juridiction nationale</w:t>
      </w:r>
      <w:r w:rsidRPr="000A5CE6">
        <w:rPr>
          <w:rFonts w:ascii="Times New Roman" w:eastAsia="Calibri" w:hAnsi="Times New Roman" w:cs="Times New Roman"/>
          <w:sz w:val="20"/>
          <w:szCs w:val="20"/>
          <w:lang w:val="fr-FR"/>
        </w:rPr>
        <w:t> »</w:t>
      </w:r>
      <w:proofErr w:type="gramStart"/>
      <w:r w:rsidRPr="000A5CE6">
        <w:rPr>
          <w:rFonts w:ascii="Times New Roman" w:eastAsia="Calibri" w:hAnsi="Times New Roman" w:cs="Times New Roman"/>
          <w:sz w:val="20"/>
          <w:szCs w:val="20"/>
          <w:lang w:val="fr-FR"/>
        </w:rPr>
        <w:t>..</w:t>
      </w:r>
      <w:proofErr w:type="gramEnd"/>
      <w:r w:rsidRPr="000A5CE6">
        <w:rPr>
          <w:rFonts w:ascii="Times New Roman" w:eastAsia="Calibri" w:hAnsi="Times New Roman" w:cs="Times New Roman"/>
          <w:sz w:val="20"/>
          <w:szCs w:val="20"/>
          <w:lang w:val="fr-FR"/>
        </w:rPr>
        <w:t xml:space="preserve"> En réalité, cela s’est traduit par l’exclusion d’une seule espèce, le Founingo bleu </w:t>
      </w:r>
      <w:r w:rsidRPr="000A5CE6">
        <w:rPr>
          <w:rFonts w:ascii="Times New Roman" w:eastAsia="Calibri" w:hAnsi="Times New Roman" w:cs="Times New Roman"/>
          <w:i/>
          <w:sz w:val="20"/>
          <w:szCs w:val="20"/>
          <w:lang w:val="fr-FR"/>
        </w:rPr>
        <w:t>Alectroenas madagascariensis</w:t>
      </w:r>
      <w:r w:rsidRPr="000A5CE6">
        <w:rPr>
          <w:rFonts w:ascii="Times New Roman" w:eastAsia="Calibri" w:hAnsi="Times New Roman" w:cs="Times New Roman"/>
          <w:sz w:val="20"/>
          <w:szCs w:val="20"/>
          <w:lang w:val="fr-FR"/>
        </w:rPr>
        <w:t xml:space="preserve">. Toutefois, il convient de noter qu’exclure les espèces endémiques d’un seul pays n’est pas strictement synonyme d’exclure les espèces qui ne traversent pas de frontières politiques. Il est tout à fait possible pour une espèce migratrice dont l’aire de répartition s’étend sur plusieurs pays qu’aucune de ses populations ne traverse de frontières nationales dans le cadre de sa migration régulière. La définition de « </w:t>
      </w:r>
      <w:r w:rsidRPr="000A5CE6">
        <w:rPr>
          <w:rFonts w:ascii="Times New Roman" w:eastAsia="Calibri" w:hAnsi="Times New Roman" w:cs="Times New Roman"/>
          <w:i/>
          <w:sz w:val="20"/>
          <w:szCs w:val="20"/>
          <w:lang w:val="fr-FR"/>
        </w:rPr>
        <w:t>Migrateur vrai</w:t>
      </w:r>
      <w:r w:rsidRPr="000A5CE6">
        <w:rPr>
          <w:rFonts w:ascii="Times New Roman" w:eastAsia="Calibri" w:hAnsi="Times New Roman" w:cs="Times New Roman"/>
          <w:sz w:val="20"/>
          <w:szCs w:val="20"/>
          <w:lang w:val="fr-FR"/>
        </w:rPr>
        <w:t xml:space="preserve"> » exige qu’une proportion importante (&gt; 50 %) de la population mondiale migre.</w:t>
      </w:r>
    </w:p>
    <w:p w:rsidR="000A5CE6" w:rsidRPr="000A5CE6" w:rsidRDefault="000A5CE6" w:rsidP="000A5CE6">
      <w:pPr>
        <w:numPr>
          <w:ilvl w:val="0"/>
          <w:numId w:val="49"/>
        </w:numPr>
        <w:spacing w:after="120" w:line="240" w:lineRule="auto"/>
        <w:jc w:val="both"/>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L’ « </w:t>
      </w:r>
      <w:r w:rsidRPr="000A5CE6">
        <w:rPr>
          <w:rFonts w:ascii="Times New Roman" w:eastAsia="Calibri" w:hAnsi="Times New Roman" w:cs="Times New Roman"/>
          <w:i/>
          <w:sz w:val="20"/>
          <w:szCs w:val="20"/>
          <w:lang w:val="fr-FR"/>
        </w:rPr>
        <w:t>Afrique-Eurasie »</w:t>
      </w:r>
      <w:r w:rsidRPr="000A5CE6">
        <w:rPr>
          <w:rFonts w:ascii="Times New Roman" w:eastAsia="Calibri" w:hAnsi="Times New Roman" w:cs="Times New Roman"/>
          <w:sz w:val="20"/>
          <w:szCs w:val="20"/>
          <w:lang w:val="fr-FR"/>
        </w:rPr>
        <w:t xml:space="preserve"> est définie comme la région regroupant l’Afrique, l’Europe (y compris l’ensemble de la Fédération de Russie, et à l’exclusion du Groenland), le Moyen-Orient, l’Asie centrale, l’Afghanistan et le sous-continent indien.</w:t>
      </w:r>
    </w:p>
    <w:p w:rsidR="000A5CE6" w:rsidRPr="000A5CE6" w:rsidRDefault="000A5CE6" w:rsidP="000A5CE6">
      <w:pPr>
        <w:numPr>
          <w:ilvl w:val="0"/>
          <w:numId w:val="49"/>
        </w:numPr>
        <w:spacing w:after="120" w:line="240" w:lineRule="auto"/>
        <w:jc w:val="both"/>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Les « </w:t>
      </w:r>
      <w:r w:rsidRPr="000A5CE6">
        <w:rPr>
          <w:rFonts w:ascii="Times New Roman" w:eastAsia="Calibri" w:hAnsi="Times New Roman" w:cs="Times New Roman"/>
          <w:i/>
          <w:sz w:val="20"/>
          <w:szCs w:val="20"/>
          <w:lang w:val="fr-FR"/>
        </w:rPr>
        <w:t>oiseaux terrestres</w:t>
      </w:r>
      <w:r w:rsidRPr="000A5CE6">
        <w:rPr>
          <w:rFonts w:ascii="Times New Roman" w:eastAsia="Calibri" w:hAnsi="Times New Roman" w:cs="Times New Roman"/>
          <w:sz w:val="20"/>
          <w:szCs w:val="20"/>
          <w:lang w:val="fr-FR"/>
        </w:rPr>
        <w:t xml:space="preserve"> » sont les espèces qui ne sont pas recensées en tant qu’oiseaux marins, rapaces ou oiseaux d’eau dans le SIS et la BMDA, auxquelles s’ajoutent les espèces d’oiseaux d’eau suivantes considérées comme n’utilisant pas les habitats d’eau douce : </w:t>
      </w:r>
      <w:r w:rsidRPr="000A5CE6">
        <w:rPr>
          <w:rFonts w:ascii="Times New Roman" w:eastAsia="Calibri" w:hAnsi="Times New Roman" w:cs="Times New Roman"/>
          <w:i/>
          <w:sz w:val="20"/>
          <w:szCs w:val="20"/>
          <w:lang w:val="fr-FR"/>
        </w:rPr>
        <w:t>Geronticus eremita,</w:t>
      </w:r>
      <w:r w:rsidRPr="000A5CE6">
        <w:rPr>
          <w:rFonts w:ascii="Times New Roman" w:eastAsia="Calibri" w:hAnsi="Times New Roman" w:cs="Times New Roman"/>
          <w:sz w:val="20"/>
          <w:szCs w:val="20"/>
          <w:lang w:val="fr-FR"/>
        </w:rPr>
        <w:t xml:space="preserve"> </w:t>
      </w:r>
      <w:r w:rsidRPr="000A5CE6">
        <w:rPr>
          <w:rFonts w:ascii="Times New Roman" w:eastAsia="Calibri" w:hAnsi="Times New Roman" w:cs="Times New Roman"/>
          <w:i/>
          <w:sz w:val="20"/>
          <w:szCs w:val="20"/>
          <w:lang w:val="fr-FR"/>
        </w:rPr>
        <w:t>Geronticus calvus, Burhinus oedicnemus, Cursorius cursor</w:t>
      </w:r>
      <w:r w:rsidRPr="000A5CE6">
        <w:rPr>
          <w:rFonts w:ascii="Times New Roman" w:eastAsia="Calibri" w:hAnsi="Times New Roman" w:cs="Times New Roman"/>
          <w:sz w:val="20"/>
          <w:szCs w:val="20"/>
          <w:lang w:val="fr-FR"/>
        </w:rPr>
        <w:t xml:space="preserve"> et </w:t>
      </w:r>
      <w:r w:rsidRPr="000A5CE6">
        <w:rPr>
          <w:rFonts w:ascii="Times New Roman" w:eastAsia="Calibri" w:hAnsi="Times New Roman" w:cs="Times New Roman"/>
          <w:i/>
          <w:sz w:val="20"/>
          <w:szCs w:val="20"/>
          <w:lang w:val="fr-FR"/>
        </w:rPr>
        <w:t>Tryngites subruficollis.</w:t>
      </w:r>
    </w:p>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Les annexes de la CMS pour les oiseaux suivent la taxonomie et la nomenclature de Morony </w:t>
      </w:r>
      <w:r w:rsidRPr="000A5CE6">
        <w:rPr>
          <w:rFonts w:ascii="Times New Roman" w:eastAsia="Calibri" w:hAnsi="Times New Roman" w:cs="Times New Roman"/>
          <w:i/>
          <w:sz w:val="20"/>
          <w:szCs w:val="20"/>
          <w:lang w:val="fr-FR"/>
        </w:rPr>
        <w:t>et al</w:t>
      </w:r>
      <w:r w:rsidRPr="000A5CE6">
        <w:rPr>
          <w:rFonts w:ascii="Times New Roman" w:eastAsia="Calibri" w:hAnsi="Times New Roman" w:cs="Times New Roman"/>
          <w:sz w:val="20"/>
          <w:szCs w:val="20"/>
          <w:lang w:val="fr-FR"/>
        </w:rPr>
        <w:t>. (1975) pour les ordres et les familles, et de Sibley et Monroe (1990, 1993) pour les genres et les espèces. Toutefois, il n’est pas possible de produire la liste nécessaire des espèces en utilisant ces traitements taxonomiques car BirdLife ne dispose pas d’information sur la répartition géographique ou le statut migratoire des entités taxonomiques non reconnues par son Groupe de travail taxonomique. Ainsi, la liste des espèces comprend une colonne indiquant si l’espèce est prise en compte dans Sibley et Monroe ainsi qu’une colonne des synonymes utilisés dans Sibley et Monroe.</w:t>
      </w:r>
    </w:p>
    <w:p w:rsidR="000A5CE6" w:rsidRPr="000A5CE6" w:rsidRDefault="000A5CE6" w:rsidP="000A5CE6">
      <w:pPr>
        <w:spacing w:after="0" w:line="240" w:lineRule="auto"/>
        <w:rPr>
          <w:rFonts w:ascii="Times New Roman" w:eastAsia="Calibri" w:hAnsi="Times New Roman" w:cs="Times New Roman"/>
          <w:sz w:val="20"/>
          <w:szCs w:val="20"/>
          <w:lang w:val="fr-FR"/>
        </w:rPr>
      </w:pPr>
    </w:p>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Comme il est difficile de savoir si les espèces que BirdLife ne reconnaît pas sont conformes aux définitions ci-dessus, il serait difficile de créer une liste conforme à Sibley et Monroe pour ce Plan d’action en utilisant ces informations. Il est également important de noter que remplacer simplement les synonymes proposés par Sibley et Monroe par les noms utilisés par BirdLife, lorsque les deux diffèrent, aboutirait seulement à une taxonomie et une nomenclature « hybride », et serait donc potentiellement source de confusion.</w:t>
      </w:r>
    </w:p>
    <w:p w:rsidR="000A5CE6" w:rsidRPr="000A5CE6" w:rsidRDefault="000A5CE6" w:rsidP="000A5CE6">
      <w:pPr>
        <w:spacing w:after="0" w:line="240" w:lineRule="auto"/>
        <w:rPr>
          <w:rFonts w:ascii="Calibri" w:eastAsia="Calibri" w:hAnsi="Calibri" w:cs="Times New Roman"/>
          <w:lang w:val="fr-FR"/>
        </w:rPr>
      </w:pPr>
    </w:p>
    <w:p w:rsidR="000A5CE6" w:rsidRPr="000A5CE6" w:rsidRDefault="000A5CE6" w:rsidP="000A5CE6">
      <w:pPr>
        <w:spacing w:after="0" w:line="240" w:lineRule="auto"/>
        <w:rPr>
          <w:rFonts w:ascii="Calibri" w:eastAsia="Calibri" w:hAnsi="Calibri" w:cs="Times New Roman"/>
          <w:lang w:val="fr-FR"/>
        </w:rPr>
        <w:sectPr w:rsidR="000A5CE6" w:rsidRPr="000A5CE6" w:rsidSect="000A5CE6">
          <w:headerReference w:type="even" r:id="rId26"/>
          <w:headerReference w:type="default" r:id="rId27"/>
          <w:footerReference w:type="even" r:id="rId28"/>
          <w:footerReference w:type="default" r:id="rId29"/>
          <w:pgSz w:w="11907" w:h="16840" w:code="9"/>
          <w:pgMar w:top="1134" w:right="1440" w:bottom="1440" w:left="1440" w:header="720" w:footer="720" w:gutter="0"/>
          <w:cols w:space="720"/>
          <w:docGrid w:linePitch="360"/>
        </w:sectPr>
      </w:pPr>
    </w:p>
    <w:p w:rsidR="000A5CE6" w:rsidRPr="000A5CE6" w:rsidRDefault="000A5CE6" w:rsidP="000A5CE6">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fr-FR"/>
        </w:rPr>
      </w:pPr>
      <w:r w:rsidRPr="000A5CE6">
        <w:rPr>
          <w:rFonts w:ascii="Cambria" w:eastAsia="Times New Roman" w:hAnsi="Cambria" w:cs="Times New Roman"/>
          <w:b/>
          <w:bCs/>
          <w:sz w:val="26"/>
          <w:szCs w:val="26"/>
          <w:lang w:val="fr-FR"/>
        </w:rPr>
        <w:lastRenderedPageBreak/>
        <w:t>Catégorie A:Espèces mondialement menacées et quasi menacées d'oiseaux terrestres migrateurs d'Afrique-Eurasie</w:t>
      </w:r>
    </w:p>
    <w:p w:rsidR="000A5CE6" w:rsidRPr="000A5CE6" w:rsidRDefault="000A5CE6" w:rsidP="000A5CE6">
      <w:pPr>
        <w:spacing w:after="0" w:line="240" w:lineRule="auto"/>
        <w:rPr>
          <w:rFonts w:eastAsia="Calibri" w:cs="Times New Roman"/>
          <w:lang w:val="fr-FR"/>
        </w:rPr>
      </w:pPr>
    </w:p>
    <w:tbl>
      <w:tblPr>
        <w:tblW w:w="14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98"/>
        <w:gridCol w:w="2190"/>
        <w:gridCol w:w="1047"/>
        <w:gridCol w:w="1047"/>
        <w:gridCol w:w="1047"/>
        <w:gridCol w:w="1535"/>
        <w:gridCol w:w="709"/>
        <w:gridCol w:w="708"/>
        <w:gridCol w:w="1560"/>
        <w:gridCol w:w="1619"/>
      </w:tblGrid>
      <w:tr w:rsidR="000A5CE6" w:rsidRPr="00A40610"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Scientific name</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Common name</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2013 Red List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Global Population Trend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Sibley &amp; Monroe (1990, 1993)</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Sibley &amp; Monroe Synonym</w:t>
            </w: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CMS Appx I</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CMS Appx II</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Member of a family (Morony et al. 1975) listed on CMS Appx II</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b/>
                <w:sz w:val="16"/>
                <w:szCs w:val="16"/>
                <w:lang w:val="en-US"/>
              </w:rPr>
            </w:pPr>
            <w:r w:rsidRPr="000A5CE6">
              <w:rPr>
                <w:rFonts w:ascii="Times New Roman" w:eastAsia="Calibri" w:hAnsi="Times New Roman" w:cs="Times New Roman"/>
                <w:b/>
                <w:sz w:val="16"/>
                <w:szCs w:val="16"/>
                <w:lang w:val="en-US"/>
              </w:rPr>
              <w:t>Coverage by other CMS instruments</w:t>
            </w: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Coturnix japonica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Japanese Quail</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 </w:t>
            </w: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Geronticus eremita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Northern Bald Ibis</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CR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AEWA</w:t>
            </w: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Geronticus calvus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Southern Bald Ibis</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 </w:t>
            </w: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Otis tarda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Great Bustard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Great Bustard MoU</w:t>
            </w: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Chlamydotis undulata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Houbara Bustard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Neotis denhami</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Denham's Bustard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Neotis ludwigii</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Ludwig's Bustard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EN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Houbaropsis bengalensis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Bengal Florican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CR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r w:rsidRPr="000A5CE6">
              <w:rPr>
                <w:rFonts w:ascii="Times New Roman" w:eastAsia="Calibri" w:hAnsi="Times New Roman" w:cs="Times New Roman"/>
                <w:i/>
                <w:sz w:val="16"/>
                <w:szCs w:val="16"/>
                <w:lang w:val="en-US"/>
              </w:rPr>
              <w:t>Eupodotis bengalensis</w:t>
            </w: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Sypheotides indicus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Lesser Florican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EN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r w:rsidRPr="000A5CE6">
              <w:rPr>
                <w:rFonts w:ascii="Times New Roman" w:eastAsia="Calibri" w:hAnsi="Times New Roman" w:cs="Times New Roman"/>
                <w:i/>
                <w:sz w:val="16"/>
                <w:szCs w:val="16"/>
                <w:lang w:val="en-US"/>
              </w:rPr>
              <w:t>Eupodotis indica</w:t>
            </w: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Tetrax tetrax</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Little Bustard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Tryngites subruficollis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Buff-breasted Sandpiper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Columba eversmanni</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Pale-backed Pigeon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Psittacula derbiana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Derbyan Parakeet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Apus acuticauda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Dark-rumped Swift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Stable</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Coracias garrulus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European Roller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Bombycilla japonica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Japanese Waxwing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Hirundo atrocaerulea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Blue Swallow</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Locustella pryeri</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Marsh Grassbird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r w:rsidRPr="000A5CE6">
              <w:rPr>
                <w:rFonts w:ascii="Times New Roman" w:eastAsia="Calibri" w:hAnsi="Times New Roman" w:cs="Times New Roman"/>
                <w:i/>
                <w:sz w:val="16"/>
                <w:szCs w:val="16"/>
                <w:lang w:val="en-US"/>
              </w:rPr>
              <w:t>Megalurus pryeri</w:t>
            </w: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Chaetornis striata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Bristled Grassbird</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r w:rsidRPr="000A5CE6">
              <w:rPr>
                <w:rFonts w:ascii="Times New Roman" w:eastAsia="Calibri" w:hAnsi="Times New Roman" w:cs="Times New Roman"/>
                <w:i/>
                <w:sz w:val="16"/>
                <w:szCs w:val="16"/>
                <w:lang w:val="en-US"/>
              </w:rPr>
              <w:t>Chaetornis striatus</w:t>
            </w: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Locustella pleskei</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Pleske's Grasshopper-warbler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Acrocephalus paludicola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Aquatic Warbler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Aquatic Warbler MoU</w:t>
            </w: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Acrocephalus tangorum</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Manchurian Reed-warbler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Acrocephalus griseldis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Basra Reed-warbler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EN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Phylloscopus tytleri</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Tytler's Leaf-warbler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lastRenderedPageBreak/>
              <w:t>Zoothera guttata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Spotted Ground-thrush</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EN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Turdus feae</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Grey-sided Thrush</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Luscinia pectardens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Firethroat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Saxicola insignis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White-throated Bushchat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Ficedula semitorquata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Semi-collared Flycatcher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Ficedula subrubra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Kashmir Flycatcher</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Serinus syriacus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Syrian Serin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VU</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Emberiza cineracea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Cinereous Bunting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Emberiza aureola</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Yellow-breasted Bunting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EN</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Yes</w:t>
            </w: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r w:rsidR="000A5CE6" w:rsidRPr="000A5CE6" w:rsidTr="000A5CE6">
        <w:trPr>
          <w:trHeight w:val="300"/>
        </w:trPr>
        <w:tc>
          <w:tcPr>
            <w:tcW w:w="2598" w:type="dxa"/>
            <w:noWrap/>
            <w:hideMark/>
          </w:tcPr>
          <w:p w:rsidR="000A5CE6" w:rsidRPr="000A5CE6" w:rsidRDefault="000A5CE6" w:rsidP="000A5CE6">
            <w:pPr>
              <w:spacing w:after="0" w:line="240" w:lineRule="auto"/>
              <w:contextualSpacing/>
              <w:rPr>
                <w:rFonts w:ascii="Times New Roman" w:eastAsia="Calibri" w:hAnsi="Times New Roman" w:cs="Times New Roman"/>
                <w:i/>
                <w:iCs/>
                <w:sz w:val="16"/>
                <w:szCs w:val="16"/>
                <w:lang w:val="en-US"/>
              </w:rPr>
            </w:pPr>
            <w:r w:rsidRPr="000A5CE6">
              <w:rPr>
                <w:rFonts w:ascii="Times New Roman" w:eastAsia="Calibri" w:hAnsi="Times New Roman" w:cs="Times New Roman"/>
                <w:i/>
                <w:iCs/>
                <w:sz w:val="16"/>
                <w:szCs w:val="16"/>
                <w:lang w:val="en-US"/>
              </w:rPr>
              <w:t>Emberiza yessoensis</w:t>
            </w:r>
          </w:p>
        </w:tc>
        <w:tc>
          <w:tcPr>
            <w:tcW w:w="219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Ochre-rumped Bunting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NT</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Decreasing</w:t>
            </w:r>
          </w:p>
        </w:tc>
        <w:tc>
          <w:tcPr>
            <w:tcW w:w="104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r w:rsidRPr="000A5CE6">
              <w:rPr>
                <w:rFonts w:ascii="Times New Roman" w:eastAsia="Calibri" w:hAnsi="Times New Roman" w:cs="Times New Roman"/>
                <w:sz w:val="16"/>
                <w:szCs w:val="16"/>
                <w:lang w:val="en-US"/>
              </w:rPr>
              <w:t>Y</w:t>
            </w:r>
          </w:p>
        </w:tc>
        <w:tc>
          <w:tcPr>
            <w:tcW w:w="1535"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rPr>
            </w:pPr>
          </w:p>
        </w:tc>
        <w:tc>
          <w:tcPr>
            <w:tcW w:w="70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70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56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c>
          <w:tcPr>
            <w:tcW w:w="1619" w:type="dxa"/>
          </w:tcPr>
          <w:p w:rsidR="000A5CE6" w:rsidRPr="000A5CE6" w:rsidRDefault="000A5CE6" w:rsidP="000A5CE6">
            <w:pPr>
              <w:spacing w:after="0" w:line="240" w:lineRule="auto"/>
              <w:contextualSpacing/>
              <w:rPr>
                <w:rFonts w:ascii="Times New Roman" w:eastAsia="Calibri" w:hAnsi="Times New Roman" w:cs="Times New Roman"/>
                <w:sz w:val="16"/>
                <w:szCs w:val="16"/>
                <w:lang w:val="en-US"/>
              </w:rPr>
            </w:pPr>
          </w:p>
        </w:tc>
      </w:tr>
    </w:tbl>
    <w:p w:rsidR="000A5CE6" w:rsidRPr="000A5CE6" w:rsidRDefault="000A5CE6" w:rsidP="000A5CE6">
      <w:pPr>
        <w:spacing w:after="0" w:line="240" w:lineRule="auto"/>
        <w:rPr>
          <w:rFonts w:ascii="Times New Roman" w:eastAsia="Calibri" w:hAnsi="Times New Roman" w:cs="Times New Roman"/>
          <w:sz w:val="24"/>
          <w:lang w:val="en-US"/>
        </w:rPr>
      </w:pPr>
    </w:p>
    <w:p w:rsidR="000A5CE6" w:rsidRPr="000A5CE6" w:rsidRDefault="000A5CE6" w:rsidP="000A5CE6">
      <w:pPr>
        <w:spacing w:after="0" w:line="240" w:lineRule="auto"/>
        <w:rPr>
          <w:rFonts w:ascii="Times New Roman" w:eastAsia="Calibri" w:hAnsi="Times New Roman" w:cs="Times New Roman"/>
          <w:b/>
          <w:bCs/>
          <w:sz w:val="24"/>
          <w:szCs w:val="28"/>
          <w:lang w:val="en-US"/>
        </w:rPr>
      </w:pPr>
      <w:r w:rsidRPr="000A5CE6">
        <w:rPr>
          <w:rFonts w:ascii="Times New Roman" w:eastAsia="Calibri" w:hAnsi="Times New Roman" w:cs="Times New Roman"/>
          <w:sz w:val="24"/>
          <w:lang w:val="en-US"/>
        </w:rPr>
        <w:br w:type="page"/>
      </w:r>
    </w:p>
    <w:p w:rsidR="000A5CE6" w:rsidRPr="001A2886" w:rsidRDefault="000A5CE6" w:rsidP="000A5CE6">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fr-FR"/>
        </w:rPr>
      </w:pPr>
      <w:bookmarkStart w:id="46" w:name="_Toc341449228"/>
      <w:r w:rsidRPr="001A2886">
        <w:rPr>
          <w:rFonts w:ascii="Cambria" w:eastAsia="Times New Roman" w:hAnsi="Cambria" w:cs="Times New Roman"/>
          <w:b/>
          <w:bCs/>
          <w:sz w:val="26"/>
          <w:szCs w:val="26"/>
          <w:lang w:val="fr-FR"/>
        </w:rPr>
        <w:lastRenderedPageBreak/>
        <w:t xml:space="preserve">Catégorie B: </w:t>
      </w:r>
      <w:bookmarkEnd w:id="46"/>
      <w:r w:rsidRPr="001A2886">
        <w:rPr>
          <w:rFonts w:ascii="Cambria" w:eastAsia="Times New Roman" w:hAnsi="Cambria" w:cs="Times New Roman"/>
          <w:b/>
          <w:bCs/>
          <w:sz w:val="26"/>
          <w:szCs w:val="26"/>
          <w:lang w:val="fr-FR"/>
        </w:rPr>
        <w:t>Espèces migratrices d’oiseaux terrestres d'Afrique -Eurasie (classification de l'UICN Préoccupation mineure) avec tendance à la baisse de la population mondiale</w:t>
      </w:r>
    </w:p>
    <w:p w:rsidR="000A5CE6" w:rsidRPr="001A2886" w:rsidRDefault="000A5CE6" w:rsidP="000A5CE6">
      <w:pPr>
        <w:spacing w:after="0" w:line="240" w:lineRule="auto"/>
        <w:rPr>
          <w:rFonts w:ascii="Times New Roman" w:eastAsia="Calibri" w:hAnsi="Times New Roman" w:cs="Times New Roman"/>
          <w:sz w:val="24"/>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2423"/>
        <w:gridCol w:w="820"/>
        <w:gridCol w:w="1371"/>
        <w:gridCol w:w="1296"/>
        <w:gridCol w:w="1671"/>
        <w:gridCol w:w="669"/>
        <w:gridCol w:w="707"/>
        <w:gridCol w:w="3088"/>
      </w:tblGrid>
      <w:tr w:rsidR="000A5CE6" w:rsidRPr="00A40610" w:rsidTr="000A5CE6">
        <w:trPr>
          <w:trHeight w:val="705"/>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Scientific name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Common name</w:t>
            </w:r>
          </w:p>
        </w:tc>
        <w:tc>
          <w:tcPr>
            <w:tcW w:w="820"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2013 Red List</w:t>
            </w:r>
          </w:p>
        </w:tc>
        <w:tc>
          <w:tcPr>
            <w:tcW w:w="1371"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Global Population Trend</w:t>
            </w:r>
          </w:p>
        </w:tc>
        <w:tc>
          <w:tcPr>
            <w:tcW w:w="1296"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Sibley &amp; Monroe (1990, 1993)</w:t>
            </w:r>
          </w:p>
        </w:tc>
        <w:tc>
          <w:tcPr>
            <w:tcW w:w="1671"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Sibley &amp; Monroe Synonym</w:t>
            </w:r>
          </w:p>
        </w:tc>
        <w:tc>
          <w:tcPr>
            <w:tcW w:w="669"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CMS Appx I</w:t>
            </w:r>
          </w:p>
        </w:tc>
        <w:tc>
          <w:tcPr>
            <w:tcW w:w="707"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CMS Appx II</w:t>
            </w:r>
          </w:p>
        </w:tc>
        <w:tc>
          <w:tcPr>
            <w:tcW w:w="3088"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 xml:space="preserve">Member of a family (Morony </w:t>
            </w:r>
            <w:r w:rsidRPr="000A5CE6">
              <w:rPr>
                <w:rFonts w:ascii="Times New Roman" w:eastAsia="Calibri" w:hAnsi="Times New Roman" w:cs="Times New Roman"/>
                <w:b/>
                <w:bCs/>
                <w:i/>
                <w:iCs/>
                <w:sz w:val="16"/>
                <w:szCs w:val="16"/>
                <w:lang w:val="en-US" w:eastAsia="en-GB"/>
              </w:rPr>
              <w:t>et al</w:t>
            </w:r>
            <w:r w:rsidRPr="000A5CE6">
              <w:rPr>
                <w:rFonts w:ascii="Times New Roman" w:eastAsia="Calibri" w:hAnsi="Times New Roman" w:cs="Times New Roman"/>
                <w:b/>
                <w:bCs/>
                <w:sz w:val="16"/>
                <w:szCs w:val="16"/>
                <w:lang w:val="en-US" w:eastAsia="en-GB"/>
              </w:rPr>
              <w:t>. 1975) listed on CMS Appx II</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Coturnix coturnix</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Common Quail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Turnix hottentottus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Hottentot Buttonquail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Burhinus oedicnemus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Thick-knee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Pterocles gutturalis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Yellow-throated Sandgrouse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Pterocles orientalis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Black-bellied Sandgrouse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Streptopelia turtur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European Turtle-dove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Treron calvus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African Green-pigeon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Treron calva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Treron sieboldii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White-bellied Green-pigeon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Ducula bicolor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Pied Imperial-pigeon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Agapornis pullarius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Red-headed Lovebird</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Cuculus canorus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Common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Surniculus lugubris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Drongo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Caprimulgus ruficollis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Red-necked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Caprimulgus europaeus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Caprimulgus aegyptius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Egyptian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Apus apus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Common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Coracias naevia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Rufous-crowned Roller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Eurystomus orientalis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Asian Dollarbird</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Halcyon coromanda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Ruddy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Halcyon pileata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Black-capped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Halcyon senegaloides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Mangrove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Ceyx erithaca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Black-backed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Ceyx erithacus</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Merops apiaster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European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lastRenderedPageBreak/>
              <w:t>Merops nubicus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Northern Carmine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Merops nubicoides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Southern Carmine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Upupa epops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Hoopoe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Jynx torquilla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Wryneck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Dendrocopos minor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Lesser Spotted Woodpecker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Dendrocopos hyperythrus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Rufous-bellied Woodpecker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Pitta sordida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Hooded Pitta</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Pitta angolensis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African Pitta</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Pitta brachyura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Indian Pitta</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Pitta moluccensis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Blue-winged Pitta</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Megabyas flammulatus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African Shrike-flycatcher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Bias flammulatus</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Platysteira peltata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Black-throated Wattle-eye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Campephaga phoenicea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Red-shouldered Cuckooshrike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tigrinus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Tiger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bucephalus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Bull-headed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collurio</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Red-backed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cristatus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Brown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minor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Lesser Grey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senator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Woodchat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Lanius nubicus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Masked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Corvus frugilegus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Rook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Corvus corone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Carrion Crow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Bombycilla garrulus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Bohemian Waxwing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Remiz coronatus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White-crowned Penduline-tit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Pseudochelidon eurystomina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African River-martin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DD</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Psalidoprocne pristoptera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Blue Saw-wing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Riparia riparia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Sand 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Riparia paludicola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Plain 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Hirundo rustica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Barn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lastRenderedPageBreak/>
              <w:t>Delichon urbicum</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Northern House-martin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Delichon urbica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Mirafra cantillans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Singing Bushlark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Melanocorypha calandra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Calandra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Melanocorypha leucoptera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White-winged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Melanocorypha yeltoniensis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Calandrella brachydactyla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Greater Short-toed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Calandrella rufescens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Lesser Short-toed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Galerida cristata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Crested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Alauda arvensis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Skylark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Alauda gulgula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Oriental Skylark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Eremophila alpestris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Horned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Locustella naevia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Common Grasshopper-warbler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Locustella certhiola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Pallas's Grasshopper-warbler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Locustella ochotensis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Middendorff's Grasshopper-warbler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Locustella luscinioides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Savi's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Acrocephalus schoenobaenus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Sedge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Acrocephalus agricola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Paddyfield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Acrocephalus scirpaceus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Reed-warbler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Acrocephalus arundinaceus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Great Reed-warbler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Acrocephalus aedon</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Thick-billed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Hippolais icterina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Icterine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Phylloscopus trochilus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Willow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Phylloscopus sibilatrix</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Wood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Sylvia borin</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Garden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Sylvia communis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Common Whitethroat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Sylvia hortensis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Orphean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Sylvia melanothorax</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Cyprus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Sylvia conspicillata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Spectacled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lastRenderedPageBreak/>
              <w:t>Zosterops erythropleurus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Chestnut-flanked White-eye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Zosterops palpebrosus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Oriental White-eye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Regulus regulus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Goldcrest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Saroglossa spiloptera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Spot-winged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Cinnyricinclus leucogaster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Violet-backed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Zoothera wardii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Pied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Zoothera citrina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Orange-headed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Zoothera sibirica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Siberian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Zoothera dauma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Scaly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Turdus torquatus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Ring Ouzel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Turdus iliacus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Redwing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Turdus philomelos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Song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Turdus viscivorus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Mistle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Luscinia brunnea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Indian Blue 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Luscinia cyane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Siberian Blue 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Saxicola rubetra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Whinchat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Oenanthe oenanthe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Northern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Oenanthe hispanica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Black-eared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Muscicapa striata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Spotted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Muscicapa muttui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Brown-breasted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Muscicapa ferruginea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Ferruginous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Ficedula hypoleuca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European Pied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Motacilla alba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White Wagtail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Motacilla flava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Yellow Wagtail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Anthus trivialis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Tree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Anthus pratensis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Meadow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Anthus rubescens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American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Fringilla coelebs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Chaffinch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Fringilla montifringilla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Brambling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lastRenderedPageBreak/>
              <w:t>Serinus serinus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European Serin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Carduelis chloris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European Greenfinch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Carduelis spinus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Siskin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Carduelis flammea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Common Redpoll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Carduelis cannabina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Linnet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Leucosticte arctoa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Asian Rosy-finch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Pinicola enucleator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Pine Grosbeak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Pyrrhula pyrrhula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Eurasian Bullfinch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Emberiza citrinella</w:t>
            </w:r>
          </w:p>
        </w:tc>
        <w:tc>
          <w:tcPr>
            <w:tcW w:w="2423"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Yellowhammer</w:t>
            </w:r>
          </w:p>
        </w:tc>
        <w:tc>
          <w:tcPr>
            <w:tcW w:w="820"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Emberiza hortulana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Ortolan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Emberiza rustica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Rustic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Emberiza melanocephala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Black-headed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Emberiza schoeniclus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Reed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bCs/>
                <w:i/>
                <w:sz w:val="16"/>
                <w:szCs w:val="16"/>
                <w:lang w:val="en-US" w:eastAsia="en-GB"/>
              </w:rPr>
              <w:t>Plectrophenax nivalis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Snow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Decreasing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bCs/>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r w:rsidR="000A5CE6" w:rsidRPr="000A5CE6" w:rsidTr="000A5CE6">
        <w:trPr>
          <w:trHeight w:val="300"/>
        </w:trPr>
        <w:tc>
          <w:tcPr>
            <w:tcW w:w="2097" w:type="dxa"/>
            <w:noWrap/>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r w:rsidRPr="000A5CE6">
              <w:rPr>
                <w:rFonts w:ascii="Times New Roman" w:eastAsia="Calibri" w:hAnsi="Times New Roman" w:cs="Times New Roman"/>
                <w:i/>
                <w:sz w:val="16"/>
                <w:szCs w:val="16"/>
                <w:lang w:val="en-US" w:eastAsia="en-GB"/>
              </w:rPr>
              <w:t>Miliaria calandra</w:t>
            </w:r>
          </w:p>
        </w:tc>
        <w:tc>
          <w:tcPr>
            <w:tcW w:w="2423"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sz w:val="16"/>
                <w:szCs w:val="16"/>
                <w:lang w:val="en-US" w:eastAsia="en-GB"/>
              </w:rPr>
              <w:t>Corn Bunting</w:t>
            </w:r>
          </w:p>
        </w:tc>
        <w:tc>
          <w:tcPr>
            <w:tcW w:w="820"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r w:rsidRPr="000A5CE6">
              <w:rPr>
                <w:rFonts w:ascii="Times New Roman" w:eastAsia="Calibri" w:hAnsi="Times New Roman" w:cs="Times New Roman"/>
                <w:sz w:val="16"/>
                <w:szCs w:val="16"/>
                <w:lang w:val="en-US" w:eastAsia="en-GB"/>
              </w:rPr>
              <w:t>Decreasing</w:t>
            </w:r>
          </w:p>
        </w:tc>
        <w:tc>
          <w:tcPr>
            <w:tcW w:w="1296"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1671" w:type="dxa"/>
            <w:noWrap/>
          </w:tcPr>
          <w:p w:rsidR="000A5CE6" w:rsidRPr="000A5CE6" w:rsidRDefault="000A5CE6" w:rsidP="000A5CE6">
            <w:pPr>
              <w:spacing w:after="0" w:line="240" w:lineRule="auto"/>
              <w:contextualSpacing/>
              <w:rPr>
                <w:rFonts w:ascii="Times New Roman" w:eastAsia="Calibri" w:hAnsi="Times New Roman" w:cs="Times New Roman"/>
                <w:bCs/>
                <w:i/>
                <w:sz w:val="16"/>
                <w:szCs w:val="16"/>
                <w:lang w:val="en-US" w:eastAsia="en-GB"/>
              </w:rPr>
            </w:pPr>
          </w:p>
        </w:tc>
        <w:tc>
          <w:tcPr>
            <w:tcW w:w="669"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707"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c>
          <w:tcPr>
            <w:tcW w:w="3088" w:type="dxa"/>
            <w:noWrap/>
          </w:tcPr>
          <w:p w:rsidR="000A5CE6" w:rsidRPr="000A5CE6" w:rsidRDefault="000A5CE6" w:rsidP="000A5CE6">
            <w:pPr>
              <w:spacing w:after="0" w:line="240" w:lineRule="auto"/>
              <w:contextualSpacing/>
              <w:rPr>
                <w:rFonts w:ascii="Times New Roman" w:eastAsia="Calibri" w:hAnsi="Times New Roman" w:cs="Times New Roman"/>
                <w:bCs/>
                <w:sz w:val="16"/>
                <w:szCs w:val="16"/>
                <w:lang w:val="en-US" w:eastAsia="en-GB"/>
              </w:rPr>
            </w:pPr>
          </w:p>
        </w:tc>
      </w:tr>
    </w:tbl>
    <w:p w:rsidR="000A5CE6" w:rsidRPr="000A5CE6" w:rsidRDefault="000A5CE6" w:rsidP="000A5CE6">
      <w:pPr>
        <w:spacing w:after="0" w:line="240" w:lineRule="auto"/>
        <w:rPr>
          <w:rFonts w:ascii="Times New Roman" w:eastAsia="Calibri" w:hAnsi="Times New Roman" w:cs="Times New Roman"/>
          <w:bCs/>
          <w:sz w:val="24"/>
          <w:szCs w:val="28"/>
          <w:lang w:val="en-US"/>
        </w:rPr>
      </w:pPr>
    </w:p>
    <w:p w:rsidR="000A5CE6" w:rsidRPr="000A5CE6" w:rsidRDefault="000A5CE6" w:rsidP="000A5CE6">
      <w:pPr>
        <w:spacing w:after="0" w:line="240" w:lineRule="auto"/>
        <w:rPr>
          <w:rFonts w:ascii="Times New Roman" w:eastAsia="Calibri" w:hAnsi="Times New Roman" w:cs="Times New Roman"/>
          <w:b/>
          <w:bCs/>
          <w:sz w:val="24"/>
          <w:szCs w:val="28"/>
          <w:lang w:val="en-US"/>
        </w:rPr>
      </w:pPr>
      <w:r w:rsidRPr="000A5CE6">
        <w:rPr>
          <w:rFonts w:ascii="Times New Roman" w:eastAsia="Calibri" w:hAnsi="Times New Roman" w:cs="Times New Roman"/>
          <w:sz w:val="24"/>
          <w:lang w:val="en-US"/>
        </w:rPr>
        <w:br w:type="page"/>
      </w:r>
    </w:p>
    <w:p w:rsidR="000A5CE6" w:rsidRPr="001A2886" w:rsidRDefault="000A5CE6" w:rsidP="000A5CE6">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after="0" w:line="240" w:lineRule="auto"/>
        <w:ind w:right="-756"/>
        <w:outlineLvl w:val="2"/>
        <w:rPr>
          <w:rFonts w:ascii="Cambria" w:eastAsia="Times New Roman" w:hAnsi="Cambria" w:cs="Times New Roman"/>
          <w:b/>
          <w:bCs/>
          <w:sz w:val="26"/>
          <w:szCs w:val="26"/>
          <w:lang w:val="fr-FR"/>
        </w:rPr>
      </w:pPr>
      <w:bookmarkStart w:id="47" w:name="_Toc341449229"/>
      <w:r w:rsidRPr="001A2886">
        <w:rPr>
          <w:rFonts w:ascii="Cambria" w:eastAsia="Times New Roman" w:hAnsi="Cambria" w:cs="Times New Roman"/>
          <w:b/>
          <w:bCs/>
          <w:sz w:val="26"/>
          <w:szCs w:val="26"/>
          <w:lang w:val="fr-FR"/>
        </w:rPr>
        <w:lastRenderedPageBreak/>
        <w:t>Catégorie C: Espèces migratrices d’oiseaux terrestres d'Afrique -Eurasie (classification de l'UICN Préoccupation mineure) avec  des tendances démographiques mondiales croissantes, stables ou inconnu</w:t>
      </w:r>
      <w:bookmarkEnd w:id="47"/>
      <w:r w:rsidRPr="001A2886">
        <w:rPr>
          <w:rFonts w:ascii="Cambria" w:eastAsia="Times New Roman" w:hAnsi="Cambria" w:cs="Times New Roman"/>
          <w:b/>
          <w:bCs/>
          <w:sz w:val="26"/>
          <w:szCs w:val="26"/>
          <w:lang w:val="fr-FR"/>
        </w:rPr>
        <w:t>es</w:t>
      </w:r>
    </w:p>
    <w:p w:rsidR="000A5CE6" w:rsidRPr="001A2886" w:rsidRDefault="000A5CE6" w:rsidP="000A5CE6">
      <w:pPr>
        <w:spacing w:after="0" w:line="240" w:lineRule="auto"/>
        <w:rPr>
          <w:rFonts w:ascii="Times New Roman" w:eastAsia="Calibri" w:hAnsi="Times New Roman" w:cs="Times New Roman"/>
          <w:sz w:val="24"/>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7"/>
        <w:gridCol w:w="2423"/>
        <w:gridCol w:w="820"/>
        <w:gridCol w:w="1371"/>
        <w:gridCol w:w="1296"/>
        <w:gridCol w:w="1671"/>
        <w:gridCol w:w="669"/>
        <w:gridCol w:w="707"/>
        <w:gridCol w:w="3088"/>
      </w:tblGrid>
      <w:tr w:rsidR="000A5CE6" w:rsidRPr="000A3209" w:rsidTr="000A5CE6">
        <w:trPr>
          <w:trHeight w:val="705"/>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Scientific name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Common name</w:t>
            </w:r>
          </w:p>
        </w:tc>
        <w:tc>
          <w:tcPr>
            <w:tcW w:w="820"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2013 Red List</w:t>
            </w:r>
          </w:p>
        </w:tc>
        <w:tc>
          <w:tcPr>
            <w:tcW w:w="1371"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Global Population Trend</w:t>
            </w:r>
          </w:p>
        </w:tc>
        <w:tc>
          <w:tcPr>
            <w:tcW w:w="1296"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Sibley &amp; Monroe (1990, 1993)</w:t>
            </w:r>
          </w:p>
        </w:tc>
        <w:tc>
          <w:tcPr>
            <w:tcW w:w="1671"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Sibley &amp; Monroe Synonym</w:t>
            </w:r>
          </w:p>
        </w:tc>
        <w:tc>
          <w:tcPr>
            <w:tcW w:w="669"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CMS Appx I</w:t>
            </w:r>
          </w:p>
        </w:tc>
        <w:tc>
          <w:tcPr>
            <w:tcW w:w="707"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CMS Appx II</w:t>
            </w:r>
          </w:p>
        </w:tc>
        <w:tc>
          <w:tcPr>
            <w:tcW w:w="3088" w:type="dxa"/>
            <w:hideMark/>
          </w:tcPr>
          <w:p w:rsidR="000A5CE6" w:rsidRPr="000A5CE6" w:rsidRDefault="000A5CE6" w:rsidP="000A5CE6">
            <w:pPr>
              <w:spacing w:after="0" w:line="240" w:lineRule="auto"/>
              <w:contextualSpacing/>
              <w:rPr>
                <w:rFonts w:ascii="Times New Roman" w:eastAsia="Calibri" w:hAnsi="Times New Roman" w:cs="Times New Roman"/>
                <w:b/>
                <w:bCs/>
                <w:sz w:val="16"/>
                <w:szCs w:val="16"/>
                <w:lang w:val="en-US" w:eastAsia="en-GB"/>
              </w:rPr>
            </w:pPr>
            <w:r w:rsidRPr="000A5CE6">
              <w:rPr>
                <w:rFonts w:ascii="Times New Roman" w:eastAsia="Calibri" w:hAnsi="Times New Roman" w:cs="Times New Roman"/>
                <w:b/>
                <w:bCs/>
                <w:sz w:val="16"/>
                <w:szCs w:val="16"/>
                <w:lang w:val="en-US" w:eastAsia="en-GB"/>
              </w:rPr>
              <w:t xml:space="preserve">Member of a family (Morony </w:t>
            </w:r>
            <w:r w:rsidRPr="000A5CE6">
              <w:rPr>
                <w:rFonts w:ascii="Times New Roman" w:eastAsia="Calibri" w:hAnsi="Times New Roman" w:cs="Times New Roman"/>
                <w:b/>
                <w:bCs/>
                <w:i/>
                <w:iCs/>
                <w:sz w:val="16"/>
                <w:szCs w:val="16"/>
                <w:lang w:val="en-US" w:eastAsia="en-GB"/>
              </w:rPr>
              <w:t>et al</w:t>
            </w:r>
            <w:r w:rsidRPr="000A5CE6">
              <w:rPr>
                <w:rFonts w:ascii="Times New Roman" w:eastAsia="Calibri" w:hAnsi="Times New Roman" w:cs="Times New Roman"/>
                <w:b/>
                <w:bCs/>
                <w:sz w:val="16"/>
                <w:szCs w:val="16"/>
                <w:lang w:val="en-US" w:eastAsia="en-GB"/>
              </w:rPr>
              <w:t>. 1975) listed on CMS Appx II</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Turnix tanki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Yellow-legged Buttonquail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Ortyxelos meiffrenii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Lark Buttonquail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Cursorius cursor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Cream-coloured Courser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Syrrhaptes paradoxus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Pallas's Sandgrouse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Pterocles alchata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Pin-tailed Sandgrouse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Pterocles namaqua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Namaqua Sandgrouse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Pterocles senegallus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Spotted Sandgrouse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Columba leuconota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Snow 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Columba oenas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Stock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Columba palumbus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Wood-pigeon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Columba hodgsonii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Speckled Wood-pigeon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orientalis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Oriental Turtle-dove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vinacea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Vinaceous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capicola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Ring-necked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tranquebarica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 Collared-dove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semitorquata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Red-eyed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decaocto</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Collared-dove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roseogrisea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Collared-dove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Stigmatopelia senegalensis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Laughing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senegalensis</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Stigmatopelia chinensis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Spotted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Streptopelia chinensis</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Macropygia unchall</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Barred Cuckoo-dove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Turtur abyssinicus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Black-billed Wood-dove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Turtur afer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Blue-spotted Wood-dove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Turtur tympanistria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Tambourine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 capensis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Namaqua Dove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Treron curvirostra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Thick-billed Green-pigeon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Treron apicauda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Pin-tailed Green-pigeon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Loriculus vernalis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Vernal Hanging-parrot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Clamator jacobinus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Pied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Oxylophus jacobinus</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Clamator levaillantii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Levaillant's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Oxylophus levaillantii</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Clamator coromandus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Chestnut-winged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Clamator glandarius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Great Spotted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sparverioides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Large Hawk-cuckoo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varius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Hawk-cuckoo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fugax</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Hodgson's Hawk-cuckoo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solitarius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Red-chested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clamosus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micropterus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Indian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gularis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saturatus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Himalayan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optatus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Oriental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poliocephalus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Lesser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Cuculus rochii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Madagascar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Cacomantis sonneratii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Banded Bay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Cacomantis passerinus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Grey-bellied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Cacomantis merulinus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Plaintive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Chrysococcyx maculatus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Emerald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Chrysococcyx xanthorhynchus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Violet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Chrysococcyx klaas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Klaas's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Chrysococcyx cupreus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Emerald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Chrysococcyx caprius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Didric Cuckoo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Eudynamys scolopaceus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Koel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Eudynamys scolopacea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Caprimulgus indicus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Caprimulgus rufigena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Rufous-cheeked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Caprimulgus mahrattensis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Sykes's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Caprimulgus inornatus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Plain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Caprimulgus climacurus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Long-tailed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Caprimulgus fossii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Square-tailed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Macrodipteryx longipennis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Standard-winged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Macrodipteryx vexillarius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Pennant-winged Nightjar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Collocalia brevirostris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Himalayan Swiftlet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Hirundapus caudacutus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White-throated Needletail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Hirundapus cochinchinensis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Silver-backed Needletail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Tachymarptis melba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Alpine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Tachymarptis aequatorialis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Mottled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unicolor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Plain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niansae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Nyanza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pallidus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Pallid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barbatus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Black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berliozi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Forbes-Watson's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pacificus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Fork-tailed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affinis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Little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Apus caffer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White-rumped Swift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Coracias abyssinicus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Abyssinian Roller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Coracias abyssinica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Eurystomus glaucurus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Broad-billed Roller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Halcyon leucocephala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Grey-headed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Halcyon senegalensis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Woodland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Ceyx pictus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Pygmy-kingfisher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Ispidina picta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Alcedo atthis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Kingfisher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Merops albicollis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White-throated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Merops orientalis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Little Green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Merops persicus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Blue-cheeked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Merops superciliosus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Madagascar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Merops philippinus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Blue-tailed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Merops leschenaulti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Chestnut-headed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Merops malimbicus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Rosy Bee-eater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Picoides tridactylus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Three-toed Woodpecker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Dryocopus martius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 Woodpecker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Batis capensis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Cape Batis</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Batis pririt</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Pririt Batis</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Artamus fuscus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Ashy Woodswallow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Artamus leucorynchus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White-breasted Woodswallow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Coracina melaschistos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Black-winged Cuckooshrike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Coracina melanoptera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Black-headed Cuckooshrike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Pericrocotus roseus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Rosy Minivet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Pericrocotus divaricatus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Ashy Minivet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Pericrocotus ethologus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Long-tailed Minivet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isabellinus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Rufous-tailed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collurioides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Burmese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vittatus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Bay-backed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schach</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Long-tailed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tephronotus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Grey-backed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excubitor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Great Grey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Lanius sphenocercus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Chinese Grey Shrike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Oriolus oriolus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Golden Oriole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Oriolus auratus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Golden Oriole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Oriolus chinensis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Black-naped Oriole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Oriolus tenuirostris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Slender-billed Oriole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Oriolus traillii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Maroon Oriole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Dicrurus macrocercus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 Drongo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Dicrurus leucophaeus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Ashy Drongo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Dicrurus annectans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Crow-billed Drongo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Dicrurus hottentottus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Hair-crested Drongo</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Hypothymis azurea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Black-naped Monarch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Terpsiphone viridis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Paradise-flycatcher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Terpsiphone paradisi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Paradise-flycatcher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Pica pica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Black-billed Magpie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Corvus monedula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Jackdaw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Corvus dauuricus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Daurian Jackdaw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Corvus corax</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Raven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Hypocolius ampelinus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 Hypocolius</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Parus ater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Coal 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Parus caeruleus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 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Remiz pendulinus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Penduline-tit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Remiz macronyx</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Black-headed Penduline-tit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Remiz consobrinus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Chinese Penduline-tit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Cephalopyrus flammiceps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Fire-capped 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Psalidoprocne albiceps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White-headed Saw-wing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Psalidoprocne obscura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Fanti Saw-wing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Phedina borbonica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Mascarene 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Riparia cincta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Banded 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rupestris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Crag-martin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obsoleta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Pale Crag-martin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fuligula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Rock 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aethiopica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Ethiopian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angolensis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Angola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albigularis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White-throated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Hirundo smithii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Wire-tailed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leucosoma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Pied-winged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dimidiata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Pearl-breasted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cucullata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Greater Striped-swallow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abyssinica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Lesser Striped-swallow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semirufa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Rufous-chested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senegalensis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Mosque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daurica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Red-rumped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rufigula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Red-throated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spilodera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South African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Hirundo fluvicola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Streak-throated Swallow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Delichon dasypus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House-martin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Aegithalos caudatus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Long-tailed Tit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Pinarocorys erythropygia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Rufous-rumped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Pinarocorys nigricans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Dusky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Melanocorypha bimaculata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Bimaculated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Melanocorypha mongolica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Mongolian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Calandrella cinerea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Red-capped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Calandrella acutirostris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Hume's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Calandrella cheleensis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Short-toed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Lullula arborea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Wood 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Alauda japonica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Japanese Skylark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Cisticola juncidis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Zitting Cisticola</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Pycnonotus leucogenys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Himalayan Bulbul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Ixos amaurotis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Brown-eared Bulbul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Hypsipetes leucocephalus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Black Bulbul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Urosphena squameiceps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Stubtail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Cettia diphone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Japanese Bush-warbler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Cettia cetti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Cetti's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Bradypterus thoracicus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Spotted Bush-warbler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Bradypterus davidi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David's Bush-warbler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Bradypterus tacsanowskius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Chinese Bush-warbler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Locustella lanceolata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Lanceolated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Locustella fluviatilis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River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Locustella fasciolata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Gray's Grasshopper-warbler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melanopogon</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Moustached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bistrigiceps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Black-browed Reed-warbler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concinens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Blunt-winged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dumetorum</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Blyth's Reed-warbler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palustris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Marsh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orinus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Large-billed Reed-warbler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DD</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Acrocephalus stentoreus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Clamorous Reed-warbler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caligata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Booted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rama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Sykes's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pallida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Eastern Olivaceous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opaca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Western Olivaceous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languida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Upcher's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olivetorum</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Olive-tree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Hippolais polyglotta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Melodious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collybita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Chiffchaff</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ibericus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Iberian Chiffchaff</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sindianus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Mountain Chiffchaff</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neglectus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Plain Leaf-warbler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bonelli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Bonelli's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fuscatus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Dusky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affinis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Tickell's Leaf-warbler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griseolus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Sulphur-bellied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schwarzi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Radde's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Phylloscopus proregulus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Lemon-rumped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inornatus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Inornate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humei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Hume's Leaf-warbler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borealis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Arctic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trochiloides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Greenish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tenellipes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Pale-legged Leaf-warbler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borealoides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Sakhalin Leaf-warbler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magnirostris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Large-billed Leaf-warbler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occipitalis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Western Crowned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coronatus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Eastern Crowned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Phylloscopus claudiae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Claudia's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Seicercus burkii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Green-crowned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Seicercus tephrocephalus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Grey-crowned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atricapilla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Blackcap</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curruca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Lesser Whitethroat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minula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Small Whitethroat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althaea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Hume's Whitethroat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nana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Desert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nisoria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Barred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rueppelli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Rueppell's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melanocephala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Sardinian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cantillans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Subalpine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mystacea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Menetries's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deserticola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Tristram's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Sylvia sarda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Marmora's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Panurus biarmicus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Bearded Parrotbill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Regulus ignicapilla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Firecrest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Troglodytes troglodytes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Winter Wren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Tichodroma muraria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Wallcreeper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Sturnus pagodarum</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Brahminy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Sturnus sturninus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Purple-backed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Sturnus philippensis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Chestnut-cheeked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Sturnus sinensis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White-shouldered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Sturnus roseus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Rosy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Sturnus vulgaris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Sturnus cineraceus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White-cheeked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Lamprotornis splendidus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Splendid Glossy-starling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Lamprotornis shelleyi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Shelley's Starling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Catharus minimus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Grey-cheeked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hortulorum</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Grey-backed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unicolor</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Tickell's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cardis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Japanese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merula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Eurasian Blackbird</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obscurus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Eyebrowed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pallidus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Pale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chrysolaus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Brown-headed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ruficollis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Dark-throated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naumanni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Dusky 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Unknown</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Turdus pilaris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Fieldfare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Erithacus rubecula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European 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Erithacus akahige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Japanese 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Luscinia sibilans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Rufous-tailed 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Luscinia luscinia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Thrush Nightingale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Luscinia megarhynchos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Nightingale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Luscinia calliope</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Siberian Rubythroat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Luscinia pectoralis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White-tailed Rubythroat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Luscinia svecica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Bluethroat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Tarsiger cyanurus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Orange-flanked Bush-robin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Tarsiger chrysaeus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Golden Bush-robin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Irania gutturalis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White-throated 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Erythropygia galactotes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Rufous-tailed Scrub-robin</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Cercotrichas galactotes</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erythronotus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Rufous-backed Redstart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erythronota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ochruros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 Redstart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phoenicurus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Redstart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hodgsoni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Hodgson's Redstart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auroreus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Daurian Redstart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erythrogastrus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White-winged Redstart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Phoenicurus erythrogaster</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Saxicola torquatus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Stonechat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Saxicola torquata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Saxicola caprata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Pied Bushchat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finschii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Finsch's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picata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Variable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pleschanka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Pied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cypriaca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Cyprus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xanthoprymna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Kurdish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chrysopygia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Red-tailed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deserti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Desert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Oenanthe isabellina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Isabelline Wheatear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Monticola saxatilis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Rufous-tailed Rock-thrush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Monticola cinclorhynchus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Blue-capped Rock-thrush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Monticola gularis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White-throated Rock-thrush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Monticola rufiventris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Chestnut-bellied Rock-thrush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Monticola solitarius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 Rock-thrush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Muscicapa griseisticta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Grey-streaked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Muscicapa sibirica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Dark-sided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Muscicapa dauurica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Brown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Muscicapa ruficauda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Rusty-tailed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Stenostira scita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Fairy Warbler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albicollis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Collared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zanthopygia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Yellow-rumped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narcissina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Narcissus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mugimaki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Mugimaki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hodgsonii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Slaty-backed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strophiata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Rufous-gorgeted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parva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Red-breasted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albicilla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Taiga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Ficedula superciliaris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Ultramarine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Cyanoptila cyanomelana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Blue-and-white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Eumyias thalassinus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Verditer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Eumyias thalassina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Cyornis rubeculoides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Blue-throated 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Cyornis magnirostris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Large Blue-flycatcher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Yes</w:t>
            </w:r>
          </w:p>
        </w:tc>
      </w:tr>
      <w:tr w:rsidR="000A5CE6" w:rsidRPr="000A5CE6" w:rsidTr="000A5CE6">
        <w:trPr>
          <w:trHeight w:val="300"/>
        </w:trPr>
        <w:tc>
          <w:tcPr>
            <w:tcW w:w="2097"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Passer hispaniolensis</w:t>
            </w:r>
          </w:p>
        </w:tc>
        <w:tc>
          <w:tcPr>
            <w:tcW w:w="2423"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Spanish Sparrow</w:t>
            </w:r>
          </w:p>
        </w:tc>
        <w:tc>
          <w:tcPr>
            <w:tcW w:w="820"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Passer moabiticus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Dead Sea Sparrow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Petronia brachydactyla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Pale Rock Sparrow</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Carpospiza brachydactyla</w:t>
            </w: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Prunella montanella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Siberian Accentor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Prunella atrogularis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Black-throated Accentor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Prunella collaris</w:t>
            </w:r>
          </w:p>
        </w:tc>
        <w:tc>
          <w:tcPr>
            <w:tcW w:w="2423"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Alpine Accentor</w:t>
            </w:r>
          </w:p>
        </w:tc>
        <w:tc>
          <w:tcPr>
            <w:tcW w:w="820"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Prunella modularis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Hedge Accentor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Prunella rubida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Japanese Accentor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Dendronanthus indicus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Forest Wagtail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Motacilla citreola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Citrine Wagtail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Motacilla cinerea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 Wagtail</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Tmetothylacus tenellus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Golden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richardi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Richard's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hoeschi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Mountain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Anthus campestris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Tawny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godlewskii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Blyth's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hodgsoni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Olive-backed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gustavi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Pechora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cervinus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Red-throated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roseatus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Rosy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petrosus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Rock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Anthus spinoletta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Water Pipit</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Carduelis sinica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Grey-capped Greenfinch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Carduelis spinoides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Yellow-breasted Greenfinch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Carduelis carduelis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European Goldfinch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Carduelis flavirostris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Twite</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Leucosticte nemoricola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Plain Mountain-finch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Leucosticte brandti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Black-headed Mountain-finch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Rhodopechys sanguineus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Asian Crimson-winged 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Rhodopechys alienus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African Crimson-winged 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Uragus sibiricus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Long-tailed Rosefinch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Carpodacus erythrinus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Common Rosefinch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Carpodacus roseus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Pallas's Rosefinch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Coccothraustes coccothraustes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Hawfinch</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Eophona migratoria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Yellow-billed Grosbeak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Eophona personata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Japanese Grosbeak</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leucocephalos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Pine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stewarti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Chestnut-breasted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buchanani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Grey-necked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caesia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Cretzschmar's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cia</w:t>
            </w:r>
          </w:p>
        </w:tc>
        <w:tc>
          <w:tcPr>
            <w:tcW w:w="2423"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Rock Bunting</w:t>
            </w:r>
          </w:p>
        </w:tc>
        <w:tc>
          <w:tcPr>
            <w:tcW w:w="820"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tristrami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Tristram's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lastRenderedPageBreak/>
              <w:t>Emberiza fucata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Chestnut-eared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pusilla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Little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chrysophrys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Yellow-browed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rutila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Chestnut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bruniceps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Red-headed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spodocephala</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Black-faced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variabilis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Grey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Emberiza pallasi</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Pallas's Bunting</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Calcarius lapponicus</w:t>
            </w:r>
          </w:p>
        </w:tc>
        <w:tc>
          <w:tcPr>
            <w:tcW w:w="2423"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Lapland Longspur</w:t>
            </w:r>
          </w:p>
        </w:tc>
        <w:tc>
          <w:tcPr>
            <w:tcW w:w="820"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Increasing</w:t>
            </w:r>
          </w:p>
        </w:tc>
        <w:tc>
          <w:tcPr>
            <w:tcW w:w="1296"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Y</w:t>
            </w:r>
          </w:p>
        </w:tc>
        <w:tc>
          <w:tcPr>
            <w:tcW w:w="1671" w:type="dxa"/>
            <w:noWrap/>
            <w:hideMark/>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hideMark/>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r w:rsidR="000A5CE6" w:rsidRPr="000A5CE6" w:rsidTr="000A5CE6">
        <w:trPr>
          <w:trHeight w:val="300"/>
        </w:trPr>
        <w:tc>
          <w:tcPr>
            <w:tcW w:w="2097"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r w:rsidRPr="000A5CE6">
              <w:rPr>
                <w:rFonts w:ascii="Times New Roman" w:eastAsia="Calibri" w:hAnsi="Times New Roman" w:cs="Times New Roman"/>
                <w:i/>
                <w:sz w:val="16"/>
                <w:szCs w:val="16"/>
                <w:lang w:val="en-US" w:eastAsia="en-GB"/>
              </w:rPr>
              <w:t>Cinclus cinclus</w:t>
            </w:r>
          </w:p>
        </w:tc>
        <w:tc>
          <w:tcPr>
            <w:tcW w:w="2423"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White-throated Dipper</w:t>
            </w:r>
          </w:p>
        </w:tc>
        <w:tc>
          <w:tcPr>
            <w:tcW w:w="820"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LC</w:t>
            </w:r>
          </w:p>
        </w:tc>
        <w:tc>
          <w:tcPr>
            <w:tcW w:w="1371"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r w:rsidRPr="000A5CE6">
              <w:rPr>
                <w:rFonts w:ascii="Times New Roman" w:eastAsia="Calibri" w:hAnsi="Times New Roman" w:cs="Times New Roman"/>
                <w:sz w:val="16"/>
                <w:szCs w:val="16"/>
                <w:lang w:val="en-US" w:eastAsia="en-GB"/>
              </w:rPr>
              <w:t>Stable</w:t>
            </w:r>
          </w:p>
        </w:tc>
        <w:tc>
          <w:tcPr>
            <w:tcW w:w="1296"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1671" w:type="dxa"/>
            <w:noWrap/>
          </w:tcPr>
          <w:p w:rsidR="000A5CE6" w:rsidRPr="000A5CE6" w:rsidRDefault="000A5CE6" w:rsidP="000A5CE6">
            <w:pPr>
              <w:spacing w:after="0" w:line="240" w:lineRule="auto"/>
              <w:contextualSpacing/>
              <w:rPr>
                <w:rFonts w:ascii="Times New Roman" w:eastAsia="Calibri" w:hAnsi="Times New Roman" w:cs="Times New Roman"/>
                <w:i/>
                <w:sz w:val="16"/>
                <w:szCs w:val="16"/>
                <w:lang w:val="en-US" w:eastAsia="en-GB"/>
              </w:rPr>
            </w:pPr>
          </w:p>
        </w:tc>
        <w:tc>
          <w:tcPr>
            <w:tcW w:w="669"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707"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c>
          <w:tcPr>
            <w:tcW w:w="3088" w:type="dxa"/>
            <w:noWrap/>
          </w:tcPr>
          <w:p w:rsidR="000A5CE6" w:rsidRPr="000A5CE6" w:rsidRDefault="000A5CE6" w:rsidP="000A5CE6">
            <w:pPr>
              <w:spacing w:after="0" w:line="240" w:lineRule="auto"/>
              <w:contextualSpacing/>
              <w:rPr>
                <w:rFonts w:ascii="Times New Roman" w:eastAsia="Calibri" w:hAnsi="Times New Roman" w:cs="Times New Roman"/>
                <w:sz w:val="16"/>
                <w:szCs w:val="16"/>
                <w:lang w:val="en-US" w:eastAsia="en-GB"/>
              </w:rPr>
            </w:pPr>
          </w:p>
        </w:tc>
      </w:tr>
    </w:tbl>
    <w:p w:rsidR="000A5CE6" w:rsidRPr="000A5CE6" w:rsidRDefault="000A5CE6" w:rsidP="000A5CE6">
      <w:pPr>
        <w:spacing w:after="0" w:line="240" w:lineRule="auto"/>
        <w:rPr>
          <w:rFonts w:ascii="Times New Roman" w:eastAsia="Calibri" w:hAnsi="Times New Roman" w:cs="Times New Roman"/>
          <w:sz w:val="24"/>
          <w:lang w:val="en-US"/>
        </w:rPr>
      </w:pPr>
    </w:p>
    <w:p w:rsidR="000A5CE6" w:rsidRPr="000A5CE6" w:rsidRDefault="000A5CE6" w:rsidP="000A5CE6">
      <w:pPr>
        <w:spacing w:after="120" w:line="360" w:lineRule="auto"/>
        <w:ind w:left="720"/>
        <w:jc w:val="both"/>
        <w:rPr>
          <w:rFonts w:ascii="Calibri" w:eastAsia="Calibri" w:hAnsi="Calibri" w:cs="Times New Roman"/>
          <w:lang w:val="fr-FR"/>
        </w:rPr>
        <w:sectPr w:rsidR="000A5CE6" w:rsidRPr="000A5CE6" w:rsidSect="000A5CE6">
          <w:headerReference w:type="even" r:id="rId30"/>
          <w:headerReference w:type="default" r:id="rId31"/>
          <w:footerReference w:type="even" r:id="rId32"/>
          <w:footerReference w:type="default" r:id="rId33"/>
          <w:headerReference w:type="first" r:id="rId34"/>
          <w:footerReference w:type="first" r:id="rId35"/>
          <w:pgSz w:w="16840" w:h="11907" w:orient="landscape" w:code="9"/>
          <w:pgMar w:top="1440" w:right="1440" w:bottom="1440" w:left="1440" w:header="720" w:footer="720" w:gutter="0"/>
          <w:cols w:space="720"/>
          <w:titlePg/>
          <w:docGrid w:linePitch="360"/>
        </w:sectPr>
      </w:pPr>
    </w:p>
    <w:p w:rsidR="000A5CE6" w:rsidRPr="000A5CE6" w:rsidRDefault="000A5CE6" w:rsidP="000A5CE6">
      <w:pPr>
        <w:spacing w:after="0" w:line="240" w:lineRule="auto"/>
        <w:jc w:val="right"/>
        <w:rPr>
          <w:rFonts w:ascii="Calibri" w:eastAsia="Calibri" w:hAnsi="Calibri" w:cs="Times New Roman"/>
          <w:b/>
          <w:lang w:val="fr-FR"/>
        </w:rPr>
      </w:pPr>
      <w:r w:rsidRPr="000A5CE6">
        <w:rPr>
          <w:rFonts w:ascii="Calibri" w:eastAsia="Calibri" w:hAnsi="Calibri" w:cs="Times New Roman"/>
          <w:b/>
          <w:lang w:val="fr-FR"/>
        </w:rPr>
        <w:lastRenderedPageBreak/>
        <w:t>Annexe 4</w:t>
      </w:r>
    </w:p>
    <w:p w:rsidR="000A5CE6" w:rsidRPr="000A5CE6" w:rsidRDefault="000A5CE6" w:rsidP="000A5CE6">
      <w:pPr>
        <w:spacing w:after="0" w:line="240" w:lineRule="auto"/>
        <w:jc w:val="center"/>
        <w:rPr>
          <w:rFonts w:ascii="Times New Roman" w:eastAsia="Calibri" w:hAnsi="Times New Roman" w:cs="Times New Roman"/>
          <w:b/>
          <w:sz w:val="20"/>
          <w:szCs w:val="20"/>
          <w:lang w:val="fr-FR"/>
        </w:rPr>
      </w:pPr>
      <w:r w:rsidRPr="000A5CE6">
        <w:rPr>
          <w:rFonts w:ascii="Times New Roman" w:eastAsia="Calibri" w:hAnsi="Times New Roman" w:cs="Times New Roman"/>
          <w:b/>
          <w:sz w:val="20"/>
          <w:szCs w:val="20"/>
          <w:lang w:val="fr-FR"/>
        </w:rPr>
        <w:t xml:space="preserve">Plan d’action pour les oiseaux terrestres migrateurs d’Afrique-Eurasie </w:t>
      </w:r>
    </w:p>
    <w:p w:rsidR="000A5CE6" w:rsidRPr="000A5CE6" w:rsidRDefault="000A5CE6" w:rsidP="000A5CE6">
      <w:pPr>
        <w:spacing w:after="0" w:line="240" w:lineRule="auto"/>
        <w:jc w:val="center"/>
        <w:rPr>
          <w:rFonts w:ascii="Times New Roman" w:eastAsia="Calibri" w:hAnsi="Times New Roman" w:cs="Times New Roman"/>
          <w:b/>
          <w:sz w:val="20"/>
          <w:szCs w:val="20"/>
          <w:lang w:val="fr-FR"/>
        </w:rPr>
      </w:pPr>
      <w:r w:rsidRPr="000A5CE6">
        <w:rPr>
          <w:rFonts w:ascii="Times New Roman" w:eastAsia="Calibri" w:hAnsi="Times New Roman" w:cs="Times New Roman"/>
          <w:b/>
          <w:sz w:val="20"/>
          <w:szCs w:val="20"/>
          <w:lang w:val="fr-FR"/>
        </w:rPr>
        <w:t xml:space="preserve">Annexe 4 : Tableau des contributions aux politiques de conservation </w:t>
      </w:r>
    </w:p>
    <w:p w:rsidR="000A5CE6" w:rsidRPr="000A5CE6" w:rsidRDefault="000A5CE6" w:rsidP="000A5CE6">
      <w:pPr>
        <w:spacing w:after="0" w:line="240" w:lineRule="auto"/>
        <w:jc w:val="center"/>
        <w:rPr>
          <w:rFonts w:ascii="Times New Roman" w:eastAsia="Calibri" w:hAnsi="Times New Roman" w:cs="Times New Roman"/>
          <w:sz w:val="20"/>
          <w:szCs w:val="20"/>
          <w:lang w:val="en-US"/>
        </w:rPr>
      </w:pPr>
      <w:r w:rsidRPr="000A5CE6">
        <w:rPr>
          <w:rFonts w:ascii="Times New Roman" w:eastAsia="Calibri" w:hAnsi="Times New Roman" w:cs="Times New Roman"/>
          <w:sz w:val="20"/>
          <w:szCs w:val="20"/>
          <w:lang w:val="en-US"/>
        </w:rPr>
        <w:t>Version 28-04-2014</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1346"/>
        <w:gridCol w:w="1843"/>
        <w:gridCol w:w="1842"/>
        <w:gridCol w:w="1843"/>
        <w:gridCol w:w="1843"/>
        <w:gridCol w:w="2977"/>
      </w:tblGrid>
      <w:tr w:rsidR="000A5CE6" w:rsidRPr="000A5CE6" w:rsidTr="000A5CE6">
        <w:trPr>
          <w:trHeight w:val="20"/>
          <w:tblHeader/>
        </w:trPr>
        <w:tc>
          <w:tcPr>
            <w:tcW w:w="2448" w:type="dxa"/>
            <w:vMerge w:val="restart"/>
            <w:shd w:val="clear" w:color="auto" w:fill="EAF1DD"/>
            <w:vAlign w:val="center"/>
          </w:tcPr>
          <w:p w:rsidR="000A5CE6" w:rsidRPr="000A5CE6" w:rsidRDefault="000A5CE6" w:rsidP="000A5CE6">
            <w:pPr>
              <w:spacing w:after="0" w:line="240" w:lineRule="auto"/>
              <w:rPr>
                <w:rFonts w:ascii="Times New Roman" w:eastAsia="Calibri" w:hAnsi="Times New Roman" w:cs="Times New Roman"/>
                <w:b/>
                <w:sz w:val="20"/>
                <w:szCs w:val="20"/>
                <w:lang w:val="fr-FR"/>
              </w:rPr>
            </w:pPr>
            <w:r w:rsidRPr="000A5CE6">
              <w:rPr>
                <w:rFonts w:ascii="Times New Roman" w:eastAsia="Calibri" w:hAnsi="Times New Roman" w:cs="Times New Roman"/>
                <w:b/>
                <w:sz w:val="20"/>
                <w:szCs w:val="20"/>
                <w:lang w:val="fr-FR"/>
              </w:rPr>
              <w:t xml:space="preserve">Actions AEMLAP </w:t>
            </w:r>
          </w:p>
        </w:tc>
        <w:tc>
          <w:tcPr>
            <w:tcW w:w="11694" w:type="dxa"/>
            <w:gridSpan w:val="6"/>
            <w:shd w:val="clear" w:color="auto" w:fill="EAF1DD"/>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 xml:space="preserve">Politiques internationales </w:t>
            </w:r>
          </w:p>
        </w:tc>
      </w:tr>
      <w:tr w:rsidR="000A5CE6" w:rsidRPr="000A5CE6" w:rsidTr="000A5CE6">
        <w:trPr>
          <w:trHeight w:val="20"/>
          <w:tblHeader/>
        </w:trPr>
        <w:tc>
          <w:tcPr>
            <w:tcW w:w="2448" w:type="dxa"/>
            <w:vMerge/>
            <w:shd w:val="clear" w:color="auto" w:fill="EAF1DD"/>
          </w:tcPr>
          <w:p w:rsidR="000A5CE6" w:rsidRPr="000A5CE6" w:rsidRDefault="000A5CE6" w:rsidP="000A5CE6">
            <w:pPr>
              <w:spacing w:after="0" w:line="240" w:lineRule="auto"/>
              <w:rPr>
                <w:rFonts w:ascii="Times New Roman" w:eastAsia="Calibri" w:hAnsi="Times New Roman" w:cs="Times New Roman"/>
                <w:sz w:val="20"/>
                <w:szCs w:val="20"/>
                <w:lang w:val="fr-FR"/>
              </w:rPr>
            </w:pPr>
          </w:p>
        </w:tc>
        <w:tc>
          <w:tcPr>
            <w:tcW w:w="1346"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Principes et directives d'Addis-Abeba pour l'utilisation durable de la diversité</w:t>
            </w:r>
          </w:p>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biologique</w:t>
            </w:r>
            <w:r w:rsidRPr="000A5CE6">
              <w:rPr>
                <w:rFonts w:ascii="Times New Roman" w:eastAsia="Calibri" w:hAnsi="Times New Roman" w:cs="Arial"/>
                <w:color w:val="333333"/>
                <w:sz w:val="18"/>
                <w:szCs w:val="18"/>
                <w:vertAlign w:val="superscript"/>
                <w:lang w:val="fr-FR"/>
              </w:rPr>
              <w:footnoteReference w:id="9"/>
            </w:r>
            <w:r w:rsidRPr="000A5CE6">
              <w:rPr>
                <w:rFonts w:ascii="Times New Roman" w:eastAsia="Calibri" w:hAnsi="Times New Roman" w:cs="Arial"/>
                <w:color w:val="333333"/>
                <w:sz w:val="18"/>
                <w:szCs w:val="18"/>
                <w:lang w:val="fr-FR"/>
              </w:rPr>
              <w:t xml:space="preserve"> (CDB)</w:t>
            </w:r>
          </w:p>
        </w:tc>
        <w:tc>
          <w:tcPr>
            <w:tcW w:w="1843"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Plan stratégique 2011-2020 de la CDB</w:t>
            </w:r>
            <w:r w:rsidRPr="000A5CE6">
              <w:rPr>
                <w:rFonts w:ascii="Times New Roman" w:eastAsia="Calibri" w:hAnsi="Times New Roman" w:cs="Arial"/>
                <w:color w:val="333333"/>
                <w:sz w:val="18"/>
                <w:szCs w:val="18"/>
                <w:vertAlign w:val="superscript"/>
                <w:lang w:val="fr-FR"/>
              </w:rPr>
              <w:footnoteReference w:id="10"/>
            </w:r>
            <w:r w:rsidRPr="000A5CE6">
              <w:rPr>
                <w:rFonts w:ascii="Times New Roman" w:eastAsia="Calibri" w:hAnsi="Times New Roman" w:cs="Arial"/>
                <w:color w:val="333333"/>
                <w:sz w:val="18"/>
                <w:szCs w:val="18"/>
                <w:lang w:val="fr-FR"/>
              </w:rPr>
              <w:t xml:space="preserve"> </w:t>
            </w:r>
            <w:r w:rsidRPr="000A5CE6">
              <w:rPr>
                <w:rFonts w:ascii="Times New Roman" w:eastAsia="Calibri" w:hAnsi="Times New Roman" w:cs="Times New Roman"/>
                <w:sz w:val="18"/>
                <w:szCs w:val="18"/>
                <w:lang w:val="fr-FR"/>
              </w:rPr>
              <w:t>&amp; décisions associées</w:t>
            </w:r>
          </w:p>
        </w:tc>
        <w:tc>
          <w:tcPr>
            <w:tcW w:w="1842"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Plan stratégique de la Convention de Ramsar</w:t>
            </w:r>
            <w:r w:rsidRPr="000A5CE6">
              <w:rPr>
                <w:rFonts w:ascii="Times New Roman" w:eastAsia="Calibri" w:hAnsi="Times New Roman" w:cs="Arial"/>
                <w:color w:val="333333"/>
                <w:sz w:val="18"/>
                <w:szCs w:val="18"/>
                <w:vertAlign w:val="superscript"/>
                <w:lang w:val="fr-FR"/>
              </w:rPr>
              <w:footnoteReference w:id="11"/>
            </w:r>
            <w:r w:rsidRPr="000A5CE6">
              <w:rPr>
                <w:rFonts w:ascii="Times New Roman" w:eastAsia="Calibri" w:hAnsi="Times New Roman" w:cs="Arial"/>
                <w:color w:val="333333"/>
                <w:sz w:val="18"/>
                <w:szCs w:val="18"/>
                <w:lang w:val="fr-FR"/>
              </w:rPr>
              <w:t xml:space="preserve"> </w:t>
            </w:r>
            <w:r w:rsidRPr="000A5CE6">
              <w:rPr>
                <w:rFonts w:ascii="Times New Roman" w:eastAsia="Calibri" w:hAnsi="Times New Roman" w:cs="Times New Roman"/>
                <w:sz w:val="18"/>
                <w:szCs w:val="18"/>
                <w:lang w:val="fr-FR"/>
              </w:rPr>
              <w:t>&amp; décisions associées</w:t>
            </w:r>
          </w:p>
        </w:tc>
        <w:tc>
          <w:tcPr>
            <w:tcW w:w="1843"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Directive de l’UE sur la conservation des oiseaux &amp; autres directives et réglementations de l’UE</w:t>
            </w:r>
            <w:r w:rsidRPr="000A5CE6">
              <w:rPr>
                <w:rFonts w:ascii="Times New Roman" w:eastAsia="Calibri" w:hAnsi="Times New Roman" w:cs="Arial"/>
                <w:color w:val="333333"/>
                <w:sz w:val="18"/>
                <w:szCs w:val="18"/>
                <w:vertAlign w:val="superscript"/>
                <w:lang w:val="fr-FR"/>
              </w:rPr>
              <w:footnoteReference w:id="12"/>
            </w:r>
          </w:p>
        </w:tc>
        <w:tc>
          <w:tcPr>
            <w:tcW w:w="1843" w:type="dxa"/>
            <w:shd w:val="clear" w:color="auto" w:fill="EAF1DD"/>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Plan d’action de l’AEWA (PA)</w:t>
            </w:r>
            <w:r w:rsidRPr="000A5CE6">
              <w:rPr>
                <w:rFonts w:ascii="Times New Roman" w:eastAsia="Calibri" w:hAnsi="Times New Roman" w:cs="Times New Roman"/>
                <w:sz w:val="18"/>
                <w:szCs w:val="18"/>
                <w:vertAlign w:val="superscript"/>
                <w:lang w:val="fr-FR"/>
              </w:rPr>
              <w:footnoteReference w:id="13"/>
            </w:r>
            <w:r w:rsidRPr="000A5CE6">
              <w:rPr>
                <w:rFonts w:ascii="Times New Roman" w:eastAsia="Calibri" w:hAnsi="Times New Roman" w:cs="Times New Roman"/>
                <w:sz w:val="18"/>
                <w:szCs w:val="18"/>
                <w:lang w:val="fr-FR"/>
              </w:rPr>
              <w:t xml:space="preserve"> 2013-2015, Plan stratégique (PS)</w:t>
            </w:r>
            <w:r w:rsidRPr="000A5CE6">
              <w:rPr>
                <w:rFonts w:ascii="Times New Roman" w:eastAsia="Calibri" w:hAnsi="Times New Roman" w:cs="Times New Roman"/>
                <w:sz w:val="18"/>
                <w:szCs w:val="18"/>
                <w:vertAlign w:val="superscript"/>
                <w:lang w:val="fr-FR"/>
              </w:rPr>
              <w:footnoteReference w:id="14"/>
            </w:r>
            <w:r w:rsidRPr="000A5CE6">
              <w:rPr>
                <w:rFonts w:ascii="Times New Roman" w:eastAsia="Calibri" w:hAnsi="Times New Roman" w:cs="Times New Roman"/>
                <w:sz w:val="18"/>
                <w:szCs w:val="18"/>
                <w:lang w:val="fr-FR"/>
              </w:rPr>
              <w:t xml:space="preserve"> 2009-2017 &amp; décisions associées</w:t>
            </w:r>
          </w:p>
        </w:tc>
        <w:tc>
          <w:tcPr>
            <w:tcW w:w="2977" w:type="dxa"/>
            <w:shd w:val="clear" w:color="auto" w:fill="EAF1DD"/>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Plan stratégique de la Convention sur les espèces migratrices</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 xml:space="preserve"> (PS)</w:t>
            </w:r>
            <w:r w:rsidRPr="000A5CE6">
              <w:rPr>
                <w:rFonts w:ascii="Times New Roman" w:eastAsia="Calibri" w:hAnsi="Times New Roman" w:cs="Times New Roman"/>
                <w:sz w:val="18"/>
                <w:szCs w:val="18"/>
                <w:vertAlign w:val="superscript"/>
                <w:lang w:val="fr-FR"/>
              </w:rPr>
              <w:footnoteReference w:id="15"/>
            </w:r>
            <w:r w:rsidRPr="000A5CE6">
              <w:rPr>
                <w:rFonts w:ascii="Times New Roman" w:eastAsia="Calibri" w:hAnsi="Times New Roman" w:cs="Times New Roman"/>
                <w:sz w:val="18"/>
                <w:szCs w:val="18"/>
                <w:lang w:val="fr-FR"/>
              </w:rPr>
              <w:t xml:space="preserve"> 2006-2011 &amp; décisions associées</w:t>
            </w:r>
          </w:p>
        </w:tc>
      </w:tr>
      <w:tr w:rsidR="000A5CE6" w:rsidRPr="000A5CE6" w:rsidTr="000A5CE6">
        <w:trPr>
          <w:trHeight w:val="20"/>
        </w:trPr>
        <w:tc>
          <w:tcPr>
            <w:tcW w:w="2448" w:type="dxa"/>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CONSERVATION DES HABITATS</w:t>
            </w:r>
          </w:p>
        </w:tc>
        <w:tc>
          <w:tcPr>
            <w:tcW w:w="134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Changements dans l’utilisation des terres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Agriculture intensive</w:t>
            </w:r>
          </w:p>
        </w:tc>
        <w:tc>
          <w:tcPr>
            <w:tcW w:w="134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1. Élaborer et mettre en œuvre de nouvelles politiques ou revoir les politiques existantes qui assurent le maintien et la gestion des habitats naturels et semi-naturels ayant une valeur pour les oiseaux terrestres migrateurs au sein de paysages gérés, récoltés ou </w:t>
            </w:r>
            <w:r w:rsidRPr="000A5CE6">
              <w:rPr>
                <w:rFonts w:ascii="Times New Roman" w:eastAsia="Calibri" w:hAnsi="Times New Roman" w:cs="Times New Roman"/>
                <w:sz w:val="20"/>
                <w:szCs w:val="20"/>
                <w:lang w:val="fr-FR"/>
              </w:rPr>
              <w:lastRenderedPageBreak/>
              <w:t>cultivés à grande échelle et/ou intensivement</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lastRenderedPageBreak/>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1</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5 &amp; 7</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1.3 &amp; 1.4</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3.2.4</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2.7</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2. Promouvoir des systèmes agricoles respectueux de la biodiversité</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3</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Programme de travail sur la biodiversité agricole</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3 &amp; 7P</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3.2.4</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3</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5 &amp; 7</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3.2.4</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 Entreprendre des Évaluations environnementales stratégiques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1.3</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1.3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4.3.1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7.2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2.8</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 Élaborer des stratégies d’aménagement du territoire, en utilisant une approche écosystémique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Principe pratique 11</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5, 7 &amp; 17</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1.3</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3.2.4</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2.9</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Agriculture traditionnelle, y compris le pastoralisme et les systèmes de culture à </w:t>
            </w:r>
            <w:r w:rsidRPr="000A5CE6">
              <w:rPr>
                <w:rFonts w:ascii="Times New Roman" w:eastAsia="Calibri" w:hAnsi="Times New Roman" w:cs="Times New Roman"/>
                <w:sz w:val="20"/>
                <w:szCs w:val="20"/>
                <w:lang w:val="fr-FR"/>
              </w:rPr>
              <w:lastRenderedPageBreak/>
              <w:t>petite échelle</w:t>
            </w:r>
          </w:p>
        </w:tc>
        <w:tc>
          <w:tcPr>
            <w:tcW w:w="134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6. Promouvoir des politiques agricoles qui soutiennent les pratiques de gestion participatives et durables des ressources naturelles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Principes pratiques 2, 9 &amp; 12</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Décision XI.22</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Times New Roman"/>
                <w:sz w:val="18"/>
                <w:szCs w:val="18"/>
                <w:lang w:val="fr-FR"/>
              </w:rPr>
              <w:t>Objectifs d’Aichi 3, 5, 7, 17 &amp; 18</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Stratégie 1.4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Principes pratiques 2, 9, 10 &amp; 12</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Décision XI.22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7 &amp; 18</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8. Faciliter le partage, au niveau international, d’expériences pertinentes et de bonnes pratiques pastorales et agricoles à petite échelle</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6</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18 &amp;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3.4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9. S’efforcer d’inclure les besoins des oiseaux migrateurs en termes d’habitat dans les initiatives existantes qui travaillent avec les agriculteurs el les </w:t>
            </w:r>
            <w:r w:rsidRPr="000A5CE6">
              <w:rPr>
                <w:rFonts w:ascii="Times New Roman" w:eastAsia="Calibri" w:hAnsi="Times New Roman" w:cs="Times New Roman"/>
                <w:sz w:val="20"/>
                <w:szCs w:val="20"/>
                <w:lang w:val="fr-FR"/>
              </w:rPr>
              <w:lastRenderedPageBreak/>
              <w:t>communautés locales,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7</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 xml:space="preserve">Bois et produits forestiers non ligneux </w:t>
            </w:r>
          </w:p>
        </w:tc>
        <w:tc>
          <w:tcPr>
            <w:tcW w:w="134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10. Inclure les besoins des oiseaux terrestres migrateurs en termes d’habitat dans l’élaboration et la mise en œuvre des plans nationaux de gestion intégrée des zones boisées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Gestion de l’eau</w:t>
            </w:r>
          </w:p>
        </w:tc>
        <w:tc>
          <w:tcPr>
            <w:tcW w:w="134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11. Mettre en œuvre et promouvoir largement les orientations de la Convention de Ramsar sur la gestion des zones humides et des bassins hydrographiques (résolution X.19),</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Décision XI.23</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Résolution X.19</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Stratégie 1.7</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12. Réglementer les menaces anthropiques susceptibles de provoquer la dégradation et/ou la perte de zones humides importantes pour les oiseaux terrestres migrateurs et initier des programmes de réhabilitation ou de </w:t>
            </w:r>
            <w:r w:rsidRPr="000A5CE6">
              <w:rPr>
                <w:rFonts w:ascii="Times New Roman" w:eastAsia="Calibri" w:hAnsi="Times New Roman" w:cs="Times New Roman"/>
                <w:sz w:val="20"/>
                <w:szCs w:val="20"/>
                <w:lang w:val="fr-FR"/>
              </w:rPr>
              <w:lastRenderedPageBreak/>
              <w:t>restauration, lorsque cela est possible et approprié.</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Programme de travail sur la biodiversité des eaux intérieures</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7 &amp; 17</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Times New Roman"/>
                <w:sz w:val="18"/>
                <w:szCs w:val="18"/>
                <w:lang w:val="fr-FR"/>
              </w:rPr>
              <w:t>Décision XI.16</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2</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Stratégie 1.8 &amp; 2.7</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w:t>
            </w:r>
            <w:r w:rsidRPr="000A5CE6">
              <w:rPr>
                <w:rFonts w:ascii="Times New Roman" w:eastAsia="Calibri" w:hAnsi="Times New Roman" w:cs="Times New Roman"/>
                <w:sz w:val="18"/>
                <w:szCs w:val="18"/>
                <w:lang w:val="en-US"/>
              </w:rPr>
              <w:t xml:space="preserve"> 3.3 &amp; 3.2.3</w:t>
            </w:r>
            <w:r w:rsidRPr="000A5CE6">
              <w:rPr>
                <w:rFonts w:ascii="Times New Roman" w:eastAsia="Calibri" w:hAnsi="Times New Roman" w:cs="Times New Roman"/>
                <w:sz w:val="18"/>
                <w:szCs w:val="18"/>
                <w:lang w:val="fr-FR"/>
              </w:rPr>
              <w:t xml:space="preserve"> </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Énergie</w:t>
            </w:r>
          </w:p>
        </w:tc>
        <w:tc>
          <w:tcPr>
            <w:tcW w:w="134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1.3</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Résolution 5.16</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4.3.5</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14. Veiller à ce qu’une approche stratégique soit adoptée concernant l’emplacement des projets alternatifs d’énergie renouvelable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1.3</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Résolution 5.16</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1.3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15. Instituer des politiques de gestion durable de l’utilisation des terres et de l’énergie,</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3</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4 &amp; 7</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1.3 &amp; 1.4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16. Chercher à réduire la dépendance à l’égard du </w:t>
            </w:r>
            <w:r w:rsidRPr="000A5CE6">
              <w:rPr>
                <w:rFonts w:ascii="Times New Roman" w:eastAsia="Calibri" w:hAnsi="Times New Roman" w:cs="Times New Roman"/>
                <w:sz w:val="20"/>
                <w:szCs w:val="20"/>
                <w:lang w:val="fr-FR"/>
              </w:rPr>
              <w:lastRenderedPageBreak/>
              <w:t>bois de chauffage</w:t>
            </w:r>
          </w:p>
          <w:p w:rsidR="000A5CE6" w:rsidRPr="000A5CE6" w:rsidRDefault="000A5CE6" w:rsidP="000A5CE6">
            <w:pPr>
              <w:spacing w:after="0" w:line="240" w:lineRule="auto"/>
              <w:rPr>
                <w:rFonts w:ascii="Times New Roman" w:eastAsia="Calibri" w:hAnsi="Times New Roman" w:cs="Times New Roman"/>
                <w:sz w:val="20"/>
                <w:szCs w:val="20"/>
                <w:lang w:val="fr-FR"/>
              </w:rPr>
            </w:pP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7</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17. Veiller à ce que les nouveaux réservoirs hydroélectriques prévus et les autres ouvrages modifiant l’hydrologie naturelle fassent l’objet d’études rigoureuses des impacts environnementaux</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1.3 &amp; 1.7</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Résolution 5.16</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1.3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4.3.1</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7.2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2.8</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18. Atténuer les impacts des barrages hydroélectriques existants en permettant des décharges et des inondations artificielles bien gérées en aval</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9</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Résolution X.19</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1.7</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Re-végétalisation (y compris reboisement) et réduction de la désertification et des émissions de carbone dues à la déforestation et à la dégradation des habitats</w:t>
            </w:r>
          </w:p>
        </w:tc>
        <w:tc>
          <w:tcPr>
            <w:tcW w:w="134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5B0A82"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19. Encourager, dans les initiatives de boisement ou de reboisement</w:t>
            </w:r>
            <w:proofErr w:type="gramStart"/>
            <w:r w:rsidRPr="000A5CE6">
              <w:rPr>
                <w:rFonts w:ascii="Times New Roman" w:eastAsia="Calibri" w:hAnsi="Times New Roman" w:cs="Times New Roman"/>
                <w:sz w:val="20"/>
                <w:szCs w:val="20"/>
                <w:lang w:val="fr-FR"/>
              </w:rPr>
              <w:t>,l’utilisation</w:t>
            </w:r>
            <w:proofErr w:type="gramEnd"/>
            <w:r w:rsidRPr="000A5CE6">
              <w:rPr>
                <w:rFonts w:ascii="Times New Roman" w:eastAsia="Calibri" w:hAnsi="Times New Roman" w:cs="Times New Roman"/>
                <w:sz w:val="20"/>
                <w:szCs w:val="20"/>
                <w:lang w:val="fr-FR"/>
              </w:rPr>
              <w:t xml:space="preserve"> d’arbres ou d’autres plantes autochtones ayant une </w:t>
            </w:r>
            <w:r w:rsidRPr="000A5CE6">
              <w:rPr>
                <w:rFonts w:ascii="Times New Roman" w:eastAsia="Calibri" w:hAnsi="Times New Roman" w:cs="Times New Roman"/>
                <w:sz w:val="20"/>
                <w:szCs w:val="20"/>
                <w:lang w:val="fr-FR"/>
              </w:rPr>
              <w:lastRenderedPageBreak/>
              <w:t>grande valeur pour les oiseaux terrestres migrateurs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20. Incorporer les considérations relatives à la conservation des oiseaux terrestres migrateurs dans les mesures prises pour mettre en œuvre la Convention des Nations Unies sur la lutte contre la désertification (UNCCD)</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3</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Gestion intégrée de l’utilisation des terres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21. Encourager et assurer la mise en œuvre locale de politiques de gestion de l’utilisation des terres potentiellement à travers des programmes d’incitation appropriés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Principes pratiques 9, 10 &amp; 11</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Objectifs d’Aichi 3 &amp; 17</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1.11</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Sites d’importance nationale ou internationale pour les oiseaux terrestres migrateurs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22. Entreprendre et publier des inventaires nationaux des sites d’importance pour les oiseaux terrestres migrateurs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1.1</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1.2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3.1.1</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23. Faciliter et promouvoir la désignation des sites importants pour les oiseaux terrestres migrateurs au titre de statuts de protection nationaux et internationaux appropriés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Décision XI.24</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Programme de travail sur les aires protégées</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11</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2.1</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3.2.1</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10.3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2.7</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24. Mettre en place un réseau de sites critiques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11</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Objectif 2</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Cibles 1.2 &amp; 3.2.1</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10.3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2.7</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25. Examiner et, si nécessaire, établir et mettre en œuvre des modes de gestion appropriés et efficaces pour la conservation </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3</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2.5 &amp; 2.7</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3.2.3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26. Promouvoir des approches participatives de la planification, de la gestion et de la conservation des sites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Principes pratiques 9 &amp; 12</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18</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2.3 &amp; 2.7</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Changement climatique</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27. Mettre en œuvre les mesures énoncées dans la résolution 5.13 de l’AEWA (Mesures d’adaptation au changement climatique </w:t>
            </w:r>
            <w:r w:rsidRPr="000A5CE6">
              <w:rPr>
                <w:rFonts w:ascii="Times New Roman" w:eastAsia="Calibri" w:hAnsi="Times New Roman" w:cs="Times New Roman"/>
                <w:sz w:val="20"/>
                <w:szCs w:val="20"/>
                <w:lang w:val="fr-FR"/>
              </w:rPr>
              <w:lastRenderedPageBreak/>
              <w:t>pour les oiseaux d’eau), la résolution X.24 de la Convention de Ramsar (Changement climatique et zones humides) et les résolutions 9.7 (Impact du changement climatique sur les espèces migratrices) et 10.19 (Conservation des espèces migratrices à la lumière du changement climatique) de la CMS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15</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20"/>
                <w:szCs w:val="20"/>
                <w:lang w:val="fr-FR"/>
              </w:rPr>
              <w:t>Résolution X.24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20"/>
                <w:szCs w:val="20"/>
                <w:lang w:val="fr-FR"/>
              </w:rPr>
              <w:t>Résolution 5.13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Résolution 9.7</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20"/>
                <w:szCs w:val="20"/>
                <w:lang w:val="fr-FR"/>
              </w:rPr>
              <w:t>Résolution 10.19</w:t>
            </w:r>
          </w:p>
        </w:tc>
      </w:tr>
      <w:tr w:rsidR="000A5CE6" w:rsidRPr="000A5CE6" w:rsidTr="000A5CE6">
        <w:trPr>
          <w:trHeight w:val="20"/>
        </w:trPr>
        <w:tc>
          <w:tcPr>
            <w:tcW w:w="2448" w:type="dxa"/>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PRÉLÈVEMENT ET COMMERCE</w:t>
            </w:r>
          </w:p>
        </w:tc>
        <w:tc>
          <w:tcPr>
            <w:tcW w:w="134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28. Identifier les espèces d’oiseaux terrestres migrateurs qui font l’objet de prélèvements et de commerce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1.4</w:t>
            </w:r>
          </w:p>
        </w:tc>
      </w:tr>
      <w:tr w:rsidR="000A5CE6" w:rsidRPr="000A5CE6"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Réglementation des prélèvements autorisés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29. Assurer la protection juridique des espèces migratrices d’oiseaux terrestres dont l’état de conservation est le plus préoccupant</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2.3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30. Définir les quotas et les moyens autorisés pour le prélèvement des oiseaux </w:t>
            </w:r>
            <w:r w:rsidRPr="000A5CE6">
              <w:rPr>
                <w:rFonts w:ascii="Times New Roman" w:eastAsia="Calibri" w:hAnsi="Times New Roman" w:cs="Times New Roman"/>
                <w:sz w:val="20"/>
                <w:szCs w:val="20"/>
                <w:lang w:val="fr-FR"/>
              </w:rPr>
              <w:lastRenderedPageBreak/>
              <w:t>terrestres migrateurs, et mettre en place des contrôles adéquats afin de veiller à ce que ces limites soient r</w:t>
            </w:r>
            <w:r w:rsidRPr="000A5CE6">
              <w:rPr>
                <w:rFonts w:ascii="Times New Roman" w:eastAsia="Calibri" w:hAnsi="Times New Roman" w:cs="Times New Roman"/>
                <w:sz w:val="18"/>
                <w:szCs w:val="18"/>
                <w:lang w:val="fr-FR"/>
              </w:rPr>
              <w:t>espectées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lastRenderedPageBreak/>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4</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2.2</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31. Donner la priorité à la conservation des espèces d’oiseaux terrestres migrateurs dont la population mondiale présente une tendance au déclin</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2.3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32. Réglementer tout prélèvement et commerce des espèces d’oiseaux terrestres migrateurs dont les tendances de la population sont en hausse, stables ou inconnues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2.3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33. Compiler les listes nationales d’oiseaux terrestres migrateurs classées en tant qu’espèces gibiers, les périodes d’ouverture de la chasse dans chaque pays et les données relatives au commerce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Cibles 2.2, 2.5 &amp; 3.1</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34. Mettre en œuvre des </w:t>
            </w:r>
            <w:r w:rsidRPr="000A5CE6">
              <w:rPr>
                <w:rFonts w:ascii="Times New Roman" w:eastAsia="Calibri" w:hAnsi="Times New Roman" w:cs="Times New Roman"/>
                <w:sz w:val="20"/>
                <w:szCs w:val="20"/>
                <w:lang w:val="fr-FR"/>
              </w:rPr>
              <w:lastRenderedPageBreak/>
              <w:t>programmes sur les moyens de subsistance alternatifs ou des programmes d’élevage en captivité d’oiseaux terrestres migrateurs utilisés comme source de nourriture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Prélèvements illicites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35. Promouvoir la coopération internationale entre les autorités chargées de la lutte contre la fraude et les autres acteurs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8</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3.4</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36. Agir à travers les instruments juridiques de réglementation du commerce national et/ou international</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12</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section 2</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Dérangement par les activités humaines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37. Promouvoir des études destinées à évaluer l’effet du dérangement humain sur les principaux sites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2.3 &amp; 2.7</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4.3.6 &amp; 5.6</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38. Encourager le développement et la mise en œuvre de plans de gestion efficaces sur des sites sensibles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9</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Stratégies 2.3, 2.5 &amp; 2.7</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39. Promouvoir la découverte par le public du phénomène migratoire et des oiseaux terrestres migrateurs à travers la sensibilisation et l’information</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14</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4</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4.1</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2.3 &amp; Résolution 3.10</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Conflit entre les oiseaux terrestres migrateurs et les activités humaines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40. Procéder à un examen national pour identifier les espèces d’oiseaux terrestres dont la présence entre en conflit avec les activités humaines, posant ainsi potentiellement un problème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4.3.1 &amp; 4.3.3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41. Veiller à ce que des mesures réglementaires adéquates, relatives aux procédures de contrôle, soient en place</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4.3.3</w:t>
            </w: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42. Promouvoir des moyens alternatifs non létaux pour éviter les conflits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9</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Empoisonnement</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43. Substituer, restreindre </w:t>
            </w:r>
            <w:r w:rsidRPr="000A5CE6">
              <w:rPr>
                <w:rFonts w:ascii="Times New Roman" w:eastAsia="Calibri" w:hAnsi="Times New Roman" w:cs="Times New Roman"/>
                <w:sz w:val="20"/>
                <w:szCs w:val="20"/>
                <w:lang w:val="fr-FR"/>
              </w:rPr>
              <w:lastRenderedPageBreak/>
              <w:t>ou interdire les substances présentant un risque élevé pour les oiseaux terrestres migrateurs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44. Inclure des critères relatifs aux oiseaux terrestres migrateurs dans la Convention de Rotterdam</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46. Dissuader l’usage à long terme ou permanent d’appâts empoisonnés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47. Promouvoir la connaissance et la pratique de la chasse, de la pêche et de la gestion de la faune sans utilisation de plomb</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5CE6" w:rsidTr="000A5CE6">
        <w:trPr>
          <w:trHeight w:val="20"/>
        </w:trPr>
        <w:tc>
          <w:tcPr>
            <w:tcW w:w="2448" w:type="dxa"/>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AUTRES MENACES</w:t>
            </w:r>
          </w:p>
        </w:tc>
        <w:tc>
          <w:tcPr>
            <w:tcW w:w="134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Maladies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Résolutions IX.23 &amp; X.21</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Résolutions 3.18 &amp; 4.15</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Résolutions 8.27, 9.8 &amp; 10.22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2.6</w:t>
            </w: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49. Élaborer et mettre en œuvre des mesures d’urgence lorsque des conditions exceptionnellement défavorables ou dangereuses apparaissent où que ce soit dans l’aire du Plan d’action</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 xml:space="preserve"> Résolution X.21</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2.3</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2.6</w:t>
            </w:r>
          </w:p>
        </w:tc>
      </w:tr>
      <w:tr w:rsidR="000A5CE6" w:rsidRPr="000A5CE6"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Collisions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50. Veiller à ce qu’une législation appropriée soit en place et l’appliquer pour limiter la construction de structures qui présentent des risques potentiels de collision</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5.11</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Résolutions 7.4, 7.5 &amp; 10.11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2.6</w:t>
            </w: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51. Introduire des mesures d’atténuation appropriées pour les différents risques de collision</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5.11</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Résolutions 7.4, 7.5 &amp; 10.11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2</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2.6</w:t>
            </w:r>
          </w:p>
        </w:tc>
      </w:tr>
      <w:tr w:rsidR="000A5CE6" w:rsidRPr="000A5CE6" w:rsidTr="000A5CE6">
        <w:trPr>
          <w:trHeight w:val="20"/>
        </w:trPr>
        <w:tc>
          <w:tcPr>
            <w:tcW w:w="2448" w:type="dxa"/>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RECHERCHE ET SUIVI</w:t>
            </w:r>
          </w:p>
        </w:tc>
        <w:tc>
          <w:tcPr>
            <w:tcW w:w="134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Comprendre les schémas de migration et la connectivité le long des voies de migration</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52. Poursuivre le développement des projets existants faisant appel à des collaborations internationales et locales et en établir de nouveaux</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Stratégie 1.6</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3.4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3.5</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5.4</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1.8</w:t>
            </w: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Suivi des tendances des populations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53. Élaborer et mettre en œuvre des programmes nationaux standardisés de suivi des oiseaux terrestres migrateurs et de leurs habitats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5.2 &amp; 5.3</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1.3</w:t>
            </w: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54. Encourager, soutenir et promouvoir les programmes standardisés de suivi des oiseaux sur les sites, ainsi que la recherche en écologie pour comprendre l’importance </w:t>
            </w:r>
            <w:r w:rsidRPr="000A5CE6">
              <w:rPr>
                <w:rFonts w:ascii="Times New Roman" w:eastAsia="Calibri" w:hAnsi="Times New Roman" w:cs="Times New Roman"/>
                <w:sz w:val="20"/>
                <w:szCs w:val="20"/>
                <w:lang w:val="fr-FR"/>
              </w:rPr>
              <w:lastRenderedPageBreak/>
              <w:t>écologique de ces zones, et la publication des données et informations ainsi obtenues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55. Encourager l’utilisation active par les États de l’aire de répartition des bases de données en ligne régionales et sous-régionales existantes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3.5</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1.8</w:t>
            </w: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Comprendre les causes de l’évolution des populations d’oiseaux terrestres migrateurs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56. Diagnostiquer les causes de l’évolution des populations et entreprendre des études en écologie ciblées sur des « espèces indicatrices » sélectionnées et les habitats associés,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1.6</w:t>
            </w: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57. Comprendre les liens entre les facteurs écologiques qui limitent les populations migratrices d’oiseaux terrestres et les questions politiques et socio-économiques</w:t>
            </w:r>
          </w:p>
        </w:tc>
        <w:tc>
          <w:tcPr>
            <w:tcW w:w="134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Renforcer les capacités et </w:t>
            </w:r>
            <w:r w:rsidRPr="000A5CE6">
              <w:rPr>
                <w:rFonts w:ascii="Times New Roman" w:eastAsia="Calibri" w:hAnsi="Times New Roman" w:cs="Times New Roman"/>
                <w:sz w:val="20"/>
                <w:szCs w:val="20"/>
                <w:lang w:val="fr-FR"/>
              </w:rPr>
              <w:lastRenderedPageBreak/>
              <w:t>améliorer l’échange d’informations, la collaboration et la coordination entre les chercheurs qui étudient les oiseaux terrestres migrateurs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58. Faciliter les analyses approfondies des lacunes pour identifier et hiérarchiser les besoins en termes de recherche, en incluant un inventaire des recherches passées et en cours au sein des sous-régions de l’aire du Plan d’action</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6</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3.4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section 5</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1.6</w:t>
            </w: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59. Encourager le développement du Groupe d’étude des oiseaux terrestres migrateurs (MLSG - Migratory Landbird species Study Group)</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Principes pratiques 6 &amp; 7</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10.7</w:t>
            </w: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60. Encourager les chercheurs et les bailleurs de fonds à diriger leurs efforts sur les questions les plus importantes et les plus urgentes pour la </w:t>
            </w:r>
            <w:r w:rsidRPr="000A5CE6">
              <w:rPr>
                <w:rFonts w:ascii="Times New Roman" w:eastAsia="Calibri" w:hAnsi="Times New Roman" w:cs="Times New Roman"/>
                <w:sz w:val="20"/>
                <w:szCs w:val="20"/>
                <w:lang w:val="fr-FR"/>
              </w:rPr>
              <w:lastRenderedPageBreak/>
              <w:t>conservation des oiseaux terrestres migrateurs</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lastRenderedPageBreak/>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6</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1</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Stratégie 1.6</w:t>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3.4</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Résolutions 4.2 &amp; 5.2</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1.6</w:t>
            </w: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61. Soutenir la formation ciblée sur la recherche et le suivi</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6</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19</w:t>
            </w:r>
          </w:p>
        </w:tc>
        <w:tc>
          <w:tcPr>
            <w:tcW w:w="184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Résolution 5.9</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Cible 3.3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6.1</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10.6</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1</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 1.6</w:t>
            </w:r>
          </w:p>
        </w:tc>
      </w:tr>
      <w:tr w:rsidR="000A5CE6" w:rsidRPr="000A5CE6" w:rsidTr="000A5CE6">
        <w:trPr>
          <w:trHeight w:val="20"/>
        </w:trPr>
        <w:tc>
          <w:tcPr>
            <w:tcW w:w="2448" w:type="dxa"/>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ÉDUCATION ET INFORMATION</w:t>
            </w:r>
          </w:p>
        </w:tc>
        <w:tc>
          <w:tcPr>
            <w:tcW w:w="134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Améliorer la sensibilisation et la compréhension du public vis-à-vis des oiseaux terrestres migrateurs</w:t>
            </w:r>
          </w:p>
        </w:tc>
        <w:tc>
          <w:tcPr>
            <w:tcW w:w="134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977"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62. Soutenir et encourager la participation du public dans «Les Amis du Plan d’action pour les oiseaux terres tres migrateurs » (FLAP - Friends of the Landbirds Action Plan)</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Principe pratique 14</w:t>
            </w: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Objectif d’Aichi 1</w:t>
            </w: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Objectif 4</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Stratégie 4.1</w:t>
            </w: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4</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PA paragr. 6.3</w:t>
            </w: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Résolution 10.7</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PS Objectif 3</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Cibles 3.4 &amp; 3.5</w:t>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244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63. Encourager l’engagement local, national et international avec des organismes privés et publics, en particulier dans le secteur du développement</w:t>
            </w:r>
          </w:p>
        </w:tc>
        <w:tc>
          <w:tcPr>
            <w:tcW w:w="134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2"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843"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2977"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bl>
    <w:p w:rsidR="000A5CE6" w:rsidRPr="000A5CE6" w:rsidRDefault="000A5CE6" w:rsidP="000A5CE6">
      <w:pPr>
        <w:spacing w:after="0" w:line="240" w:lineRule="auto"/>
        <w:rPr>
          <w:rFonts w:ascii="Times New Roman" w:eastAsia="Calibri" w:hAnsi="Times New Roman" w:cs="Times New Roman"/>
          <w:sz w:val="24"/>
          <w:lang w:val="fr-FR"/>
        </w:rPr>
      </w:pPr>
    </w:p>
    <w:p w:rsidR="000A5CE6" w:rsidRPr="000A5CE6" w:rsidRDefault="000A5CE6" w:rsidP="000A5CE6">
      <w:pPr>
        <w:spacing w:after="120" w:line="360" w:lineRule="auto"/>
        <w:ind w:left="720"/>
        <w:jc w:val="both"/>
        <w:rPr>
          <w:rFonts w:ascii="Calibri" w:eastAsia="Calibri" w:hAnsi="Calibri" w:cs="Times New Roman"/>
          <w:lang w:val="fr-FR"/>
        </w:rPr>
        <w:sectPr w:rsidR="000A5CE6" w:rsidRPr="000A5CE6" w:rsidSect="000A5CE6">
          <w:headerReference w:type="even" r:id="rId36"/>
          <w:headerReference w:type="default" r:id="rId37"/>
          <w:pgSz w:w="16840" w:h="11907" w:orient="landscape" w:code="9"/>
          <w:pgMar w:top="1304" w:right="1440" w:bottom="1531" w:left="1440" w:header="720" w:footer="720" w:gutter="0"/>
          <w:cols w:space="720"/>
          <w:docGrid w:linePitch="360"/>
        </w:sectPr>
      </w:pPr>
    </w:p>
    <w:p w:rsidR="000A5CE6" w:rsidRPr="000A5CE6" w:rsidRDefault="000A5CE6" w:rsidP="000A5CE6">
      <w:pPr>
        <w:spacing w:after="0" w:line="240" w:lineRule="auto"/>
        <w:jc w:val="right"/>
        <w:rPr>
          <w:rFonts w:ascii="Calibri" w:eastAsia="Calibri" w:hAnsi="Calibri" w:cs="Times New Roman"/>
          <w:b/>
          <w:lang w:val="fr-FR"/>
        </w:rPr>
      </w:pPr>
      <w:r w:rsidRPr="000A5CE6">
        <w:rPr>
          <w:rFonts w:ascii="Calibri" w:eastAsia="Calibri" w:hAnsi="Calibri" w:cs="Times New Roman"/>
          <w:b/>
          <w:lang w:val="fr-FR"/>
        </w:rPr>
        <w:lastRenderedPageBreak/>
        <w:t>Annexe 5</w:t>
      </w:r>
    </w:p>
    <w:p w:rsidR="000A5CE6" w:rsidRPr="000A5CE6" w:rsidRDefault="000A5CE6" w:rsidP="000A5CE6">
      <w:pPr>
        <w:spacing w:after="0" w:line="240" w:lineRule="auto"/>
        <w:jc w:val="center"/>
        <w:rPr>
          <w:rFonts w:ascii="Times New Roman" w:eastAsia="Calibri" w:hAnsi="Times New Roman" w:cs="Times New Roman"/>
          <w:b/>
          <w:sz w:val="20"/>
          <w:szCs w:val="20"/>
          <w:lang w:val="fr-FR"/>
        </w:rPr>
      </w:pPr>
      <w:r w:rsidRPr="000A5CE6">
        <w:rPr>
          <w:rFonts w:ascii="Times New Roman" w:eastAsia="Calibri" w:hAnsi="Times New Roman" w:cs="Times New Roman"/>
          <w:b/>
          <w:sz w:val="20"/>
          <w:szCs w:val="20"/>
          <w:lang w:val="fr-FR"/>
        </w:rPr>
        <w:t xml:space="preserve">Plan d’action pour les oiseaux terrestres migrateurs d’Afrique-Eurasie </w:t>
      </w:r>
    </w:p>
    <w:p w:rsidR="000A5CE6" w:rsidRPr="000A5CE6" w:rsidRDefault="000A5CE6" w:rsidP="000A5CE6">
      <w:pPr>
        <w:spacing w:after="0" w:line="240" w:lineRule="auto"/>
        <w:jc w:val="center"/>
        <w:rPr>
          <w:rFonts w:ascii="Times New Roman" w:eastAsia="Calibri" w:hAnsi="Times New Roman" w:cs="Times New Roman"/>
          <w:b/>
          <w:sz w:val="20"/>
          <w:szCs w:val="20"/>
          <w:lang w:val="fr-FR"/>
        </w:rPr>
      </w:pPr>
      <w:r w:rsidRPr="000A5CE6">
        <w:rPr>
          <w:rFonts w:ascii="Times New Roman" w:eastAsia="Calibri" w:hAnsi="Times New Roman" w:cs="Times New Roman"/>
          <w:b/>
          <w:sz w:val="20"/>
          <w:szCs w:val="20"/>
          <w:lang w:val="fr-FR"/>
        </w:rPr>
        <w:t>Annexe 5 : Tableau de mise en œuvre du Plan d’action</w:t>
      </w:r>
    </w:p>
    <w:p w:rsidR="000A5CE6" w:rsidRPr="000A5CE6" w:rsidRDefault="000A5CE6" w:rsidP="000A5CE6">
      <w:pPr>
        <w:spacing w:after="0" w:line="240" w:lineRule="auto"/>
        <w:jc w:val="center"/>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Version 28-04-2014</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396"/>
        <w:gridCol w:w="1255"/>
        <w:gridCol w:w="1344"/>
        <w:gridCol w:w="1201"/>
        <w:gridCol w:w="1382"/>
        <w:gridCol w:w="2636"/>
      </w:tblGrid>
      <w:tr w:rsidR="000A5CE6" w:rsidRPr="000A3209" w:rsidTr="000A5CE6">
        <w:trPr>
          <w:trHeight w:val="267"/>
          <w:tblHeader/>
        </w:trPr>
        <w:tc>
          <w:tcPr>
            <w:tcW w:w="4928" w:type="dxa"/>
            <w:shd w:val="clear" w:color="auto" w:fill="EAF1DD"/>
            <w:vAlign w:val="center"/>
          </w:tcPr>
          <w:p w:rsidR="000A5CE6" w:rsidRPr="000A5CE6" w:rsidRDefault="000A5CE6" w:rsidP="000A5CE6">
            <w:pPr>
              <w:spacing w:after="0" w:line="240" w:lineRule="auto"/>
              <w:rPr>
                <w:rFonts w:ascii="Times New Roman" w:eastAsia="Calibri" w:hAnsi="Times New Roman" w:cs="Times New Roman"/>
                <w:b/>
                <w:sz w:val="20"/>
                <w:szCs w:val="20"/>
                <w:lang w:val="fr-FR"/>
              </w:rPr>
            </w:pPr>
            <w:r w:rsidRPr="000A5CE6">
              <w:rPr>
                <w:rFonts w:ascii="Times New Roman" w:eastAsia="Calibri" w:hAnsi="Times New Roman" w:cs="Times New Roman"/>
                <w:b/>
                <w:sz w:val="20"/>
                <w:szCs w:val="20"/>
                <w:lang w:val="fr-FR"/>
              </w:rPr>
              <w:t xml:space="preserve">Actions AEMLAP </w:t>
            </w:r>
          </w:p>
        </w:tc>
        <w:tc>
          <w:tcPr>
            <w:tcW w:w="9214" w:type="dxa"/>
            <w:gridSpan w:val="6"/>
            <w:shd w:val="clear" w:color="auto" w:fill="EAF1DD"/>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Organismes chargés de la mise en œuvre</w:t>
            </w:r>
          </w:p>
        </w:tc>
      </w:tr>
      <w:tr w:rsidR="000A5CE6" w:rsidRPr="000A3209" w:rsidTr="000A5CE6">
        <w:trPr>
          <w:trHeight w:val="20"/>
          <w:tblHeader/>
        </w:trPr>
        <w:tc>
          <w:tcPr>
            <w:tcW w:w="4928" w:type="dxa"/>
            <w:shd w:val="clear" w:color="auto" w:fill="EAF1DD"/>
          </w:tcPr>
          <w:p w:rsidR="000A5CE6" w:rsidRPr="000A5CE6" w:rsidRDefault="000A5CE6" w:rsidP="000A5CE6">
            <w:pPr>
              <w:spacing w:after="0" w:line="240" w:lineRule="auto"/>
              <w:rPr>
                <w:rFonts w:ascii="Times New Roman" w:eastAsia="Calibri" w:hAnsi="Times New Roman" w:cs="Times New Roman"/>
                <w:sz w:val="20"/>
                <w:szCs w:val="20"/>
                <w:lang w:val="fr-FR"/>
              </w:rPr>
            </w:pPr>
          </w:p>
        </w:tc>
        <w:tc>
          <w:tcPr>
            <w:tcW w:w="1396"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 xml:space="preserve">Gouvernements des États de l’aire de répartition </w:t>
            </w:r>
          </w:p>
        </w:tc>
        <w:tc>
          <w:tcPr>
            <w:tcW w:w="1255"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 xml:space="preserve">ONG de conservation des États de l’aire de répartition </w:t>
            </w:r>
          </w:p>
        </w:tc>
        <w:tc>
          <w:tcPr>
            <w:tcW w:w="1344"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 xml:space="preserve">ONG de conservation </w:t>
            </w:r>
          </w:p>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internationales</w:t>
            </w:r>
          </w:p>
        </w:tc>
        <w:tc>
          <w:tcPr>
            <w:tcW w:w="1201" w:type="dxa"/>
            <w:shd w:val="clear" w:color="auto" w:fill="EAF1DD"/>
          </w:tcPr>
          <w:p w:rsidR="000A5CE6" w:rsidRPr="000A5CE6" w:rsidRDefault="000A5CE6" w:rsidP="000A5CE6">
            <w:pPr>
              <w:spacing w:after="0" w:line="240" w:lineRule="auto"/>
              <w:jc w:val="center"/>
              <w:rPr>
                <w:rFonts w:ascii="Times New Roman" w:eastAsia="Calibri" w:hAnsi="Times New Roman" w:cs="Arial"/>
                <w:color w:val="333333"/>
                <w:sz w:val="18"/>
                <w:szCs w:val="18"/>
                <w:lang w:val="fr-FR"/>
              </w:rPr>
            </w:pPr>
            <w:r w:rsidRPr="000A5CE6">
              <w:rPr>
                <w:rFonts w:ascii="Times New Roman" w:eastAsia="Calibri" w:hAnsi="Times New Roman" w:cs="Arial"/>
                <w:color w:val="333333"/>
                <w:sz w:val="18"/>
                <w:szCs w:val="18"/>
                <w:lang w:val="fr-FR"/>
              </w:rPr>
              <w:t>Instituts de recherche</w:t>
            </w:r>
          </w:p>
        </w:tc>
        <w:tc>
          <w:tcPr>
            <w:tcW w:w="1382" w:type="dxa"/>
            <w:shd w:val="clear" w:color="auto" w:fill="EAF1DD"/>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Entreprises et agences de développement (p. ex. secteurs de l’agriculture et de l’énergie)</w:t>
            </w:r>
          </w:p>
        </w:tc>
        <w:tc>
          <w:tcPr>
            <w:tcW w:w="2636" w:type="dxa"/>
            <w:shd w:val="clear" w:color="auto" w:fill="EAF1DD"/>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Times New Roman"/>
                <w:sz w:val="18"/>
                <w:szCs w:val="18"/>
                <w:lang w:val="fr-FR"/>
              </w:rPr>
              <w:t xml:space="preserve">AEML-WG et AEML-SG </w:t>
            </w:r>
          </w:p>
        </w:tc>
      </w:tr>
      <w:tr w:rsidR="000A5CE6" w:rsidRPr="000A5CE6" w:rsidTr="000A5CE6">
        <w:trPr>
          <w:trHeight w:val="20"/>
        </w:trPr>
        <w:tc>
          <w:tcPr>
            <w:tcW w:w="4928" w:type="dxa"/>
            <w:tcBorders>
              <w:bottom w:val="single" w:sz="4" w:space="0" w:color="auto"/>
            </w:tcBorders>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CONSERVATION DES HABITATS</w:t>
            </w:r>
          </w:p>
        </w:tc>
        <w:tc>
          <w:tcPr>
            <w:tcW w:w="1396"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Changements dans l’utilisation des terres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Agriculture intensive</w:t>
            </w:r>
          </w:p>
        </w:tc>
        <w:tc>
          <w:tcPr>
            <w:tcW w:w="139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 Élaborer et mettre en œuvre de nouvelles politiques ou revoir les politiques existantes qui assurent le maintien et la gestion des habitats naturels et semi-naturels ayant une valeur pour les oiseaux terrestres migrateurs au sein de paysages gérés, récoltés ou cultivés à grande échelle et/ou intensivement</w:t>
            </w:r>
          </w:p>
        </w:tc>
        <w:tc>
          <w:tcPr>
            <w:tcW w:w="139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 xml:space="preserve">Divers ministères nationaux chargés de la gestion des terres et des ressources naturelles </w:t>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 Promouvoir des systèmes agricoles respectueux de la biodiversité</w:t>
            </w:r>
          </w:p>
        </w:tc>
        <w:tc>
          <w:tcPr>
            <w:tcW w:w="139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t xml:space="preserve">En particulier à travers les ministères de l'Agriculture </w:t>
            </w:r>
          </w:p>
          <w:p w:rsidR="000A5CE6" w:rsidRPr="000A5CE6" w:rsidRDefault="000A5CE6" w:rsidP="000A5CE6">
            <w:pPr>
              <w:spacing w:after="0" w:line="240" w:lineRule="auto"/>
              <w:rPr>
                <w:rFonts w:ascii="Times New Roman" w:eastAsia="Calibri" w:hAnsi="Times New Roman" w:cs="Times New Roman"/>
                <w:color w:val="E36C0A"/>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color w:val="E36C0A"/>
                <w:sz w:val="18"/>
                <w:szCs w:val="18"/>
                <w:lang w:val="fr-FR"/>
              </w:rPr>
            </w:pPr>
            <w:r w:rsidRPr="000A5CE6">
              <w:rPr>
                <w:rFonts w:ascii="Times New Roman" w:eastAsia="Calibri" w:hAnsi="Times New Roman" w:cs="Arial"/>
                <w:sz w:val="18"/>
                <w:szCs w:val="18"/>
                <w:lang w:val="fr-FR"/>
              </w:rPr>
              <w:t xml:space="preserve">Par un plaidoyer au niveau national </w:t>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t xml:space="preserve">Recherche locale sur les systèmes agricoles respectueux de la biodiversité </w:t>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r w:rsidRPr="000A5CE6">
              <w:rPr>
                <w:rFonts w:ascii="Times New Roman" w:eastAsia="Calibri" w:hAnsi="Times New Roman" w:cs="Arial"/>
                <w:sz w:val="18"/>
                <w:szCs w:val="18"/>
                <w:lang w:val="fr-FR"/>
              </w:rPr>
              <w:sym w:font="Wingdings" w:char="F0FC"/>
            </w: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 Élaborer des principes d’aménagement de l’espace et des orientations visant à atténuer les conséquences négatives des formes d’agriculture à grande échelle et/ou intensive sur les oiseaux terrestres migrateurs et leurs habitats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 Entreprendre des Évaluations environnementales stratégiques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 Élaborer des stratégies d’aménagement du territoire, en utilisant une approche écosystémique</w:t>
            </w:r>
          </w:p>
          <w:p w:rsidR="000A5CE6" w:rsidRPr="000A5CE6" w:rsidRDefault="000A5CE6" w:rsidP="000A5CE6">
            <w:pPr>
              <w:spacing w:after="0" w:line="240" w:lineRule="auto"/>
              <w:rPr>
                <w:rFonts w:ascii="Times New Roman" w:eastAsia="Calibri" w:hAnsi="Times New Roman" w:cs="Times New Roman"/>
                <w:sz w:val="20"/>
                <w:szCs w:val="20"/>
                <w:lang w:val="fr-FR"/>
              </w:rPr>
            </w:pP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lastRenderedPageBreak/>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Agriculture traditionnelle, y compris le pastoralisme et les systèmes de culture à petite échelle</w:t>
            </w:r>
          </w:p>
        </w:tc>
        <w:tc>
          <w:tcPr>
            <w:tcW w:w="1396"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top w:val="single" w:sz="4" w:space="0" w:color="auto"/>
              <w:left w:val="single" w:sz="4" w:space="0" w:color="auto"/>
              <w:bottom w:val="single" w:sz="4" w:space="0" w:color="auto"/>
              <w:right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6. Promouvoir des politiques agricoles qui soutiennent les pratiques de gestion participatives et durables des ressources naturelles</w:t>
            </w:r>
          </w:p>
        </w:tc>
        <w:tc>
          <w:tcPr>
            <w:tcW w:w="1396" w:type="dxa"/>
            <w:tcBorders>
              <w:top w:val="single" w:sz="4" w:space="0" w:color="auto"/>
              <w:left w:val="single" w:sz="4" w:space="0" w:color="auto"/>
              <w:bottom w:val="single" w:sz="4" w:space="0" w:color="auto"/>
              <w:right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255" w:type="dxa"/>
            <w:tcBorders>
              <w:top w:val="single" w:sz="4" w:space="0" w:color="auto"/>
              <w:left w:val="single" w:sz="4" w:space="0" w:color="auto"/>
              <w:bottom w:val="single" w:sz="4" w:space="0" w:color="auto"/>
              <w:right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344" w:type="dxa"/>
            <w:tcBorders>
              <w:top w:val="single" w:sz="4" w:space="0" w:color="auto"/>
              <w:left w:val="single" w:sz="4" w:space="0" w:color="auto"/>
              <w:bottom w:val="single" w:sz="4" w:space="0" w:color="auto"/>
              <w:right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201" w:type="dxa"/>
            <w:tcBorders>
              <w:top w:val="single" w:sz="4" w:space="0" w:color="auto"/>
              <w:left w:val="single" w:sz="4" w:space="0" w:color="auto"/>
              <w:bottom w:val="single" w:sz="4" w:space="0" w:color="auto"/>
              <w:right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c>
          <w:tcPr>
            <w:tcW w:w="2636" w:type="dxa"/>
            <w:tcBorders>
              <w:top w:val="single" w:sz="4" w:space="0" w:color="auto"/>
              <w:left w:val="single" w:sz="4" w:space="0" w:color="auto"/>
              <w:bottom w:val="single" w:sz="4" w:space="0" w:color="auto"/>
              <w:right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highlight w:val="yellow"/>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7. Travailler avec les communautés locales et leur donner les moyens de défendre, développer et mettre en œuvre des approches participatives et des mesures incitatives pour une gestion intégrée et durable des ressources naturelles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8. Faciliter le partage, au niveau international, d’expériences pertinentes et de bonnes pratiques pastorales et agricoles à petite échelle</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9. S’efforcer d’inclure les besoins des oiseaux migrateurs en termes d’habitat dans les initiatives existantes qui travaillent avec les agriculteurs el les communautés locales,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r w:rsidRPr="000A5CE6">
              <w:rPr>
                <w:rFonts w:ascii="Times New Roman" w:eastAsia="Calibri" w:hAnsi="Times New Roman" w:cs="Arial"/>
                <w:sz w:val="18"/>
                <w:szCs w:val="18"/>
                <w:lang w:val="fr-FR"/>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Bois et produits forestiers non ligneux </w:t>
            </w:r>
          </w:p>
        </w:tc>
        <w:tc>
          <w:tcPr>
            <w:tcW w:w="139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10. Inclure les besoins des oiseaux terrestres migrateurs en termes d’habitat dans l’élaboration et la mise en œuvre des plans nationaux de gestion intégrée des zones boisées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Gestion de l’eau</w:t>
            </w:r>
          </w:p>
        </w:tc>
        <w:tc>
          <w:tcPr>
            <w:tcW w:w="1396"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255"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11. Mettre en œuvre et promouvoir largement les orientations de la Convention de Ramsar sur la gestion des zones humides et des bassins hydrographiques (résolution X.19),</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12. Réglementer les menaces anthropiques susceptibles de provoquer la dégradation et/ou la perte de zones humides importantes pour les oiseaux terrestres migrateurs et initier des programmes de réhabilitation ou de restauration, </w:t>
            </w:r>
            <w:r w:rsidRPr="000A5CE6">
              <w:rPr>
                <w:rFonts w:ascii="Times New Roman" w:eastAsia="Calibri" w:hAnsi="Times New Roman" w:cs="Times New Roman"/>
                <w:sz w:val="20"/>
                <w:szCs w:val="20"/>
                <w:lang w:val="fr-FR"/>
              </w:rPr>
              <w:lastRenderedPageBreak/>
              <w:t>lorsque cela est possible et approprié.</w:t>
            </w:r>
          </w:p>
          <w:p w:rsidR="000A5CE6" w:rsidRPr="000A5CE6" w:rsidRDefault="000A5CE6" w:rsidP="000A5CE6">
            <w:pPr>
              <w:spacing w:after="0" w:line="240" w:lineRule="auto"/>
              <w:rPr>
                <w:rFonts w:ascii="Times New Roman" w:eastAsia="Calibri" w:hAnsi="Times New Roman" w:cs="Times New Roman"/>
                <w:sz w:val="20"/>
                <w:szCs w:val="20"/>
                <w:lang w:val="fr-FR"/>
              </w:rPr>
            </w:pPr>
          </w:p>
          <w:p w:rsidR="000A5CE6" w:rsidRPr="000A5CE6" w:rsidRDefault="000A5CE6" w:rsidP="000A5CE6">
            <w:pPr>
              <w:spacing w:after="0" w:line="240" w:lineRule="auto"/>
              <w:rPr>
                <w:rFonts w:ascii="Times New Roman" w:eastAsia="Calibri" w:hAnsi="Times New Roman" w:cs="Times New Roman"/>
                <w:sz w:val="20"/>
                <w:szCs w:val="20"/>
                <w:lang w:val="fr-FR"/>
              </w:rPr>
            </w:pP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Énergie</w:t>
            </w:r>
          </w:p>
        </w:tc>
        <w:tc>
          <w:tcPr>
            <w:tcW w:w="139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13. Veiller à ce que les développements d’énergies nouvelles susceptibles d’avoir un impact significatif sur les oiseaux terrestres migrateurs adoptent, à un stade précoce, des processus de planification stratégique et de haut niveau impliquant des évaluations environnementales stratégiques (EES) et la consultation des parties prenantes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14. Veiller à ce qu’une approche stratégique soit adoptée concernant l’emplacement des projets alternatifs d’énergie renouvelable</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15. Instituer des politiques de gestion durable de l’utilisation des terres et de l’énergie,</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16. Chercher à réduire la dépendance à l’égard du bois de chauffage</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17. Veiller à ce que les nouveaux réservoirs hydroélectriques prévus et les autres ouvrages modifiant l’hydrologie naturelle fassent l’objet d’études rigoureuses des impacts environnementaux</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18. Atténuer les impacts des barrages hydroélectriques existants en permettant des décharges et des inondations artificielles bien gérées en aval</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right w:val="nil"/>
            </w:tcBorders>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Re-végétalisation (y compris reboisement) et réduction de la désertification et des émissions de carbone dues à la déforestation et à la dégradation des habitats</w:t>
            </w:r>
          </w:p>
        </w:tc>
        <w:tc>
          <w:tcPr>
            <w:tcW w:w="1396" w:type="dxa"/>
            <w:tcBorders>
              <w:left w:val="nil"/>
              <w:right w:val="nil"/>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left w:val="nil"/>
              <w:right w:val="nil"/>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left w:val="nil"/>
              <w:right w:val="nil"/>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left w:val="nil"/>
              <w:right w:val="nil"/>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left w:val="nil"/>
              <w:right w:val="nil"/>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left w:val="nil"/>
            </w:tcBorders>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19. Encourager, dans les initiatives de boisement ou de reboisement, l’utilisation d’arbres ou d’autres plantes autochtones ayant une grande valeur pour les oiseaux terrestres migrateurs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20. Incorporer les considérations relatives à la </w:t>
            </w:r>
            <w:r w:rsidRPr="000A5CE6">
              <w:rPr>
                <w:rFonts w:ascii="Times New Roman" w:eastAsia="Calibri" w:hAnsi="Times New Roman" w:cs="Times New Roman"/>
                <w:sz w:val="20"/>
                <w:szCs w:val="20"/>
                <w:lang w:val="fr-FR"/>
              </w:rPr>
              <w:lastRenderedPageBreak/>
              <w:t>conservation des oiseaux terrestres migrateurs dans les mesures prises pour mettre en œuvre la Convention des Nations Unies sur la lutte contre la désertification (UNCCD)</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Gestion intégrée de l’utilisation des terres</w:t>
            </w:r>
          </w:p>
        </w:tc>
        <w:tc>
          <w:tcPr>
            <w:tcW w:w="139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21. Encourager et assurer la mise en œuvre locale de politiques de gestion de l’utilisation des terres potentiellement à travers des programmes d’incitation appropriés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Sites d’importance nationale ou internationale pour les oiseaux terrestres migrateurs</w:t>
            </w:r>
          </w:p>
        </w:tc>
        <w:tc>
          <w:tcPr>
            <w:tcW w:w="139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22. Entreprendre et publier des inventaires nationaux des sites d’importance pour les oiseaux terrestres migrateurs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23. Faciliter et promouvoir la désignation des sites importants pour les oiseaux terrestres migrateurs au titre de statuts de protection nationaux et internationaux appropriés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24. Mettre en place un réseau de sites critiques</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r w:rsidRPr="000A5CE6">
              <w:rPr>
                <w:rFonts w:ascii="Times New Roman" w:eastAsia="Calibri" w:hAnsi="Times New Roman" w:cs="Arial"/>
                <w:sz w:val="18"/>
                <w:szCs w:val="18"/>
                <w:lang w:val="en-US"/>
              </w:rPr>
              <w:sym w:font="Wingdings" w:char="F0FC"/>
            </w: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25. Examiner et, si nécessaire, établir et mettre en œuvre des modes de gestion appropriés et efficaces pour la conservation </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26. Promouvoir des approches participatives de la planification, de la gestion et de la conservation des sites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shd w:val="clear" w:color="auto" w:fill="D9D9D9"/>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Changement climatique</w:t>
            </w:r>
          </w:p>
        </w:tc>
        <w:tc>
          <w:tcPr>
            <w:tcW w:w="139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D9D9D9"/>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27. Mettre en œuvre les mesures énoncées dans la résolution 5.13 de l’AEWA (Mesures d’adaptation au changement climatique pour les oiseaux d’eau), la résolution X.24 de la Convention de Ramsar (Changement climatique et zones humides) et les résolutions 9.7 (Impact du changement climatique sur les espèces migratrices) et 10.19 (Conservation des espèces migratrices à la lumière </w:t>
            </w:r>
            <w:r w:rsidRPr="000A5CE6">
              <w:rPr>
                <w:rFonts w:ascii="Times New Roman" w:eastAsia="Calibri" w:hAnsi="Times New Roman" w:cs="Times New Roman"/>
                <w:sz w:val="20"/>
                <w:szCs w:val="20"/>
                <w:lang w:val="fr-FR"/>
              </w:rPr>
              <w:lastRenderedPageBreak/>
              <w:t>du changement climatique) de la CMS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lastRenderedPageBreak/>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right w:val="nil"/>
            </w:tcBorders>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PRÉLÈVEMENT ET COMMERCE</w:t>
            </w:r>
          </w:p>
        </w:tc>
        <w:tc>
          <w:tcPr>
            <w:tcW w:w="1396" w:type="dxa"/>
            <w:tcBorders>
              <w:left w:val="nil"/>
              <w:right w:val="nil"/>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left w:val="nil"/>
              <w:right w:val="nil"/>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left w:val="nil"/>
              <w:right w:val="nil"/>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left w:val="nil"/>
              <w:right w:val="nil"/>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left w:val="nil"/>
              <w:right w:val="nil"/>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left w:val="nil"/>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28. Identifier les espèces d’oiseaux terrestres migrateurs qui font l’objet de prélèvements et de commerce</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Réglementation des prélèvements autorisés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29. Assurer la protection juridique des espèces migratrices d’oiseaux terrestres dont l’état de conservation est le plus préoccupant</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30. Définir les quotas et les moyens autorisés pour le prélèvement des oiseaux terrestres migrateurs, et mettre en place des contrôles adéquats afin de veiller à ce que ces limites soient respectées</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31. Donner la priorité à la conservation des espèces d’oiseaux terrestres migrateurs dont la population mondiale présente une tendance au déclin</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32. Réglementer tout prélèvement et commerce des espèces d’oiseaux terrestres migrateurs dont les tendances de la population sont en hausse, stables ou inconnues</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33. Compiler les listes nationales d’oiseaux terrestres migrateurs classées en tant qu’espèces gibiers, les périodes d’ouverture de la chasse dans chaque pays et les données relatives au commerce</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r w:rsidRPr="000A5CE6">
              <w:rPr>
                <w:rFonts w:ascii="Times New Roman" w:eastAsia="Calibri" w:hAnsi="Times New Roman" w:cs="Arial"/>
                <w:sz w:val="18"/>
                <w:szCs w:val="18"/>
                <w:lang w:val="en-US"/>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34. Mettre en œuvre des programmes sur les moyens de subsistance alternatifs ou des programmes d’élevage en captivité d’oiseaux terrestres migrateurs utilisés comme source de nourriture</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Prélèvements illicites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35. Promouvoir la coopération internationale entre les autorités chargées de la lutte contre la fraude et les autres acteurs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36. Agir à travers les instruments juridiques de </w:t>
            </w:r>
            <w:r w:rsidRPr="000A5CE6">
              <w:rPr>
                <w:rFonts w:ascii="Times New Roman" w:eastAsia="Calibri" w:hAnsi="Times New Roman" w:cs="Times New Roman"/>
                <w:sz w:val="20"/>
                <w:szCs w:val="20"/>
                <w:lang w:val="fr-FR"/>
              </w:rPr>
              <w:lastRenderedPageBreak/>
              <w:t>réglementation du commerce national et/ou international</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lastRenderedPageBreak/>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3209"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Dérangement par les activités humaines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37. Promouvoir des études destinées à évaluer l’effet du dérangement humain sur les principaux sites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38. Encourager le développement et la mise en œuvre de plans de gestion efficaces sur des sites sensibles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39. Promouvoir la découverte par le public du phénomène migratoire et des oiseaux terrestres migrateurs à travers la sensibilisation et l’information</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3209"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Conflit entre les oiseaux terrestres migrateurs et les activités humaines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40. Procéder à un examen national pour identifier les espèces d’oiseaux terrestres dont la présence entre en conflit avec les activités humaines, posant ainsi potentiellement un problème</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41. Veiller à ce que des mesures réglementaires adéquates, relatives aux procédures de contrôle, soient en place</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en-US"/>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42. Promouvoir des moyens alternatifs non létaux pour éviter les conflits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Empoisonnement</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43. Substituer, restreindre ou interdire les substances présentant un risque élevé pour les oiseaux terrestres migrateurs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44. Inclure des critères relatifs aux oiseaux terrestres migrateurs dans la Convention de Rotterdam</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45. Encourager des mécanismes législatifs nationaux permettant de suivre l’utilisation agricole des substances pesticides, ainsi que l’adoption d’une gestion intégrée des ravageurs comprenant un système de certification pour les agriculteurs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46. Dissuader l’usage à long terme ou permanent d’appâts </w:t>
            </w:r>
            <w:r w:rsidRPr="000A5CE6">
              <w:rPr>
                <w:rFonts w:ascii="Times New Roman" w:eastAsia="Calibri" w:hAnsi="Times New Roman" w:cs="Times New Roman"/>
                <w:sz w:val="20"/>
                <w:szCs w:val="20"/>
                <w:lang w:val="fr-FR"/>
              </w:rPr>
              <w:lastRenderedPageBreak/>
              <w:t>empoisonnés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47. Promouvoir la connaissance et la pratique de la chasse, de la pêche et de la gestion de la faune sans utilisation de plomb</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AUTRES MENACES</w:t>
            </w:r>
          </w:p>
        </w:tc>
        <w:tc>
          <w:tcPr>
            <w:tcW w:w="1396"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Maladies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48. En cas d’épidémie ou d’épisode de mortalité massive pouvant avoir un impact sur les populations d’oiseaux terrestres migrateurs, mener des recherches épidémiologiques et d’autres recherches pour renseigner et guider les mesures d’atténuation et d’intervention.</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49. Élaborer et mettre en œuvre des mesures d’urgence lorsque des conditions exceptionnellement défavorables ou dangereuses apparaissent où que ce soit dans l’aire du Plan d’action</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Collisions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50. Veiller à ce qu’une législation appropriée soit en place et l’appliquer pour limiter la construction de structures qui présentent des risques potentiels de collision</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51. Introduire des mesures d’atténuation appropriées pour les différents risques de collision</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tcBorders>
              <w:bottom w:val="single" w:sz="4" w:space="0" w:color="auto"/>
            </w:tcBorders>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RECHERCHE ET SUIVI</w:t>
            </w:r>
          </w:p>
        </w:tc>
        <w:tc>
          <w:tcPr>
            <w:tcW w:w="1396"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Comprendre les schémas de migration et la connectivité le long des voies de migration</w:t>
            </w:r>
          </w:p>
        </w:tc>
        <w:tc>
          <w:tcPr>
            <w:tcW w:w="1396"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52. Poursuivre le développement des projets existants faisant appel à des collaborations internationales et locales et en établir de nouveaux</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Borders>
              <w:bottom w:val="single" w:sz="4" w:space="0" w:color="auto"/>
            </w:tcBorders>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Suivi des tendances des populations</w:t>
            </w:r>
          </w:p>
        </w:tc>
        <w:tc>
          <w:tcPr>
            <w:tcW w:w="1396"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tcBorders>
              <w:bottom w:val="single" w:sz="4" w:space="0" w:color="auto"/>
            </w:tcBorders>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53. Élaborer et mettre en œuvre des programmes nationaux standardisés de suivi des oiseaux terrestres migrateurs et de leurs habitats</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3209"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54. Encourager, soutenir et promouvoir les programmes standardisés de suivi des oiseaux sur les sites, ainsi que la recherche en écologie pour comprendre l’importance écologique de ces zones, et la publication des données et informations ainsi obtenues</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Arial"/>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55. Encourager l’utilisation active par les États de l’aire de répartition des bases de données en ligne régionales et sous-régionales existantes</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3209"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Comprendre les causes de l’évolution des populations d’oiseaux terrestres migrateurs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56. Diagnostiquer les causes de l’évolution des populations et entreprendre des études en écologie ciblées sur des « espèces indicatrices » sélectionnées et les habitats associés,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57. Comprendre les liens entre les facteurs écologiques qui limitent les populations migratrices d’oiseaux terrestres et les questions politiques et socio-économiques</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Renforcer les capacités et améliorer l’échange d’informations, la collaboration et la coordination entre les chercheurs qui étudient les oiseaux terrestres migrateurs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58. Faciliter les analyses approfondies des lacunes pour identifier et hiérarchiser les besoins en termes de recherche, en incluant un inventaire des recherches passées et en cours au sein des sous-régions de l’aire du Plan d’action</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tcBorders>
              <w:bottom w:val="single" w:sz="4" w:space="0" w:color="auto"/>
            </w:tcBorders>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59. Encourager le développement du Groupe d’étude des oiseaux terrestres migrateurs (MLSG - Migratory Landbird species Study Group)</w:t>
            </w:r>
          </w:p>
        </w:tc>
        <w:tc>
          <w:tcPr>
            <w:tcW w:w="139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c>
          <w:tcPr>
            <w:tcW w:w="2636" w:type="dxa"/>
            <w:tcBorders>
              <w:bottom w:val="single" w:sz="4" w:space="0" w:color="auto"/>
            </w:tcBorders>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shd w:val="clear" w:color="auto" w:fill="auto"/>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 xml:space="preserve">60. Encourager les chercheurs et les bailleurs de fonds à diriger leurs efforts sur les questions les plus importantes et les plus urgentes pour la conservation des oiseaux </w:t>
            </w:r>
            <w:r w:rsidRPr="000A5CE6">
              <w:rPr>
                <w:rFonts w:ascii="Times New Roman" w:eastAsia="Calibri" w:hAnsi="Times New Roman" w:cs="Times New Roman"/>
                <w:sz w:val="20"/>
                <w:szCs w:val="20"/>
                <w:lang w:val="fr-FR"/>
              </w:rPr>
              <w:lastRenderedPageBreak/>
              <w:t>terrestres migrateurs</w:t>
            </w:r>
          </w:p>
        </w:tc>
        <w:tc>
          <w:tcPr>
            <w:tcW w:w="139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lastRenderedPageBreak/>
              <w:sym w:font="Wingdings" w:char="F0FC"/>
            </w:r>
          </w:p>
        </w:tc>
        <w:tc>
          <w:tcPr>
            <w:tcW w:w="1255"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shd w:val="clear" w:color="auto" w:fill="auto"/>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5CE6" w:rsidTr="000A5CE6">
        <w:trPr>
          <w:trHeight w:val="20"/>
        </w:trPr>
        <w:tc>
          <w:tcPr>
            <w:tcW w:w="4928" w:type="dxa"/>
            <w:tcBorders>
              <w:bottom w:val="single" w:sz="4" w:space="0" w:color="auto"/>
            </w:tcBorders>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lastRenderedPageBreak/>
              <w:t>61. Soutenir la formation ciblée sur la recherche et le suivi</w:t>
            </w:r>
          </w:p>
        </w:tc>
        <w:tc>
          <w:tcPr>
            <w:tcW w:w="139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tcBorders>
              <w:bottom w:val="single" w:sz="4" w:space="0" w:color="auto"/>
            </w:tcBorders>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p>
        </w:tc>
      </w:tr>
      <w:tr w:rsidR="000A5CE6" w:rsidRPr="000A5CE6" w:rsidTr="000A5CE6">
        <w:trPr>
          <w:trHeight w:val="20"/>
        </w:trPr>
        <w:tc>
          <w:tcPr>
            <w:tcW w:w="4928" w:type="dxa"/>
            <w:shd w:val="clear" w:color="auto" w:fill="7F7F7F"/>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ÉDUCATION ET INFORMATION</w:t>
            </w:r>
          </w:p>
        </w:tc>
        <w:tc>
          <w:tcPr>
            <w:tcW w:w="139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7F7F7F"/>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3209" w:rsidTr="000A5CE6">
        <w:trPr>
          <w:trHeight w:val="20"/>
        </w:trPr>
        <w:tc>
          <w:tcPr>
            <w:tcW w:w="4928" w:type="dxa"/>
            <w:shd w:val="clear" w:color="auto" w:fill="A6A6A6"/>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Améliorer la sensibilisation et la compréhension du public vis-à-vis des oiseaux terrestres migrateurs</w:t>
            </w:r>
          </w:p>
        </w:tc>
        <w:tc>
          <w:tcPr>
            <w:tcW w:w="139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shd w:val="clear" w:color="auto" w:fill="A6A6A6"/>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r w:rsidR="000A5CE6" w:rsidRPr="000A5CE6"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62. Soutenir et encourager la participation du public dans «Les Amis du Plan d’action pour les oiseaux terres tres migrateurs » (FLAP - Friends of the Landbirds Action Plan)</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en-US"/>
              </w:rPr>
            </w:pPr>
            <w:r w:rsidRPr="000A5CE6">
              <w:rPr>
                <w:rFonts w:ascii="Times New Roman" w:eastAsia="Calibri" w:hAnsi="Times New Roman" w:cs="Arial"/>
                <w:sz w:val="18"/>
                <w:szCs w:val="18"/>
                <w:lang w:val="en-US"/>
              </w:rPr>
              <w:sym w:font="Wingdings" w:char="F0FC"/>
            </w:r>
          </w:p>
        </w:tc>
      </w:tr>
      <w:tr w:rsidR="000A5CE6" w:rsidRPr="000A3209" w:rsidTr="000A5CE6">
        <w:trPr>
          <w:trHeight w:val="20"/>
        </w:trPr>
        <w:tc>
          <w:tcPr>
            <w:tcW w:w="4928" w:type="dxa"/>
          </w:tcPr>
          <w:p w:rsidR="000A5CE6" w:rsidRPr="000A5CE6" w:rsidRDefault="000A5CE6" w:rsidP="000A5CE6">
            <w:pPr>
              <w:spacing w:after="0" w:line="240" w:lineRule="auto"/>
              <w:rPr>
                <w:rFonts w:ascii="Times New Roman" w:eastAsia="Calibri" w:hAnsi="Times New Roman" w:cs="Times New Roman"/>
                <w:sz w:val="20"/>
                <w:szCs w:val="20"/>
                <w:lang w:val="fr-FR"/>
              </w:rPr>
            </w:pPr>
            <w:r w:rsidRPr="000A5CE6">
              <w:rPr>
                <w:rFonts w:ascii="Times New Roman" w:eastAsia="Calibri" w:hAnsi="Times New Roman" w:cs="Times New Roman"/>
                <w:sz w:val="20"/>
                <w:szCs w:val="20"/>
                <w:lang w:val="fr-FR"/>
              </w:rPr>
              <w:t>63. Encourager l’engagement local, national et international avec des organismes privés et publics, en particulier dans le secteur du développement</w:t>
            </w:r>
          </w:p>
        </w:tc>
        <w:tc>
          <w:tcPr>
            <w:tcW w:w="139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55"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44"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201"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1382"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c>
          <w:tcPr>
            <w:tcW w:w="2636" w:type="dxa"/>
            <w:vAlign w:val="center"/>
          </w:tcPr>
          <w:p w:rsidR="000A5CE6" w:rsidRPr="000A5CE6" w:rsidRDefault="000A5CE6" w:rsidP="000A5CE6">
            <w:pPr>
              <w:spacing w:after="0" w:line="240" w:lineRule="auto"/>
              <w:jc w:val="center"/>
              <w:rPr>
                <w:rFonts w:ascii="Times New Roman" w:eastAsia="Calibri" w:hAnsi="Times New Roman" w:cs="Times New Roman"/>
                <w:sz w:val="18"/>
                <w:szCs w:val="18"/>
                <w:lang w:val="fr-FR"/>
              </w:rPr>
            </w:pPr>
          </w:p>
        </w:tc>
      </w:tr>
    </w:tbl>
    <w:p w:rsidR="000A5CE6" w:rsidRPr="000A5CE6" w:rsidRDefault="000A5CE6" w:rsidP="000A5CE6">
      <w:pPr>
        <w:spacing w:after="120" w:line="360" w:lineRule="auto"/>
        <w:jc w:val="both"/>
        <w:rPr>
          <w:rFonts w:ascii="Calibri" w:eastAsia="Calibri" w:hAnsi="Calibri" w:cs="Times New Roman"/>
          <w:lang w:val="fr-FR"/>
        </w:rPr>
        <w:sectPr w:rsidR="000A5CE6" w:rsidRPr="000A5CE6" w:rsidSect="000A5CE6">
          <w:headerReference w:type="even" r:id="rId38"/>
          <w:headerReference w:type="default" r:id="rId39"/>
          <w:pgSz w:w="16840" w:h="11907" w:orient="landscape" w:code="9"/>
          <w:pgMar w:top="1440" w:right="1440" w:bottom="1440" w:left="1440" w:header="720" w:footer="666" w:gutter="0"/>
          <w:cols w:space="720"/>
          <w:docGrid w:linePitch="360"/>
        </w:sectPr>
      </w:pPr>
    </w:p>
    <w:p w:rsidR="000A5CE6" w:rsidRPr="000A5CE6" w:rsidRDefault="000A5CE6" w:rsidP="000A5CE6">
      <w:pPr>
        <w:spacing w:after="120" w:line="360" w:lineRule="auto"/>
        <w:jc w:val="right"/>
        <w:rPr>
          <w:rFonts w:ascii="Calibri" w:eastAsia="Times New Roman" w:hAnsi="Calibri" w:cs="Calibri"/>
          <w:b/>
          <w:color w:val="000000"/>
          <w:lang w:val="fr-FR"/>
        </w:rPr>
      </w:pPr>
      <w:r w:rsidRPr="000A5CE6">
        <w:rPr>
          <w:rFonts w:ascii="Calibri" w:eastAsia="Times New Roman" w:hAnsi="Calibri" w:cs="Calibri"/>
          <w:b/>
          <w:color w:val="000000"/>
          <w:lang w:val="fr-FR"/>
        </w:rPr>
        <w:lastRenderedPageBreak/>
        <w:t>Annexe 6</w:t>
      </w:r>
    </w:p>
    <w:p w:rsidR="000A5CE6" w:rsidRPr="000A5CE6" w:rsidRDefault="000A5CE6" w:rsidP="000A5CE6">
      <w:pPr>
        <w:spacing w:after="0" w:line="240" w:lineRule="auto"/>
        <w:jc w:val="center"/>
        <w:rPr>
          <w:rFonts w:ascii="Calibri" w:eastAsia="Times New Roman" w:hAnsi="Calibri" w:cs="Calibri"/>
          <w:b/>
          <w:color w:val="000000"/>
          <w:lang w:val="fr-FR"/>
        </w:rPr>
      </w:pPr>
      <w:r w:rsidRPr="000A5CE6">
        <w:rPr>
          <w:rFonts w:ascii="Calibri" w:eastAsia="Times New Roman" w:hAnsi="Calibri" w:cs="Calibri"/>
          <w:b/>
          <w:color w:val="000000"/>
          <w:lang w:val="fr-FR"/>
        </w:rPr>
        <w:t xml:space="preserve">Plan d’action pour les oiseaux terrestres migrateurs d’Afrique-Eurasie </w:t>
      </w:r>
    </w:p>
    <w:p w:rsidR="000A5CE6" w:rsidRPr="000A5CE6" w:rsidRDefault="000A5CE6" w:rsidP="000A5CE6">
      <w:pPr>
        <w:spacing w:after="120" w:line="240" w:lineRule="auto"/>
        <w:jc w:val="center"/>
        <w:rPr>
          <w:rFonts w:ascii="Calibri" w:eastAsia="Times New Roman" w:hAnsi="Calibri" w:cs="Calibri"/>
          <w:b/>
          <w:color w:val="000000"/>
          <w:lang w:val="fr-FR"/>
        </w:rPr>
      </w:pPr>
      <w:r w:rsidRPr="000A5CE6">
        <w:rPr>
          <w:rFonts w:ascii="Calibri" w:eastAsia="Times New Roman" w:hAnsi="Calibri" w:cs="Calibri"/>
          <w:b/>
          <w:color w:val="000000"/>
          <w:lang w:val="fr-FR"/>
        </w:rPr>
        <w:t xml:space="preserve">Annexe 6 : </w:t>
      </w:r>
      <w:r w:rsidRPr="000A5CE6">
        <w:rPr>
          <w:rFonts w:ascii="Calibri" w:eastAsia="Calibri" w:hAnsi="Calibri" w:cs="Times New Roman"/>
          <w:b/>
          <w:lang w:val="fr-FR"/>
        </w:rPr>
        <w:t>Bibliographie du Plan d’action</w:t>
      </w:r>
    </w:p>
    <w:p w:rsidR="000A5CE6" w:rsidRPr="000A5CE6" w:rsidRDefault="000A5CE6" w:rsidP="000A5CE6">
      <w:pPr>
        <w:spacing w:after="0" w:line="240" w:lineRule="auto"/>
        <w:jc w:val="center"/>
        <w:rPr>
          <w:rFonts w:ascii="Calibri" w:eastAsia="Calibri" w:hAnsi="Calibri" w:cs="Times New Roman"/>
          <w:lang w:val="fr-FR"/>
        </w:rPr>
      </w:pPr>
      <w:r w:rsidRPr="000A5CE6">
        <w:rPr>
          <w:rFonts w:ascii="Calibri" w:eastAsia="Calibri" w:hAnsi="Calibri" w:cs="Times New Roman"/>
          <w:lang w:val="fr-FR"/>
        </w:rPr>
        <w:t>Version 28-04-2014</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AEWA MoP 4 (2008) Agreement on the Conservation of African-Eurasian Migratory Waterbirds (AEWA): Agreement Text and Action Plan. UNEP/AEWA Secretariat, Antananarivo, Madagascar.</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fr-FR"/>
        </w:rPr>
      </w:pPr>
      <w:r w:rsidRPr="000A5CE6">
        <w:rPr>
          <w:rFonts w:ascii="Calibri" w:eastAsia="Times New Roman" w:hAnsi="Calibri" w:cs="Calibri"/>
          <w:noProof/>
          <w:szCs w:val="24"/>
          <w:lang w:val="en-US"/>
        </w:rPr>
        <w:t xml:space="preserve">AEWA MoP 5 (2012a) Adoption of Amendments to the AEWA Action Plan. </w:t>
      </w:r>
      <w:r w:rsidRPr="000A5CE6">
        <w:rPr>
          <w:rFonts w:ascii="Calibri" w:eastAsia="Times New Roman" w:hAnsi="Calibri" w:cs="Calibri"/>
          <w:noProof/>
          <w:szCs w:val="24"/>
          <w:lang w:val="fr-FR"/>
        </w:rPr>
        <w:t>UNEP/AEWA Secretariat, La Rochelle, France.</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fr-FR"/>
        </w:rPr>
        <w:t xml:space="preserve">AEWA MoP 5 (2012b) Resolution 5.13. </w:t>
      </w:r>
      <w:r w:rsidRPr="000A5CE6">
        <w:rPr>
          <w:rFonts w:ascii="Calibri" w:eastAsia="Times New Roman" w:hAnsi="Calibri" w:cs="Calibri"/>
          <w:noProof/>
          <w:szCs w:val="24"/>
          <w:lang w:val="en-US"/>
        </w:rPr>
        <w:t>Climate Change Adaptation Measures For Waterbirds. UNEP/AEWA Secretariat, La Rochelle, France.</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Bairlein F (2011) Proposal on Long-distance Landbirds in the African Eurasian Region.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 xml:space="preserve">Bennun L, Matiku P, Mulwa R, </w:t>
      </w:r>
      <w:r w:rsidRPr="000A5CE6">
        <w:rPr>
          <w:rFonts w:ascii="Calibri" w:eastAsia="Times New Roman" w:hAnsi="Calibri" w:cs="Calibri"/>
          <w:i/>
          <w:noProof/>
          <w:szCs w:val="24"/>
          <w:lang w:val="en-US"/>
        </w:rPr>
        <w:t>et al</w:t>
      </w:r>
      <w:r w:rsidRPr="000A5CE6">
        <w:rPr>
          <w:rFonts w:ascii="Calibri" w:eastAsia="Times New Roman" w:hAnsi="Calibri" w:cs="Calibri"/>
          <w:noProof/>
          <w:szCs w:val="24"/>
          <w:lang w:val="en-US"/>
        </w:rPr>
        <w:t>. (2005) Monitoring Important Bird Areas in Africa: Towards a Sustainable and Scaleable System. Biodiversity and Conservation 14 (11) 2575-2590.</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 xml:space="preserve">Berlanga H, Kennedy JA, Rich TD, </w:t>
      </w:r>
      <w:r w:rsidRPr="000A5CE6">
        <w:rPr>
          <w:rFonts w:ascii="Calibri" w:eastAsia="Times New Roman" w:hAnsi="Calibri" w:cs="Calibri"/>
          <w:i/>
          <w:noProof/>
          <w:szCs w:val="24"/>
          <w:lang w:val="en-US"/>
        </w:rPr>
        <w:t>et al</w:t>
      </w:r>
      <w:r w:rsidRPr="000A5CE6">
        <w:rPr>
          <w:rFonts w:ascii="Calibri" w:eastAsia="Times New Roman" w:hAnsi="Calibri" w:cs="Calibri"/>
          <w:noProof/>
          <w:szCs w:val="24"/>
          <w:lang w:val="en-US"/>
        </w:rPr>
        <w:t>. (2010) Saving our Shared Birds: Partners in Flight Tri-national Vision for Landbird Conservation. Cornell Lab of Ornithology, Ithaca, NY, USA.</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BirdLife International (2006) Monitoring Important Bird Areas: A Global Framework. Cambridge, UK. BirdLife International. Version 1.2.</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BirdLife International (2011) Migratory Landbirds in the African-Eurasian Region.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CBD (2004a) Expanded Programme of Work on Forest Biological Diversity. Secretariat of the Convention on Biological Diversity, Montreal, Canada.</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CBD (2004b) The Ecosystem Approach (CBD Guidelines). Secretariat of the Convention on Biological Diversity, Montreal, Canada.</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CMS (1979) Convention Text. Convention on the Conservation of Migratory Species of Wild Animals (CMS), Bonn, Germany.</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CMS (2008) Memorandum of Understanding on the Conservation of Migratory Birds of Prey in Africa and Eurasia. Convention on the Conservation of Migratory Species of Wild Animals (CMS), Abu-Dhabi, United Arab Emirates.</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CMS CoP 9 (2008) Resolution 9.7. Climate Change Impact on Migratory Species. Convention on the Conservation of Migratory Species of Wild Animals, Rome, Italy.</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CMS CoP 10 (2011a) Resolution 10.2. Modus Operandi for Conservation Emergencies.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lastRenderedPageBreak/>
        <w:t>CMS CoP 10 (2011b) Resolution 10.3. The Role of Ecological Networks in the Conservation of Migratory Species.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CMS CoP 10 (2011c) Resolution 10.11. Power Lines and Migratory Birds.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CMS CoP 10 (2011d) Resolution 10.19. Migratory Species Conservation in the Light of Climate Change.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CMS CoP 10 (2011e) Resolution 10.22. Wildlife Disease and Migratory Species.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CMS CoP 10 (2011f) Resolution 10.26. Minimizing the Risk of Poisoning to Migratory Birds.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rPr>
          <w:rFonts w:ascii="Calibri" w:eastAsia="Times New Roman" w:hAnsi="Calibri" w:cs="Calibri"/>
          <w:noProof/>
          <w:szCs w:val="24"/>
          <w:lang w:val="en-US"/>
        </w:rPr>
      </w:pPr>
      <w:r w:rsidRPr="000A5CE6">
        <w:rPr>
          <w:rFonts w:ascii="Calibri" w:eastAsia="Times New Roman" w:hAnsi="Calibri" w:cs="Calibri"/>
          <w:noProof/>
          <w:szCs w:val="24"/>
          <w:lang w:val="en-US"/>
        </w:rPr>
        <w:t>CMS CoP 10 (2011g) Resolution 10.27. Improving the Conservation Status of Migratory Landbirds in the African-Eurasian Region. Convention on the Conservation of Migratory Species of Wild Animals, Bergen, Norway.</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3209">
        <w:rPr>
          <w:rFonts w:ascii="Calibri" w:eastAsia="Times New Roman" w:hAnsi="Calibri" w:cs="Calibri"/>
          <w:noProof/>
          <w:szCs w:val="24"/>
          <w:lang w:val="en-US"/>
        </w:rPr>
        <w:t xml:space="preserve">Cromie RL, Lee R, Delahay RJ, </w:t>
      </w:r>
      <w:r w:rsidRPr="000A3209">
        <w:rPr>
          <w:rFonts w:ascii="Calibri" w:eastAsia="Times New Roman" w:hAnsi="Calibri" w:cs="Calibri"/>
          <w:i/>
          <w:noProof/>
          <w:szCs w:val="24"/>
          <w:lang w:val="en-US"/>
        </w:rPr>
        <w:t>et al</w:t>
      </w:r>
      <w:r w:rsidRPr="000A3209">
        <w:rPr>
          <w:rFonts w:ascii="Calibri" w:eastAsia="Times New Roman" w:hAnsi="Calibri" w:cs="Calibri"/>
          <w:noProof/>
          <w:szCs w:val="24"/>
          <w:lang w:val="en-US"/>
        </w:rPr>
        <w:t xml:space="preserve">. </w:t>
      </w:r>
      <w:r w:rsidRPr="000A5CE6">
        <w:rPr>
          <w:rFonts w:ascii="Calibri" w:eastAsia="Times New Roman" w:hAnsi="Calibri" w:cs="Calibri"/>
          <w:noProof/>
          <w:szCs w:val="24"/>
          <w:lang w:val="en-US"/>
        </w:rPr>
        <w:t>(2012) Ramsar Wetland Disease Manual: Guidelines for Assessment, Monitoring and Management of Animal Disease in Wetlands. Ramsar Technical Report No. 7. Ramsar Convention Secretariat, Gland, Switzerland.</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European Conference on Illegal Killing of Birds (2011) Larnaca declaration. Council of Europe &amp; Game Fund of Cyprus (Ministry of Interior), Eds., Larnaca, Cyprus.</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IUCN (2005) World Initiative for Sustainable Pastoralism.</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Ramsar Convention (2008a) Resolution X.19. Wetlands and River Basin Management: Consolidated Scientific and Technical Guidance. Changwon, Republic of Korea.</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Ramsar Convention (2008b) Resolution X.24.</w:t>
      </w:r>
      <w:r w:rsidRPr="000A5CE6">
        <w:rPr>
          <w:rFonts w:ascii="Times New Roman" w:eastAsia="Times New Roman" w:hAnsi="Times New Roman" w:cs="Times New Roman"/>
          <w:sz w:val="24"/>
          <w:szCs w:val="24"/>
          <w:lang w:val="en-US"/>
        </w:rPr>
        <w:t xml:space="preserve"> </w:t>
      </w:r>
      <w:r w:rsidRPr="000A5CE6">
        <w:rPr>
          <w:rFonts w:ascii="Calibri" w:eastAsia="Times New Roman" w:hAnsi="Calibri" w:cs="Calibri"/>
          <w:noProof/>
          <w:szCs w:val="24"/>
          <w:lang w:val="en-US"/>
        </w:rPr>
        <w:t>Climate Change and Wetlands. Changwon, Republic of Korea.</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United Nations (1992a) Agenda 21. United Nations Conference on Environment &amp; Development. Rio de Janerio, Brazil.</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r w:rsidRPr="000A5CE6">
        <w:rPr>
          <w:rFonts w:ascii="Calibri" w:eastAsia="Times New Roman" w:hAnsi="Calibri" w:cs="Calibri"/>
          <w:noProof/>
          <w:szCs w:val="24"/>
          <w:lang w:val="en-US"/>
        </w:rPr>
        <w:t>United Nations (1992b) Convention on Biological Diversity. Rio Earth Summit, Brazil.</w:t>
      </w:r>
    </w:p>
    <w:p w:rsidR="000A5CE6" w:rsidRPr="000A5CE6" w:rsidRDefault="000A5CE6" w:rsidP="000A5CE6">
      <w:pPr>
        <w:spacing w:before="100" w:beforeAutospacing="1" w:after="100" w:afterAutospacing="1" w:line="240" w:lineRule="auto"/>
        <w:ind w:left="480" w:hanging="480"/>
        <w:jc w:val="both"/>
        <w:rPr>
          <w:rFonts w:ascii="Calibri" w:eastAsia="Times New Roman" w:hAnsi="Calibri" w:cs="Calibri"/>
          <w:noProof/>
          <w:szCs w:val="24"/>
          <w:lang w:val="en-US"/>
        </w:rPr>
      </w:pPr>
      <w:proofErr w:type="gramStart"/>
      <w:r w:rsidRPr="000A5CE6">
        <w:rPr>
          <w:rFonts w:ascii="Calibri" w:eastAsia="Times New Roman" w:hAnsi="Calibri" w:cs="Calibri"/>
          <w:noProof/>
          <w:szCs w:val="24"/>
          <w:lang w:val="en-US"/>
        </w:rPr>
        <w:t>United Nations (1994) Convention to Combat Dessertification</w:t>
      </w:r>
      <w:r w:rsidRPr="000A5CE6">
        <w:rPr>
          <w:rFonts w:ascii="Times New Roman" w:eastAsia="Times New Roman" w:hAnsi="Times New Roman" w:cs="Times New Roman"/>
          <w:sz w:val="24"/>
          <w:szCs w:val="24"/>
          <w:lang w:val="en-US"/>
        </w:rPr>
        <w:t xml:space="preserve"> </w:t>
      </w:r>
      <w:r w:rsidRPr="000A5CE6">
        <w:rPr>
          <w:rFonts w:ascii="Calibri" w:eastAsia="Times New Roman" w:hAnsi="Calibri" w:cs="Calibri"/>
          <w:noProof/>
          <w:szCs w:val="24"/>
          <w:lang w:val="en-US"/>
        </w:rPr>
        <w:t>in those Countries Experiencing Serious Drought and/or Desertification, Particularly in Africa.</w:t>
      </w:r>
      <w:proofErr w:type="gramEnd"/>
      <w:r w:rsidRPr="000A5CE6">
        <w:rPr>
          <w:rFonts w:ascii="Calibri" w:eastAsia="Times New Roman" w:hAnsi="Calibri" w:cs="Calibri"/>
          <w:noProof/>
          <w:szCs w:val="24"/>
          <w:lang w:val="en-US"/>
        </w:rPr>
        <w:t xml:space="preserve"> Paris, France.</w:t>
      </w:r>
    </w:p>
    <w:p w:rsidR="000A5CE6" w:rsidRPr="000A5CE6" w:rsidRDefault="000A5CE6" w:rsidP="000A5CE6">
      <w:pPr>
        <w:spacing w:after="120" w:line="360" w:lineRule="auto"/>
        <w:jc w:val="both"/>
        <w:rPr>
          <w:rFonts w:ascii="Calibri" w:eastAsia="Calibri" w:hAnsi="Calibri" w:cs="Times New Roman"/>
          <w:lang w:val="fr-FR"/>
        </w:rPr>
      </w:pPr>
    </w:p>
    <w:sectPr w:rsidR="000A5CE6" w:rsidRPr="000A5CE6" w:rsidSect="000A5CE6">
      <w:headerReference w:type="even" r:id="rId40"/>
      <w:headerReference w:type="default" r:id="rId41"/>
      <w:footerReference w:type="default" r:id="rId42"/>
      <w:headerReference w:type="first" r:id="rId43"/>
      <w:footerReference w:type="first" r:id="rId44"/>
      <w:pgSz w:w="11907" w:h="16840" w:code="9"/>
      <w:pgMar w:top="1134"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E7C" w:rsidRDefault="00E02E7C" w:rsidP="000A5CE6">
      <w:pPr>
        <w:spacing w:after="0" w:line="240" w:lineRule="auto"/>
      </w:pPr>
      <w:r>
        <w:separator/>
      </w:r>
    </w:p>
  </w:endnote>
  <w:endnote w:type="continuationSeparator" w:id="0">
    <w:p w:rsidR="00E02E7C" w:rsidRDefault="00E02E7C" w:rsidP="000A5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047749"/>
      <w:docPartObj>
        <w:docPartGallery w:val="Page Numbers (Bottom of Page)"/>
        <w:docPartUnique/>
      </w:docPartObj>
    </w:sdtPr>
    <w:sdtEndPr>
      <w:rPr>
        <w:noProof/>
        <w:sz w:val="20"/>
        <w:szCs w:val="20"/>
      </w:rPr>
    </w:sdtEndPr>
    <w:sdtContent>
      <w:p w:rsidR="00703022" w:rsidRPr="00F11CE0" w:rsidRDefault="00703022">
        <w:pPr>
          <w:pStyle w:val="Footer"/>
          <w:jc w:val="center"/>
          <w:rPr>
            <w:sz w:val="20"/>
            <w:szCs w:val="20"/>
          </w:rPr>
        </w:pPr>
        <w:r w:rsidRPr="00F11CE0">
          <w:rPr>
            <w:sz w:val="20"/>
            <w:szCs w:val="20"/>
          </w:rPr>
          <w:fldChar w:fldCharType="begin"/>
        </w:r>
        <w:r w:rsidRPr="00F11CE0">
          <w:rPr>
            <w:sz w:val="20"/>
            <w:szCs w:val="20"/>
          </w:rPr>
          <w:instrText xml:space="preserve"> PAGE   \* MERGEFORMAT </w:instrText>
        </w:r>
        <w:r w:rsidRPr="00F11CE0">
          <w:rPr>
            <w:sz w:val="20"/>
            <w:szCs w:val="20"/>
          </w:rPr>
          <w:fldChar w:fldCharType="separate"/>
        </w:r>
        <w:r w:rsidR="002F37DB">
          <w:rPr>
            <w:noProof/>
            <w:sz w:val="20"/>
            <w:szCs w:val="20"/>
          </w:rPr>
          <w:t>2</w:t>
        </w:r>
        <w:r w:rsidRPr="00F11CE0">
          <w:rPr>
            <w:noProof/>
            <w:sz w:val="20"/>
            <w:szCs w:val="20"/>
          </w:rPr>
          <w:fldChar w:fldCharType="end"/>
        </w:r>
      </w:p>
    </w:sdtContent>
  </w:sdt>
  <w:p w:rsidR="00703022" w:rsidRDefault="0070302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2785809"/>
      <w:docPartObj>
        <w:docPartGallery w:val="Page Numbers (Bottom of Page)"/>
        <w:docPartUnique/>
      </w:docPartObj>
    </w:sdtPr>
    <w:sdtEndPr>
      <w:rPr>
        <w:noProof/>
      </w:rPr>
    </w:sdtEndPr>
    <w:sdtContent>
      <w:p w:rsidR="00703022" w:rsidRDefault="00703022" w:rsidP="000A5CE6">
        <w:pPr>
          <w:pStyle w:val="Footer"/>
          <w:ind w:firstLine="4320"/>
          <w:jc w:val="center"/>
        </w:pPr>
        <w:r w:rsidRPr="00FC37A4">
          <w:rPr>
            <w:sz w:val="20"/>
          </w:rPr>
          <w:fldChar w:fldCharType="begin"/>
        </w:r>
        <w:r w:rsidRPr="00FC37A4">
          <w:rPr>
            <w:sz w:val="20"/>
          </w:rPr>
          <w:instrText xml:space="preserve"> PAGE   \* MERGEFORMAT </w:instrText>
        </w:r>
        <w:r w:rsidRPr="00FC37A4">
          <w:rPr>
            <w:sz w:val="20"/>
          </w:rPr>
          <w:fldChar w:fldCharType="separate"/>
        </w:r>
        <w:r>
          <w:rPr>
            <w:noProof/>
            <w:sz w:val="20"/>
          </w:rPr>
          <w:t>41</w:t>
        </w:r>
        <w:r w:rsidRPr="00FC37A4">
          <w:rPr>
            <w:noProof/>
            <w:sz w:val="20"/>
          </w:rPr>
          <w:fldChar w:fldCharType="end"/>
        </w:r>
        <w:r>
          <w:rPr>
            <w:noProof/>
            <w:sz w:val="20"/>
            <w:szCs w:val="20"/>
          </w:rPr>
          <w:tab/>
        </w:r>
        <w:r>
          <w:rPr>
            <w:noProof/>
            <w:sz w:val="20"/>
            <w:szCs w:val="20"/>
          </w:rPr>
          <w:tab/>
          <w:t>PNUE/CMS/COP11/CRP11</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6652590"/>
      <w:docPartObj>
        <w:docPartGallery w:val="Page Numbers (Bottom of Page)"/>
        <w:docPartUnique/>
      </w:docPartObj>
    </w:sdtPr>
    <w:sdtEndPr>
      <w:rPr>
        <w:noProof/>
        <w:sz w:val="20"/>
        <w:szCs w:val="20"/>
      </w:rPr>
    </w:sdtEndPr>
    <w:sdtContent>
      <w:p w:rsidR="00703022" w:rsidRPr="00EC5473" w:rsidRDefault="00703022">
        <w:pPr>
          <w:pStyle w:val="Footer"/>
          <w:jc w:val="center"/>
          <w:rPr>
            <w:sz w:val="20"/>
            <w:szCs w:val="20"/>
          </w:rPr>
        </w:pPr>
        <w:r w:rsidRPr="00EC5473">
          <w:rPr>
            <w:sz w:val="20"/>
            <w:szCs w:val="20"/>
          </w:rPr>
          <w:fldChar w:fldCharType="begin"/>
        </w:r>
        <w:r w:rsidRPr="00EC5473">
          <w:rPr>
            <w:sz w:val="20"/>
            <w:szCs w:val="20"/>
          </w:rPr>
          <w:instrText xml:space="preserve"> PAGE   \* MERGEFORMAT </w:instrText>
        </w:r>
        <w:r w:rsidRPr="00EC5473">
          <w:rPr>
            <w:sz w:val="20"/>
            <w:szCs w:val="20"/>
          </w:rPr>
          <w:fldChar w:fldCharType="separate"/>
        </w:r>
        <w:r w:rsidR="002F37DB">
          <w:rPr>
            <w:noProof/>
            <w:sz w:val="20"/>
            <w:szCs w:val="20"/>
          </w:rPr>
          <w:t>58</w:t>
        </w:r>
        <w:r w:rsidRPr="00EC5473">
          <w:rPr>
            <w:noProof/>
            <w:sz w:val="20"/>
            <w:szCs w:val="20"/>
          </w:rPr>
          <w:fldChar w:fldCharType="end"/>
        </w:r>
      </w:p>
    </w:sdtContent>
  </w:sdt>
  <w:p w:rsidR="00703022" w:rsidRPr="00EC5473" w:rsidRDefault="00703022" w:rsidP="000A5CE6">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8191355"/>
      <w:docPartObj>
        <w:docPartGallery w:val="Page Numbers (Bottom of Page)"/>
        <w:docPartUnique/>
      </w:docPartObj>
    </w:sdtPr>
    <w:sdtEndPr>
      <w:rPr>
        <w:noProof/>
      </w:rPr>
    </w:sdtEndPr>
    <w:sdtContent>
      <w:p w:rsidR="00703022" w:rsidRPr="00F41BAC" w:rsidRDefault="00703022" w:rsidP="000A5CE6">
        <w:pPr>
          <w:pStyle w:val="Footer"/>
          <w:ind w:left="1800" w:firstLine="4680"/>
          <w:rPr>
            <w:noProof/>
            <w:sz w:val="20"/>
            <w:szCs w:val="20"/>
          </w:rPr>
        </w:pPr>
        <w:r w:rsidRPr="00EC5473">
          <w:rPr>
            <w:sz w:val="20"/>
            <w:szCs w:val="20"/>
          </w:rPr>
          <w:fldChar w:fldCharType="begin"/>
        </w:r>
        <w:r w:rsidRPr="00EC5473">
          <w:rPr>
            <w:sz w:val="20"/>
            <w:szCs w:val="20"/>
          </w:rPr>
          <w:instrText xml:space="preserve"> PAGE   \* MERGEFORMAT </w:instrText>
        </w:r>
        <w:r w:rsidRPr="00EC5473">
          <w:rPr>
            <w:sz w:val="20"/>
            <w:szCs w:val="20"/>
          </w:rPr>
          <w:fldChar w:fldCharType="separate"/>
        </w:r>
        <w:r w:rsidR="002F37DB">
          <w:rPr>
            <w:noProof/>
            <w:sz w:val="20"/>
            <w:szCs w:val="20"/>
          </w:rPr>
          <w:t>57</w:t>
        </w:r>
        <w:r w:rsidRPr="00EC5473">
          <w:rPr>
            <w:noProof/>
            <w:sz w:val="20"/>
            <w:szCs w:val="20"/>
          </w:rPr>
          <w:fldChar w:fldCharType="end"/>
        </w:r>
        <w:r w:rsidRPr="00F41BAC">
          <w:rPr>
            <w:noProof/>
            <w:sz w:val="20"/>
            <w:szCs w:val="20"/>
          </w:rPr>
          <w:t xml:space="preserve"> </w:t>
        </w:r>
        <w:r>
          <w:rPr>
            <w:noProof/>
            <w:sz w:val="20"/>
            <w:szCs w:val="20"/>
          </w:rPr>
          <w:tab/>
        </w:r>
        <w:r>
          <w:rPr>
            <w:noProof/>
            <w:sz w:val="20"/>
            <w:szCs w:val="20"/>
          </w:rPr>
          <w:tab/>
        </w:r>
        <w:r>
          <w:rPr>
            <w:noProof/>
            <w:sz w:val="20"/>
            <w:szCs w:val="20"/>
          </w:rPr>
          <w:tab/>
        </w:r>
        <w:r>
          <w:rPr>
            <w:noProof/>
            <w:sz w:val="20"/>
            <w:szCs w:val="20"/>
          </w:rPr>
          <w:tab/>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574972170"/>
      <w:docPartObj>
        <w:docPartGallery w:val="Page Numbers (Bottom of Page)"/>
        <w:docPartUnique/>
      </w:docPartObj>
    </w:sdtPr>
    <w:sdtEndPr>
      <w:rPr>
        <w:noProof/>
      </w:rPr>
    </w:sdtEndPr>
    <w:sdtContent>
      <w:p w:rsidR="00703022" w:rsidRPr="00C32F1C" w:rsidRDefault="00703022" w:rsidP="000A5CE6">
        <w:pPr>
          <w:pStyle w:val="Footer"/>
          <w:ind w:left="1800" w:firstLine="4680"/>
          <w:jc w:val="center"/>
          <w:rPr>
            <w:noProof/>
            <w:sz w:val="20"/>
            <w:szCs w:val="20"/>
          </w:rPr>
        </w:pPr>
        <w:r w:rsidRPr="00C32F1C">
          <w:rPr>
            <w:sz w:val="20"/>
          </w:rPr>
          <w:fldChar w:fldCharType="begin"/>
        </w:r>
        <w:r w:rsidRPr="00C32F1C">
          <w:rPr>
            <w:sz w:val="20"/>
          </w:rPr>
          <w:instrText xml:space="preserve"> PAGE   \* MERGEFORMAT </w:instrText>
        </w:r>
        <w:r w:rsidRPr="00C32F1C">
          <w:rPr>
            <w:sz w:val="20"/>
          </w:rPr>
          <w:fldChar w:fldCharType="separate"/>
        </w:r>
        <w:r w:rsidR="002F37DB">
          <w:rPr>
            <w:noProof/>
            <w:sz w:val="20"/>
          </w:rPr>
          <w:t>43</w:t>
        </w:r>
        <w:r w:rsidRPr="00C32F1C">
          <w:rPr>
            <w:noProof/>
            <w:sz w:val="20"/>
          </w:rPr>
          <w:fldChar w:fldCharType="end"/>
        </w:r>
        <w:r w:rsidRPr="00C32F1C">
          <w:rPr>
            <w:noProof/>
            <w:sz w:val="20"/>
            <w:szCs w:val="20"/>
          </w:rPr>
          <w:t xml:space="preserve"> </w:t>
        </w:r>
        <w:r>
          <w:rPr>
            <w:noProof/>
            <w:sz w:val="20"/>
            <w:szCs w:val="20"/>
          </w:rPr>
          <w:tab/>
        </w:r>
        <w:r>
          <w:rPr>
            <w:noProof/>
            <w:sz w:val="20"/>
            <w:szCs w:val="20"/>
          </w:rPr>
          <w:tab/>
        </w:r>
        <w:r>
          <w:rPr>
            <w:noProof/>
            <w:sz w:val="20"/>
            <w:szCs w:val="20"/>
          </w:rPr>
          <w:tab/>
        </w:r>
        <w:r>
          <w:rPr>
            <w:noProof/>
            <w:sz w:val="20"/>
            <w:szCs w:val="20"/>
          </w:rPr>
          <w:tab/>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82688765"/>
      <w:docPartObj>
        <w:docPartGallery w:val="Page Numbers (Bottom of Page)"/>
        <w:docPartUnique/>
      </w:docPartObj>
    </w:sdtPr>
    <w:sdtEndPr>
      <w:rPr>
        <w:noProof/>
      </w:rPr>
    </w:sdtEndPr>
    <w:sdtContent>
      <w:p w:rsidR="00703022" w:rsidRPr="00F41BAC" w:rsidRDefault="00703022" w:rsidP="000A5CE6">
        <w:pPr>
          <w:pStyle w:val="Footer"/>
          <w:ind w:firstLine="4320"/>
          <w:rPr>
            <w:noProof/>
            <w:sz w:val="20"/>
            <w:szCs w:val="20"/>
          </w:rPr>
        </w:pPr>
        <w:r w:rsidRPr="00EC5473">
          <w:rPr>
            <w:sz w:val="20"/>
            <w:szCs w:val="20"/>
          </w:rPr>
          <w:fldChar w:fldCharType="begin"/>
        </w:r>
        <w:r w:rsidRPr="00EC5473">
          <w:rPr>
            <w:sz w:val="20"/>
            <w:szCs w:val="20"/>
          </w:rPr>
          <w:instrText xml:space="preserve"> PAGE   \* MERGEFORMAT </w:instrText>
        </w:r>
        <w:r w:rsidRPr="00EC5473">
          <w:rPr>
            <w:sz w:val="20"/>
            <w:szCs w:val="20"/>
          </w:rPr>
          <w:fldChar w:fldCharType="separate"/>
        </w:r>
        <w:r w:rsidR="002F37DB">
          <w:rPr>
            <w:noProof/>
            <w:sz w:val="20"/>
            <w:szCs w:val="20"/>
          </w:rPr>
          <w:t>91</w:t>
        </w:r>
        <w:r w:rsidRPr="00EC5473">
          <w:rPr>
            <w:noProof/>
            <w:sz w:val="20"/>
            <w:szCs w:val="20"/>
          </w:rPr>
          <w:fldChar w:fldCharType="end"/>
        </w:r>
        <w:r w:rsidRPr="00F41BAC">
          <w:rPr>
            <w:noProof/>
            <w:sz w:val="20"/>
            <w:szCs w:val="20"/>
          </w:rPr>
          <w:t xml:space="preserve"> </w:t>
        </w:r>
        <w:r>
          <w:rPr>
            <w:noProof/>
            <w:sz w:val="20"/>
            <w:szCs w:val="20"/>
          </w:rPr>
          <w:tab/>
        </w:r>
        <w:r>
          <w:rPr>
            <w:noProof/>
            <w:sz w:val="20"/>
            <w:szCs w:val="20"/>
          </w:rPr>
          <w:tab/>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Default="00703022" w:rsidP="000A5CE6">
    <w:pPr>
      <w:pStyle w:val="Footer"/>
      <w:jc w:val="center"/>
    </w:pPr>
    <w:r>
      <w:rPr>
        <w:sz w:val="20"/>
      </w:rPr>
      <w:tab/>
    </w:r>
    <w:r w:rsidRPr="00F41BAC">
      <w:rPr>
        <w:sz w:val="20"/>
      </w:rPr>
      <w:fldChar w:fldCharType="begin"/>
    </w:r>
    <w:r w:rsidRPr="00F41BAC">
      <w:rPr>
        <w:sz w:val="20"/>
      </w:rPr>
      <w:instrText xml:space="preserve"> PAGE   \* MERGEFORMAT </w:instrText>
    </w:r>
    <w:r w:rsidRPr="00F41BAC">
      <w:rPr>
        <w:sz w:val="20"/>
      </w:rPr>
      <w:fldChar w:fldCharType="separate"/>
    </w:r>
    <w:r w:rsidR="002F37DB">
      <w:rPr>
        <w:noProof/>
        <w:sz w:val="20"/>
      </w:rPr>
      <w:t>90</w:t>
    </w:r>
    <w:r w:rsidRPr="00F41BAC">
      <w:rPr>
        <w:noProof/>
        <w:sz w:val="20"/>
      </w:rPr>
      <w:fldChar w:fldCharType="end"/>
    </w:r>
    <w:r w:rsidRPr="00F41BAC">
      <w:rPr>
        <w:noProof/>
        <w:sz w:val="20"/>
        <w:szCs w:val="20"/>
      </w:rPr>
      <w:t xml:space="preserve"> </w:t>
    </w:r>
    <w:r>
      <w:rPr>
        <w:noProof/>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02199"/>
      <w:docPartObj>
        <w:docPartGallery w:val="Page Numbers (Bottom of Page)"/>
        <w:docPartUnique/>
      </w:docPartObj>
    </w:sdtPr>
    <w:sdtEndPr>
      <w:rPr>
        <w:noProof/>
        <w:sz w:val="20"/>
        <w:szCs w:val="20"/>
      </w:rPr>
    </w:sdtEndPr>
    <w:sdtContent>
      <w:p w:rsidR="00703022" w:rsidRPr="00F11CE0" w:rsidRDefault="00703022">
        <w:pPr>
          <w:pStyle w:val="Footer"/>
          <w:jc w:val="center"/>
          <w:rPr>
            <w:sz w:val="20"/>
            <w:szCs w:val="20"/>
          </w:rPr>
        </w:pPr>
        <w:r w:rsidRPr="00F11CE0">
          <w:rPr>
            <w:sz w:val="20"/>
            <w:szCs w:val="20"/>
          </w:rPr>
          <w:fldChar w:fldCharType="begin"/>
        </w:r>
        <w:r w:rsidRPr="00F11CE0">
          <w:rPr>
            <w:sz w:val="20"/>
            <w:szCs w:val="20"/>
          </w:rPr>
          <w:instrText xml:space="preserve"> PAGE   \* MERGEFORMAT </w:instrText>
        </w:r>
        <w:r w:rsidRPr="00F11CE0">
          <w:rPr>
            <w:sz w:val="20"/>
            <w:szCs w:val="20"/>
          </w:rPr>
          <w:fldChar w:fldCharType="separate"/>
        </w:r>
        <w:r w:rsidR="002F37DB">
          <w:rPr>
            <w:noProof/>
            <w:sz w:val="20"/>
            <w:szCs w:val="20"/>
          </w:rPr>
          <w:t>1</w:t>
        </w:r>
        <w:r w:rsidRPr="00F11CE0">
          <w:rPr>
            <w:noProof/>
            <w:sz w:val="20"/>
            <w:szCs w:val="20"/>
          </w:rPr>
          <w:fldChar w:fldCharType="end"/>
        </w:r>
      </w:p>
    </w:sdtContent>
  </w:sdt>
  <w:p w:rsidR="00703022" w:rsidRDefault="007030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Default="0070302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887270"/>
      <w:docPartObj>
        <w:docPartGallery w:val="Page Numbers (Bottom of Page)"/>
        <w:docPartUnique/>
      </w:docPartObj>
    </w:sdtPr>
    <w:sdtEndPr>
      <w:rPr>
        <w:noProof/>
      </w:rPr>
    </w:sdtEndPr>
    <w:sdtContent>
      <w:p w:rsidR="00703022" w:rsidRDefault="00703022" w:rsidP="000A5CE6">
        <w:pPr>
          <w:pStyle w:val="Footer"/>
          <w:jc w:val="center"/>
        </w:pPr>
      </w:p>
      <w:p w:rsidR="00703022" w:rsidRDefault="00703022">
        <w:pPr>
          <w:pStyle w:val="Footer"/>
          <w:jc w:val="center"/>
        </w:pPr>
        <w:r w:rsidRPr="00486D44">
          <w:rPr>
            <w:sz w:val="20"/>
            <w:szCs w:val="20"/>
          </w:rPr>
          <w:fldChar w:fldCharType="begin"/>
        </w:r>
        <w:r w:rsidRPr="00486D44">
          <w:rPr>
            <w:sz w:val="20"/>
            <w:szCs w:val="20"/>
          </w:rPr>
          <w:instrText xml:space="preserve"> PAGE   \* MERGEFORMAT </w:instrText>
        </w:r>
        <w:r w:rsidRPr="00486D44">
          <w:rPr>
            <w:sz w:val="20"/>
            <w:szCs w:val="20"/>
          </w:rPr>
          <w:fldChar w:fldCharType="separate"/>
        </w:r>
        <w:r w:rsidR="002F37DB">
          <w:rPr>
            <w:noProof/>
            <w:sz w:val="20"/>
            <w:szCs w:val="20"/>
          </w:rPr>
          <w:t>22</w:t>
        </w:r>
        <w:r w:rsidRPr="00486D44">
          <w:rPr>
            <w:noProof/>
            <w:sz w:val="20"/>
            <w:szCs w:val="20"/>
          </w:rPr>
          <w:fldChar w:fldCharType="end"/>
        </w:r>
      </w:p>
    </w:sdtContent>
  </w:sdt>
  <w:p w:rsidR="00703022" w:rsidRPr="00497B0A" w:rsidRDefault="00703022" w:rsidP="000A5CE6">
    <w:pPr>
      <w:pStyle w:val="Footer"/>
      <w:ind w:right="360"/>
      <w:rPr>
        <w:lang w:val="de-D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51433"/>
      <w:docPartObj>
        <w:docPartGallery w:val="Page Numbers (Bottom of Page)"/>
        <w:docPartUnique/>
      </w:docPartObj>
    </w:sdtPr>
    <w:sdtEndPr>
      <w:rPr>
        <w:noProof/>
        <w:sz w:val="20"/>
        <w:szCs w:val="20"/>
      </w:rPr>
    </w:sdtEndPr>
    <w:sdtContent>
      <w:p w:rsidR="00703022" w:rsidRPr="0035386E" w:rsidRDefault="00703022" w:rsidP="000A5CE6">
        <w:pPr>
          <w:pStyle w:val="Footer"/>
          <w:ind w:firstLine="4320"/>
          <w:jc w:val="center"/>
          <w:rPr>
            <w:sz w:val="20"/>
            <w:szCs w:val="20"/>
          </w:rPr>
        </w:pPr>
        <w:r w:rsidRPr="001B349C">
          <w:rPr>
            <w:sz w:val="20"/>
            <w:szCs w:val="20"/>
          </w:rPr>
          <w:fldChar w:fldCharType="begin"/>
        </w:r>
        <w:r w:rsidRPr="001B349C">
          <w:rPr>
            <w:sz w:val="20"/>
            <w:szCs w:val="20"/>
          </w:rPr>
          <w:instrText xml:space="preserve"> PAGE   \* MERGEFORMAT </w:instrText>
        </w:r>
        <w:r w:rsidRPr="001B349C">
          <w:rPr>
            <w:sz w:val="20"/>
            <w:szCs w:val="20"/>
          </w:rPr>
          <w:fldChar w:fldCharType="separate"/>
        </w:r>
        <w:r w:rsidR="002F37DB">
          <w:rPr>
            <w:noProof/>
            <w:sz w:val="20"/>
            <w:szCs w:val="20"/>
          </w:rPr>
          <w:t>23</w:t>
        </w:r>
        <w:r w:rsidRPr="001B349C">
          <w:rPr>
            <w:noProof/>
            <w:sz w:val="20"/>
            <w:szCs w:val="20"/>
          </w:rPr>
          <w:fldChar w:fldCharType="end"/>
        </w:r>
        <w:r>
          <w:rPr>
            <w:noProof/>
            <w:sz w:val="20"/>
            <w:szCs w:val="20"/>
          </w:rPr>
          <w:tab/>
        </w:r>
        <w:r>
          <w:rPr>
            <w:noProof/>
            <w:sz w:val="20"/>
            <w:szCs w:val="20"/>
          </w:rPr>
          <w:tab/>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Default="007030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703022" w:rsidRDefault="00703022">
    <w:pPr>
      <w:pStyle w:val="Footer"/>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4324107"/>
      <w:docPartObj>
        <w:docPartGallery w:val="Page Numbers (Bottom of Page)"/>
        <w:docPartUnique/>
      </w:docPartObj>
    </w:sdtPr>
    <w:sdtEndPr>
      <w:rPr>
        <w:noProof/>
        <w:sz w:val="20"/>
        <w:szCs w:val="20"/>
      </w:rPr>
    </w:sdtEndPr>
    <w:sdtContent>
      <w:p w:rsidR="00703022" w:rsidRPr="00FC37A4" w:rsidRDefault="00703022" w:rsidP="000A5CE6">
        <w:pPr>
          <w:pStyle w:val="Footer"/>
          <w:ind w:firstLine="4320"/>
          <w:jc w:val="center"/>
          <w:rPr>
            <w:noProof/>
            <w:sz w:val="20"/>
            <w:szCs w:val="20"/>
          </w:rPr>
        </w:pPr>
        <w:r w:rsidRPr="001B349C">
          <w:rPr>
            <w:sz w:val="20"/>
            <w:szCs w:val="20"/>
          </w:rPr>
          <w:fldChar w:fldCharType="begin"/>
        </w:r>
        <w:r w:rsidRPr="001B349C">
          <w:rPr>
            <w:sz w:val="20"/>
            <w:szCs w:val="20"/>
          </w:rPr>
          <w:instrText xml:space="preserve"> PAGE   \* MERGEFORMAT </w:instrText>
        </w:r>
        <w:r w:rsidRPr="001B349C">
          <w:rPr>
            <w:sz w:val="20"/>
            <w:szCs w:val="20"/>
          </w:rPr>
          <w:fldChar w:fldCharType="separate"/>
        </w:r>
        <w:r w:rsidR="002F37DB">
          <w:rPr>
            <w:noProof/>
            <w:sz w:val="20"/>
            <w:szCs w:val="20"/>
          </w:rPr>
          <w:t>41</w:t>
        </w:r>
        <w:r w:rsidRPr="001B349C">
          <w:rPr>
            <w:noProof/>
            <w:sz w:val="20"/>
            <w:szCs w:val="20"/>
          </w:rPr>
          <w:fldChar w:fldCharType="end"/>
        </w:r>
        <w:r w:rsidRPr="00FC37A4">
          <w:rPr>
            <w:noProof/>
            <w:sz w:val="20"/>
            <w:szCs w:val="20"/>
          </w:rPr>
          <w:t xml:space="preserve"> </w:t>
        </w:r>
        <w:r>
          <w:rPr>
            <w:noProof/>
            <w:sz w:val="20"/>
            <w:szCs w:val="20"/>
          </w:rPr>
          <w:tab/>
        </w:r>
        <w:r>
          <w:rPr>
            <w:noProof/>
            <w:sz w:val="20"/>
            <w:szCs w:val="20"/>
          </w:rPr>
          <w:tab/>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159315"/>
      <w:docPartObj>
        <w:docPartGallery w:val="Page Numbers (Bottom of Page)"/>
        <w:docPartUnique/>
      </w:docPartObj>
    </w:sdtPr>
    <w:sdtEndPr>
      <w:rPr>
        <w:noProof/>
      </w:rPr>
    </w:sdtEndPr>
    <w:sdtContent>
      <w:p w:rsidR="00703022" w:rsidRDefault="00703022">
        <w:pPr>
          <w:pStyle w:val="Footer"/>
          <w:jc w:val="center"/>
        </w:pPr>
        <w:r>
          <w:fldChar w:fldCharType="begin"/>
        </w:r>
        <w:r>
          <w:instrText xml:space="preserve"> PAGE   \* MERGEFORMAT </w:instrText>
        </w:r>
        <w:r>
          <w:fldChar w:fldCharType="separate"/>
        </w:r>
        <w:r w:rsidR="002F37DB">
          <w:rPr>
            <w:noProof/>
          </w:rPr>
          <w:t>40</w:t>
        </w:r>
        <w:r>
          <w:rPr>
            <w:noProof/>
          </w:rPr>
          <w:fldChar w:fldCharType="end"/>
        </w:r>
      </w:p>
    </w:sdtContent>
  </w:sdt>
  <w:p w:rsidR="00703022" w:rsidRPr="00E47903" w:rsidRDefault="00703022" w:rsidP="000A5CE6">
    <w:pPr>
      <w:pStyle w:val="Footer"/>
      <w:ind w:right="360"/>
      <w:jc w:val="center"/>
      <w:rPr>
        <w:sz w:val="20"/>
        <w:szCs w:val="20"/>
        <w:lang w:val="de-DE"/>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E47903" w:rsidRDefault="00703022" w:rsidP="000A5CE6">
    <w:pPr>
      <w:pStyle w:val="Footer"/>
      <w:ind w:right="360"/>
      <w:jc w:val="center"/>
      <w:rPr>
        <w:sz w:val="20"/>
        <w:szCs w:val="20"/>
        <w:lang w:val="de-DE"/>
      </w:rPr>
    </w:pPr>
    <w:r>
      <w:rPr>
        <w:sz w:val="20"/>
        <w:szCs w:val="20"/>
        <w:lang w:val="de-DE"/>
      </w:rPr>
      <w:t>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E7C" w:rsidRDefault="00E02E7C" w:rsidP="000A5CE6">
      <w:pPr>
        <w:spacing w:after="0" w:line="240" w:lineRule="auto"/>
      </w:pPr>
      <w:r>
        <w:separator/>
      </w:r>
    </w:p>
  </w:footnote>
  <w:footnote w:type="continuationSeparator" w:id="0">
    <w:p w:rsidR="00E02E7C" w:rsidRDefault="00E02E7C" w:rsidP="000A5CE6">
      <w:pPr>
        <w:spacing w:after="0" w:line="240" w:lineRule="auto"/>
      </w:pPr>
      <w:r>
        <w:continuationSeparator/>
      </w:r>
    </w:p>
  </w:footnote>
  <w:footnote w:id="1">
    <w:p w:rsidR="00703022" w:rsidRPr="003549FE" w:rsidRDefault="00703022" w:rsidP="000A5CE6">
      <w:pPr>
        <w:pStyle w:val="FootnoteText"/>
        <w:rPr>
          <w:lang w:val="fr-FR"/>
        </w:rPr>
      </w:pPr>
      <w:r>
        <w:rPr>
          <w:rStyle w:val="FootnoteReference"/>
        </w:rPr>
        <w:footnoteRef/>
      </w:r>
      <w:r w:rsidRPr="003549FE">
        <w:rPr>
          <w:lang w:val="fr-FR"/>
        </w:rPr>
        <w:t xml:space="preserve"> </w:t>
      </w:r>
      <w:r w:rsidRPr="00717805">
        <w:rPr>
          <w:lang w:val="fr-FR"/>
        </w:rPr>
        <w:t>Effectuer un « prélèvement » signifie prélever, chasser, pêcher, capturer, harceler, tuer délibérément ou tenter d’entreprendre l’une des actions précitées – Texte de la CMS, 1979.</w:t>
      </w:r>
    </w:p>
  </w:footnote>
  <w:footnote w:id="2">
    <w:p w:rsidR="00703022" w:rsidRPr="000163BE" w:rsidRDefault="00703022" w:rsidP="000A5CE6">
      <w:pPr>
        <w:pStyle w:val="FootnoteText"/>
        <w:rPr>
          <w:lang w:val="fr-FR"/>
        </w:rPr>
      </w:pPr>
      <w:r>
        <w:rPr>
          <w:rStyle w:val="FootnoteReference"/>
        </w:rPr>
        <w:footnoteRef/>
      </w:r>
      <w:r w:rsidRPr="00A976BC">
        <w:rPr>
          <w:lang w:val="fr-FR"/>
        </w:rPr>
        <w:t xml:space="preserve"> </w:t>
      </w:r>
      <w:r w:rsidRPr="00A1238B">
        <w:rPr>
          <w:i/>
          <w:lang w:val="fr-FR"/>
        </w:rPr>
        <w:t xml:space="preserve">L’Initiative mondiale de l’UICN pour un pastoralisme durable </w:t>
      </w:r>
      <w:r w:rsidRPr="00A976BC">
        <w:rPr>
          <w:lang w:val="fr-FR"/>
        </w:rPr>
        <w:t>(</w:t>
      </w:r>
      <w:r>
        <w:rPr>
          <w:lang w:val="fr-FR"/>
        </w:rPr>
        <w:t>IMPD</w:t>
      </w:r>
      <w:r w:rsidRPr="00A976BC">
        <w:rPr>
          <w:lang w:val="fr-FR"/>
        </w:rPr>
        <w:t>) est une initiative mondiale qui soutient l</w:t>
      </w:r>
      <w:r>
        <w:rPr>
          <w:lang w:val="fr-FR"/>
        </w:rPr>
        <w:t>’</w:t>
      </w:r>
      <w:r w:rsidRPr="00A976BC">
        <w:rPr>
          <w:lang w:val="fr-FR"/>
        </w:rPr>
        <w:t xml:space="preserve">autonomisation des éleveurs </w:t>
      </w:r>
      <w:r w:rsidRPr="00EE6F60">
        <w:rPr>
          <w:lang w:val="fr-FR"/>
        </w:rPr>
        <w:t xml:space="preserve">dans le but de leur permettre de gérer durablement les ressources des milieux </w:t>
      </w:r>
      <w:r w:rsidRPr="000163BE">
        <w:rPr>
          <w:lang w:val="fr-FR"/>
        </w:rPr>
        <w:t>arides.</w:t>
      </w:r>
    </w:p>
  </w:footnote>
  <w:footnote w:id="3">
    <w:p w:rsidR="00703022" w:rsidRPr="00747546" w:rsidRDefault="00703022" w:rsidP="000A5CE6">
      <w:pPr>
        <w:pStyle w:val="FootnoteText"/>
        <w:rPr>
          <w:lang w:val="fr-FR"/>
        </w:rPr>
      </w:pPr>
      <w:r>
        <w:rPr>
          <w:rStyle w:val="FootnoteReference"/>
        </w:rPr>
        <w:footnoteRef/>
      </w:r>
      <w:r w:rsidRPr="00F867B1">
        <w:rPr>
          <w:lang w:val="fr-FR"/>
        </w:rPr>
        <w:t xml:space="preserve"> Effectuer un « prélèvement » signifie prélever, chasser, pêcher, capturer, harceler, tuer délibérément ou tenter d</w:t>
      </w:r>
      <w:r>
        <w:rPr>
          <w:lang w:val="fr-FR"/>
        </w:rPr>
        <w:t>’</w:t>
      </w:r>
      <w:r w:rsidRPr="00F867B1">
        <w:rPr>
          <w:lang w:val="fr-FR"/>
        </w:rPr>
        <w:t>entreprendre l</w:t>
      </w:r>
      <w:r>
        <w:rPr>
          <w:lang w:val="fr-FR"/>
        </w:rPr>
        <w:t>’</w:t>
      </w:r>
      <w:r w:rsidRPr="00F867B1">
        <w:rPr>
          <w:lang w:val="fr-FR"/>
        </w:rPr>
        <w:t>une de</w:t>
      </w:r>
      <w:r>
        <w:rPr>
          <w:lang w:val="fr-FR"/>
        </w:rPr>
        <w:t xml:space="preserve"> ces actions.</w:t>
      </w:r>
    </w:p>
  </w:footnote>
  <w:footnote w:id="4">
    <w:p w:rsidR="00703022" w:rsidRPr="00CA11EF" w:rsidRDefault="00703022" w:rsidP="000A5CE6">
      <w:pPr>
        <w:pStyle w:val="FootnoteText"/>
        <w:rPr>
          <w:lang w:val="fr-FR"/>
        </w:rPr>
      </w:pPr>
      <w:r>
        <w:rPr>
          <w:rStyle w:val="FootnoteReference"/>
        </w:rPr>
        <w:footnoteRef/>
      </w:r>
      <w:r w:rsidRPr="000A3209">
        <w:rPr>
          <w:lang w:val="en-US"/>
        </w:rPr>
        <w:t xml:space="preserve"> Bennun </w:t>
      </w:r>
      <w:r w:rsidRPr="000A3209">
        <w:rPr>
          <w:i/>
          <w:lang w:val="en-US"/>
        </w:rPr>
        <w:t>et al.</w:t>
      </w:r>
      <w:r w:rsidRPr="000A3209">
        <w:rPr>
          <w:lang w:val="en-US"/>
        </w:rPr>
        <w:t xml:space="preserve"> </w:t>
      </w:r>
      <w:r>
        <w:t xml:space="preserve">(2005) Monitoring Important Bird Areas in Africa: towards a sustainable and scaleable system. </w:t>
      </w:r>
      <w:r w:rsidRPr="00CA11EF">
        <w:rPr>
          <w:lang w:val="fr-FR"/>
        </w:rPr>
        <w:t>Biodiversity and Conservation 14 (11) 2575-2590.</w:t>
      </w:r>
    </w:p>
  </w:footnote>
  <w:footnote w:id="5">
    <w:p w:rsidR="00703022" w:rsidRPr="003974CD" w:rsidRDefault="00703022" w:rsidP="000A5CE6">
      <w:pPr>
        <w:pStyle w:val="FootnoteText"/>
        <w:rPr>
          <w:lang w:val="fr-FR"/>
        </w:rPr>
      </w:pPr>
      <w:r>
        <w:rPr>
          <w:rStyle w:val="FootnoteReference"/>
        </w:rPr>
        <w:footnoteRef/>
      </w:r>
      <w:r w:rsidRPr="003974CD">
        <w:rPr>
          <w:lang w:val="fr-FR"/>
        </w:rPr>
        <w:t xml:space="preserve"> D</w:t>
      </w:r>
      <w:r>
        <w:rPr>
          <w:lang w:val="fr-FR"/>
        </w:rPr>
        <w:t>’</w:t>
      </w:r>
      <w:r w:rsidRPr="003974CD">
        <w:rPr>
          <w:lang w:val="fr-FR"/>
        </w:rPr>
        <w:t>ici à 2020, l</w:t>
      </w:r>
      <w:r>
        <w:rPr>
          <w:lang w:val="fr-FR"/>
        </w:rPr>
        <w:t>’</w:t>
      </w:r>
      <w:r w:rsidRPr="003974CD">
        <w:rPr>
          <w:lang w:val="fr-FR"/>
        </w:rPr>
        <w:t>extinction d</w:t>
      </w:r>
      <w:r>
        <w:rPr>
          <w:lang w:val="fr-FR"/>
        </w:rPr>
        <w:t>’</w:t>
      </w:r>
      <w:r w:rsidRPr="003974CD">
        <w:rPr>
          <w:lang w:val="fr-FR"/>
        </w:rPr>
        <w:t>espèces menacées connues est évitée et leur état de conservation, en particulier de celles le plus en déclin, est amélioré et maintenu</w:t>
      </w:r>
      <w:r>
        <w:rPr>
          <w:lang w:val="fr-FR"/>
        </w:rPr>
        <w:t>.</w:t>
      </w:r>
      <w:r w:rsidRPr="003974CD">
        <w:rPr>
          <w:lang w:val="fr-FR"/>
        </w:rPr>
        <w:t xml:space="preserve"> </w:t>
      </w:r>
      <w:r>
        <w:rPr>
          <w:lang w:val="fr-FR"/>
        </w:rPr>
        <w:t>(C</w:t>
      </w:r>
      <w:r w:rsidRPr="003974CD">
        <w:rPr>
          <w:lang w:val="fr-FR"/>
        </w:rPr>
        <w:t>D</w:t>
      </w:r>
      <w:r>
        <w:rPr>
          <w:lang w:val="fr-FR"/>
        </w:rPr>
        <w:t>B</w:t>
      </w:r>
      <w:r w:rsidRPr="003974CD">
        <w:rPr>
          <w:lang w:val="fr-FR"/>
        </w:rPr>
        <w:t>, 2010).</w:t>
      </w:r>
    </w:p>
  </w:footnote>
  <w:footnote w:id="6">
    <w:p w:rsidR="00703022" w:rsidRPr="00DB41A1" w:rsidRDefault="00703022" w:rsidP="000A5CE6">
      <w:pPr>
        <w:pStyle w:val="FootnoteText"/>
        <w:rPr>
          <w:lang w:val="fr-FR"/>
        </w:rPr>
      </w:pPr>
      <w:r>
        <w:rPr>
          <w:rStyle w:val="FootnoteReference"/>
        </w:rPr>
        <w:footnoteRef/>
      </w:r>
      <w:r w:rsidRPr="00953DEC">
        <w:rPr>
          <w:lang w:val="fr-FR"/>
        </w:rPr>
        <w:t xml:space="preserve"> Définies comme des zon</w:t>
      </w:r>
      <w:r>
        <w:rPr>
          <w:lang w:val="fr-FR"/>
        </w:rPr>
        <w:t xml:space="preserve">es se distinguant du reste de </w:t>
      </w:r>
      <w:r w:rsidRPr="00953DEC">
        <w:rPr>
          <w:lang w:val="fr-FR"/>
        </w:rPr>
        <w:t>l</w:t>
      </w:r>
      <w:r>
        <w:rPr>
          <w:lang w:val="fr-FR"/>
        </w:rPr>
        <w:t>’</w:t>
      </w:r>
      <w:r w:rsidRPr="00953DEC">
        <w:rPr>
          <w:lang w:val="fr-FR"/>
        </w:rPr>
        <w:t xml:space="preserve">environnement </w:t>
      </w:r>
      <w:r>
        <w:rPr>
          <w:lang w:val="fr-FR"/>
        </w:rPr>
        <w:t xml:space="preserve">en raison de leurs habitats particuliers et/ou de leur importance ornithologique, </w:t>
      </w:r>
      <w:r w:rsidRPr="00953DEC">
        <w:rPr>
          <w:lang w:val="fr-FR"/>
        </w:rPr>
        <w:t xml:space="preserve">et qui ont </w:t>
      </w:r>
      <w:r>
        <w:rPr>
          <w:lang w:val="fr-FR"/>
        </w:rPr>
        <w:t>un</w:t>
      </w:r>
      <w:r w:rsidRPr="00953DEC">
        <w:rPr>
          <w:lang w:val="fr-FR"/>
        </w:rPr>
        <w:t xml:space="preserve"> caractère</w:t>
      </w:r>
      <w:r>
        <w:rPr>
          <w:lang w:val="fr-FR"/>
        </w:rPr>
        <w:t xml:space="preserve"> définissable et reconnaissable.</w:t>
      </w:r>
    </w:p>
  </w:footnote>
  <w:footnote w:id="7">
    <w:p w:rsidR="00703022" w:rsidRPr="00492605" w:rsidRDefault="00703022" w:rsidP="000A5CE6">
      <w:pPr>
        <w:pStyle w:val="FootnoteText"/>
        <w:rPr>
          <w:lang w:val="fr-FR"/>
        </w:rPr>
      </w:pPr>
      <w:r w:rsidRPr="00F236FC">
        <w:rPr>
          <w:rStyle w:val="FootnoteReference"/>
        </w:rPr>
        <w:footnoteRef/>
      </w:r>
      <w:r w:rsidRPr="00492605">
        <w:rPr>
          <w:lang w:val="fr-FR"/>
        </w:rPr>
        <w:t xml:space="preserve"> Informations supplémentaires sur  CSN disponibles sur: http://wow.wetlands.org/Default.aspx?TabID=1349.</w:t>
      </w:r>
    </w:p>
  </w:footnote>
  <w:footnote w:id="8">
    <w:p w:rsidR="00703022" w:rsidRPr="00EA5A1C" w:rsidRDefault="00703022" w:rsidP="000A5CE6">
      <w:pPr>
        <w:pStyle w:val="FootnoteText"/>
        <w:rPr>
          <w:lang w:val="fr-FR"/>
        </w:rPr>
      </w:pPr>
      <w:r w:rsidRPr="000432AB">
        <w:rPr>
          <w:rStyle w:val="FootnoteReference"/>
          <w:sz w:val="18"/>
          <w:szCs w:val="18"/>
        </w:rPr>
        <w:footnoteRef/>
      </w:r>
      <w:r w:rsidRPr="000432AB">
        <w:rPr>
          <w:sz w:val="18"/>
          <w:szCs w:val="18"/>
          <w:lang w:val="fr-FR"/>
        </w:rPr>
        <w:t xml:space="preserve"> </w:t>
      </w:r>
      <w:r w:rsidRPr="00C32F1C">
        <w:rPr>
          <w:rFonts w:ascii="Times New Roman" w:hAnsi="Times New Roman" w:cs="Times New Roman"/>
          <w:szCs w:val="18"/>
          <w:lang w:val="fr-FR"/>
        </w:rPr>
        <w:t>Cette liste d’espèces est soumise à des mises à jour régulières, basées sur l’examen du Service d’information sur les espèces (SIS) de l’UICN et de la base de données mondiale sur les oiseaux de BirdLife International (BMDA)</w:t>
      </w:r>
    </w:p>
  </w:footnote>
  <w:footnote w:id="9">
    <w:p w:rsidR="00703022" w:rsidRPr="003B1BF9" w:rsidRDefault="00703022" w:rsidP="000A5CE6">
      <w:pPr>
        <w:pStyle w:val="FootnoteText"/>
        <w:rPr>
          <w:lang w:val="fr-FR"/>
        </w:rPr>
      </w:pPr>
      <w:r w:rsidRPr="00D554D9">
        <w:rPr>
          <w:rStyle w:val="FootnoteReference"/>
        </w:rPr>
        <w:footnoteRef/>
      </w:r>
      <w:r w:rsidRPr="00EA5A1C">
        <w:rPr>
          <w:lang w:val="fr-FR"/>
        </w:rPr>
        <w:t xml:space="preserve"> </w:t>
      </w:r>
      <w:hyperlink r:id="rId1" w:history="1">
        <w:r w:rsidRPr="00EA5A1C">
          <w:rPr>
            <w:rStyle w:val="Hyperlink"/>
            <w:lang w:val="fr-FR"/>
          </w:rPr>
          <w:t>https://www.cbd.int/doc/publications/addis-gdl-fr.pdf</w:t>
        </w:r>
      </w:hyperlink>
    </w:p>
  </w:footnote>
  <w:footnote w:id="10">
    <w:p w:rsidR="00703022" w:rsidRPr="00D554D9" w:rsidRDefault="00703022" w:rsidP="000A5CE6">
      <w:pPr>
        <w:pStyle w:val="FootnoteText"/>
        <w:rPr>
          <w:lang w:val="fr-FR"/>
        </w:rPr>
      </w:pPr>
      <w:r w:rsidRPr="00D554D9">
        <w:rPr>
          <w:rStyle w:val="FootnoteReference"/>
        </w:rPr>
        <w:footnoteRef/>
      </w:r>
      <w:r w:rsidRPr="001A1670">
        <w:rPr>
          <w:lang w:val="fr-FR"/>
        </w:rPr>
        <w:t xml:space="preserve"> </w:t>
      </w:r>
      <w:hyperlink r:id="rId2" w:history="1">
        <w:r w:rsidRPr="001A1670">
          <w:rPr>
            <w:rStyle w:val="Hyperlink"/>
            <w:lang w:val="fr-FR"/>
          </w:rPr>
          <w:t>https://www.cbd.int/doc/decisions/cop-10/cop-10-dec-02-fr.pdf</w:t>
        </w:r>
      </w:hyperlink>
    </w:p>
  </w:footnote>
  <w:footnote w:id="11">
    <w:p w:rsidR="00703022" w:rsidRPr="00D554D9" w:rsidRDefault="00703022" w:rsidP="000A5CE6">
      <w:pPr>
        <w:pStyle w:val="FootnoteText"/>
        <w:rPr>
          <w:lang w:val="fr-FR"/>
        </w:rPr>
      </w:pPr>
      <w:r w:rsidRPr="00D554D9">
        <w:rPr>
          <w:rStyle w:val="FootnoteReference"/>
        </w:rPr>
        <w:footnoteRef/>
      </w:r>
      <w:r w:rsidRPr="001A1670">
        <w:rPr>
          <w:lang w:val="fr-FR"/>
        </w:rPr>
        <w:t xml:space="preserve"> </w:t>
      </w:r>
      <w:hyperlink r:id="rId3" w:history="1">
        <w:r w:rsidRPr="001A1670">
          <w:rPr>
            <w:rStyle w:val="Hyperlink"/>
            <w:lang w:val="fr-FR"/>
          </w:rPr>
          <w:t>http://www.ramsar.org/pdf/strat-plan-2009-f-adj.pdf</w:t>
        </w:r>
      </w:hyperlink>
    </w:p>
  </w:footnote>
  <w:footnote w:id="12">
    <w:p w:rsidR="00703022" w:rsidRPr="00D554D9" w:rsidRDefault="00703022" w:rsidP="000A5CE6">
      <w:pPr>
        <w:pStyle w:val="FootnoteText"/>
        <w:rPr>
          <w:lang w:val="fr-FR"/>
        </w:rPr>
      </w:pPr>
      <w:r w:rsidRPr="00D554D9">
        <w:rPr>
          <w:rStyle w:val="FootnoteReference"/>
        </w:rPr>
        <w:footnoteRef/>
      </w:r>
      <w:r w:rsidRPr="00EA5A1C">
        <w:rPr>
          <w:lang w:val="fr-FR"/>
        </w:rPr>
        <w:t xml:space="preserve"> </w:t>
      </w:r>
      <w:r w:rsidRPr="00D554D9">
        <w:rPr>
          <w:lang w:val="fr-FR"/>
        </w:rPr>
        <w:t>Notamment</w:t>
      </w:r>
      <w:r w:rsidRPr="00EA5A1C">
        <w:rPr>
          <w:lang w:val="fr-FR"/>
        </w:rPr>
        <w:t xml:space="preserve">, </w:t>
      </w:r>
      <w:r w:rsidRPr="00D554D9">
        <w:rPr>
          <w:lang w:val="fr-FR"/>
        </w:rPr>
        <w:t>D</w:t>
      </w:r>
      <w:r w:rsidRPr="00EA5A1C">
        <w:rPr>
          <w:lang w:val="fr-FR"/>
        </w:rPr>
        <w:t>irective-cadre sur l'eau (2000/60/EC)</w:t>
      </w:r>
      <w:r w:rsidRPr="00D554D9">
        <w:rPr>
          <w:lang w:val="fr-FR"/>
        </w:rPr>
        <w:t>,</w:t>
      </w:r>
      <w:r w:rsidRPr="00EA5A1C">
        <w:rPr>
          <w:lang w:val="fr-FR"/>
        </w:rPr>
        <w:t xml:space="preserve"> Directive</w:t>
      </w:r>
      <w:r w:rsidRPr="00D554D9">
        <w:rPr>
          <w:lang w:val="fr-FR"/>
        </w:rPr>
        <w:t xml:space="preserve"> sur l’</w:t>
      </w:r>
      <w:r w:rsidRPr="00EA5A1C">
        <w:rPr>
          <w:lang w:val="fr-FR"/>
        </w:rPr>
        <w:t>évaluation stratégique des incidences sur l'environnement (2001/42/EC)</w:t>
      </w:r>
      <w:r w:rsidRPr="00D554D9">
        <w:rPr>
          <w:lang w:val="fr-FR"/>
        </w:rPr>
        <w:t>,</w:t>
      </w:r>
      <w:r w:rsidRPr="00EA5A1C">
        <w:rPr>
          <w:lang w:val="fr-FR"/>
        </w:rPr>
        <w:t xml:space="preserve"> Directive</w:t>
      </w:r>
      <w:r w:rsidRPr="00D554D9">
        <w:rPr>
          <w:lang w:val="fr-FR"/>
        </w:rPr>
        <w:t xml:space="preserve"> sur les habitats et les espèces</w:t>
      </w:r>
      <w:r w:rsidRPr="00EA5A1C">
        <w:rPr>
          <w:lang w:val="fr-FR"/>
        </w:rPr>
        <w:t xml:space="preserve"> (92/43/EEC)</w:t>
      </w:r>
      <w:r w:rsidRPr="00D554D9">
        <w:rPr>
          <w:lang w:val="fr-FR"/>
        </w:rPr>
        <w:t>,</w:t>
      </w:r>
      <w:r w:rsidRPr="00EA5A1C">
        <w:rPr>
          <w:lang w:val="fr-FR"/>
        </w:rPr>
        <w:t xml:space="preserve"> Directive</w:t>
      </w:r>
      <w:r w:rsidRPr="00D554D9">
        <w:rPr>
          <w:lang w:val="fr-FR"/>
        </w:rPr>
        <w:t xml:space="preserve"> sur l’évaluation des incidences sur l'environnement</w:t>
      </w:r>
      <w:r w:rsidRPr="00EA5A1C">
        <w:rPr>
          <w:lang w:val="fr-FR"/>
        </w:rPr>
        <w:t xml:space="preserve"> (85/337/EEC)</w:t>
      </w:r>
      <w:r w:rsidRPr="00D554D9">
        <w:rPr>
          <w:lang w:val="fr-FR"/>
        </w:rPr>
        <w:t>.</w:t>
      </w:r>
    </w:p>
  </w:footnote>
  <w:footnote w:id="13">
    <w:p w:rsidR="00703022" w:rsidRPr="00D554D9" w:rsidRDefault="00703022" w:rsidP="000A5CE6">
      <w:pPr>
        <w:pStyle w:val="FootnoteText"/>
        <w:rPr>
          <w:lang w:val="fr-FR"/>
        </w:rPr>
      </w:pPr>
      <w:r w:rsidRPr="00D554D9">
        <w:rPr>
          <w:rStyle w:val="FootnoteReference"/>
        </w:rPr>
        <w:footnoteRef/>
      </w:r>
      <w:r w:rsidRPr="001A1670">
        <w:rPr>
          <w:lang w:val="fr-FR"/>
        </w:rPr>
        <w:t xml:space="preserve"> </w:t>
      </w:r>
      <w:hyperlink r:id="rId4" w:history="1">
        <w:r w:rsidRPr="001A1670">
          <w:rPr>
            <w:rStyle w:val="Hyperlink"/>
            <w:lang w:val="fr-FR"/>
          </w:rPr>
          <w:t>http://www.unep-aewa.org/documents/agreement_text/fra/pdf/2012-2015/aewa_agreement_text_fr_2013_2015_annex3_only.pdf</w:t>
        </w:r>
      </w:hyperlink>
    </w:p>
  </w:footnote>
  <w:footnote w:id="14">
    <w:p w:rsidR="00703022" w:rsidRPr="00D554D9" w:rsidRDefault="00703022" w:rsidP="000A5CE6">
      <w:pPr>
        <w:pStyle w:val="FootnoteText"/>
        <w:rPr>
          <w:lang w:val="fr-FR"/>
        </w:rPr>
      </w:pPr>
      <w:r w:rsidRPr="00D554D9">
        <w:rPr>
          <w:rStyle w:val="FootnoteReference"/>
        </w:rPr>
        <w:footnoteRef/>
      </w:r>
      <w:r w:rsidRPr="001A1670">
        <w:rPr>
          <w:lang w:val="fr-FR"/>
        </w:rPr>
        <w:t xml:space="preserve"> </w:t>
      </w:r>
      <w:hyperlink r:id="rId5" w:history="1">
        <w:r w:rsidRPr="001A1670">
          <w:rPr>
            <w:rStyle w:val="Hyperlink"/>
            <w:lang w:val="fr-FR"/>
          </w:rPr>
          <w:t>http://www.unep-aewa.org/documents/strategic_plan/strategic_plan_2009-2017_fr.pdf</w:t>
        </w:r>
      </w:hyperlink>
    </w:p>
  </w:footnote>
  <w:footnote w:id="15">
    <w:p w:rsidR="00703022" w:rsidRPr="004A0B89" w:rsidRDefault="00703022" w:rsidP="000A5CE6">
      <w:pPr>
        <w:pStyle w:val="FootnoteText"/>
        <w:rPr>
          <w:rFonts w:ascii="Arial Narrow" w:hAnsi="Arial Narrow"/>
          <w:sz w:val="18"/>
          <w:szCs w:val="18"/>
          <w:lang w:val="fr-FR"/>
        </w:rPr>
      </w:pPr>
      <w:r w:rsidRPr="00D554D9">
        <w:rPr>
          <w:rStyle w:val="FootnoteReference"/>
        </w:rPr>
        <w:footnoteRef/>
      </w:r>
      <w:r w:rsidRPr="001A1670">
        <w:rPr>
          <w:lang w:val="fr-FR"/>
        </w:rPr>
        <w:t xml:space="preserve"> </w:t>
      </w:r>
      <w:hyperlink r:id="rId6" w:history="1">
        <w:r w:rsidRPr="001A1670">
          <w:rPr>
            <w:rStyle w:val="Hyperlink"/>
            <w:lang w:val="fr-FR"/>
          </w:rPr>
          <w:t>http://www.cms.int/bodies/COP/cop8/documents/proceedings/pdf/french/CP8Res_8_02_CMS_StrategicPlan_2006_2011_fre.pdf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1A2886">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w:t>
    </w:r>
  </w:p>
  <w:p w:rsidR="00703022" w:rsidRPr="000A5CE6" w:rsidRDefault="00703022" w:rsidP="000A5CE6">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F11CE0">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PNUE/CMS/COP11Doc.23.1.4</w:t>
    </w:r>
    <w:r>
      <w:rPr>
        <w:rFonts w:ascii="Times New Roman" w:eastAsia="Calibri" w:hAnsi="Times New Roman" w:cs="Times New Roman"/>
        <w:i/>
        <w:sz w:val="20"/>
        <w:szCs w:val="20"/>
        <w:lang w:val="de-DE"/>
      </w:rPr>
      <w:t>/Rev.1</w:t>
    </w:r>
  </w:p>
  <w:p w:rsidR="00703022" w:rsidRPr="000A5CE6" w:rsidRDefault="00703022" w:rsidP="000A5CE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0A5CE6">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3</w:t>
    </w:r>
  </w:p>
  <w:p w:rsidR="00703022" w:rsidRPr="00492605" w:rsidRDefault="00703022">
    <w:pPr>
      <w:pStyle w:val="Header"/>
      <w:rPr>
        <w:lang w:val="fr-FR"/>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7615AB">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3</w:t>
    </w:r>
  </w:p>
  <w:p w:rsidR="00703022" w:rsidRPr="000A5CE6" w:rsidRDefault="00703022" w:rsidP="000A5CE6">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7615AB">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3</w:t>
    </w:r>
  </w:p>
  <w:p w:rsidR="00703022" w:rsidRPr="00492605" w:rsidRDefault="00703022">
    <w:pPr>
      <w:pStyle w:val="Header"/>
      <w:rPr>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F11CE0">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3</w:t>
    </w:r>
  </w:p>
  <w:p w:rsidR="00703022" w:rsidRPr="00492605" w:rsidRDefault="00703022">
    <w:pPr>
      <w:pStyle w:val="Header"/>
      <w:rPr>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F11CE0">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4</w:t>
    </w:r>
  </w:p>
  <w:p w:rsidR="00703022" w:rsidRPr="001764E6" w:rsidRDefault="00703022" w:rsidP="000A5CE6">
    <w:pPr>
      <w:rPr>
        <w:i/>
        <w:szCs w:val="20"/>
        <w:lang w:val="fr-FR"/>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F11CE0">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4</w:t>
    </w:r>
  </w:p>
  <w:p w:rsidR="00703022" w:rsidRPr="00492605" w:rsidRDefault="00703022">
    <w:pPr>
      <w:pStyle w:val="Header"/>
      <w:rPr>
        <w:lang w:val="fr-FR"/>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0A5CE6">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5</w:t>
    </w:r>
  </w:p>
  <w:p w:rsidR="00703022" w:rsidRPr="001764E6" w:rsidRDefault="00703022" w:rsidP="000A5CE6">
    <w:pPr>
      <w:rPr>
        <w:i/>
        <w:szCs w:val="20"/>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0A5CE6">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5</w:t>
    </w:r>
  </w:p>
  <w:p w:rsidR="00703022" w:rsidRPr="00492605" w:rsidRDefault="00703022">
    <w:pPr>
      <w:pStyle w:val="Header"/>
      <w:rPr>
        <w:lang w:val="fr-FR"/>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5C42A5">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Default="00703022">
    <w:pPr>
      <w:pStyle w:val="Header"/>
      <w:jc w:val="center"/>
    </w:pPr>
  </w:p>
  <w:p w:rsidR="00703022" w:rsidRPr="000A5CE6" w:rsidRDefault="00703022" w:rsidP="001A2886">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w:t>
    </w:r>
  </w:p>
  <w:p w:rsidR="00703022" w:rsidRPr="00C01CD3" w:rsidRDefault="00703022" w:rsidP="000A5CE6">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0A5CE6">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PNUE/CMS/COP11Doc.23.1.4</w:t>
    </w:r>
    <w:r>
      <w:rPr>
        <w:rFonts w:ascii="Times New Roman" w:eastAsia="Calibri" w:hAnsi="Times New Roman" w:cs="Times New Roman"/>
        <w:i/>
        <w:sz w:val="20"/>
        <w:szCs w:val="20"/>
        <w:lang w:val="de-DE"/>
      </w:rPr>
      <w:t>/Rev.1</w:t>
    </w:r>
  </w:p>
  <w:p w:rsidR="00703022" w:rsidRPr="00501FD8" w:rsidRDefault="00703022">
    <w:pPr>
      <w:rPr>
        <w:lang w:val="fr-FR"/>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5C42A5">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6</w:t>
    </w:r>
  </w:p>
  <w:p w:rsidR="00703022" w:rsidRPr="00501FD8" w:rsidRDefault="00703022">
    <w:pPr>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Default="0070302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DB1D67">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1</w:t>
    </w:r>
  </w:p>
  <w:p w:rsidR="00703022" w:rsidRPr="000A5CE6" w:rsidRDefault="00703022" w:rsidP="000A5CE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DB1D67">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1</w:t>
    </w:r>
  </w:p>
  <w:p w:rsidR="00703022" w:rsidRPr="00F65649" w:rsidRDefault="00703022" w:rsidP="000A5CE6">
    <w:pPr>
      <w:pStyle w:val="Heade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DB1D67">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2</w:t>
    </w:r>
  </w:p>
  <w:p w:rsidR="00703022" w:rsidRPr="000A5CE6" w:rsidRDefault="00703022" w:rsidP="000A5CE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F11CE0">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PNUE/CMS/COP11Doc.23.1.4</w:t>
    </w:r>
    <w:r>
      <w:rPr>
        <w:rFonts w:ascii="Times New Roman" w:eastAsia="Calibri" w:hAnsi="Times New Roman" w:cs="Times New Roman"/>
        <w:i/>
        <w:sz w:val="20"/>
        <w:szCs w:val="20"/>
        <w:lang w:val="de-DE"/>
      </w:rPr>
      <w:t>/Rev.1</w:t>
    </w:r>
  </w:p>
  <w:p w:rsidR="00703022" w:rsidRPr="00492605" w:rsidRDefault="00703022">
    <w:pPr>
      <w:pStyle w:val="Header"/>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DB1D67">
    <w:pPr>
      <w:pBdr>
        <w:bottom w:val="single" w:sz="4" w:space="1" w:color="auto"/>
      </w:pBdr>
      <w:tabs>
        <w:tab w:val="center" w:pos="4680"/>
        <w:tab w:val="right" w:pos="9360"/>
      </w:tabs>
      <w:spacing w:after="0" w:line="240" w:lineRule="auto"/>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2</w:t>
    </w:r>
  </w:p>
  <w:p w:rsidR="00703022" w:rsidRPr="000A5CE6" w:rsidRDefault="00703022" w:rsidP="000A5CE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022" w:rsidRPr="000A5CE6" w:rsidRDefault="00703022" w:rsidP="00DB1D67">
    <w:pPr>
      <w:pBdr>
        <w:bottom w:val="single" w:sz="4" w:space="1" w:color="auto"/>
      </w:pBdr>
      <w:tabs>
        <w:tab w:val="center" w:pos="4680"/>
        <w:tab w:val="right" w:pos="9360"/>
      </w:tabs>
      <w:spacing w:after="0" w:line="240" w:lineRule="auto"/>
      <w:jc w:val="right"/>
      <w:rPr>
        <w:rFonts w:ascii="Times New Roman" w:eastAsia="Calibri" w:hAnsi="Times New Roman" w:cs="Times New Roman"/>
        <w:i/>
        <w:sz w:val="20"/>
        <w:szCs w:val="20"/>
        <w:lang w:val="de-DE"/>
      </w:rPr>
    </w:pPr>
    <w:r w:rsidRPr="000A5CE6">
      <w:rPr>
        <w:rFonts w:ascii="Times New Roman" w:eastAsia="Calibri" w:hAnsi="Times New Roman" w:cs="Times New Roman"/>
        <w:i/>
        <w:sz w:val="20"/>
        <w:szCs w:val="20"/>
        <w:lang w:val="de-DE"/>
      </w:rPr>
      <w:t>PNUE/CMS/COP11</w:t>
    </w:r>
    <w:r>
      <w:rPr>
        <w:rFonts w:ascii="Times New Roman" w:eastAsia="Calibri" w:hAnsi="Times New Roman" w:cs="Times New Roman"/>
        <w:i/>
        <w:sz w:val="20"/>
        <w:szCs w:val="20"/>
        <w:lang w:val="de-DE"/>
      </w:rPr>
      <w:t>/</w:t>
    </w:r>
    <w:r w:rsidRPr="000A5CE6">
      <w:rPr>
        <w:rFonts w:ascii="Times New Roman" w:eastAsia="Calibri" w:hAnsi="Times New Roman" w:cs="Times New Roman"/>
        <w:i/>
        <w:sz w:val="20"/>
        <w:szCs w:val="20"/>
        <w:lang w:val="de-DE"/>
      </w:rPr>
      <w:t>Doc.23.1.4</w:t>
    </w:r>
    <w:r>
      <w:rPr>
        <w:rFonts w:ascii="Times New Roman" w:eastAsia="Calibri" w:hAnsi="Times New Roman" w:cs="Times New Roman"/>
        <w:i/>
        <w:sz w:val="20"/>
        <w:szCs w:val="20"/>
        <w:lang w:val="de-DE"/>
      </w:rPr>
      <w:t>/Rev.1/Annexe 2</w:t>
    </w:r>
  </w:p>
  <w:p w:rsidR="00703022" w:rsidRDefault="00703022">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7CD6"/>
    <w:multiLevelType w:val="hybridMultilevel"/>
    <w:tmpl w:val="E94A8330"/>
    <w:lvl w:ilvl="0" w:tplc="4350ADFE">
      <w:start w:val="1"/>
      <w:numFmt w:val="bullet"/>
      <w:lvlText w:val="–"/>
      <w:lvlJc w:val="left"/>
      <w:pPr>
        <w:tabs>
          <w:tab w:val="num" w:pos="720"/>
        </w:tabs>
        <w:ind w:left="720" w:hanging="360"/>
      </w:pPr>
      <w:rPr>
        <w:rFonts w:ascii="Arial" w:hAnsi="Arial" w:hint="default"/>
      </w:rPr>
    </w:lvl>
    <w:lvl w:ilvl="1" w:tplc="754C7232">
      <w:start w:val="1"/>
      <w:numFmt w:val="bullet"/>
      <w:lvlText w:val="–"/>
      <w:lvlJc w:val="left"/>
      <w:pPr>
        <w:tabs>
          <w:tab w:val="num" w:pos="1440"/>
        </w:tabs>
        <w:ind w:left="1440" w:hanging="360"/>
      </w:pPr>
      <w:rPr>
        <w:rFonts w:ascii="Arial" w:hAnsi="Arial" w:hint="default"/>
      </w:rPr>
    </w:lvl>
    <w:lvl w:ilvl="2" w:tplc="765C0888" w:tentative="1">
      <w:start w:val="1"/>
      <w:numFmt w:val="bullet"/>
      <w:lvlText w:val="–"/>
      <w:lvlJc w:val="left"/>
      <w:pPr>
        <w:tabs>
          <w:tab w:val="num" w:pos="2160"/>
        </w:tabs>
        <w:ind w:left="2160" w:hanging="360"/>
      </w:pPr>
      <w:rPr>
        <w:rFonts w:ascii="Arial" w:hAnsi="Arial" w:hint="default"/>
      </w:rPr>
    </w:lvl>
    <w:lvl w:ilvl="3" w:tplc="850A6754" w:tentative="1">
      <w:start w:val="1"/>
      <w:numFmt w:val="bullet"/>
      <w:lvlText w:val="–"/>
      <w:lvlJc w:val="left"/>
      <w:pPr>
        <w:tabs>
          <w:tab w:val="num" w:pos="2880"/>
        </w:tabs>
        <w:ind w:left="2880" w:hanging="360"/>
      </w:pPr>
      <w:rPr>
        <w:rFonts w:ascii="Arial" w:hAnsi="Arial" w:hint="default"/>
      </w:rPr>
    </w:lvl>
    <w:lvl w:ilvl="4" w:tplc="7F5C68F0" w:tentative="1">
      <w:start w:val="1"/>
      <w:numFmt w:val="bullet"/>
      <w:lvlText w:val="–"/>
      <w:lvlJc w:val="left"/>
      <w:pPr>
        <w:tabs>
          <w:tab w:val="num" w:pos="3600"/>
        </w:tabs>
        <w:ind w:left="3600" w:hanging="360"/>
      </w:pPr>
      <w:rPr>
        <w:rFonts w:ascii="Arial" w:hAnsi="Arial" w:hint="default"/>
      </w:rPr>
    </w:lvl>
    <w:lvl w:ilvl="5" w:tplc="18E095D6" w:tentative="1">
      <w:start w:val="1"/>
      <w:numFmt w:val="bullet"/>
      <w:lvlText w:val="–"/>
      <w:lvlJc w:val="left"/>
      <w:pPr>
        <w:tabs>
          <w:tab w:val="num" w:pos="4320"/>
        </w:tabs>
        <w:ind w:left="4320" w:hanging="360"/>
      </w:pPr>
      <w:rPr>
        <w:rFonts w:ascii="Arial" w:hAnsi="Arial" w:hint="default"/>
      </w:rPr>
    </w:lvl>
    <w:lvl w:ilvl="6" w:tplc="C4FC967A" w:tentative="1">
      <w:start w:val="1"/>
      <w:numFmt w:val="bullet"/>
      <w:lvlText w:val="–"/>
      <w:lvlJc w:val="left"/>
      <w:pPr>
        <w:tabs>
          <w:tab w:val="num" w:pos="5040"/>
        </w:tabs>
        <w:ind w:left="5040" w:hanging="360"/>
      </w:pPr>
      <w:rPr>
        <w:rFonts w:ascii="Arial" w:hAnsi="Arial" w:hint="default"/>
      </w:rPr>
    </w:lvl>
    <w:lvl w:ilvl="7" w:tplc="2BACC374" w:tentative="1">
      <w:start w:val="1"/>
      <w:numFmt w:val="bullet"/>
      <w:lvlText w:val="–"/>
      <w:lvlJc w:val="left"/>
      <w:pPr>
        <w:tabs>
          <w:tab w:val="num" w:pos="5760"/>
        </w:tabs>
        <w:ind w:left="5760" w:hanging="360"/>
      </w:pPr>
      <w:rPr>
        <w:rFonts w:ascii="Arial" w:hAnsi="Arial" w:hint="default"/>
      </w:rPr>
    </w:lvl>
    <w:lvl w:ilvl="8" w:tplc="DA5A5D90" w:tentative="1">
      <w:start w:val="1"/>
      <w:numFmt w:val="bullet"/>
      <w:lvlText w:val="–"/>
      <w:lvlJc w:val="left"/>
      <w:pPr>
        <w:tabs>
          <w:tab w:val="num" w:pos="6480"/>
        </w:tabs>
        <w:ind w:left="6480" w:hanging="360"/>
      </w:pPr>
      <w:rPr>
        <w:rFonts w:ascii="Arial" w:hAnsi="Arial" w:hint="default"/>
      </w:rPr>
    </w:lvl>
  </w:abstractNum>
  <w:abstractNum w:abstractNumId="1">
    <w:nsid w:val="0CD61CE0"/>
    <w:multiLevelType w:val="hybridMultilevel"/>
    <w:tmpl w:val="C8D427F4"/>
    <w:lvl w:ilvl="0" w:tplc="E97CD87C">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nsid w:val="0E086C08"/>
    <w:multiLevelType w:val="hybridMultilevel"/>
    <w:tmpl w:val="9C9EE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E6D187F"/>
    <w:multiLevelType w:val="hybridMultilevel"/>
    <w:tmpl w:val="45C4D576"/>
    <w:lvl w:ilvl="0" w:tplc="E9389622">
      <w:start w:val="2"/>
      <w:numFmt w:val="bullet"/>
      <w:lvlText w:val="-"/>
      <w:lvlJc w:val="left"/>
      <w:pPr>
        <w:ind w:left="1425" w:hanging="360"/>
      </w:pPr>
      <w:rPr>
        <w:rFonts w:ascii="Book Antiqua" w:eastAsia="Times New Roman" w:hAnsi="Book Antiqua" w:hint="default"/>
      </w:rPr>
    </w:lvl>
    <w:lvl w:ilvl="1" w:tplc="04090003" w:tentative="1">
      <w:start w:val="1"/>
      <w:numFmt w:val="bullet"/>
      <w:lvlText w:val="o"/>
      <w:lvlJc w:val="left"/>
      <w:pPr>
        <w:ind w:left="2145" w:hanging="360"/>
      </w:pPr>
      <w:rPr>
        <w:rFonts w:ascii="Courier New" w:hAnsi="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4">
    <w:nsid w:val="10036581"/>
    <w:multiLevelType w:val="hybridMultilevel"/>
    <w:tmpl w:val="C7188316"/>
    <w:lvl w:ilvl="0" w:tplc="7DA80D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31059"/>
    <w:multiLevelType w:val="hybridMultilevel"/>
    <w:tmpl w:val="96443F98"/>
    <w:lvl w:ilvl="0" w:tplc="F8A69BB6">
      <w:start w:val="6"/>
      <w:numFmt w:val="decimal"/>
      <w:lvlText w:val="%1."/>
      <w:lvlJc w:val="left"/>
      <w:pPr>
        <w:tabs>
          <w:tab w:val="num" w:pos="928"/>
        </w:tabs>
        <w:ind w:left="928"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ED7990"/>
    <w:multiLevelType w:val="hybridMultilevel"/>
    <w:tmpl w:val="81D659FE"/>
    <w:lvl w:ilvl="0" w:tplc="695EBAB6">
      <w:start w:val="2"/>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1231CC5"/>
    <w:multiLevelType w:val="hybridMultilevel"/>
    <w:tmpl w:val="3D94DC88"/>
    <w:lvl w:ilvl="0" w:tplc="130E6FFA">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8">
    <w:nsid w:val="173A4F80"/>
    <w:multiLevelType w:val="multilevel"/>
    <w:tmpl w:val="D5B040C6"/>
    <w:lvl w:ilvl="0">
      <w:start w:val="1"/>
      <w:numFmt w:val="decimal"/>
      <w:lvlText w:val="%1.0"/>
      <w:lvlJc w:val="left"/>
      <w:pPr>
        <w:ind w:left="720" w:hanging="72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
    <w:nsid w:val="18831AA9"/>
    <w:multiLevelType w:val="hybridMultilevel"/>
    <w:tmpl w:val="E9BEA714"/>
    <w:lvl w:ilvl="0" w:tplc="040C000F">
      <w:start w:val="1"/>
      <w:numFmt w:val="decimal"/>
      <w:lvlText w:val="%1."/>
      <w:lvlJc w:val="left"/>
      <w:pPr>
        <w:ind w:left="1440" w:hanging="360"/>
      </w:pPr>
      <w:rPr>
        <w:rFonts w:hint="default"/>
      </w:rPr>
    </w:lvl>
    <w:lvl w:ilvl="1" w:tplc="695EBAB6">
      <w:start w:val="2"/>
      <w:numFmt w:val="bullet"/>
      <w:lvlText w:val="-"/>
      <w:lvlJc w:val="left"/>
      <w:pPr>
        <w:ind w:left="2160" w:hanging="360"/>
      </w:pPr>
      <w:rPr>
        <w:rFonts w:ascii="Calibri" w:eastAsia="Times New Roman"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A56DC5"/>
    <w:multiLevelType w:val="hybridMultilevel"/>
    <w:tmpl w:val="CE2C05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F4016B8"/>
    <w:multiLevelType w:val="hybridMultilevel"/>
    <w:tmpl w:val="8B84C4B8"/>
    <w:lvl w:ilvl="0" w:tplc="7E4241CC">
      <w:start w:val="1"/>
      <w:numFmt w:val="decimal"/>
      <w:lvlText w:val="%1."/>
      <w:lvlJc w:val="left"/>
      <w:pPr>
        <w:tabs>
          <w:tab w:val="num" w:pos="720"/>
        </w:tabs>
        <w:ind w:left="720" w:hanging="360"/>
      </w:pPr>
    </w:lvl>
    <w:lvl w:ilvl="1" w:tplc="B12A1D5C">
      <w:start w:val="1"/>
      <w:numFmt w:val="decimal"/>
      <w:lvlText w:val="%2."/>
      <w:lvlJc w:val="left"/>
      <w:pPr>
        <w:tabs>
          <w:tab w:val="num" w:pos="1440"/>
        </w:tabs>
        <w:ind w:left="1440" w:hanging="360"/>
      </w:pPr>
    </w:lvl>
    <w:lvl w:ilvl="2" w:tplc="BEEE200C">
      <w:start w:val="1"/>
      <w:numFmt w:val="decimal"/>
      <w:lvlText w:val="%3."/>
      <w:lvlJc w:val="left"/>
      <w:pPr>
        <w:tabs>
          <w:tab w:val="num" w:pos="2160"/>
        </w:tabs>
        <w:ind w:left="2160" w:hanging="360"/>
      </w:pPr>
    </w:lvl>
    <w:lvl w:ilvl="3" w:tplc="B4BC490E" w:tentative="1">
      <w:start w:val="1"/>
      <w:numFmt w:val="decimal"/>
      <w:lvlText w:val="%4."/>
      <w:lvlJc w:val="left"/>
      <w:pPr>
        <w:tabs>
          <w:tab w:val="num" w:pos="2880"/>
        </w:tabs>
        <w:ind w:left="2880" w:hanging="360"/>
      </w:pPr>
    </w:lvl>
    <w:lvl w:ilvl="4" w:tplc="26526852" w:tentative="1">
      <w:start w:val="1"/>
      <w:numFmt w:val="decimal"/>
      <w:lvlText w:val="%5."/>
      <w:lvlJc w:val="left"/>
      <w:pPr>
        <w:tabs>
          <w:tab w:val="num" w:pos="3600"/>
        </w:tabs>
        <w:ind w:left="3600" w:hanging="360"/>
      </w:pPr>
    </w:lvl>
    <w:lvl w:ilvl="5" w:tplc="8B5CC5B4" w:tentative="1">
      <w:start w:val="1"/>
      <w:numFmt w:val="decimal"/>
      <w:lvlText w:val="%6."/>
      <w:lvlJc w:val="left"/>
      <w:pPr>
        <w:tabs>
          <w:tab w:val="num" w:pos="4320"/>
        </w:tabs>
        <w:ind w:left="4320" w:hanging="360"/>
      </w:pPr>
    </w:lvl>
    <w:lvl w:ilvl="6" w:tplc="257429B8" w:tentative="1">
      <w:start w:val="1"/>
      <w:numFmt w:val="decimal"/>
      <w:lvlText w:val="%7."/>
      <w:lvlJc w:val="left"/>
      <w:pPr>
        <w:tabs>
          <w:tab w:val="num" w:pos="5040"/>
        </w:tabs>
        <w:ind w:left="5040" w:hanging="360"/>
      </w:pPr>
    </w:lvl>
    <w:lvl w:ilvl="7" w:tplc="DB92F2C4" w:tentative="1">
      <w:start w:val="1"/>
      <w:numFmt w:val="decimal"/>
      <w:lvlText w:val="%8."/>
      <w:lvlJc w:val="left"/>
      <w:pPr>
        <w:tabs>
          <w:tab w:val="num" w:pos="5760"/>
        </w:tabs>
        <w:ind w:left="5760" w:hanging="360"/>
      </w:pPr>
    </w:lvl>
    <w:lvl w:ilvl="8" w:tplc="F83CBB96" w:tentative="1">
      <w:start w:val="1"/>
      <w:numFmt w:val="decimal"/>
      <w:lvlText w:val="%9."/>
      <w:lvlJc w:val="left"/>
      <w:pPr>
        <w:tabs>
          <w:tab w:val="num" w:pos="6480"/>
        </w:tabs>
        <w:ind w:left="6480" w:hanging="360"/>
      </w:pPr>
    </w:lvl>
  </w:abstractNum>
  <w:abstractNum w:abstractNumId="12">
    <w:nsid w:val="20E06CEF"/>
    <w:multiLevelType w:val="hybridMultilevel"/>
    <w:tmpl w:val="E2A2DF2E"/>
    <w:lvl w:ilvl="0" w:tplc="E88E4A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617B7C"/>
    <w:multiLevelType w:val="hybridMultilevel"/>
    <w:tmpl w:val="090EB2E6"/>
    <w:lvl w:ilvl="0" w:tplc="7C0067FC">
      <w:start w:val="50"/>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24D07205"/>
    <w:multiLevelType w:val="hybridMultilevel"/>
    <w:tmpl w:val="D4CE8CC8"/>
    <w:lvl w:ilvl="0" w:tplc="6DF00570">
      <w:start w:val="1"/>
      <w:numFmt w:val="bullet"/>
      <w:lvlText w:val="•"/>
      <w:lvlJc w:val="left"/>
      <w:pPr>
        <w:tabs>
          <w:tab w:val="num" w:pos="720"/>
        </w:tabs>
        <w:ind w:left="720" w:hanging="360"/>
      </w:pPr>
      <w:rPr>
        <w:rFonts w:ascii="Arial" w:hAnsi="Arial" w:hint="default"/>
      </w:rPr>
    </w:lvl>
    <w:lvl w:ilvl="1" w:tplc="0DAE1586">
      <w:start w:val="1392"/>
      <w:numFmt w:val="bullet"/>
      <w:lvlText w:val="–"/>
      <w:lvlJc w:val="left"/>
      <w:pPr>
        <w:tabs>
          <w:tab w:val="num" w:pos="1440"/>
        </w:tabs>
        <w:ind w:left="1440" w:hanging="360"/>
      </w:pPr>
      <w:rPr>
        <w:rFonts w:ascii="Arial" w:hAnsi="Arial" w:hint="default"/>
      </w:rPr>
    </w:lvl>
    <w:lvl w:ilvl="2" w:tplc="2314FE7C" w:tentative="1">
      <w:start w:val="1"/>
      <w:numFmt w:val="bullet"/>
      <w:lvlText w:val="•"/>
      <w:lvlJc w:val="left"/>
      <w:pPr>
        <w:tabs>
          <w:tab w:val="num" w:pos="2160"/>
        </w:tabs>
        <w:ind w:left="2160" w:hanging="360"/>
      </w:pPr>
      <w:rPr>
        <w:rFonts w:ascii="Arial" w:hAnsi="Arial" w:hint="default"/>
      </w:rPr>
    </w:lvl>
    <w:lvl w:ilvl="3" w:tplc="844CD22C" w:tentative="1">
      <w:start w:val="1"/>
      <w:numFmt w:val="bullet"/>
      <w:lvlText w:val="•"/>
      <w:lvlJc w:val="left"/>
      <w:pPr>
        <w:tabs>
          <w:tab w:val="num" w:pos="2880"/>
        </w:tabs>
        <w:ind w:left="2880" w:hanging="360"/>
      </w:pPr>
      <w:rPr>
        <w:rFonts w:ascii="Arial" w:hAnsi="Arial" w:hint="default"/>
      </w:rPr>
    </w:lvl>
    <w:lvl w:ilvl="4" w:tplc="9E989840" w:tentative="1">
      <w:start w:val="1"/>
      <w:numFmt w:val="bullet"/>
      <w:lvlText w:val="•"/>
      <w:lvlJc w:val="left"/>
      <w:pPr>
        <w:tabs>
          <w:tab w:val="num" w:pos="3600"/>
        </w:tabs>
        <w:ind w:left="3600" w:hanging="360"/>
      </w:pPr>
      <w:rPr>
        <w:rFonts w:ascii="Arial" w:hAnsi="Arial" w:hint="default"/>
      </w:rPr>
    </w:lvl>
    <w:lvl w:ilvl="5" w:tplc="7F00A66E" w:tentative="1">
      <w:start w:val="1"/>
      <w:numFmt w:val="bullet"/>
      <w:lvlText w:val="•"/>
      <w:lvlJc w:val="left"/>
      <w:pPr>
        <w:tabs>
          <w:tab w:val="num" w:pos="4320"/>
        </w:tabs>
        <w:ind w:left="4320" w:hanging="360"/>
      </w:pPr>
      <w:rPr>
        <w:rFonts w:ascii="Arial" w:hAnsi="Arial" w:hint="default"/>
      </w:rPr>
    </w:lvl>
    <w:lvl w:ilvl="6" w:tplc="3B884982" w:tentative="1">
      <w:start w:val="1"/>
      <w:numFmt w:val="bullet"/>
      <w:lvlText w:val="•"/>
      <w:lvlJc w:val="left"/>
      <w:pPr>
        <w:tabs>
          <w:tab w:val="num" w:pos="5040"/>
        </w:tabs>
        <w:ind w:left="5040" w:hanging="360"/>
      </w:pPr>
      <w:rPr>
        <w:rFonts w:ascii="Arial" w:hAnsi="Arial" w:hint="default"/>
      </w:rPr>
    </w:lvl>
    <w:lvl w:ilvl="7" w:tplc="7F880D60" w:tentative="1">
      <w:start w:val="1"/>
      <w:numFmt w:val="bullet"/>
      <w:lvlText w:val="•"/>
      <w:lvlJc w:val="left"/>
      <w:pPr>
        <w:tabs>
          <w:tab w:val="num" w:pos="5760"/>
        </w:tabs>
        <w:ind w:left="5760" w:hanging="360"/>
      </w:pPr>
      <w:rPr>
        <w:rFonts w:ascii="Arial" w:hAnsi="Arial" w:hint="default"/>
      </w:rPr>
    </w:lvl>
    <w:lvl w:ilvl="8" w:tplc="A2564D50" w:tentative="1">
      <w:start w:val="1"/>
      <w:numFmt w:val="bullet"/>
      <w:lvlText w:val="•"/>
      <w:lvlJc w:val="left"/>
      <w:pPr>
        <w:tabs>
          <w:tab w:val="num" w:pos="6480"/>
        </w:tabs>
        <w:ind w:left="6480" w:hanging="360"/>
      </w:pPr>
      <w:rPr>
        <w:rFonts w:ascii="Arial" w:hAnsi="Arial" w:hint="default"/>
      </w:rPr>
    </w:lvl>
  </w:abstractNum>
  <w:abstractNum w:abstractNumId="15">
    <w:nsid w:val="25126380"/>
    <w:multiLevelType w:val="hybridMultilevel"/>
    <w:tmpl w:val="CE74E686"/>
    <w:lvl w:ilvl="0" w:tplc="51CA2910">
      <w:start w:val="6"/>
      <w:numFmt w:val="upperLetter"/>
      <w:lvlText w:val="%1."/>
      <w:lvlJc w:val="left"/>
      <w:pPr>
        <w:tabs>
          <w:tab w:val="num" w:pos="720"/>
        </w:tabs>
        <w:ind w:left="720" w:hanging="360"/>
      </w:pPr>
    </w:lvl>
    <w:lvl w:ilvl="1" w:tplc="B810D740" w:tentative="1">
      <w:start w:val="1"/>
      <w:numFmt w:val="upperLetter"/>
      <w:lvlText w:val="%2."/>
      <w:lvlJc w:val="left"/>
      <w:pPr>
        <w:tabs>
          <w:tab w:val="num" w:pos="1440"/>
        </w:tabs>
        <w:ind w:left="1440" w:hanging="360"/>
      </w:pPr>
    </w:lvl>
    <w:lvl w:ilvl="2" w:tplc="44947858" w:tentative="1">
      <w:start w:val="1"/>
      <w:numFmt w:val="upperLetter"/>
      <w:lvlText w:val="%3."/>
      <w:lvlJc w:val="left"/>
      <w:pPr>
        <w:tabs>
          <w:tab w:val="num" w:pos="2160"/>
        </w:tabs>
        <w:ind w:left="2160" w:hanging="360"/>
      </w:pPr>
    </w:lvl>
    <w:lvl w:ilvl="3" w:tplc="6CC09C1A" w:tentative="1">
      <w:start w:val="1"/>
      <w:numFmt w:val="upperLetter"/>
      <w:lvlText w:val="%4."/>
      <w:lvlJc w:val="left"/>
      <w:pPr>
        <w:tabs>
          <w:tab w:val="num" w:pos="2880"/>
        </w:tabs>
        <w:ind w:left="2880" w:hanging="360"/>
      </w:pPr>
    </w:lvl>
    <w:lvl w:ilvl="4" w:tplc="2BD03168" w:tentative="1">
      <w:start w:val="1"/>
      <w:numFmt w:val="upperLetter"/>
      <w:lvlText w:val="%5."/>
      <w:lvlJc w:val="left"/>
      <w:pPr>
        <w:tabs>
          <w:tab w:val="num" w:pos="3600"/>
        </w:tabs>
        <w:ind w:left="3600" w:hanging="360"/>
      </w:pPr>
    </w:lvl>
    <w:lvl w:ilvl="5" w:tplc="E318B5B6" w:tentative="1">
      <w:start w:val="1"/>
      <w:numFmt w:val="upperLetter"/>
      <w:lvlText w:val="%6."/>
      <w:lvlJc w:val="left"/>
      <w:pPr>
        <w:tabs>
          <w:tab w:val="num" w:pos="4320"/>
        </w:tabs>
        <w:ind w:left="4320" w:hanging="360"/>
      </w:pPr>
    </w:lvl>
    <w:lvl w:ilvl="6" w:tplc="AF9EC9B6" w:tentative="1">
      <w:start w:val="1"/>
      <w:numFmt w:val="upperLetter"/>
      <w:lvlText w:val="%7."/>
      <w:lvlJc w:val="left"/>
      <w:pPr>
        <w:tabs>
          <w:tab w:val="num" w:pos="5040"/>
        </w:tabs>
        <w:ind w:left="5040" w:hanging="360"/>
      </w:pPr>
    </w:lvl>
    <w:lvl w:ilvl="7" w:tplc="E0747FFA" w:tentative="1">
      <w:start w:val="1"/>
      <w:numFmt w:val="upperLetter"/>
      <w:lvlText w:val="%8."/>
      <w:lvlJc w:val="left"/>
      <w:pPr>
        <w:tabs>
          <w:tab w:val="num" w:pos="5760"/>
        </w:tabs>
        <w:ind w:left="5760" w:hanging="360"/>
      </w:pPr>
    </w:lvl>
    <w:lvl w:ilvl="8" w:tplc="03D2F596" w:tentative="1">
      <w:start w:val="1"/>
      <w:numFmt w:val="upperLetter"/>
      <w:lvlText w:val="%9."/>
      <w:lvlJc w:val="left"/>
      <w:pPr>
        <w:tabs>
          <w:tab w:val="num" w:pos="6480"/>
        </w:tabs>
        <w:ind w:left="6480" w:hanging="360"/>
      </w:pPr>
    </w:lvl>
  </w:abstractNum>
  <w:abstractNum w:abstractNumId="16">
    <w:nsid w:val="28550951"/>
    <w:multiLevelType w:val="hybridMultilevel"/>
    <w:tmpl w:val="0BCA8C12"/>
    <w:lvl w:ilvl="0" w:tplc="44E68EF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5F090C"/>
    <w:multiLevelType w:val="hybridMultilevel"/>
    <w:tmpl w:val="8DECFD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2B84321C"/>
    <w:multiLevelType w:val="hybridMultilevel"/>
    <w:tmpl w:val="FA58A7E6"/>
    <w:lvl w:ilvl="0" w:tplc="6A2EC7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BB86A0D"/>
    <w:multiLevelType w:val="hybridMultilevel"/>
    <w:tmpl w:val="9E0EFD22"/>
    <w:lvl w:ilvl="0" w:tplc="B0728468">
      <w:start w:val="1"/>
      <w:numFmt w:val="bullet"/>
      <w:lvlText w:val="•"/>
      <w:lvlJc w:val="left"/>
      <w:pPr>
        <w:tabs>
          <w:tab w:val="num" w:pos="720"/>
        </w:tabs>
        <w:ind w:left="720" w:hanging="360"/>
      </w:pPr>
      <w:rPr>
        <w:rFonts w:ascii="Arial" w:hAnsi="Arial" w:hint="default"/>
      </w:rPr>
    </w:lvl>
    <w:lvl w:ilvl="1" w:tplc="01C2ACD6">
      <w:start w:val="1392"/>
      <w:numFmt w:val="bullet"/>
      <w:lvlText w:val="–"/>
      <w:lvlJc w:val="left"/>
      <w:pPr>
        <w:tabs>
          <w:tab w:val="num" w:pos="1440"/>
        </w:tabs>
        <w:ind w:left="1440" w:hanging="360"/>
      </w:pPr>
      <w:rPr>
        <w:rFonts w:ascii="Arial" w:hAnsi="Arial" w:hint="default"/>
      </w:rPr>
    </w:lvl>
    <w:lvl w:ilvl="2" w:tplc="0F2EC4EC" w:tentative="1">
      <w:start w:val="1"/>
      <w:numFmt w:val="bullet"/>
      <w:lvlText w:val="•"/>
      <w:lvlJc w:val="left"/>
      <w:pPr>
        <w:tabs>
          <w:tab w:val="num" w:pos="2160"/>
        </w:tabs>
        <w:ind w:left="2160" w:hanging="360"/>
      </w:pPr>
      <w:rPr>
        <w:rFonts w:ascii="Arial" w:hAnsi="Arial" w:hint="default"/>
      </w:rPr>
    </w:lvl>
    <w:lvl w:ilvl="3" w:tplc="3C724CBA" w:tentative="1">
      <w:start w:val="1"/>
      <w:numFmt w:val="bullet"/>
      <w:lvlText w:val="•"/>
      <w:lvlJc w:val="left"/>
      <w:pPr>
        <w:tabs>
          <w:tab w:val="num" w:pos="2880"/>
        </w:tabs>
        <w:ind w:left="2880" w:hanging="360"/>
      </w:pPr>
      <w:rPr>
        <w:rFonts w:ascii="Arial" w:hAnsi="Arial" w:hint="default"/>
      </w:rPr>
    </w:lvl>
    <w:lvl w:ilvl="4" w:tplc="0E7AB2CC" w:tentative="1">
      <w:start w:val="1"/>
      <w:numFmt w:val="bullet"/>
      <w:lvlText w:val="•"/>
      <w:lvlJc w:val="left"/>
      <w:pPr>
        <w:tabs>
          <w:tab w:val="num" w:pos="3600"/>
        </w:tabs>
        <w:ind w:left="3600" w:hanging="360"/>
      </w:pPr>
      <w:rPr>
        <w:rFonts w:ascii="Arial" w:hAnsi="Arial" w:hint="default"/>
      </w:rPr>
    </w:lvl>
    <w:lvl w:ilvl="5" w:tplc="EB803D8C" w:tentative="1">
      <w:start w:val="1"/>
      <w:numFmt w:val="bullet"/>
      <w:lvlText w:val="•"/>
      <w:lvlJc w:val="left"/>
      <w:pPr>
        <w:tabs>
          <w:tab w:val="num" w:pos="4320"/>
        </w:tabs>
        <w:ind w:left="4320" w:hanging="360"/>
      </w:pPr>
      <w:rPr>
        <w:rFonts w:ascii="Arial" w:hAnsi="Arial" w:hint="default"/>
      </w:rPr>
    </w:lvl>
    <w:lvl w:ilvl="6" w:tplc="7062EFB2" w:tentative="1">
      <w:start w:val="1"/>
      <w:numFmt w:val="bullet"/>
      <w:lvlText w:val="•"/>
      <w:lvlJc w:val="left"/>
      <w:pPr>
        <w:tabs>
          <w:tab w:val="num" w:pos="5040"/>
        </w:tabs>
        <w:ind w:left="5040" w:hanging="360"/>
      </w:pPr>
      <w:rPr>
        <w:rFonts w:ascii="Arial" w:hAnsi="Arial" w:hint="default"/>
      </w:rPr>
    </w:lvl>
    <w:lvl w:ilvl="7" w:tplc="01161CBA" w:tentative="1">
      <w:start w:val="1"/>
      <w:numFmt w:val="bullet"/>
      <w:lvlText w:val="•"/>
      <w:lvlJc w:val="left"/>
      <w:pPr>
        <w:tabs>
          <w:tab w:val="num" w:pos="5760"/>
        </w:tabs>
        <w:ind w:left="5760" w:hanging="360"/>
      </w:pPr>
      <w:rPr>
        <w:rFonts w:ascii="Arial" w:hAnsi="Arial" w:hint="default"/>
      </w:rPr>
    </w:lvl>
    <w:lvl w:ilvl="8" w:tplc="73FADBCC" w:tentative="1">
      <w:start w:val="1"/>
      <w:numFmt w:val="bullet"/>
      <w:lvlText w:val="•"/>
      <w:lvlJc w:val="left"/>
      <w:pPr>
        <w:tabs>
          <w:tab w:val="num" w:pos="6480"/>
        </w:tabs>
        <w:ind w:left="6480" w:hanging="360"/>
      </w:pPr>
      <w:rPr>
        <w:rFonts w:ascii="Arial" w:hAnsi="Arial" w:hint="default"/>
      </w:rPr>
    </w:lvl>
  </w:abstractNum>
  <w:abstractNum w:abstractNumId="20">
    <w:nsid w:val="2C7A0C7D"/>
    <w:multiLevelType w:val="hybridMultilevel"/>
    <w:tmpl w:val="98883F32"/>
    <w:lvl w:ilvl="0" w:tplc="E7D67D5A">
      <w:start w:val="3"/>
      <w:numFmt w:val="upperLetter"/>
      <w:lvlText w:val="%1."/>
      <w:lvlJc w:val="left"/>
      <w:pPr>
        <w:tabs>
          <w:tab w:val="num" w:pos="720"/>
        </w:tabs>
        <w:ind w:left="720" w:hanging="360"/>
      </w:pPr>
    </w:lvl>
    <w:lvl w:ilvl="1" w:tplc="850CADD6" w:tentative="1">
      <w:start w:val="1"/>
      <w:numFmt w:val="upperLetter"/>
      <w:lvlText w:val="%2."/>
      <w:lvlJc w:val="left"/>
      <w:pPr>
        <w:tabs>
          <w:tab w:val="num" w:pos="1440"/>
        </w:tabs>
        <w:ind w:left="1440" w:hanging="360"/>
      </w:pPr>
    </w:lvl>
    <w:lvl w:ilvl="2" w:tplc="7E807C78" w:tentative="1">
      <w:start w:val="1"/>
      <w:numFmt w:val="upperLetter"/>
      <w:lvlText w:val="%3."/>
      <w:lvlJc w:val="left"/>
      <w:pPr>
        <w:tabs>
          <w:tab w:val="num" w:pos="2160"/>
        </w:tabs>
        <w:ind w:left="2160" w:hanging="360"/>
      </w:pPr>
    </w:lvl>
    <w:lvl w:ilvl="3" w:tplc="671281D4" w:tentative="1">
      <w:start w:val="1"/>
      <w:numFmt w:val="upperLetter"/>
      <w:lvlText w:val="%4."/>
      <w:lvlJc w:val="left"/>
      <w:pPr>
        <w:tabs>
          <w:tab w:val="num" w:pos="2880"/>
        </w:tabs>
        <w:ind w:left="2880" w:hanging="360"/>
      </w:pPr>
    </w:lvl>
    <w:lvl w:ilvl="4" w:tplc="478E671E" w:tentative="1">
      <w:start w:val="1"/>
      <w:numFmt w:val="upperLetter"/>
      <w:lvlText w:val="%5."/>
      <w:lvlJc w:val="left"/>
      <w:pPr>
        <w:tabs>
          <w:tab w:val="num" w:pos="3600"/>
        </w:tabs>
        <w:ind w:left="3600" w:hanging="360"/>
      </w:pPr>
    </w:lvl>
    <w:lvl w:ilvl="5" w:tplc="5FC2F5E8" w:tentative="1">
      <w:start w:val="1"/>
      <w:numFmt w:val="upperLetter"/>
      <w:lvlText w:val="%6."/>
      <w:lvlJc w:val="left"/>
      <w:pPr>
        <w:tabs>
          <w:tab w:val="num" w:pos="4320"/>
        </w:tabs>
        <w:ind w:left="4320" w:hanging="360"/>
      </w:pPr>
    </w:lvl>
    <w:lvl w:ilvl="6" w:tplc="4CEA4004" w:tentative="1">
      <w:start w:val="1"/>
      <w:numFmt w:val="upperLetter"/>
      <w:lvlText w:val="%7."/>
      <w:lvlJc w:val="left"/>
      <w:pPr>
        <w:tabs>
          <w:tab w:val="num" w:pos="5040"/>
        </w:tabs>
        <w:ind w:left="5040" w:hanging="360"/>
      </w:pPr>
    </w:lvl>
    <w:lvl w:ilvl="7" w:tplc="5F082882" w:tentative="1">
      <w:start w:val="1"/>
      <w:numFmt w:val="upperLetter"/>
      <w:lvlText w:val="%8."/>
      <w:lvlJc w:val="left"/>
      <w:pPr>
        <w:tabs>
          <w:tab w:val="num" w:pos="5760"/>
        </w:tabs>
        <w:ind w:left="5760" w:hanging="360"/>
      </w:pPr>
    </w:lvl>
    <w:lvl w:ilvl="8" w:tplc="78BA139E" w:tentative="1">
      <w:start w:val="1"/>
      <w:numFmt w:val="upperLetter"/>
      <w:lvlText w:val="%9."/>
      <w:lvlJc w:val="left"/>
      <w:pPr>
        <w:tabs>
          <w:tab w:val="num" w:pos="6480"/>
        </w:tabs>
        <w:ind w:left="6480" w:hanging="360"/>
      </w:pPr>
    </w:lvl>
  </w:abstractNum>
  <w:abstractNum w:abstractNumId="21">
    <w:nsid w:val="2C805A11"/>
    <w:multiLevelType w:val="hybridMultilevel"/>
    <w:tmpl w:val="C0ECA978"/>
    <w:lvl w:ilvl="0" w:tplc="E97CD87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D7B0D78"/>
    <w:multiLevelType w:val="hybridMultilevel"/>
    <w:tmpl w:val="D10437B6"/>
    <w:lvl w:ilvl="0" w:tplc="C47A2828">
      <w:start w:val="1"/>
      <w:numFmt w:val="bullet"/>
      <w:lvlText w:val="•"/>
      <w:lvlJc w:val="left"/>
      <w:pPr>
        <w:tabs>
          <w:tab w:val="num" w:pos="720"/>
        </w:tabs>
        <w:ind w:left="720" w:hanging="360"/>
      </w:pPr>
      <w:rPr>
        <w:rFonts w:ascii="Arial" w:hAnsi="Arial" w:hint="default"/>
      </w:rPr>
    </w:lvl>
    <w:lvl w:ilvl="1" w:tplc="E0D0122E">
      <w:start w:val="1134"/>
      <w:numFmt w:val="bullet"/>
      <w:lvlText w:val="–"/>
      <w:lvlJc w:val="left"/>
      <w:pPr>
        <w:tabs>
          <w:tab w:val="num" w:pos="1440"/>
        </w:tabs>
        <w:ind w:left="1440" w:hanging="360"/>
      </w:pPr>
      <w:rPr>
        <w:rFonts w:ascii="Arial" w:hAnsi="Arial" w:hint="default"/>
      </w:rPr>
    </w:lvl>
    <w:lvl w:ilvl="2" w:tplc="BF107EA2" w:tentative="1">
      <w:start w:val="1"/>
      <w:numFmt w:val="bullet"/>
      <w:lvlText w:val="•"/>
      <w:lvlJc w:val="left"/>
      <w:pPr>
        <w:tabs>
          <w:tab w:val="num" w:pos="2160"/>
        </w:tabs>
        <w:ind w:left="2160" w:hanging="360"/>
      </w:pPr>
      <w:rPr>
        <w:rFonts w:ascii="Arial" w:hAnsi="Arial" w:hint="default"/>
      </w:rPr>
    </w:lvl>
    <w:lvl w:ilvl="3" w:tplc="74789342" w:tentative="1">
      <w:start w:val="1"/>
      <w:numFmt w:val="bullet"/>
      <w:lvlText w:val="•"/>
      <w:lvlJc w:val="left"/>
      <w:pPr>
        <w:tabs>
          <w:tab w:val="num" w:pos="2880"/>
        </w:tabs>
        <w:ind w:left="2880" w:hanging="360"/>
      </w:pPr>
      <w:rPr>
        <w:rFonts w:ascii="Arial" w:hAnsi="Arial" w:hint="default"/>
      </w:rPr>
    </w:lvl>
    <w:lvl w:ilvl="4" w:tplc="C3CA9710" w:tentative="1">
      <w:start w:val="1"/>
      <w:numFmt w:val="bullet"/>
      <w:lvlText w:val="•"/>
      <w:lvlJc w:val="left"/>
      <w:pPr>
        <w:tabs>
          <w:tab w:val="num" w:pos="3600"/>
        </w:tabs>
        <w:ind w:left="3600" w:hanging="360"/>
      </w:pPr>
      <w:rPr>
        <w:rFonts w:ascii="Arial" w:hAnsi="Arial" w:hint="default"/>
      </w:rPr>
    </w:lvl>
    <w:lvl w:ilvl="5" w:tplc="ED848CA6" w:tentative="1">
      <w:start w:val="1"/>
      <w:numFmt w:val="bullet"/>
      <w:lvlText w:val="•"/>
      <w:lvlJc w:val="left"/>
      <w:pPr>
        <w:tabs>
          <w:tab w:val="num" w:pos="4320"/>
        </w:tabs>
        <w:ind w:left="4320" w:hanging="360"/>
      </w:pPr>
      <w:rPr>
        <w:rFonts w:ascii="Arial" w:hAnsi="Arial" w:hint="default"/>
      </w:rPr>
    </w:lvl>
    <w:lvl w:ilvl="6" w:tplc="494A268E" w:tentative="1">
      <w:start w:val="1"/>
      <w:numFmt w:val="bullet"/>
      <w:lvlText w:val="•"/>
      <w:lvlJc w:val="left"/>
      <w:pPr>
        <w:tabs>
          <w:tab w:val="num" w:pos="5040"/>
        </w:tabs>
        <w:ind w:left="5040" w:hanging="360"/>
      </w:pPr>
      <w:rPr>
        <w:rFonts w:ascii="Arial" w:hAnsi="Arial" w:hint="default"/>
      </w:rPr>
    </w:lvl>
    <w:lvl w:ilvl="7" w:tplc="91FE2D72" w:tentative="1">
      <w:start w:val="1"/>
      <w:numFmt w:val="bullet"/>
      <w:lvlText w:val="•"/>
      <w:lvlJc w:val="left"/>
      <w:pPr>
        <w:tabs>
          <w:tab w:val="num" w:pos="5760"/>
        </w:tabs>
        <w:ind w:left="5760" w:hanging="360"/>
      </w:pPr>
      <w:rPr>
        <w:rFonts w:ascii="Arial" w:hAnsi="Arial" w:hint="default"/>
      </w:rPr>
    </w:lvl>
    <w:lvl w:ilvl="8" w:tplc="E3C6B846" w:tentative="1">
      <w:start w:val="1"/>
      <w:numFmt w:val="bullet"/>
      <w:lvlText w:val="•"/>
      <w:lvlJc w:val="left"/>
      <w:pPr>
        <w:tabs>
          <w:tab w:val="num" w:pos="6480"/>
        </w:tabs>
        <w:ind w:left="6480" w:hanging="360"/>
      </w:pPr>
      <w:rPr>
        <w:rFonts w:ascii="Arial" w:hAnsi="Arial" w:hint="default"/>
      </w:rPr>
    </w:lvl>
  </w:abstractNum>
  <w:abstractNum w:abstractNumId="23">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D9387C"/>
    <w:multiLevelType w:val="hybridMultilevel"/>
    <w:tmpl w:val="669838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38B362B6"/>
    <w:multiLevelType w:val="hybridMultilevel"/>
    <w:tmpl w:val="58F08330"/>
    <w:lvl w:ilvl="0" w:tplc="5BA41E2A">
      <w:start w:val="1"/>
      <w:numFmt w:val="bullet"/>
      <w:lvlText w:val="•"/>
      <w:lvlJc w:val="left"/>
      <w:pPr>
        <w:tabs>
          <w:tab w:val="num" w:pos="720"/>
        </w:tabs>
        <w:ind w:left="720" w:hanging="360"/>
      </w:pPr>
      <w:rPr>
        <w:rFonts w:ascii="Arial" w:hAnsi="Arial" w:hint="default"/>
      </w:rPr>
    </w:lvl>
    <w:lvl w:ilvl="1" w:tplc="966C50CA">
      <w:start w:val="1392"/>
      <w:numFmt w:val="bullet"/>
      <w:lvlText w:val="–"/>
      <w:lvlJc w:val="left"/>
      <w:pPr>
        <w:tabs>
          <w:tab w:val="num" w:pos="1440"/>
        </w:tabs>
        <w:ind w:left="1440" w:hanging="360"/>
      </w:pPr>
      <w:rPr>
        <w:rFonts w:ascii="Arial" w:hAnsi="Arial" w:hint="default"/>
      </w:rPr>
    </w:lvl>
    <w:lvl w:ilvl="2" w:tplc="C562FC42" w:tentative="1">
      <w:start w:val="1"/>
      <w:numFmt w:val="bullet"/>
      <w:lvlText w:val="•"/>
      <w:lvlJc w:val="left"/>
      <w:pPr>
        <w:tabs>
          <w:tab w:val="num" w:pos="2160"/>
        </w:tabs>
        <w:ind w:left="2160" w:hanging="360"/>
      </w:pPr>
      <w:rPr>
        <w:rFonts w:ascii="Arial" w:hAnsi="Arial" w:hint="default"/>
      </w:rPr>
    </w:lvl>
    <w:lvl w:ilvl="3" w:tplc="F356C8AA" w:tentative="1">
      <w:start w:val="1"/>
      <w:numFmt w:val="bullet"/>
      <w:lvlText w:val="•"/>
      <w:lvlJc w:val="left"/>
      <w:pPr>
        <w:tabs>
          <w:tab w:val="num" w:pos="2880"/>
        </w:tabs>
        <w:ind w:left="2880" w:hanging="360"/>
      </w:pPr>
      <w:rPr>
        <w:rFonts w:ascii="Arial" w:hAnsi="Arial" w:hint="default"/>
      </w:rPr>
    </w:lvl>
    <w:lvl w:ilvl="4" w:tplc="C328571E" w:tentative="1">
      <w:start w:val="1"/>
      <w:numFmt w:val="bullet"/>
      <w:lvlText w:val="•"/>
      <w:lvlJc w:val="left"/>
      <w:pPr>
        <w:tabs>
          <w:tab w:val="num" w:pos="3600"/>
        </w:tabs>
        <w:ind w:left="3600" w:hanging="360"/>
      </w:pPr>
      <w:rPr>
        <w:rFonts w:ascii="Arial" w:hAnsi="Arial" w:hint="default"/>
      </w:rPr>
    </w:lvl>
    <w:lvl w:ilvl="5" w:tplc="7DA6D72E" w:tentative="1">
      <w:start w:val="1"/>
      <w:numFmt w:val="bullet"/>
      <w:lvlText w:val="•"/>
      <w:lvlJc w:val="left"/>
      <w:pPr>
        <w:tabs>
          <w:tab w:val="num" w:pos="4320"/>
        </w:tabs>
        <w:ind w:left="4320" w:hanging="360"/>
      </w:pPr>
      <w:rPr>
        <w:rFonts w:ascii="Arial" w:hAnsi="Arial" w:hint="default"/>
      </w:rPr>
    </w:lvl>
    <w:lvl w:ilvl="6" w:tplc="7AACB88E" w:tentative="1">
      <w:start w:val="1"/>
      <w:numFmt w:val="bullet"/>
      <w:lvlText w:val="•"/>
      <w:lvlJc w:val="left"/>
      <w:pPr>
        <w:tabs>
          <w:tab w:val="num" w:pos="5040"/>
        </w:tabs>
        <w:ind w:left="5040" w:hanging="360"/>
      </w:pPr>
      <w:rPr>
        <w:rFonts w:ascii="Arial" w:hAnsi="Arial" w:hint="default"/>
      </w:rPr>
    </w:lvl>
    <w:lvl w:ilvl="7" w:tplc="B9EAEBEE" w:tentative="1">
      <w:start w:val="1"/>
      <w:numFmt w:val="bullet"/>
      <w:lvlText w:val="•"/>
      <w:lvlJc w:val="left"/>
      <w:pPr>
        <w:tabs>
          <w:tab w:val="num" w:pos="5760"/>
        </w:tabs>
        <w:ind w:left="5760" w:hanging="360"/>
      </w:pPr>
      <w:rPr>
        <w:rFonts w:ascii="Arial" w:hAnsi="Arial" w:hint="default"/>
      </w:rPr>
    </w:lvl>
    <w:lvl w:ilvl="8" w:tplc="AD24D24A" w:tentative="1">
      <w:start w:val="1"/>
      <w:numFmt w:val="bullet"/>
      <w:lvlText w:val="•"/>
      <w:lvlJc w:val="left"/>
      <w:pPr>
        <w:tabs>
          <w:tab w:val="num" w:pos="6480"/>
        </w:tabs>
        <w:ind w:left="6480" w:hanging="360"/>
      </w:pPr>
      <w:rPr>
        <w:rFonts w:ascii="Arial" w:hAnsi="Arial" w:hint="default"/>
      </w:rPr>
    </w:lvl>
  </w:abstractNum>
  <w:abstractNum w:abstractNumId="26">
    <w:nsid w:val="3A883F32"/>
    <w:multiLevelType w:val="hybridMultilevel"/>
    <w:tmpl w:val="5B32E1D4"/>
    <w:lvl w:ilvl="0" w:tplc="ECA650C8">
      <w:start w:val="3"/>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C996F9E"/>
    <w:multiLevelType w:val="hybridMultilevel"/>
    <w:tmpl w:val="F50424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9E7AA9"/>
    <w:multiLevelType w:val="hybridMultilevel"/>
    <w:tmpl w:val="CDC472DE"/>
    <w:lvl w:ilvl="0" w:tplc="19180452">
      <w:start w:val="1"/>
      <w:numFmt w:val="bullet"/>
      <w:lvlText w:val="•"/>
      <w:lvlJc w:val="left"/>
      <w:pPr>
        <w:tabs>
          <w:tab w:val="num" w:pos="720"/>
        </w:tabs>
        <w:ind w:left="720" w:hanging="360"/>
      </w:pPr>
      <w:rPr>
        <w:rFonts w:ascii="Arial" w:hAnsi="Arial" w:hint="default"/>
      </w:rPr>
    </w:lvl>
    <w:lvl w:ilvl="1" w:tplc="0DD4E51E">
      <w:start w:val="1392"/>
      <w:numFmt w:val="bullet"/>
      <w:lvlText w:val="–"/>
      <w:lvlJc w:val="left"/>
      <w:pPr>
        <w:tabs>
          <w:tab w:val="num" w:pos="1440"/>
        </w:tabs>
        <w:ind w:left="1440" w:hanging="360"/>
      </w:pPr>
      <w:rPr>
        <w:rFonts w:ascii="Arial" w:hAnsi="Arial" w:hint="default"/>
      </w:rPr>
    </w:lvl>
    <w:lvl w:ilvl="2" w:tplc="5F4A1F20" w:tentative="1">
      <w:start w:val="1"/>
      <w:numFmt w:val="bullet"/>
      <w:lvlText w:val="•"/>
      <w:lvlJc w:val="left"/>
      <w:pPr>
        <w:tabs>
          <w:tab w:val="num" w:pos="2160"/>
        </w:tabs>
        <w:ind w:left="2160" w:hanging="360"/>
      </w:pPr>
      <w:rPr>
        <w:rFonts w:ascii="Arial" w:hAnsi="Arial" w:hint="default"/>
      </w:rPr>
    </w:lvl>
    <w:lvl w:ilvl="3" w:tplc="4FEECF42" w:tentative="1">
      <w:start w:val="1"/>
      <w:numFmt w:val="bullet"/>
      <w:lvlText w:val="•"/>
      <w:lvlJc w:val="left"/>
      <w:pPr>
        <w:tabs>
          <w:tab w:val="num" w:pos="2880"/>
        </w:tabs>
        <w:ind w:left="2880" w:hanging="360"/>
      </w:pPr>
      <w:rPr>
        <w:rFonts w:ascii="Arial" w:hAnsi="Arial" w:hint="default"/>
      </w:rPr>
    </w:lvl>
    <w:lvl w:ilvl="4" w:tplc="C556FCFC" w:tentative="1">
      <w:start w:val="1"/>
      <w:numFmt w:val="bullet"/>
      <w:lvlText w:val="•"/>
      <w:lvlJc w:val="left"/>
      <w:pPr>
        <w:tabs>
          <w:tab w:val="num" w:pos="3600"/>
        </w:tabs>
        <w:ind w:left="3600" w:hanging="360"/>
      </w:pPr>
      <w:rPr>
        <w:rFonts w:ascii="Arial" w:hAnsi="Arial" w:hint="default"/>
      </w:rPr>
    </w:lvl>
    <w:lvl w:ilvl="5" w:tplc="02EA24E4" w:tentative="1">
      <w:start w:val="1"/>
      <w:numFmt w:val="bullet"/>
      <w:lvlText w:val="•"/>
      <w:lvlJc w:val="left"/>
      <w:pPr>
        <w:tabs>
          <w:tab w:val="num" w:pos="4320"/>
        </w:tabs>
        <w:ind w:left="4320" w:hanging="360"/>
      </w:pPr>
      <w:rPr>
        <w:rFonts w:ascii="Arial" w:hAnsi="Arial" w:hint="default"/>
      </w:rPr>
    </w:lvl>
    <w:lvl w:ilvl="6" w:tplc="C75000A8" w:tentative="1">
      <w:start w:val="1"/>
      <w:numFmt w:val="bullet"/>
      <w:lvlText w:val="•"/>
      <w:lvlJc w:val="left"/>
      <w:pPr>
        <w:tabs>
          <w:tab w:val="num" w:pos="5040"/>
        </w:tabs>
        <w:ind w:left="5040" w:hanging="360"/>
      </w:pPr>
      <w:rPr>
        <w:rFonts w:ascii="Arial" w:hAnsi="Arial" w:hint="default"/>
      </w:rPr>
    </w:lvl>
    <w:lvl w:ilvl="7" w:tplc="9AE00F88" w:tentative="1">
      <w:start w:val="1"/>
      <w:numFmt w:val="bullet"/>
      <w:lvlText w:val="•"/>
      <w:lvlJc w:val="left"/>
      <w:pPr>
        <w:tabs>
          <w:tab w:val="num" w:pos="5760"/>
        </w:tabs>
        <w:ind w:left="5760" w:hanging="360"/>
      </w:pPr>
      <w:rPr>
        <w:rFonts w:ascii="Arial" w:hAnsi="Arial" w:hint="default"/>
      </w:rPr>
    </w:lvl>
    <w:lvl w:ilvl="8" w:tplc="36A6F4A8" w:tentative="1">
      <w:start w:val="1"/>
      <w:numFmt w:val="bullet"/>
      <w:lvlText w:val="•"/>
      <w:lvlJc w:val="left"/>
      <w:pPr>
        <w:tabs>
          <w:tab w:val="num" w:pos="6480"/>
        </w:tabs>
        <w:ind w:left="6480" w:hanging="360"/>
      </w:pPr>
      <w:rPr>
        <w:rFonts w:ascii="Arial" w:hAnsi="Arial" w:hint="default"/>
      </w:rPr>
    </w:lvl>
  </w:abstractNum>
  <w:abstractNum w:abstractNumId="29">
    <w:nsid w:val="43B131DE"/>
    <w:multiLevelType w:val="hybridMultilevel"/>
    <w:tmpl w:val="96747118"/>
    <w:lvl w:ilvl="0" w:tplc="2BA825FC">
      <w:start w:val="1"/>
      <w:numFmt w:val="upperLetter"/>
      <w:lvlText w:val="%1."/>
      <w:lvlJc w:val="left"/>
      <w:pPr>
        <w:tabs>
          <w:tab w:val="num" w:pos="720"/>
        </w:tabs>
        <w:ind w:left="720" w:hanging="360"/>
      </w:pPr>
    </w:lvl>
    <w:lvl w:ilvl="1" w:tplc="A30C731E" w:tentative="1">
      <w:start w:val="1"/>
      <w:numFmt w:val="upperLetter"/>
      <w:lvlText w:val="%2."/>
      <w:lvlJc w:val="left"/>
      <w:pPr>
        <w:tabs>
          <w:tab w:val="num" w:pos="1440"/>
        </w:tabs>
        <w:ind w:left="1440" w:hanging="360"/>
      </w:pPr>
    </w:lvl>
    <w:lvl w:ilvl="2" w:tplc="C73A7178" w:tentative="1">
      <w:start w:val="1"/>
      <w:numFmt w:val="upperLetter"/>
      <w:lvlText w:val="%3."/>
      <w:lvlJc w:val="left"/>
      <w:pPr>
        <w:tabs>
          <w:tab w:val="num" w:pos="2160"/>
        </w:tabs>
        <w:ind w:left="2160" w:hanging="360"/>
      </w:pPr>
    </w:lvl>
    <w:lvl w:ilvl="3" w:tplc="87F4410A" w:tentative="1">
      <w:start w:val="1"/>
      <w:numFmt w:val="upperLetter"/>
      <w:lvlText w:val="%4."/>
      <w:lvlJc w:val="left"/>
      <w:pPr>
        <w:tabs>
          <w:tab w:val="num" w:pos="2880"/>
        </w:tabs>
        <w:ind w:left="2880" w:hanging="360"/>
      </w:pPr>
    </w:lvl>
    <w:lvl w:ilvl="4" w:tplc="7EECC098" w:tentative="1">
      <w:start w:val="1"/>
      <w:numFmt w:val="upperLetter"/>
      <w:lvlText w:val="%5."/>
      <w:lvlJc w:val="left"/>
      <w:pPr>
        <w:tabs>
          <w:tab w:val="num" w:pos="3600"/>
        </w:tabs>
        <w:ind w:left="3600" w:hanging="360"/>
      </w:pPr>
    </w:lvl>
    <w:lvl w:ilvl="5" w:tplc="05F294DE" w:tentative="1">
      <w:start w:val="1"/>
      <w:numFmt w:val="upperLetter"/>
      <w:lvlText w:val="%6."/>
      <w:lvlJc w:val="left"/>
      <w:pPr>
        <w:tabs>
          <w:tab w:val="num" w:pos="4320"/>
        </w:tabs>
        <w:ind w:left="4320" w:hanging="360"/>
      </w:pPr>
    </w:lvl>
    <w:lvl w:ilvl="6" w:tplc="764A8D28" w:tentative="1">
      <w:start w:val="1"/>
      <w:numFmt w:val="upperLetter"/>
      <w:lvlText w:val="%7."/>
      <w:lvlJc w:val="left"/>
      <w:pPr>
        <w:tabs>
          <w:tab w:val="num" w:pos="5040"/>
        </w:tabs>
        <w:ind w:left="5040" w:hanging="360"/>
      </w:pPr>
    </w:lvl>
    <w:lvl w:ilvl="7" w:tplc="A8962FD8" w:tentative="1">
      <w:start w:val="1"/>
      <w:numFmt w:val="upperLetter"/>
      <w:lvlText w:val="%8."/>
      <w:lvlJc w:val="left"/>
      <w:pPr>
        <w:tabs>
          <w:tab w:val="num" w:pos="5760"/>
        </w:tabs>
        <w:ind w:left="5760" w:hanging="360"/>
      </w:pPr>
    </w:lvl>
    <w:lvl w:ilvl="8" w:tplc="E670FE66" w:tentative="1">
      <w:start w:val="1"/>
      <w:numFmt w:val="upperLetter"/>
      <w:lvlText w:val="%9."/>
      <w:lvlJc w:val="left"/>
      <w:pPr>
        <w:tabs>
          <w:tab w:val="num" w:pos="6480"/>
        </w:tabs>
        <w:ind w:left="6480" w:hanging="360"/>
      </w:pPr>
    </w:lvl>
  </w:abstractNum>
  <w:abstractNum w:abstractNumId="30">
    <w:nsid w:val="43BB3170"/>
    <w:multiLevelType w:val="hybridMultilevel"/>
    <w:tmpl w:val="AFDC1A0C"/>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B512EE0"/>
    <w:multiLevelType w:val="hybridMultilevel"/>
    <w:tmpl w:val="17522D0A"/>
    <w:lvl w:ilvl="0" w:tplc="5E00A7F6">
      <w:start w:val="2"/>
      <w:numFmt w:val="decimal"/>
      <w:lvlText w:val="%1."/>
      <w:lvlJc w:val="left"/>
      <w:pPr>
        <w:tabs>
          <w:tab w:val="num" w:pos="720"/>
        </w:tabs>
        <w:ind w:left="720" w:hanging="360"/>
      </w:pPr>
    </w:lvl>
    <w:lvl w:ilvl="1" w:tplc="37E4B946" w:tentative="1">
      <w:start w:val="1"/>
      <w:numFmt w:val="decimal"/>
      <w:lvlText w:val="%2."/>
      <w:lvlJc w:val="left"/>
      <w:pPr>
        <w:tabs>
          <w:tab w:val="num" w:pos="1440"/>
        </w:tabs>
        <w:ind w:left="1440" w:hanging="360"/>
      </w:pPr>
    </w:lvl>
    <w:lvl w:ilvl="2" w:tplc="5936C054" w:tentative="1">
      <w:start w:val="1"/>
      <w:numFmt w:val="decimal"/>
      <w:lvlText w:val="%3."/>
      <w:lvlJc w:val="left"/>
      <w:pPr>
        <w:tabs>
          <w:tab w:val="num" w:pos="2160"/>
        </w:tabs>
        <w:ind w:left="2160" w:hanging="360"/>
      </w:pPr>
    </w:lvl>
    <w:lvl w:ilvl="3" w:tplc="DC7E7A4C" w:tentative="1">
      <w:start w:val="1"/>
      <w:numFmt w:val="decimal"/>
      <w:lvlText w:val="%4."/>
      <w:lvlJc w:val="left"/>
      <w:pPr>
        <w:tabs>
          <w:tab w:val="num" w:pos="2880"/>
        </w:tabs>
        <w:ind w:left="2880" w:hanging="360"/>
      </w:pPr>
    </w:lvl>
    <w:lvl w:ilvl="4" w:tplc="4B6E3030" w:tentative="1">
      <w:start w:val="1"/>
      <w:numFmt w:val="decimal"/>
      <w:lvlText w:val="%5."/>
      <w:lvlJc w:val="left"/>
      <w:pPr>
        <w:tabs>
          <w:tab w:val="num" w:pos="3600"/>
        </w:tabs>
        <w:ind w:left="3600" w:hanging="360"/>
      </w:pPr>
    </w:lvl>
    <w:lvl w:ilvl="5" w:tplc="14C63E70" w:tentative="1">
      <w:start w:val="1"/>
      <w:numFmt w:val="decimal"/>
      <w:lvlText w:val="%6."/>
      <w:lvlJc w:val="left"/>
      <w:pPr>
        <w:tabs>
          <w:tab w:val="num" w:pos="4320"/>
        </w:tabs>
        <w:ind w:left="4320" w:hanging="360"/>
      </w:pPr>
    </w:lvl>
    <w:lvl w:ilvl="6" w:tplc="CEA044F0" w:tentative="1">
      <w:start w:val="1"/>
      <w:numFmt w:val="decimal"/>
      <w:lvlText w:val="%7."/>
      <w:lvlJc w:val="left"/>
      <w:pPr>
        <w:tabs>
          <w:tab w:val="num" w:pos="5040"/>
        </w:tabs>
        <w:ind w:left="5040" w:hanging="360"/>
      </w:pPr>
    </w:lvl>
    <w:lvl w:ilvl="7" w:tplc="203A9AEE" w:tentative="1">
      <w:start w:val="1"/>
      <w:numFmt w:val="decimal"/>
      <w:lvlText w:val="%8."/>
      <w:lvlJc w:val="left"/>
      <w:pPr>
        <w:tabs>
          <w:tab w:val="num" w:pos="5760"/>
        </w:tabs>
        <w:ind w:left="5760" w:hanging="360"/>
      </w:pPr>
    </w:lvl>
    <w:lvl w:ilvl="8" w:tplc="364C6D92" w:tentative="1">
      <w:start w:val="1"/>
      <w:numFmt w:val="decimal"/>
      <w:lvlText w:val="%9."/>
      <w:lvlJc w:val="left"/>
      <w:pPr>
        <w:tabs>
          <w:tab w:val="num" w:pos="6480"/>
        </w:tabs>
        <w:ind w:left="6480" w:hanging="360"/>
      </w:pPr>
    </w:lvl>
  </w:abstractNum>
  <w:abstractNum w:abstractNumId="33">
    <w:nsid w:val="50410B64"/>
    <w:multiLevelType w:val="hybridMultilevel"/>
    <w:tmpl w:val="542EBBC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510F6B05"/>
    <w:multiLevelType w:val="hybridMultilevel"/>
    <w:tmpl w:val="E97CB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7AC2707"/>
    <w:multiLevelType w:val="hybridMultilevel"/>
    <w:tmpl w:val="ED9299B0"/>
    <w:lvl w:ilvl="0" w:tplc="7C0067FC">
      <w:start w:val="5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040875"/>
    <w:multiLevelType w:val="hybridMultilevel"/>
    <w:tmpl w:val="BC0CA3FE"/>
    <w:lvl w:ilvl="0" w:tplc="06007678">
      <w:start w:val="1"/>
      <w:numFmt w:val="decimal"/>
      <w:lvlText w:val="%1."/>
      <w:lvlJc w:val="left"/>
      <w:pPr>
        <w:tabs>
          <w:tab w:val="num" w:pos="720"/>
        </w:tabs>
        <w:ind w:left="720" w:hanging="360"/>
      </w:pPr>
    </w:lvl>
    <w:lvl w:ilvl="1" w:tplc="3C748DBE">
      <w:start w:val="1"/>
      <w:numFmt w:val="decimal"/>
      <w:lvlText w:val="%2."/>
      <w:lvlJc w:val="left"/>
      <w:pPr>
        <w:tabs>
          <w:tab w:val="num" w:pos="1440"/>
        </w:tabs>
        <w:ind w:left="1440" w:hanging="360"/>
      </w:pPr>
    </w:lvl>
    <w:lvl w:ilvl="2" w:tplc="F8A69BB6">
      <w:start w:val="6"/>
      <w:numFmt w:val="decimal"/>
      <w:lvlText w:val="%3."/>
      <w:lvlJc w:val="left"/>
      <w:pPr>
        <w:tabs>
          <w:tab w:val="num" w:pos="1211"/>
        </w:tabs>
        <w:ind w:left="1211" w:hanging="360"/>
      </w:pPr>
      <w:rPr>
        <w:rFonts w:hint="default"/>
      </w:rPr>
    </w:lvl>
    <w:lvl w:ilvl="3" w:tplc="C680A2A8">
      <w:start w:val="1"/>
      <w:numFmt w:val="decimal"/>
      <w:lvlText w:val="%4."/>
      <w:lvlJc w:val="left"/>
      <w:pPr>
        <w:tabs>
          <w:tab w:val="num" w:pos="2880"/>
        </w:tabs>
        <w:ind w:left="2880" w:hanging="360"/>
      </w:pPr>
    </w:lvl>
    <w:lvl w:ilvl="4" w:tplc="B9F0BAFC" w:tentative="1">
      <w:start w:val="1"/>
      <w:numFmt w:val="decimal"/>
      <w:lvlText w:val="%5."/>
      <w:lvlJc w:val="left"/>
      <w:pPr>
        <w:tabs>
          <w:tab w:val="num" w:pos="3600"/>
        </w:tabs>
        <w:ind w:left="3600" w:hanging="360"/>
      </w:pPr>
    </w:lvl>
    <w:lvl w:ilvl="5" w:tplc="05CE33CE" w:tentative="1">
      <w:start w:val="1"/>
      <w:numFmt w:val="decimal"/>
      <w:lvlText w:val="%6."/>
      <w:lvlJc w:val="left"/>
      <w:pPr>
        <w:tabs>
          <w:tab w:val="num" w:pos="4320"/>
        </w:tabs>
        <w:ind w:left="4320" w:hanging="360"/>
      </w:pPr>
    </w:lvl>
    <w:lvl w:ilvl="6" w:tplc="D1821446" w:tentative="1">
      <w:start w:val="1"/>
      <w:numFmt w:val="decimal"/>
      <w:lvlText w:val="%7."/>
      <w:lvlJc w:val="left"/>
      <w:pPr>
        <w:tabs>
          <w:tab w:val="num" w:pos="5040"/>
        </w:tabs>
        <w:ind w:left="5040" w:hanging="360"/>
      </w:pPr>
    </w:lvl>
    <w:lvl w:ilvl="7" w:tplc="0302C070" w:tentative="1">
      <w:start w:val="1"/>
      <w:numFmt w:val="decimal"/>
      <w:lvlText w:val="%8."/>
      <w:lvlJc w:val="left"/>
      <w:pPr>
        <w:tabs>
          <w:tab w:val="num" w:pos="5760"/>
        </w:tabs>
        <w:ind w:left="5760" w:hanging="360"/>
      </w:pPr>
    </w:lvl>
    <w:lvl w:ilvl="8" w:tplc="28D26516" w:tentative="1">
      <w:start w:val="1"/>
      <w:numFmt w:val="decimal"/>
      <w:lvlText w:val="%9."/>
      <w:lvlJc w:val="left"/>
      <w:pPr>
        <w:tabs>
          <w:tab w:val="num" w:pos="6480"/>
        </w:tabs>
        <w:ind w:left="6480" w:hanging="360"/>
      </w:pPr>
    </w:lvl>
  </w:abstractNum>
  <w:abstractNum w:abstractNumId="37">
    <w:nsid w:val="5F910C79"/>
    <w:multiLevelType w:val="hybridMultilevel"/>
    <w:tmpl w:val="7098E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03F1E9C"/>
    <w:multiLevelType w:val="hybridMultilevel"/>
    <w:tmpl w:val="8220A50C"/>
    <w:lvl w:ilvl="0" w:tplc="8CC60A8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E266C7"/>
    <w:multiLevelType w:val="hybridMultilevel"/>
    <w:tmpl w:val="4E22F6CA"/>
    <w:lvl w:ilvl="0" w:tplc="5B845D74">
      <w:start w:val="2"/>
      <w:numFmt w:val="decimal"/>
      <w:lvlText w:val="%1."/>
      <w:lvlJc w:val="left"/>
      <w:pPr>
        <w:tabs>
          <w:tab w:val="num" w:pos="720"/>
        </w:tabs>
        <w:ind w:left="720" w:hanging="360"/>
      </w:pPr>
    </w:lvl>
    <w:lvl w:ilvl="1" w:tplc="B4BE4DF0" w:tentative="1">
      <w:start w:val="1"/>
      <w:numFmt w:val="decimal"/>
      <w:lvlText w:val="%2."/>
      <w:lvlJc w:val="left"/>
      <w:pPr>
        <w:tabs>
          <w:tab w:val="num" w:pos="1440"/>
        </w:tabs>
        <w:ind w:left="1440" w:hanging="360"/>
      </w:pPr>
    </w:lvl>
    <w:lvl w:ilvl="2" w:tplc="5E0C7A38" w:tentative="1">
      <w:start w:val="1"/>
      <w:numFmt w:val="decimal"/>
      <w:lvlText w:val="%3."/>
      <w:lvlJc w:val="left"/>
      <w:pPr>
        <w:tabs>
          <w:tab w:val="num" w:pos="2160"/>
        </w:tabs>
        <w:ind w:left="2160" w:hanging="360"/>
      </w:pPr>
    </w:lvl>
    <w:lvl w:ilvl="3" w:tplc="36DC2414" w:tentative="1">
      <w:start w:val="1"/>
      <w:numFmt w:val="decimal"/>
      <w:lvlText w:val="%4."/>
      <w:lvlJc w:val="left"/>
      <w:pPr>
        <w:tabs>
          <w:tab w:val="num" w:pos="2880"/>
        </w:tabs>
        <w:ind w:left="2880" w:hanging="360"/>
      </w:pPr>
    </w:lvl>
    <w:lvl w:ilvl="4" w:tplc="8E886FC4" w:tentative="1">
      <w:start w:val="1"/>
      <w:numFmt w:val="decimal"/>
      <w:lvlText w:val="%5."/>
      <w:lvlJc w:val="left"/>
      <w:pPr>
        <w:tabs>
          <w:tab w:val="num" w:pos="3600"/>
        </w:tabs>
        <w:ind w:left="3600" w:hanging="360"/>
      </w:pPr>
    </w:lvl>
    <w:lvl w:ilvl="5" w:tplc="35D81EA0" w:tentative="1">
      <w:start w:val="1"/>
      <w:numFmt w:val="decimal"/>
      <w:lvlText w:val="%6."/>
      <w:lvlJc w:val="left"/>
      <w:pPr>
        <w:tabs>
          <w:tab w:val="num" w:pos="4320"/>
        </w:tabs>
        <w:ind w:left="4320" w:hanging="360"/>
      </w:pPr>
    </w:lvl>
    <w:lvl w:ilvl="6" w:tplc="30626848" w:tentative="1">
      <w:start w:val="1"/>
      <w:numFmt w:val="decimal"/>
      <w:lvlText w:val="%7."/>
      <w:lvlJc w:val="left"/>
      <w:pPr>
        <w:tabs>
          <w:tab w:val="num" w:pos="5040"/>
        </w:tabs>
        <w:ind w:left="5040" w:hanging="360"/>
      </w:pPr>
    </w:lvl>
    <w:lvl w:ilvl="7" w:tplc="235CFB4C" w:tentative="1">
      <w:start w:val="1"/>
      <w:numFmt w:val="decimal"/>
      <w:lvlText w:val="%8."/>
      <w:lvlJc w:val="left"/>
      <w:pPr>
        <w:tabs>
          <w:tab w:val="num" w:pos="5760"/>
        </w:tabs>
        <w:ind w:left="5760" w:hanging="360"/>
      </w:pPr>
    </w:lvl>
    <w:lvl w:ilvl="8" w:tplc="442CA0AC" w:tentative="1">
      <w:start w:val="1"/>
      <w:numFmt w:val="decimal"/>
      <w:lvlText w:val="%9."/>
      <w:lvlJc w:val="left"/>
      <w:pPr>
        <w:tabs>
          <w:tab w:val="num" w:pos="6480"/>
        </w:tabs>
        <w:ind w:left="6480" w:hanging="360"/>
      </w:pPr>
    </w:lvl>
  </w:abstractNum>
  <w:abstractNum w:abstractNumId="40">
    <w:nsid w:val="694C43A2"/>
    <w:multiLevelType w:val="hybridMultilevel"/>
    <w:tmpl w:val="B27816A2"/>
    <w:lvl w:ilvl="0" w:tplc="06007678">
      <w:start w:val="1"/>
      <w:numFmt w:val="decimal"/>
      <w:lvlText w:val="%1."/>
      <w:lvlJc w:val="left"/>
      <w:pPr>
        <w:tabs>
          <w:tab w:val="num" w:pos="720"/>
        </w:tabs>
        <w:ind w:left="720" w:hanging="360"/>
      </w:pPr>
    </w:lvl>
    <w:lvl w:ilvl="1" w:tplc="3C748DBE">
      <w:start w:val="1"/>
      <w:numFmt w:val="decimal"/>
      <w:lvlText w:val="%2."/>
      <w:lvlJc w:val="left"/>
      <w:pPr>
        <w:tabs>
          <w:tab w:val="num" w:pos="1440"/>
        </w:tabs>
        <w:ind w:left="1440" w:hanging="360"/>
      </w:pPr>
    </w:lvl>
    <w:lvl w:ilvl="2" w:tplc="F4ECB894">
      <w:start w:val="2"/>
      <w:numFmt w:val="decimal"/>
      <w:lvlText w:val="%3."/>
      <w:lvlJc w:val="left"/>
      <w:pPr>
        <w:tabs>
          <w:tab w:val="num" w:pos="2160"/>
        </w:tabs>
        <w:ind w:left="2160" w:hanging="360"/>
      </w:pPr>
      <w:rPr>
        <w:rFonts w:hint="default"/>
      </w:rPr>
    </w:lvl>
    <w:lvl w:ilvl="3" w:tplc="C680A2A8">
      <w:start w:val="1"/>
      <w:numFmt w:val="decimal"/>
      <w:lvlText w:val="%4."/>
      <w:lvlJc w:val="left"/>
      <w:pPr>
        <w:tabs>
          <w:tab w:val="num" w:pos="2880"/>
        </w:tabs>
        <w:ind w:left="2880" w:hanging="360"/>
      </w:pPr>
    </w:lvl>
    <w:lvl w:ilvl="4" w:tplc="B9F0BAFC" w:tentative="1">
      <w:start w:val="1"/>
      <w:numFmt w:val="decimal"/>
      <w:lvlText w:val="%5."/>
      <w:lvlJc w:val="left"/>
      <w:pPr>
        <w:tabs>
          <w:tab w:val="num" w:pos="3600"/>
        </w:tabs>
        <w:ind w:left="3600" w:hanging="360"/>
      </w:pPr>
    </w:lvl>
    <w:lvl w:ilvl="5" w:tplc="05CE33CE" w:tentative="1">
      <w:start w:val="1"/>
      <w:numFmt w:val="decimal"/>
      <w:lvlText w:val="%6."/>
      <w:lvlJc w:val="left"/>
      <w:pPr>
        <w:tabs>
          <w:tab w:val="num" w:pos="4320"/>
        </w:tabs>
        <w:ind w:left="4320" w:hanging="360"/>
      </w:pPr>
    </w:lvl>
    <w:lvl w:ilvl="6" w:tplc="D1821446" w:tentative="1">
      <w:start w:val="1"/>
      <w:numFmt w:val="decimal"/>
      <w:lvlText w:val="%7."/>
      <w:lvlJc w:val="left"/>
      <w:pPr>
        <w:tabs>
          <w:tab w:val="num" w:pos="5040"/>
        </w:tabs>
        <w:ind w:left="5040" w:hanging="360"/>
      </w:pPr>
    </w:lvl>
    <w:lvl w:ilvl="7" w:tplc="0302C070" w:tentative="1">
      <w:start w:val="1"/>
      <w:numFmt w:val="decimal"/>
      <w:lvlText w:val="%8."/>
      <w:lvlJc w:val="left"/>
      <w:pPr>
        <w:tabs>
          <w:tab w:val="num" w:pos="5760"/>
        </w:tabs>
        <w:ind w:left="5760" w:hanging="360"/>
      </w:pPr>
    </w:lvl>
    <w:lvl w:ilvl="8" w:tplc="28D26516" w:tentative="1">
      <w:start w:val="1"/>
      <w:numFmt w:val="decimal"/>
      <w:lvlText w:val="%9."/>
      <w:lvlJc w:val="left"/>
      <w:pPr>
        <w:tabs>
          <w:tab w:val="num" w:pos="6480"/>
        </w:tabs>
        <w:ind w:left="6480" w:hanging="360"/>
      </w:pPr>
    </w:lvl>
  </w:abstractNum>
  <w:abstractNum w:abstractNumId="41">
    <w:nsid w:val="6B2962E3"/>
    <w:multiLevelType w:val="hybridMultilevel"/>
    <w:tmpl w:val="DA9662E2"/>
    <w:lvl w:ilvl="0" w:tplc="071E4CFA">
      <w:start w:val="1"/>
      <w:numFmt w:val="bullet"/>
      <w:lvlText w:val="•"/>
      <w:lvlJc w:val="left"/>
      <w:pPr>
        <w:tabs>
          <w:tab w:val="num" w:pos="720"/>
        </w:tabs>
        <w:ind w:left="720" w:hanging="360"/>
      </w:pPr>
      <w:rPr>
        <w:rFonts w:ascii="Arial" w:hAnsi="Arial" w:hint="default"/>
      </w:rPr>
    </w:lvl>
    <w:lvl w:ilvl="1" w:tplc="83DAC79C">
      <w:start w:val="1392"/>
      <w:numFmt w:val="bullet"/>
      <w:lvlText w:val="–"/>
      <w:lvlJc w:val="left"/>
      <w:pPr>
        <w:tabs>
          <w:tab w:val="num" w:pos="1440"/>
        </w:tabs>
        <w:ind w:left="1440" w:hanging="360"/>
      </w:pPr>
      <w:rPr>
        <w:rFonts w:ascii="Arial" w:hAnsi="Arial" w:hint="default"/>
      </w:rPr>
    </w:lvl>
    <w:lvl w:ilvl="2" w:tplc="4CDC2BCA" w:tentative="1">
      <w:start w:val="1"/>
      <w:numFmt w:val="bullet"/>
      <w:lvlText w:val="•"/>
      <w:lvlJc w:val="left"/>
      <w:pPr>
        <w:tabs>
          <w:tab w:val="num" w:pos="2160"/>
        </w:tabs>
        <w:ind w:left="2160" w:hanging="360"/>
      </w:pPr>
      <w:rPr>
        <w:rFonts w:ascii="Arial" w:hAnsi="Arial" w:hint="default"/>
      </w:rPr>
    </w:lvl>
    <w:lvl w:ilvl="3" w:tplc="4FDC0226" w:tentative="1">
      <w:start w:val="1"/>
      <w:numFmt w:val="bullet"/>
      <w:lvlText w:val="•"/>
      <w:lvlJc w:val="left"/>
      <w:pPr>
        <w:tabs>
          <w:tab w:val="num" w:pos="2880"/>
        </w:tabs>
        <w:ind w:left="2880" w:hanging="360"/>
      </w:pPr>
      <w:rPr>
        <w:rFonts w:ascii="Arial" w:hAnsi="Arial" w:hint="default"/>
      </w:rPr>
    </w:lvl>
    <w:lvl w:ilvl="4" w:tplc="AAEEF43C" w:tentative="1">
      <w:start w:val="1"/>
      <w:numFmt w:val="bullet"/>
      <w:lvlText w:val="•"/>
      <w:lvlJc w:val="left"/>
      <w:pPr>
        <w:tabs>
          <w:tab w:val="num" w:pos="3600"/>
        </w:tabs>
        <w:ind w:left="3600" w:hanging="360"/>
      </w:pPr>
      <w:rPr>
        <w:rFonts w:ascii="Arial" w:hAnsi="Arial" w:hint="default"/>
      </w:rPr>
    </w:lvl>
    <w:lvl w:ilvl="5" w:tplc="37DEA160" w:tentative="1">
      <w:start w:val="1"/>
      <w:numFmt w:val="bullet"/>
      <w:lvlText w:val="•"/>
      <w:lvlJc w:val="left"/>
      <w:pPr>
        <w:tabs>
          <w:tab w:val="num" w:pos="4320"/>
        </w:tabs>
        <w:ind w:left="4320" w:hanging="360"/>
      </w:pPr>
      <w:rPr>
        <w:rFonts w:ascii="Arial" w:hAnsi="Arial" w:hint="default"/>
      </w:rPr>
    </w:lvl>
    <w:lvl w:ilvl="6" w:tplc="6CB4C7DA" w:tentative="1">
      <w:start w:val="1"/>
      <w:numFmt w:val="bullet"/>
      <w:lvlText w:val="•"/>
      <w:lvlJc w:val="left"/>
      <w:pPr>
        <w:tabs>
          <w:tab w:val="num" w:pos="5040"/>
        </w:tabs>
        <w:ind w:left="5040" w:hanging="360"/>
      </w:pPr>
      <w:rPr>
        <w:rFonts w:ascii="Arial" w:hAnsi="Arial" w:hint="default"/>
      </w:rPr>
    </w:lvl>
    <w:lvl w:ilvl="7" w:tplc="96A234CE" w:tentative="1">
      <w:start w:val="1"/>
      <w:numFmt w:val="bullet"/>
      <w:lvlText w:val="•"/>
      <w:lvlJc w:val="left"/>
      <w:pPr>
        <w:tabs>
          <w:tab w:val="num" w:pos="5760"/>
        </w:tabs>
        <w:ind w:left="5760" w:hanging="360"/>
      </w:pPr>
      <w:rPr>
        <w:rFonts w:ascii="Arial" w:hAnsi="Arial" w:hint="default"/>
      </w:rPr>
    </w:lvl>
    <w:lvl w:ilvl="8" w:tplc="2BE42416" w:tentative="1">
      <w:start w:val="1"/>
      <w:numFmt w:val="bullet"/>
      <w:lvlText w:val="•"/>
      <w:lvlJc w:val="left"/>
      <w:pPr>
        <w:tabs>
          <w:tab w:val="num" w:pos="6480"/>
        </w:tabs>
        <w:ind w:left="6480" w:hanging="360"/>
      </w:pPr>
      <w:rPr>
        <w:rFonts w:ascii="Arial" w:hAnsi="Arial" w:hint="default"/>
      </w:rPr>
    </w:lvl>
  </w:abstractNum>
  <w:abstractNum w:abstractNumId="42">
    <w:nsid w:val="6C7D39C1"/>
    <w:multiLevelType w:val="multilevel"/>
    <w:tmpl w:val="AA6463AA"/>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3">
    <w:nsid w:val="6CCD337F"/>
    <w:multiLevelType w:val="hybridMultilevel"/>
    <w:tmpl w:val="9A7AD79E"/>
    <w:lvl w:ilvl="0" w:tplc="6C9E4CA6">
      <w:start w:val="1"/>
      <w:numFmt w:val="bullet"/>
      <w:lvlText w:val="•"/>
      <w:lvlJc w:val="left"/>
      <w:pPr>
        <w:tabs>
          <w:tab w:val="num" w:pos="720"/>
        </w:tabs>
        <w:ind w:left="720" w:hanging="360"/>
      </w:pPr>
      <w:rPr>
        <w:rFonts w:ascii="Arial" w:hAnsi="Arial" w:hint="default"/>
      </w:rPr>
    </w:lvl>
    <w:lvl w:ilvl="1" w:tplc="FAC85D68">
      <w:start w:val="1546"/>
      <w:numFmt w:val="bullet"/>
      <w:lvlText w:val="–"/>
      <w:lvlJc w:val="left"/>
      <w:pPr>
        <w:tabs>
          <w:tab w:val="num" w:pos="1440"/>
        </w:tabs>
        <w:ind w:left="1440" w:hanging="360"/>
      </w:pPr>
      <w:rPr>
        <w:rFonts w:ascii="Arial" w:hAnsi="Arial" w:hint="default"/>
      </w:rPr>
    </w:lvl>
    <w:lvl w:ilvl="2" w:tplc="F74E06C0" w:tentative="1">
      <w:start w:val="1"/>
      <w:numFmt w:val="bullet"/>
      <w:lvlText w:val="•"/>
      <w:lvlJc w:val="left"/>
      <w:pPr>
        <w:tabs>
          <w:tab w:val="num" w:pos="2160"/>
        </w:tabs>
        <w:ind w:left="2160" w:hanging="360"/>
      </w:pPr>
      <w:rPr>
        <w:rFonts w:ascii="Arial" w:hAnsi="Arial" w:hint="default"/>
      </w:rPr>
    </w:lvl>
    <w:lvl w:ilvl="3" w:tplc="3CA0514A" w:tentative="1">
      <w:start w:val="1"/>
      <w:numFmt w:val="bullet"/>
      <w:lvlText w:val="•"/>
      <w:lvlJc w:val="left"/>
      <w:pPr>
        <w:tabs>
          <w:tab w:val="num" w:pos="2880"/>
        </w:tabs>
        <w:ind w:left="2880" w:hanging="360"/>
      </w:pPr>
      <w:rPr>
        <w:rFonts w:ascii="Arial" w:hAnsi="Arial" w:hint="default"/>
      </w:rPr>
    </w:lvl>
    <w:lvl w:ilvl="4" w:tplc="EA8200C0" w:tentative="1">
      <w:start w:val="1"/>
      <w:numFmt w:val="bullet"/>
      <w:lvlText w:val="•"/>
      <w:lvlJc w:val="left"/>
      <w:pPr>
        <w:tabs>
          <w:tab w:val="num" w:pos="3600"/>
        </w:tabs>
        <w:ind w:left="3600" w:hanging="360"/>
      </w:pPr>
      <w:rPr>
        <w:rFonts w:ascii="Arial" w:hAnsi="Arial" w:hint="default"/>
      </w:rPr>
    </w:lvl>
    <w:lvl w:ilvl="5" w:tplc="45D21C3C" w:tentative="1">
      <w:start w:val="1"/>
      <w:numFmt w:val="bullet"/>
      <w:lvlText w:val="•"/>
      <w:lvlJc w:val="left"/>
      <w:pPr>
        <w:tabs>
          <w:tab w:val="num" w:pos="4320"/>
        </w:tabs>
        <w:ind w:left="4320" w:hanging="360"/>
      </w:pPr>
      <w:rPr>
        <w:rFonts w:ascii="Arial" w:hAnsi="Arial" w:hint="default"/>
      </w:rPr>
    </w:lvl>
    <w:lvl w:ilvl="6" w:tplc="9D509700" w:tentative="1">
      <w:start w:val="1"/>
      <w:numFmt w:val="bullet"/>
      <w:lvlText w:val="•"/>
      <w:lvlJc w:val="left"/>
      <w:pPr>
        <w:tabs>
          <w:tab w:val="num" w:pos="5040"/>
        </w:tabs>
        <w:ind w:left="5040" w:hanging="360"/>
      </w:pPr>
      <w:rPr>
        <w:rFonts w:ascii="Arial" w:hAnsi="Arial" w:hint="default"/>
      </w:rPr>
    </w:lvl>
    <w:lvl w:ilvl="7" w:tplc="728CCCAE" w:tentative="1">
      <w:start w:val="1"/>
      <w:numFmt w:val="bullet"/>
      <w:lvlText w:val="•"/>
      <w:lvlJc w:val="left"/>
      <w:pPr>
        <w:tabs>
          <w:tab w:val="num" w:pos="5760"/>
        </w:tabs>
        <w:ind w:left="5760" w:hanging="360"/>
      </w:pPr>
      <w:rPr>
        <w:rFonts w:ascii="Arial" w:hAnsi="Arial" w:hint="default"/>
      </w:rPr>
    </w:lvl>
    <w:lvl w:ilvl="8" w:tplc="E4401FC8" w:tentative="1">
      <w:start w:val="1"/>
      <w:numFmt w:val="bullet"/>
      <w:lvlText w:val="•"/>
      <w:lvlJc w:val="left"/>
      <w:pPr>
        <w:tabs>
          <w:tab w:val="num" w:pos="6480"/>
        </w:tabs>
        <w:ind w:left="6480" w:hanging="360"/>
      </w:pPr>
      <w:rPr>
        <w:rFonts w:ascii="Arial" w:hAnsi="Arial" w:hint="default"/>
      </w:rPr>
    </w:lvl>
  </w:abstractNum>
  <w:abstractNum w:abstractNumId="44">
    <w:nsid w:val="6DBD4A64"/>
    <w:multiLevelType w:val="hybridMultilevel"/>
    <w:tmpl w:val="1824726A"/>
    <w:lvl w:ilvl="0" w:tplc="8E3C3462">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056710F"/>
    <w:multiLevelType w:val="hybridMultilevel"/>
    <w:tmpl w:val="4414FDE0"/>
    <w:lvl w:ilvl="0" w:tplc="4128013C">
      <w:start w:val="1"/>
      <w:numFmt w:val="upperLetter"/>
      <w:lvlText w:val="%1."/>
      <w:lvlJc w:val="left"/>
      <w:pPr>
        <w:tabs>
          <w:tab w:val="num" w:pos="720"/>
        </w:tabs>
        <w:ind w:left="720" w:hanging="360"/>
      </w:pPr>
    </w:lvl>
    <w:lvl w:ilvl="1" w:tplc="B436F14E">
      <w:start w:val="1"/>
      <w:numFmt w:val="upperLetter"/>
      <w:lvlText w:val="%2."/>
      <w:lvlJc w:val="left"/>
      <w:pPr>
        <w:tabs>
          <w:tab w:val="num" w:pos="1440"/>
        </w:tabs>
        <w:ind w:left="1440" w:hanging="360"/>
      </w:pPr>
    </w:lvl>
    <w:lvl w:ilvl="2" w:tplc="FE2CA6AC" w:tentative="1">
      <w:start w:val="1"/>
      <w:numFmt w:val="upperLetter"/>
      <w:lvlText w:val="%3."/>
      <w:lvlJc w:val="left"/>
      <w:pPr>
        <w:tabs>
          <w:tab w:val="num" w:pos="2160"/>
        </w:tabs>
        <w:ind w:left="2160" w:hanging="360"/>
      </w:pPr>
    </w:lvl>
    <w:lvl w:ilvl="3" w:tplc="8B162C36" w:tentative="1">
      <w:start w:val="1"/>
      <w:numFmt w:val="upperLetter"/>
      <w:lvlText w:val="%4."/>
      <w:lvlJc w:val="left"/>
      <w:pPr>
        <w:tabs>
          <w:tab w:val="num" w:pos="2880"/>
        </w:tabs>
        <w:ind w:left="2880" w:hanging="360"/>
      </w:pPr>
    </w:lvl>
    <w:lvl w:ilvl="4" w:tplc="75DE59D8" w:tentative="1">
      <w:start w:val="1"/>
      <w:numFmt w:val="upperLetter"/>
      <w:lvlText w:val="%5."/>
      <w:lvlJc w:val="left"/>
      <w:pPr>
        <w:tabs>
          <w:tab w:val="num" w:pos="3600"/>
        </w:tabs>
        <w:ind w:left="3600" w:hanging="360"/>
      </w:pPr>
    </w:lvl>
    <w:lvl w:ilvl="5" w:tplc="08002AD0" w:tentative="1">
      <w:start w:val="1"/>
      <w:numFmt w:val="upperLetter"/>
      <w:lvlText w:val="%6."/>
      <w:lvlJc w:val="left"/>
      <w:pPr>
        <w:tabs>
          <w:tab w:val="num" w:pos="4320"/>
        </w:tabs>
        <w:ind w:left="4320" w:hanging="360"/>
      </w:pPr>
    </w:lvl>
    <w:lvl w:ilvl="6" w:tplc="E2F4702C" w:tentative="1">
      <w:start w:val="1"/>
      <w:numFmt w:val="upperLetter"/>
      <w:lvlText w:val="%7."/>
      <w:lvlJc w:val="left"/>
      <w:pPr>
        <w:tabs>
          <w:tab w:val="num" w:pos="5040"/>
        </w:tabs>
        <w:ind w:left="5040" w:hanging="360"/>
      </w:pPr>
    </w:lvl>
    <w:lvl w:ilvl="7" w:tplc="D254A056" w:tentative="1">
      <w:start w:val="1"/>
      <w:numFmt w:val="upperLetter"/>
      <w:lvlText w:val="%8."/>
      <w:lvlJc w:val="left"/>
      <w:pPr>
        <w:tabs>
          <w:tab w:val="num" w:pos="5760"/>
        </w:tabs>
        <w:ind w:left="5760" w:hanging="360"/>
      </w:pPr>
    </w:lvl>
    <w:lvl w:ilvl="8" w:tplc="B4A48380" w:tentative="1">
      <w:start w:val="1"/>
      <w:numFmt w:val="upperLetter"/>
      <w:lvlText w:val="%9."/>
      <w:lvlJc w:val="left"/>
      <w:pPr>
        <w:tabs>
          <w:tab w:val="num" w:pos="6480"/>
        </w:tabs>
        <w:ind w:left="6480" w:hanging="360"/>
      </w:pPr>
    </w:lvl>
  </w:abstractNum>
  <w:abstractNum w:abstractNumId="46">
    <w:nsid w:val="7226787C"/>
    <w:multiLevelType w:val="hybridMultilevel"/>
    <w:tmpl w:val="DB3E6DCC"/>
    <w:lvl w:ilvl="0" w:tplc="040C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3AB3C48"/>
    <w:multiLevelType w:val="hybridMultilevel"/>
    <w:tmpl w:val="15B05E8E"/>
    <w:lvl w:ilvl="0" w:tplc="D840B634">
      <w:start w:val="1"/>
      <w:numFmt w:val="bullet"/>
      <w:lvlText w:val="•"/>
      <w:lvlJc w:val="left"/>
      <w:pPr>
        <w:tabs>
          <w:tab w:val="num" w:pos="720"/>
        </w:tabs>
        <w:ind w:left="720" w:hanging="360"/>
      </w:pPr>
      <w:rPr>
        <w:rFonts w:ascii="Arial" w:hAnsi="Arial" w:hint="default"/>
      </w:rPr>
    </w:lvl>
    <w:lvl w:ilvl="1" w:tplc="5E7C4240" w:tentative="1">
      <w:start w:val="1"/>
      <w:numFmt w:val="bullet"/>
      <w:lvlText w:val="•"/>
      <w:lvlJc w:val="left"/>
      <w:pPr>
        <w:tabs>
          <w:tab w:val="num" w:pos="1440"/>
        </w:tabs>
        <w:ind w:left="1440" w:hanging="360"/>
      </w:pPr>
      <w:rPr>
        <w:rFonts w:ascii="Arial" w:hAnsi="Arial" w:hint="default"/>
      </w:rPr>
    </w:lvl>
    <w:lvl w:ilvl="2" w:tplc="F7400352" w:tentative="1">
      <w:start w:val="1"/>
      <w:numFmt w:val="bullet"/>
      <w:lvlText w:val="•"/>
      <w:lvlJc w:val="left"/>
      <w:pPr>
        <w:tabs>
          <w:tab w:val="num" w:pos="2160"/>
        </w:tabs>
        <w:ind w:left="2160" w:hanging="360"/>
      </w:pPr>
      <w:rPr>
        <w:rFonts w:ascii="Arial" w:hAnsi="Arial" w:hint="default"/>
      </w:rPr>
    </w:lvl>
    <w:lvl w:ilvl="3" w:tplc="BEBA62AA" w:tentative="1">
      <w:start w:val="1"/>
      <w:numFmt w:val="bullet"/>
      <w:lvlText w:val="•"/>
      <w:lvlJc w:val="left"/>
      <w:pPr>
        <w:tabs>
          <w:tab w:val="num" w:pos="2880"/>
        </w:tabs>
        <w:ind w:left="2880" w:hanging="360"/>
      </w:pPr>
      <w:rPr>
        <w:rFonts w:ascii="Arial" w:hAnsi="Arial" w:hint="default"/>
      </w:rPr>
    </w:lvl>
    <w:lvl w:ilvl="4" w:tplc="7CEE1404" w:tentative="1">
      <w:start w:val="1"/>
      <w:numFmt w:val="bullet"/>
      <w:lvlText w:val="•"/>
      <w:lvlJc w:val="left"/>
      <w:pPr>
        <w:tabs>
          <w:tab w:val="num" w:pos="3600"/>
        </w:tabs>
        <w:ind w:left="3600" w:hanging="360"/>
      </w:pPr>
      <w:rPr>
        <w:rFonts w:ascii="Arial" w:hAnsi="Arial" w:hint="default"/>
      </w:rPr>
    </w:lvl>
    <w:lvl w:ilvl="5" w:tplc="61B8457A" w:tentative="1">
      <w:start w:val="1"/>
      <w:numFmt w:val="bullet"/>
      <w:lvlText w:val="•"/>
      <w:lvlJc w:val="left"/>
      <w:pPr>
        <w:tabs>
          <w:tab w:val="num" w:pos="4320"/>
        </w:tabs>
        <w:ind w:left="4320" w:hanging="360"/>
      </w:pPr>
      <w:rPr>
        <w:rFonts w:ascii="Arial" w:hAnsi="Arial" w:hint="default"/>
      </w:rPr>
    </w:lvl>
    <w:lvl w:ilvl="6" w:tplc="B3E6013E" w:tentative="1">
      <w:start w:val="1"/>
      <w:numFmt w:val="bullet"/>
      <w:lvlText w:val="•"/>
      <w:lvlJc w:val="left"/>
      <w:pPr>
        <w:tabs>
          <w:tab w:val="num" w:pos="5040"/>
        </w:tabs>
        <w:ind w:left="5040" w:hanging="360"/>
      </w:pPr>
      <w:rPr>
        <w:rFonts w:ascii="Arial" w:hAnsi="Arial" w:hint="default"/>
      </w:rPr>
    </w:lvl>
    <w:lvl w:ilvl="7" w:tplc="1E483126" w:tentative="1">
      <w:start w:val="1"/>
      <w:numFmt w:val="bullet"/>
      <w:lvlText w:val="•"/>
      <w:lvlJc w:val="left"/>
      <w:pPr>
        <w:tabs>
          <w:tab w:val="num" w:pos="5760"/>
        </w:tabs>
        <w:ind w:left="5760" w:hanging="360"/>
      </w:pPr>
      <w:rPr>
        <w:rFonts w:ascii="Arial" w:hAnsi="Arial" w:hint="default"/>
      </w:rPr>
    </w:lvl>
    <w:lvl w:ilvl="8" w:tplc="FF002D7A" w:tentative="1">
      <w:start w:val="1"/>
      <w:numFmt w:val="bullet"/>
      <w:lvlText w:val="•"/>
      <w:lvlJc w:val="left"/>
      <w:pPr>
        <w:tabs>
          <w:tab w:val="num" w:pos="6480"/>
        </w:tabs>
        <w:ind w:left="6480" w:hanging="360"/>
      </w:pPr>
      <w:rPr>
        <w:rFonts w:ascii="Arial" w:hAnsi="Arial" w:hint="default"/>
      </w:rPr>
    </w:lvl>
  </w:abstractNum>
  <w:abstractNum w:abstractNumId="48">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444BCD"/>
    <w:multiLevelType w:val="hybridMultilevel"/>
    <w:tmpl w:val="90D2567A"/>
    <w:lvl w:ilvl="0" w:tplc="695EBAB6">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8"/>
  </w:num>
  <w:num w:numId="3">
    <w:abstractNumId w:val="23"/>
  </w:num>
  <w:num w:numId="4">
    <w:abstractNumId w:val="37"/>
  </w:num>
  <w:num w:numId="5">
    <w:abstractNumId w:val="27"/>
  </w:num>
  <w:num w:numId="6">
    <w:abstractNumId w:val="12"/>
  </w:num>
  <w:num w:numId="7">
    <w:abstractNumId w:val="4"/>
  </w:num>
  <w:num w:numId="8">
    <w:abstractNumId w:val="18"/>
  </w:num>
  <w:num w:numId="9">
    <w:abstractNumId w:val="44"/>
  </w:num>
  <w:num w:numId="10">
    <w:abstractNumId w:val="8"/>
  </w:num>
  <w:num w:numId="11">
    <w:abstractNumId w:val="49"/>
  </w:num>
  <w:num w:numId="12">
    <w:abstractNumId w:val="42"/>
  </w:num>
  <w:num w:numId="13">
    <w:abstractNumId w:val="47"/>
  </w:num>
  <w:num w:numId="14">
    <w:abstractNumId w:val="19"/>
  </w:num>
  <w:num w:numId="15">
    <w:abstractNumId w:val="11"/>
  </w:num>
  <w:num w:numId="16">
    <w:abstractNumId w:val="39"/>
  </w:num>
  <w:num w:numId="17">
    <w:abstractNumId w:val="29"/>
  </w:num>
  <w:num w:numId="18">
    <w:abstractNumId w:val="20"/>
  </w:num>
  <w:num w:numId="19">
    <w:abstractNumId w:val="32"/>
  </w:num>
  <w:num w:numId="20">
    <w:abstractNumId w:val="15"/>
  </w:num>
  <w:num w:numId="21">
    <w:abstractNumId w:val="28"/>
  </w:num>
  <w:num w:numId="22">
    <w:abstractNumId w:val="25"/>
  </w:num>
  <w:num w:numId="23">
    <w:abstractNumId w:val="14"/>
  </w:num>
  <w:num w:numId="24">
    <w:abstractNumId w:val="0"/>
  </w:num>
  <w:num w:numId="25">
    <w:abstractNumId w:val="41"/>
  </w:num>
  <w:num w:numId="26">
    <w:abstractNumId w:val="43"/>
  </w:num>
  <w:num w:numId="27">
    <w:abstractNumId w:val="22"/>
  </w:num>
  <w:num w:numId="28">
    <w:abstractNumId w:val="3"/>
  </w:num>
  <w:num w:numId="29">
    <w:abstractNumId w:val="17"/>
  </w:num>
  <w:num w:numId="30">
    <w:abstractNumId w:val="30"/>
  </w:num>
  <w:num w:numId="31">
    <w:abstractNumId w:val="33"/>
  </w:num>
  <w:num w:numId="32">
    <w:abstractNumId w:val="24"/>
  </w:num>
  <w:num w:numId="33">
    <w:abstractNumId w:val="40"/>
  </w:num>
  <w:num w:numId="34">
    <w:abstractNumId w:val="45"/>
  </w:num>
  <w:num w:numId="35">
    <w:abstractNumId w:val="34"/>
  </w:num>
  <w:num w:numId="36">
    <w:abstractNumId w:val="36"/>
  </w:num>
  <w:num w:numId="37">
    <w:abstractNumId w:val="2"/>
  </w:num>
  <w:num w:numId="38">
    <w:abstractNumId w:val="6"/>
  </w:num>
  <w:num w:numId="39">
    <w:abstractNumId w:val="38"/>
  </w:num>
  <w:num w:numId="40">
    <w:abstractNumId w:val="16"/>
  </w:num>
  <w:num w:numId="41">
    <w:abstractNumId w:val="7"/>
  </w:num>
  <w:num w:numId="42">
    <w:abstractNumId w:val="5"/>
  </w:num>
  <w:num w:numId="43">
    <w:abstractNumId w:val="26"/>
  </w:num>
  <w:num w:numId="44">
    <w:abstractNumId w:val="35"/>
  </w:num>
  <w:num w:numId="45">
    <w:abstractNumId w:val="10"/>
  </w:num>
  <w:num w:numId="46">
    <w:abstractNumId w:val="21"/>
  </w:num>
  <w:num w:numId="47">
    <w:abstractNumId w:val="1"/>
  </w:num>
  <w:num w:numId="48">
    <w:abstractNumId w:val="13"/>
  </w:num>
  <w:num w:numId="49">
    <w:abstractNumId w:val="46"/>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CE6"/>
    <w:rsid w:val="000A3209"/>
    <w:rsid w:val="000A5CE6"/>
    <w:rsid w:val="001A2886"/>
    <w:rsid w:val="002F37DB"/>
    <w:rsid w:val="003060ED"/>
    <w:rsid w:val="00322022"/>
    <w:rsid w:val="004B5568"/>
    <w:rsid w:val="005066D2"/>
    <w:rsid w:val="005B0A82"/>
    <w:rsid w:val="005C42A5"/>
    <w:rsid w:val="00703022"/>
    <w:rsid w:val="007615AB"/>
    <w:rsid w:val="009C064B"/>
    <w:rsid w:val="00A40610"/>
    <w:rsid w:val="00B20DC7"/>
    <w:rsid w:val="00DB1D67"/>
    <w:rsid w:val="00DE2450"/>
    <w:rsid w:val="00E02E7C"/>
    <w:rsid w:val="00F11CE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5CE6"/>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qFormat/>
    <w:rsid w:val="000A5CE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nhideWhenUsed/>
    <w:qFormat/>
    <w:rsid w:val="000A5CE6"/>
    <w:pPr>
      <w:keepNext/>
      <w:keepLines/>
      <w:spacing w:before="200" w:after="0" w:line="240" w:lineRule="auto"/>
      <w:outlineLvl w:val="2"/>
    </w:pPr>
    <w:rPr>
      <w:rFonts w:asciiTheme="majorHAnsi" w:eastAsiaTheme="majorEastAsia" w:hAnsiTheme="majorHAnsi" w:cstheme="majorBidi"/>
      <w:b/>
      <w:bCs/>
      <w:color w:val="4F81BD" w:themeColor="accent1"/>
      <w:sz w:val="24"/>
      <w:lang w:val="en-US"/>
    </w:rPr>
  </w:style>
  <w:style w:type="paragraph" w:styleId="Heading4">
    <w:name w:val="heading 4"/>
    <w:basedOn w:val="Normal"/>
    <w:next w:val="Normal"/>
    <w:link w:val="Heading4Char"/>
    <w:uiPriority w:val="99"/>
    <w:unhideWhenUsed/>
    <w:qFormat/>
    <w:rsid w:val="000A5CE6"/>
    <w:pPr>
      <w:keepNext/>
      <w:keepLines/>
      <w:spacing w:before="200" w:after="0" w:line="240" w:lineRule="auto"/>
      <w:outlineLvl w:val="3"/>
    </w:pPr>
    <w:rPr>
      <w:rFonts w:asciiTheme="majorHAnsi" w:eastAsiaTheme="majorEastAsia" w:hAnsiTheme="majorHAnsi" w:cstheme="majorBidi"/>
      <w:b/>
      <w:bCs/>
      <w:i/>
      <w:iCs/>
      <w:color w:val="4F81BD" w:themeColor="accent1"/>
      <w:sz w:val="24"/>
      <w:lang w:val="en-US"/>
    </w:rPr>
  </w:style>
  <w:style w:type="paragraph" w:styleId="Heading5">
    <w:name w:val="heading 5"/>
    <w:basedOn w:val="Normal"/>
    <w:next w:val="Normal"/>
    <w:link w:val="Heading5Char"/>
    <w:uiPriority w:val="9"/>
    <w:unhideWhenUsed/>
    <w:qFormat/>
    <w:rsid w:val="000A5CE6"/>
    <w:pPr>
      <w:spacing w:after="120" w:line="360" w:lineRule="auto"/>
      <w:ind w:left="720"/>
      <w:jc w:val="both"/>
      <w:outlineLvl w:val="4"/>
    </w:pPr>
    <w:rPr>
      <w:rFonts w:ascii="Calibri" w:eastAsia="Times New Roman" w:hAnsi="Calibri" w:cs="Times New Roman"/>
      <w:bCs/>
      <w:i/>
      <w:iCs/>
      <w:color w:val="000000"/>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CE6"/>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rsid w:val="000A5CE6"/>
    <w:rPr>
      <w:rFonts w:ascii="Times New Roman" w:eastAsia="Times New Roman" w:hAnsi="Times New Roman" w:cs="Times New Roman"/>
      <w:b/>
      <w:bCs/>
      <w:sz w:val="36"/>
      <w:szCs w:val="24"/>
      <w:lang w:val="en-US"/>
    </w:rPr>
  </w:style>
  <w:style w:type="character" w:customStyle="1" w:styleId="Heading3Char">
    <w:name w:val="Heading 3 Char"/>
    <w:basedOn w:val="DefaultParagraphFont"/>
    <w:link w:val="Heading3"/>
    <w:rsid w:val="000A5CE6"/>
    <w:rPr>
      <w:rFonts w:asciiTheme="majorHAnsi" w:eastAsiaTheme="majorEastAsia" w:hAnsiTheme="majorHAnsi" w:cstheme="majorBidi"/>
      <w:b/>
      <w:bCs/>
      <w:color w:val="4F81BD" w:themeColor="accent1"/>
      <w:sz w:val="24"/>
      <w:lang w:val="en-US"/>
    </w:rPr>
  </w:style>
  <w:style w:type="character" w:customStyle="1" w:styleId="Heading4Char">
    <w:name w:val="Heading 4 Char"/>
    <w:basedOn w:val="DefaultParagraphFont"/>
    <w:link w:val="Heading4"/>
    <w:uiPriority w:val="99"/>
    <w:rsid w:val="000A5CE6"/>
    <w:rPr>
      <w:rFonts w:asciiTheme="majorHAnsi" w:eastAsiaTheme="majorEastAsia" w:hAnsiTheme="majorHAnsi" w:cstheme="majorBidi"/>
      <w:b/>
      <w:bCs/>
      <w:i/>
      <w:iCs/>
      <w:color w:val="4F81BD" w:themeColor="accent1"/>
      <w:sz w:val="24"/>
      <w:lang w:val="en-US"/>
    </w:rPr>
  </w:style>
  <w:style w:type="character" w:customStyle="1" w:styleId="Heading5Char">
    <w:name w:val="Heading 5 Char"/>
    <w:basedOn w:val="DefaultParagraphFont"/>
    <w:link w:val="Heading5"/>
    <w:uiPriority w:val="9"/>
    <w:rsid w:val="000A5CE6"/>
    <w:rPr>
      <w:rFonts w:ascii="Calibri" w:eastAsia="Times New Roman" w:hAnsi="Calibri" w:cs="Times New Roman"/>
      <w:bCs/>
      <w:i/>
      <w:iCs/>
      <w:color w:val="000000"/>
      <w:szCs w:val="26"/>
      <w:lang w:val="en-GB"/>
    </w:rPr>
  </w:style>
  <w:style w:type="numbering" w:customStyle="1" w:styleId="NoList1">
    <w:name w:val="No List1"/>
    <w:next w:val="NoList"/>
    <w:uiPriority w:val="99"/>
    <w:semiHidden/>
    <w:unhideWhenUsed/>
    <w:rsid w:val="000A5CE6"/>
  </w:style>
  <w:style w:type="table" w:styleId="TableGrid">
    <w:name w:val="Table Grid"/>
    <w:basedOn w:val="TableNormal"/>
    <w:uiPriority w:val="59"/>
    <w:rsid w:val="000A5CE6"/>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5CE6"/>
    <w:pPr>
      <w:tabs>
        <w:tab w:val="center" w:pos="4680"/>
        <w:tab w:val="right" w:pos="9360"/>
      </w:tabs>
      <w:spacing w:after="0" w:line="240" w:lineRule="auto"/>
    </w:pPr>
    <w:rPr>
      <w:rFonts w:ascii="Times New Roman" w:eastAsia="Calibri" w:hAnsi="Times New Roman" w:cs="Times New Roman"/>
      <w:sz w:val="24"/>
      <w:lang w:val="en-US"/>
    </w:rPr>
  </w:style>
  <w:style w:type="character" w:customStyle="1" w:styleId="HeaderChar">
    <w:name w:val="Header Char"/>
    <w:basedOn w:val="DefaultParagraphFont"/>
    <w:link w:val="Header"/>
    <w:uiPriority w:val="99"/>
    <w:rsid w:val="000A5CE6"/>
    <w:rPr>
      <w:rFonts w:ascii="Times New Roman" w:eastAsia="Calibri" w:hAnsi="Times New Roman" w:cs="Times New Roman"/>
      <w:sz w:val="24"/>
      <w:lang w:val="en-US"/>
    </w:rPr>
  </w:style>
  <w:style w:type="paragraph" w:styleId="Footer">
    <w:name w:val="footer"/>
    <w:basedOn w:val="Normal"/>
    <w:link w:val="FooterChar"/>
    <w:uiPriority w:val="99"/>
    <w:unhideWhenUsed/>
    <w:rsid w:val="000A5CE6"/>
    <w:pPr>
      <w:tabs>
        <w:tab w:val="center" w:pos="4680"/>
        <w:tab w:val="right" w:pos="9360"/>
      </w:tabs>
      <w:spacing w:after="0" w:line="240" w:lineRule="auto"/>
    </w:pPr>
    <w:rPr>
      <w:rFonts w:ascii="Times New Roman" w:eastAsia="Calibri" w:hAnsi="Times New Roman" w:cs="Times New Roman"/>
      <w:sz w:val="24"/>
      <w:lang w:val="en-US"/>
    </w:rPr>
  </w:style>
  <w:style w:type="character" w:customStyle="1" w:styleId="FooterChar">
    <w:name w:val="Footer Char"/>
    <w:basedOn w:val="DefaultParagraphFont"/>
    <w:link w:val="Footer"/>
    <w:uiPriority w:val="99"/>
    <w:rsid w:val="000A5CE6"/>
    <w:rPr>
      <w:rFonts w:ascii="Times New Roman" w:eastAsia="Calibri" w:hAnsi="Times New Roman" w:cs="Times New Roman"/>
      <w:sz w:val="24"/>
      <w:lang w:val="en-US"/>
    </w:rPr>
  </w:style>
  <w:style w:type="paragraph" w:styleId="BalloonText">
    <w:name w:val="Balloon Text"/>
    <w:basedOn w:val="Normal"/>
    <w:link w:val="BalloonTextChar"/>
    <w:uiPriority w:val="99"/>
    <w:semiHidden/>
    <w:unhideWhenUsed/>
    <w:rsid w:val="000A5CE6"/>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0A5CE6"/>
    <w:rPr>
      <w:rFonts w:ascii="Tahoma" w:eastAsia="Calibri" w:hAnsi="Tahoma" w:cs="Tahoma"/>
      <w:sz w:val="16"/>
      <w:szCs w:val="16"/>
      <w:lang w:val="en-US"/>
    </w:rPr>
  </w:style>
  <w:style w:type="character" w:styleId="CommentReference">
    <w:name w:val="annotation reference"/>
    <w:uiPriority w:val="99"/>
    <w:unhideWhenUsed/>
    <w:rsid w:val="000A5CE6"/>
    <w:rPr>
      <w:sz w:val="16"/>
      <w:szCs w:val="16"/>
    </w:rPr>
  </w:style>
  <w:style w:type="paragraph" w:styleId="CommentText">
    <w:name w:val="annotation text"/>
    <w:basedOn w:val="Normal"/>
    <w:link w:val="CommentTextChar"/>
    <w:uiPriority w:val="99"/>
    <w:unhideWhenUsed/>
    <w:rsid w:val="000A5CE6"/>
    <w:pPr>
      <w:spacing w:after="0" w:line="240" w:lineRule="auto"/>
    </w:pPr>
    <w:rPr>
      <w:rFonts w:ascii="Times New Roman" w:eastAsia="Calibri" w:hAnsi="Times New Roman" w:cs="Times New Roman"/>
      <w:sz w:val="20"/>
      <w:szCs w:val="20"/>
      <w:lang w:val="en-US"/>
    </w:rPr>
  </w:style>
  <w:style w:type="character" w:customStyle="1" w:styleId="CommentTextChar">
    <w:name w:val="Comment Text Char"/>
    <w:basedOn w:val="DefaultParagraphFont"/>
    <w:link w:val="CommentText"/>
    <w:uiPriority w:val="99"/>
    <w:rsid w:val="000A5CE6"/>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A5CE6"/>
    <w:rPr>
      <w:b/>
      <w:bCs/>
    </w:rPr>
  </w:style>
  <w:style w:type="character" w:customStyle="1" w:styleId="CommentSubjectChar">
    <w:name w:val="Comment Subject Char"/>
    <w:basedOn w:val="CommentTextChar"/>
    <w:link w:val="CommentSubject"/>
    <w:uiPriority w:val="99"/>
    <w:semiHidden/>
    <w:rsid w:val="000A5CE6"/>
    <w:rPr>
      <w:rFonts w:ascii="Times New Roman" w:eastAsia="Calibri" w:hAnsi="Times New Roman" w:cs="Times New Roman"/>
      <w:b/>
      <w:bCs/>
      <w:sz w:val="20"/>
      <w:szCs w:val="20"/>
      <w:lang w:val="en-US"/>
    </w:rPr>
  </w:style>
  <w:style w:type="character" w:customStyle="1" w:styleId="hps">
    <w:name w:val="hps"/>
    <w:rsid w:val="000A5CE6"/>
  </w:style>
  <w:style w:type="paragraph" w:styleId="ListParagraph">
    <w:name w:val="List Paragraph"/>
    <w:basedOn w:val="Normal"/>
    <w:uiPriority w:val="34"/>
    <w:qFormat/>
    <w:rsid w:val="000A5CE6"/>
    <w:pPr>
      <w:spacing w:after="0" w:line="240" w:lineRule="auto"/>
      <w:ind w:left="720"/>
    </w:pPr>
    <w:rPr>
      <w:rFonts w:ascii="Times New Roman" w:eastAsia="Calibri" w:hAnsi="Times New Roman" w:cs="Times New Roman"/>
      <w:sz w:val="24"/>
      <w:lang w:val="en-US"/>
    </w:rPr>
  </w:style>
  <w:style w:type="character" w:styleId="Hyperlink">
    <w:name w:val="Hyperlink"/>
    <w:basedOn w:val="DefaultParagraphFont"/>
    <w:uiPriority w:val="99"/>
    <w:unhideWhenUsed/>
    <w:rsid w:val="000A5CE6"/>
    <w:rPr>
      <w:color w:val="0000FF" w:themeColor="hyperlink"/>
      <w:u w:val="single"/>
    </w:rPr>
  </w:style>
  <w:style w:type="character" w:styleId="PageNumber">
    <w:name w:val="page number"/>
    <w:rsid w:val="000A5CE6"/>
    <w:rPr>
      <w:rFonts w:cs="Times New Roman"/>
    </w:rPr>
  </w:style>
  <w:style w:type="paragraph" w:styleId="FootnoteText">
    <w:name w:val="footnote text"/>
    <w:basedOn w:val="Normal"/>
    <w:link w:val="FootnoteTextChar"/>
    <w:uiPriority w:val="99"/>
    <w:unhideWhenUsed/>
    <w:rsid w:val="000A5CE6"/>
    <w:pPr>
      <w:spacing w:after="0" w:line="240" w:lineRule="auto"/>
      <w:jc w:val="both"/>
    </w:pPr>
    <w:rPr>
      <w:rFonts w:ascii="Calibri" w:eastAsia="Times New Roman" w:hAnsi="Calibri" w:cs="Calibri"/>
      <w:color w:val="000000"/>
      <w:sz w:val="20"/>
      <w:szCs w:val="20"/>
      <w:lang w:val="en-GB"/>
    </w:rPr>
  </w:style>
  <w:style w:type="character" w:customStyle="1" w:styleId="FootnoteTextChar">
    <w:name w:val="Footnote Text Char"/>
    <w:basedOn w:val="DefaultParagraphFont"/>
    <w:link w:val="FootnoteText"/>
    <w:uiPriority w:val="99"/>
    <w:rsid w:val="000A5CE6"/>
    <w:rPr>
      <w:rFonts w:ascii="Calibri" w:eastAsia="Times New Roman" w:hAnsi="Calibri" w:cs="Calibri"/>
      <w:color w:val="000000"/>
      <w:sz w:val="20"/>
      <w:szCs w:val="20"/>
      <w:lang w:val="en-GB"/>
    </w:rPr>
  </w:style>
  <w:style w:type="character" w:styleId="FootnoteReference">
    <w:name w:val="footnote reference"/>
    <w:uiPriority w:val="99"/>
    <w:semiHidden/>
    <w:rsid w:val="000A5CE6"/>
    <w:rPr>
      <w:rFonts w:cs="Times New Roman"/>
      <w:vertAlign w:val="superscript"/>
    </w:rPr>
  </w:style>
  <w:style w:type="paragraph" w:styleId="TOC1">
    <w:name w:val="toc 1"/>
    <w:basedOn w:val="Normal"/>
    <w:next w:val="Normal"/>
    <w:autoRedefine/>
    <w:uiPriority w:val="39"/>
    <w:unhideWhenUsed/>
    <w:rsid w:val="000A5CE6"/>
    <w:pPr>
      <w:spacing w:after="120" w:line="360" w:lineRule="auto"/>
      <w:jc w:val="both"/>
    </w:pPr>
    <w:rPr>
      <w:rFonts w:ascii="Calibri" w:eastAsia="Times New Roman" w:hAnsi="Calibri" w:cs="Calibri"/>
      <w:color w:val="000000"/>
      <w:lang w:val="en-GB"/>
    </w:rPr>
  </w:style>
  <w:style w:type="paragraph" w:styleId="TOC3">
    <w:name w:val="toc 3"/>
    <w:basedOn w:val="Normal"/>
    <w:next w:val="Normal"/>
    <w:autoRedefine/>
    <w:uiPriority w:val="39"/>
    <w:unhideWhenUsed/>
    <w:rsid w:val="000A5CE6"/>
    <w:pPr>
      <w:spacing w:after="120" w:line="360" w:lineRule="auto"/>
      <w:ind w:left="440"/>
      <w:jc w:val="both"/>
    </w:pPr>
    <w:rPr>
      <w:rFonts w:ascii="Calibri" w:eastAsia="Times New Roman" w:hAnsi="Calibri" w:cs="Calibri"/>
      <w:color w:val="000000"/>
      <w:lang w:val="en-GB"/>
    </w:rPr>
  </w:style>
  <w:style w:type="paragraph" w:styleId="TOC2">
    <w:name w:val="toc 2"/>
    <w:basedOn w:val="Normal"/>
    <w:next w:val="Normal"/>
    <w:autoRedefine/>
    <w:uiPriority w:val="39"/>
    <w:unhideWhenUsed/>
    <w:rsid w:val="000A5CE6"/>
    <w:pPr>
      <w:spacing w:after="120" w:line="360" w:lineRule="auto"/>
      <w:ind w:left="220"/>
      <w:jc w:val="both"/>
    </w:pPr>
    <w:rPr>
      <w:rFonts w:ascii="Calibri" w:eastAsia="Times New Roman" w:hAnsi="Calibri" w:cs="Calibri"/>
      <w:color w:val="000000"/>
      <w:lang w:val="en-GB"/>
    </w:rPr>
  </w:style>
  <w:style w:type="paragraph" w:styleId="TOC4">
    <w:name w:val="toc 4"/>
    <w:basedOn w:val="Normal"/>
    <w:next w:val="Normal"/>
    <w:autoRedefine/>
    <w:uiPriority w:val="39"/>
    <w:unhideWhenUsed/>
    <w:rsid w:val="000A5CE6"/>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unhideWhenUsed/>
    <w:rsid w:val="000A5CE6"/>
    <w:pPr>
      <w:spacing w:after="120" w:line="360" w:lineRule="auto"/>
      <w:ind w:left="880"/>
      <w:jc w:val="both"/>
    </w:pPr>
    <w:rPr>
      <w:rFonts w:ascii="Calibri" w:eastAsia="Times New Roman" w:hAnsi="Calibri" w:cs="Calibri"/>
      <w:color w:val="000000"/>
      <w:lang w:val="en-GB"/>
    </w:rPr>
  </w:style>
  <w:style w:type="character" w:styleId="FollowedHyperlink">
    <w:name w:val="FollowedHyperlink"/>
    <w:uiPriority w:val="99"/>
    <w:semiHidden/>
    <w:unhideWhenUsed/>
    <w:rsid w:val="000A5CE6"/>
    <w:rPr>
      <w:color w:val="800080"/>
      <w:u w:val="single"/>
    </w:rPr>
  </w:style>
  <w:style w:type="paragraph" w:customStyle="1" w:styleId="xl65">
    <w:name w:val="xl65"/>
    <w:basedOn w:val="Normal"/>
    <w:rsid w:val="000A5CE6"/>
    <w:pP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styleId="NoSpacing">
    <w:name w:val="No Spacing"/>
    <w:uiPriority w:val="1"/>
    <w:qFormat/>
    <w:rsid w:val="000A5CE6"/>
    <w:pPr>
      <w:spacing w:after="0" w:line="240" w:lineRule="auto"/>
      <w:jc w:val="both"/>
    </w:pPr>
    <w:rPr>
      <w:rFonts w:ascii="Calibri" w:eastAsia="Times New Roman" w:hAnsi="Calibri" w:cs="Calibri"/>
      <w:color w:val="000000"/>
      <w:lang w:val="en-GB"/>
    </w:rPr>
  </w:style>
  <w:style w:type="character" w:customStyle="1" w:styleId="st1">
    <w:name w:val="st1"/>
    <w:basedOn w:val="DefaultParagraphFont"/>
    <w:rsid w:val="000A5CE6"/>
  </w:style>
  <w:style w:type="paragraph" w:customStyle="1" w:styleId="font5">
    <w:name w:val="font5"/>
    <w:basedOn w:val="Normal"/>
    <w:rsid w:val="000A5CE6"/>
    <w:pPr>
      <w:spacing w:before="100" w:beforeAutospacing="1" w:after="100" w:afterAutospacing="1" w:line="240" w:lineRule="auto"/>
    </w:pPr>
    <w:rPr>
      <w:rFonts w:ascii="Calibri" w:eastAsia="Times New Roman" w:hAnsi="Calibri" w:cs="Calibri"/>
      <w:b/>
      <w:bCs/>
      <w:color w:val="FFFFFF"/>
      <w:lang w:val="en-US"/>
    </w:rPr>
  </w:style>
  <w:style w:type="paragraph" w:customStyle="1" w:styleId="font6">
    <w:name w:val="font6"/>
    <w:basedOn w:val="Normal"/>
    <w:rsid w:val="000A5CE6"/>
    <w:pPr>
      <w:spacing w:before="100" w:beforeAutospacing="1" w:after="100" w:afterAutospacing="1" w:line="240" w:lineRule="auto"/>
    </w:pPr>
    <w:rPr>
      <w:rFonts w:ascii="Calibri" w:eastAsia="Times New Roman" w:hAnsi="Calibri" w:cs="Calibri"/>
      <w:b/>
      <w:bCs/>
      <w:i/>
      <w:iCs/>
      <w:color w:val="FFFFFF"/>
      <w:lang w:val="en-US"/>
    </w:rPr>
  </w:style>
  <w:style w:type="paragraph" w:customStyle="1" w:styleId="xl66">
    <w:name w:val="xl66"/>
    <w:basedOn w:val="Normal"/>
    <w:rsid w:val="000A5CE6"/>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xl67">
    <w:name w:val="xl67"/>
    <w:basedOn w:val="Normal"/>
    <w:rsid w:val="000A5CE6"/>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Default">
    <w:name w:val="Default"/>
    <w:uiPriority w:val="99"/>
    <w:rsid w:val="000A5CE6"/>
    <w:pPr>
      <w:autoSpaceDE w:val="0"/>
      <w:autoSpaceDN w:val="0"/>
      <w:adjustRightInd w:val="0"/>
      <w:spacing w:after="0" w:line="240" w:lineRule="auto"/>
    </w:pPr>
    <w:rPr>
      <w:rFonts w:ascii="Times New Roman" w:eastAsia="Calibri" w:hAnsi="Times New Roman" w:cs="Times New Roman"/>
      <w:color w:val="000000"/>
      <w:sz w:val="24"/>
      <w:szCs w:val="24"/>
      <w:lang w:val="nl-NL" w:eastAsia="nl-NL"/>
    </w:rPr>
  </w:style>
  <w:style w:type="paragraph" w:styleId="Revision">
    <w:name w:val="Revision"/>
    <w:hidden/>
    <w:uiPriority w:val="99"/>
    <w:semiHidden/>
    <w:rsid w:val="000A5CE6"/>
    <w:pPr>
      <w:spacing w:after="0" w:line="240" w:lineRule="auto"/>
    </w:pPr>
    <w:rPr>
      <w:rFonts w:ascii="Calibri" w:eastAsia="Times New Roman" w:hAnsi="Calibri" w:cs="Calibri"/>
      <w:color w:val="000000"/>
      <w:lang w:val="en-GB"/>
    </w:rPr>
  </w:style>
  <w:style w:type="paragraph" w:styleId="NormalWeb">
    <w:name w:val="Normal (Web)"/>
    <w:basedOn w:val="Normal"/>
    <w:uiPriority w:val="99"/>
    <w:unhideWhenUsed/>
    <w:rsid w:val="000A5CE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LineNumber">
    <w:name w:val="line number"/>
    <w:basedOn w:val="DefaultParagraphFont"/>
    <w:uiPriority w:val="99"/>
    <w:semiHidden/>
    <w:unhideWhenUsed/>
    <w:rsid w:val="000A5C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5CE6"/>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basedOn w:val="Normal"/>
    <w:next w:val="Normal"/>
    <w:link w:val="Heading2Char"/>
    <w:qFormat/>
    <w:rsid w:val="000A5CE6"/>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lang w:val="en-US"/>
    </w:rPr>
  </w:style>
  <w:style w:type="paragraph" w:styleId="Heading3">
    <w:name w:val="heading 3"/>
    <w:basedOn w:val="Normal"/>
    <w:next w:val="Normal"/>
    <w:link w:val="Heading3Char"/>
    <w:unhideWhenUsed/>
    <w:qFormat/>
    <w:rsid w:val="000A5CE6"/>
    <w:pPr>
      <w:keepNext/>
      <w:keepLines/>
      <w:spacing w:before="200" w:after="0" w:line="240" w:lineRule="auto"/>
      <w:outlineLvl w:val="2"/>
    </w:pPr>
    <w:rPr>
      <w:rFonts w:asciiTheme="majorHAnsi" w:eastAsiaTheme="majorEastAsia" w:hAnsiTheme="majorHAnsi" w:cstheme="majorBidi"/>
      <w:b/>
      <w:bCs/>
      <w:color w:val="4F81BD" w:themeColor="accent1"/>
      <w:sz w:val="24"/>
      <w:lang w:val="en-US"/>
    </w:rPr>
  </w:style>
  <w:style w:type="paragraph" w:styleId="Heading4">
    <w:name w:val="heading 4"/>
    <w:basedOn w:val="Normal"/>
    <w:next w:val="Normal"/>
    <w:link w:val="Heading4Char"/>
    <w:uiPriority w:val="99"/>
    <w:unhideWhenUsed/>
    <w:qFormat/>
    <w:rsid w:val="000A5CE6"/>
    <w:pPr>
      <w:keepNext/>
      <w:keepLines/>
      <w:spacing w:before="200" w:after="0" w:line="240" w:lineRule="auto"/>
      <w:outlineLvl w:val="3"/>
    </w:pPr>
    <w:rPr>
      <w:rFonts w:asciiTheme="majorHAnsi" w:eastAsiaTheme="majorEastAsia" w:hAnsiTheme="majorHAnsi" w:cstheme="majorBidi"/>
      <w:b/>
      <w:bCs/>
      <w:i/>
      <w:iCs/>
      <w:color w:val="4F81BD" w:themeColor="accent1"/>
      <w:sz w:val="24"/>
      <w:lang w:val="en-US"/>
    </w:rPr>
  </w:style>
  <w:style w:type="paragraph" w:styleId="Heading5">
    <w:name w:val="heading 5"/>
    <w:basedOn w:val="Normal"/>
    <w:next w:val="Normal"/>
    <w:link w:val="Heading5Char"/>
    <w:uiPriority w:val="9"/>
    <w:unhideWhenUsed/>
    <w:qFormat/>
    <w:rsid w:val="000A5CE6"/>
    <w:pPr>
      <w:spacing w:after="120" w:line="360" w:lineRule="auto"/>
      <w:ind w:left="720"/>
      <w:jc w:val="both"/>
      <w:outlineLvl w:val="4"/>
    </w:pPr>
    <w:rPr>
      <w:rFonts w:ascii="Calibri" w:eastAsia="Times New Roman" w:hAnsi="Calibri" w:cs="Times New Roman"/>
      <w:bCs/>
      <w:i/>
      <w:iCs/>
      <w:color w:val="000000"/>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5CE6"/>
    <w:rPr>
      <w:rFonts w:ascii="Cambria" w:eastAsia="Times New Roman" w:hAnsi="Cambria" w:cs="Times New Roman"/>
      <w:b/>
      <w:bCs/>
      <w:kern w:val="32"/>
      <w:sz w:val="32"/>
      <w:szCs w:val="32"/>
      <w:lang w:val="en-US"/>
    </w:rPr>
  </w:style>
  <w:style w:type="character" w:customStyle="1" w:styleId="Heading2Char">
    <w:name w:val="Heading 2 Char"/>
    <w:basedOn w:val="DefaultParagraphFont"/>
    <w:link w:val="Heading2"/>
    <w:rsid w:val="000A5CE6"/>
    <w:rPr>
      <w:rFonts w:ascii="Times New Roman" w:eastAsia="Times New Roman" w:hAnsi="Times New Roman" w:cs="Times New Roman"/>
      <w:b/>
      <w:bCs/>
      <w:sz w:val="36"/>
      <w:szCs w:val="24"/>
      <w:lang w:val="en-US"/>
    </w:rPr>
  </w:style>
  <w:style w:type="character" w:customStyle="1" w:styleId="Heading3Char">
    <w:name w:val="Heading 3 Char"/>
    <w:basedOn w:val="DefaultParagraphFont"/>
    <w:link w:val="Heading3"/>
    <w:rsid w:val="000A5CE6"/>
    <w:rPr>
      <w:rFonts w:asciiTheme="majorHAnsi" w:eastAsiaTheme="majorEastAsia" w:hAnsiTheme="majorHAnsi" w:cstheme="majorBidi"/>
      <w:b/>
      <w:bCs/>
      <w:color w:val="4F81BD" w:themeColor="accent1"/>
      <w:sz w:val="24"/>
      <w:lang w:val="en-US"/>
    </w:rPr>
  </w:style>
  <w:style w:type="character" w:customStyle="1" w:styleId="Heading4Char">
    <w:name w:val="Heading 4 Char"/>
    <w:basedOn w:val="DefaultParagraphFont"/>
    <w:link w:val="Heading4"/>
    <w:uiPriority w:val="99"/>
    <w:rsid w:val="000A5CE6"/>
    <w:rPr>
      <w:rFonts w:asciiTheme="majorHAnsi" w:eastAsiaTheme="majorEastAsia" w:hAnsiTheme="majorHAnsi" w:cstheme="majorBidi"/>
      <w:b/>
      <w:bCs/>
      <w:i/>
      <w:iCs/>
      <w:color w:val="4F81BD" w:themeColor="accent1"/>
      <w:sz w:val="24"/>
      <w:lang w:val="en-US"/>
    </w:rPr>
  </w:style>
  <w:style w:type="character" w:customStyle="1" w:styleId="Heading5Char">
    <w:name w:val="Heading 5 Char"/>
    <w:basedOn w:val="DefaultParagraphFont"/>
    <w:link w:val="Heading5"/>
    <w:uiPriority w:val="9"/>
    <w:rsid w:val="000A5CE6"/>
    <w:rPr>
      <w:rFonts w:ascii="Calibri" w:eastAsia="Times New Roman" w:hAnsi="Calibri" w:cs="Times New Roman"/>
      <w:bCs/>
      <w:i/>
      <w:iCs/>
      <w:color w:val="000000"/>
      <w:szCs w:val="26"/>
      <w:lang w:val="en-GB"/>
    </w:rPr>
  </w:style>
  <w:style w:type="numbering" w:customStyle="1" w:styleId="NoList1">
    <w:name w:val="No List1"/>
    <w:next w:val="NoList"/>
    <w:uiPriority w:val="99"/>
    <w:semiHidden/>
    <w:unhideWhenUsed/>
    <w:rsid w:val="000A5CE6"/>
  </w:style>
  <w:style w:type="table" w:styleId="TableGrid">
    <w:name w:val="Table Grid"/>
    <w:basedOn w:val="TableNormal"/>
    <w:uiPriority w:val="59"/>
    <w:rsid w:val="000A5CE6"/>
    <w:pPr>
      <w:spacing w:after="0" w:line="240" w:lineRule="auto"/>
    </w:pPr>
    <w:rPr>
      <w:rFonts w:ascii="Times New Roman" w:eastAsia="Calibri"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A5CE6"/>
    <w:pPr>
      <w:tabs>
        <w:tab w:val="center" w:pos="4680"/>
        <w:tab w:val="right" w:pos="9360"/>
      </w:tabs>
      <w:spacing w:after="0" w:line="240" w:lineRule="auto"/>
    </w:pPr>
    <w:rPr>
      <w:rFonts w:ascii="Times New Roman" w:eastAsia="Calibri" w:hAnsi="Times New Roman" w:cs="Times New Roman"/>
      <w:sz w:val="24"/>
      <w:lang w:val="en-US"/>
    </w:rPr>
  </w:style>
  <w:style w:type="character" w:customStyle="1" w:styleId="HeaderChar">
    <w:name w:val="Header Char"/>
    <w:basedOn w:val="DefaultParagraphFont"/>
    <w:link w:val="Header"/>
    <w:uiPriority w:val="99"/>
    <w:rsid w:val="000A5CE6"/>
    <w:rPr>
      <w:rFonts w:ascii="Times New Roman" w:eastAsia="Calibri" w:hAnsi="Times New Roman" w:cs="Times New Roman"/>
      <w:sz w:val="24"/>
      <w:lang w:val="en-US"/>
    </w:rPr>
  </w:style>
  <w:style w:type="paragraph" w:styleId="Footer">
    <w:name w:val="footer"/>
    <w:basedOn w:val="Normal"/>
    <w:link w:val="FooterChar"/>
    <w:uiPriority w:val="99"/>
    <w:unhideWhenUsed/>
    <w:rsid w:val="000A5CE6"/>
    <w:pPr>
      <w:tabs>
        <w:tab w:val="center" w:pos="4680"/>
        <w:tab w:val="right" w:pos="9360"/>
      </w:tabs>
      <w:spacing w:after="0" w:line="240" w:lineRule="auto"/>
    </w:pPr>
    <w:rPr>
      <w:rFonts w:ascii="Times New Roman" w:eastAsia="Calibri" w:hAnsi="Times New Roman" w:cs="Times New Roman"/>
      <w:sz w:val="24"/>
      <w:lang w:val="en-US"/>
    </w:rPr>
  </w:style>
  <w:style w:type="character" w:customStyle="1" w:styleId="FooterChar">
    <w:name w:val="Footer Char"/>
    <w:basedOn w:val="DefaultParagraphFont"/>
    <w:link w:val="Footer"/>
    <w:uiPriority w:val="99"/>
    <w:rsid w:val="000A5CE6"/>
    <w:rPr>
      <w:rFonts w:ascii="Times New Roman" w:eastAsia="Calibri" w:hAnsi="Times New Roman" w:cs="Times New Roman"/>
      <w:sz w:val="24"/>
      <w:lang w:val="en-US"/>
    </w:rPr>
  </w:style>
  <w:style w:type="paragraph" w:styleId="BalloonText">
    <w:name w:val="Balloon Text"/>
    <w:basedOn w:val="Normal"/>
    <w:link w:val="BalloonTextChar"/>
    <w:uiPriority w:val="99"/>
    <w:semiHidden/>
    <w:unhideWhenUsed/>
    <w:rsid w:val="000A5CE6"/>
    <w:pPr>
      <w:spacing w:after="0" w:line="240" w:lineRule="auto"/>
    </w:pPr>
    <w:rPr>
      <w:rFonts w:ascii="Tahoma" w:eastAsia="Calibri" w:hAnsi="Tahoma" w:cs="Tahoma"/>
      <w:sz w:val="16"/>
      <w:szCs w:val="16"/>
      <w:lang w:val="en-US"/>
    </w:rPr>
  </w:style>
  <w:style w:type="character" w:customStyle="1" w:styleId="BalloonTextChar">
    <w:name w:val="Balloon Text Char"/>
    <w:basedOn w:val="DefaultParagraphFont"/>
    <w:link w:val="BalloonText"/>
    <w:uiPriority w:val="99"/>
    <w:semiHidden/>
    <w:rsid w:val="000A5CE6"/>
    <w:rPr>
      <w:rFonts w:ascii="Tahoma" w:eastAsia="Calibri" w:hAnsi="Tahoma" w:cs="Tahoma"/>
      <w:sz w:val="16"/>
      <w:szCs w:val="16"/>
      <w:lang w:val="en-US"/>
    </w:rPr>
  </w:style>
  <w:style w:type="character" w:styleId="CommentReference">
    <w:name w:val="annotation reference"/>
    <w:uiPriority w:val="99"/>
    <w:unhideWhenUsed/>
    <w:rsid w:val="000A5CE6"/>
    <w:rPr>
      <w:sz w:val="16"/>
      <w:szCs w:val="16"/>
    </w:rPr>
  </w:style>
  <w:style w:type="paragraph" w:styleId="CommentText">
    <w:name w:val="annotation text"/>
    <w:basedOn w:val="Normal"/>
    <w:link w:val="CommentTextChar"/>
    <w:uiPriority w:val="99"/>
    <w:unhideWhenUsed/>
    <w:rsid w:val="000A5CE6"/>
    <w:pPr>
      <w:spacing w:after="0" w:line="240" w:lineRule="auto"/>
    </w:pPr>
    <w:rPr>
      <w:rFonts w:ascii="Times New Roman" w:eastAsia="Calibri" w:hAnsi="Times New Roman" w:cs="Times New Roman"/>
      <w:sz w:val="20"/>
      <w:szCs w:val="20"/>
      <w:lang w:val="en-US"/>
    </w:rPr>
  </w:style>
  <w:style w:type="character" w:customStyle="1" w:styleId="CommentTextChar">
    <w:name w:val="Comment Text Char"/>
    <w:basedOn w:val="DefaultParagraphFont"/>
    <w:link w:val="CommentText"/>
    <w:uiPriority w:val="99"/>
    <w:rsid w:val="000A5CE6"/>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A5CE6"/>
    <w:rPr>
      <w:b/>
      <w:bCs/>
    </w:rPr>
  </w:style>
  <w:style w:type="character" w:customStyle="1" w:styleId="CommentSubjectChar">
    <w:name w:val="Comment Subject Char"/>
    <w:basedOn w:val="CommentTextChar"/>
    <w:link w:val="CommentSubject"/>
    <w:uiPriority w:val="99"/>
    <w:semiHidden/>
    <w:rsid w:val="000A5CE6"/>
    <w:rPr>
      <w:rFonts w:ascii="Times New Roman" w:eastAsia="Calibri" w:hAnsi="Times New Roman" w:cs="Times New Roman"/>
      <w:b/>
      <w:bCs/>
      <w:sz w:val="20"/>
      <w:szCs w:val="20"/>
      <w:lang w:val="en-US"/>
    </w:rPr>
  </w:style>
  <w:style w:type="character" w:customStyle="1" w:styleId="hps">
    <w:name w:val="hps"/>
    <w:rsid w:val="000A5CE6"/>
  </w:style>
  <w:style w:type="paragraph" w:styleId="ListParagraph">
    <w:name w:val="List Paragraph"/>
    <w:basedOn w:val="Normal"/>
    <w:uiPriority w:val="34"/>
    <w:qFormat/>
    <w:rsid w:val="000A5CE6"/>
    <w:pPr>
      <w:spacing w:after="0" w:line="240" w:lineRule="auto"/>
      <w:ind w:left="720"/>
    </w:pPr>
    <w:rPr>
      <w:rFonts w:ascii="Times New Roman" w:eastAsia="Calibri" w:hAnsi="Times New Roman" w:cs="Times New Roman"/>
      <w:sz w:val="24"/>
      <w:lang w:val="en-US"/>
    </w:rPr>
  </w:style>
  <w:style w:type="character" w:styleId="Hyperlink">
    <w:name w:val="Hyperlink"/>
    <w:basedOn w:val="DefaultParagraphFont"/>
    <w:uiPriority w:val="99"/>
    <w:unhideWhenUsed/>
    <w:rsid w:val="000A5CE6"/>
    <w:rPr>
      <w:color w:val="0000FF" w:themeColor="hyperlink"/>
      <w:u w:val="single"/>
    </w:rPr>
  </w:style>
  <w:style w:type="character" w:styleId="PageNumber">
    <w:name w:val="page number"/>
    <w:rsid w:val="000A5CE6"/>
    <w:rPr>
      <w:rFonts w:cs="Times New Roman"/>
    </w:rPr>
  </w:style>
  <w:style w:type="paragraph" w:styleId="FootnoteText">
    <w:name w:val="footnote text"/>
    <w:basedOn w:val="Normal"/>
    <w:link w:val="FootnoteTextChar"/>
    <w:uiPriority w:val="99"/>
    <w:unhideWhenUsed/>
    <w:rsid w:val="000A5CE6"/>
    <w:pPr>
      <w:spacing w:after="0" w:line="240" w:lineRule="auto"/>
      <w:jc w:val="both"/>
    </w:pPr>
    <w:rPr>
      <w:rFonts w:ascii="Calibri" w:eastAsia="Times New Roman" w:hAnsi="Calibri" w:cs="Calibri"/>
      <w:color w:val="000000"/>
      <w:sz w:val="20"/>
      <w:szCs w:val="20"/>
      <w:lang w:val="en-GB"/>
    </w:rPr>
  </w:style>
  <w:style w:type="character" w:customStyle="1" w:styleId="FootnoteTextChar">
    <w:name w:val="Footnote Text Char"/>
    <w:basedOn w:val="DefaultParagraphFont"/>
    <w:link w:val="FootnoteText"/>
    <w:uiPriority w:val="99"/>
    <w:rsid w:val="000A5CE6"/>
    <w:rPr>
      <w:rFonts w:ascii="Calibri" w:eastAsia="Times New Roman" w:hAnsi="Calibri" w:cs="Calibri"/>
      <w:color w:val="000000"/>
      <w:sz w:val="20"/>
      <w:szCs w:val="20"/>
      <w:lang w:val="en-GB"/>
    </w:rPr>
  </w:style>
  <w:style w:type="character" w:styleId="FootnoteReference">
    <w:name w:val="footnote reference"/>
    <w:uiPriority w:val="99"/>
    <w:semiHidden/>
    <w:rsid w:val="000A5CE6"/>
    <w:rPr>
      <w:rFonts w:cs="Times New Roman"/>
      <w:vertAlign w:val="superscript"/>
    </w:rPr>
  </w:style>
  <w:style w:type="paragraph" w:styleId="TOC1">
    <w:name w:val="toc 1"/>
    <w:basedOn w:val="Normal"/>
    <w:next w:val="Normal"/>
    <w:autoRedefine/>
    <w:uiPriority w:val="39"/>
    <w:unhideWhenUsed/>
    <w:rsid w:val="000A5CE6"/>
    <w:pPr>
      <w:spacing w:after="120" w:line="360" w:lineRule="auto"/>
      <w:jc w:val="both"/>
    </w:pPr>
    <w:rPr>
      <w:rFonts w:ascii="Calibri" w:eastAsia="Times New Roman" w:hAnsi="Calibri" w:cs="Calibri"/>
      <w:color w:val="000000"/>
      <w:lang w:val="en-GB"/>
    </w:rPr>
  </w:style>
  <w:style w:type="paragraph" w:styleId="TOC3">
    <w:name w:val="toc 3"/>
    <w:basedOn w:val="Normal"/>
    <w:next w:val="Normal"/>
    <w:autoRedefine/>
    <w:uiPriority w:val="39"/>
    <w:unhideWhenUsed/>
    <w:rsid w:val="000A5CE6"/>
    <w:pPr>
      <w:spacing w:after="120" w:line="360" w:lineRule="auto"/>
      <w:ind w:left="440"/>
      <w:jc w:val="both"/>
    </w:pPr>
    <w:rPr>
      <w:rFonts w:ascii="Calibri" w:eastAsia="Times New Roman" w:hAnsi="Calibri" w:cs="Calibri"/>
      <w:color w:val="000000"/>
      <w:lang w:val="en-GB"/>
    </w:rPr>
  </w:style>
  <w:style w:type="paragraph" w:styleId="TOC2">
    <w:name w:val="toc 2"/>
    <w:basedOn w:val="Normal"/>
    <w:next w:val="Normal"/>
    <w:autoRedefine/>
    <w:uiPriority w:val="39"/>
    <w:unhideWhenUsed/>
    <w:rsid w:val="000A5CE6"/>
    <w:pPr>
      <w:spacing w:after="120" w:line="360" w:lineRule="auto"/>
      <w:ind w:left="220"/>
      <w:jc w:val="both"/>
    </w:pPr>
    <w:rPr>
      <w:rFonts w:ascii="Calibri" w:eastAsia="Times New Roman" w:hAnsi="Calibri" w:cs="Calibri"/>
      <w:color w:val="000000"/>
      <w:lang w:val="en-GB"/>
    </w:rPr>
  </w:style>
  <w:style w:type="paragraph" w:styleId="TOC4">
    <w:name w:val="toc 4"/>
    <w:basedOn w:val="Normal"/>
    <w:next w:val="Normal"/>
    <w:autoRedefine/>
    <w:uiPriority w:val="39"/>
    <w:unhideWhenUsed/>
    <w:rsid w:val="000A5CE6"/>
    <w:pPr>
      <w:spacing w:after="120" w:line="360" w:lineRule="auto"/>
      <w:ind w:left="660"/>
      <w:jc w:val="both"/>
    </w:pPr>
    <w:rPr>
      <w:rFonts w:ascii="Calibri" w:eastAsia="Times New Roman" w:hAnsi="Calibri" w:cs="Calibri"/>
      <w:color w:val="000000"/>
      <w:lang w:val="en-GB"/>
    </w:rPr>
  </w:style>
  <w:style w:type="paragraph" w:styleId="TOC5">
    <w:name w:val="toc 5"/>
    <w:basedOn w:val="Normal"/>
    <w:next w:val="Normal"/>
    <w:autoRedefine/>
    <w:uiPriority w:val="39"/>
    <w:unhideWhenUsed/>
    <w:rsid w:val="000A5CE6"/>
    <w:pPr>
      <w:spacing w:after="120" w:line="360" w:lineRule="auto"/>
      <w:ind w:left="880"/>
      <w:jc w:val="both"/>
    </w:pPr>
    <w:rPr>
      <w:rFonts w:ascii="Calibri" w:eastAsia="Times New Roman" w:hAnsi="Calibri" w:cs="Calibri"/>
      <w:color w:val="000000"/>
      <w:lang w:val="en-GB"/>
    </w:rPr>
  </w:style>
  <w:style w:type="character" w:styleId="FollowedHyperlink">
    <w:name w:val="FollowedHyperlink"/>
    <w:uiPriority w:val="99"/>
    <w:semiHidden/>
    <w:unhideWhenUsed/>
    <w:rsid w:val="000A5CE6"/>
    <w:rPr>
      <w:color w:val="800080"/>
      <w:u w:val="single"/>
    </w:rPr>
  </w:style>
  <w:style w:type="paragraph" w:customStyle="1" w:styleId="xl65">
    <w:name w:val="xl65"/>
    <w:basedOn w:val="Normal"/>
    <w:rsid w:val="000A5CE6"/>
    <w:pPr>
      <w:spacing w:before="100" w:beforeAutospacing="1" w:after="100" w:afterAutospacing="1" w:line="240" w:lineRule="auto"/>
    </w:pPr>
    <w:rPr>
      <w:rFonts w:ascii="Times New Roman" w:eastAsia="Times New Roman" w:hAnsi="Times New Roman" w:cs="Times New Roman"/>
      <w:i/>
      <w:iCs/>
      <w:sz w:val="24"/>
      <w:szCs w:val="24"/>
      <w:lang w:val="en-US"/>
    </w:rPr>
  </w:style>
  <w:style w:type="paragraph" w:styleId="NoSpacing">
    <w:name w:val="No Spacing"/>
    <w:uiPriority w:val="1"/>
    <w:qFormat/>
    <w:rsid w:val="000A5CE6"/>
    <w:pPr>
      <w:spacing w:after="0" w:line="240" w:lineRule="auto"/>
      <w:jc w:val="both"/>
    </w:pPr>
    <w:rPr>
      <w:rFonts w:ascii="Calibri" w:eastAsia="Times New Roman" w:hAnsi="Calibri" w:cs="Calibri"/>
      <w:color w:val="000000"/>
      <w:lang w:val="en-GB"/>
    </w:rPr>
  </w:style>
  <w:style w:type="character" w:customStyle="1" w:styleId="st1">
    <w:name w:val="st1"/>
    <w:basedOn w:val="DefaultParagraphFont"/>
    <w:rsid w:val="000A5CE6"/>
  </w:style>
  <w:style w:type="paragraph" w:customStyle="1" w:styleId="font5">
    <w:name w:val="font5"/>
    <w:basedOn w:val="Normal"/>
    <w:rsid w:val="000A5CE6"/>
    <w:pPr>
      <w:spacing w:before="100" w:beforeAutospacing="1" w:after="100" w:afterAutospacing="1" w:line="240" w:lineRule="auto"/>
    </w:pPr>
    <w:rPr>
      <w:rFonts w:ascii="Calibri" w:eastAsia="Times New Roman" w:hAnsi="Calibri" w:cs="Calibri"/>
      <w:b/>
      <w:bCs/>
      <w:color w:val="FFFFFF"/>
      <w:lang w:val="en-US"/>
    </w:rPr>
  </w:style>
  <w:style w:type="paragraph" w:customStyle="1" w:styleId="font6">
    <w:name w:val="font6"/>
    <w:basedOn w:val="Normal"/>
    <w:rsid w:val="000A5CE6"/>
    <w:pPr>
      <w:spacing w:before="100" w:beforeAutospacing="1" w:after="100" w:afterAutospacing="1" w:line="240" w:lineRule="auto"/>
    </w:pPr>
    <w:rPr>
      <w:rFonts w:ascii="Calibri" w:eastAsia="Times New Roman" w:hAnsi="Calibri" w:cs="Calibri"/>
      <w:b/>
      <w:bCs/>
      <w:i/>
      <w:iCs/>
      <w:color w:val="FFFFFF"/>
      <w:lang w:val="en-US"/>
    </w:rPr>
  </w:style>
  <w:style w:type="paragraph" w:customStyle="1" w:styleId="xl66">
    <w:name w:val="xl66"/>
    <w:basedOn w:val="Normal"/>
    <w:rsid w:val="000A5CE6"/>
    <w:pPr>
      <w:pBdr>
        <w:top w:val="single" w:sz="4" w:space="0" w:color="auto"/>
        <w:left w:val="single" w:sz="4" w:space="0" w:color="auto"/>
        <w:bottom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xl67">
    <w:name w:val="xl67"/>
    <w:basedOn w:val="Normal"/>
    <w:rsid w:val="000A5CE6"/>
    <w:pPr>
      <w:pBdr>
        <w:top w:val="single" w:sz="4" w:space="0" w:color="auto"/>
        <w:left w:val="single" w:sz="4" w:space="0" w:color="auto"/>
        <w:right w:val="single" w:sz="4" w:space="0" w:color="auto"/>
      </w:pBdr>
      <w:shd w:val="clear" w:color="000000" w:fill="5A5A5A"/>
      <w:spacing w:before="100" w:beforeAutospacing="1" w:after="100" w:afterAutospacing="1" w:line="240" w:lineRule="auto"/>
    </w:pPr>
    <w:rPr>
      <w:rFonts w:ascii="Times New Roman" w:eastAsia="Times New Roman" w:hAnsi="Times New Roman" w:cs="Times New Roman"/>
      <w:b/>
      <w:bCs/>
      <w:color w:val="FFFFFF"/>
      <w:sz w:val="24"/>
      <w:szCs w:val="24"/>
      <w:lang w:val="en-US"/>
    </w:rPr>
  </w:style>
  <w:style w:type="paragraph" w:customStyle="1" w:styleId="Default">
    <w:name w:val="Default"/>
    <w:uiPriority w:val="99"/>
    <w:rsid w:val="000A5CE6"/>
    <w:pPr>
      <w:autoSpaceDE w:val="0"/>
      <w:autoSpaceDN w:val="0"/>
      <w:adjustRightInd w:val="0"/>
      <w:spacing w:after="0" w:line="240" w:lineRule="auto"/>
    </w:pPr>
    <w:rPr>
      <w:rFonts w:ascii="Times New Roman" w:eastAsia="Calibri" w:hAnsi="Times New Roman" w:cs="Times New Roman"/>
      <w:color w:val="000000"/>
      <w:sz w:val="24"/>
      <w:szCs w:val="24"/>
      <w:lang w:val="nl-NL" w:eastAsia="nl-NL"/>
    </w:rPr>
  </w:style>
  <w:style w:type="paragraph" w:styleId="Revision">
    <w:name w:val="Revision"/>
    <w:hidden/>
    <w:uiPriority w:val="99"/>
    <w:semiHidden/>
    <w:rsid w:val="000A5CE6"/>
    <w:pPr>
      <w:spacing w:after="0" w:line="240" w:lineRule="auto"/>
    </w:pPr>
    <w:rPr>
      <w:rFonts w:ascii="Calibri" w:eastAsia="Times New Roman" w:hAnsi="Calibri" w:cs="Calibri"/>
      <w:color w:val="000000"/>
      <w:lang w:val="en-GB"/>
    </w:rPr>
  </w:style>
  <w:style w:type="paragraph" w:styleId="NormalWeb">
    <w:name w:val="Normal (Web)"/>
    <w:basedOn w:val="Normal"/>
    <w:uiPriority w:val="99"/>
    <w:unhideWhenUsed/>
    <w:rsid w:val="000A5CE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LineNumber">
    <w:name w:val="line number"/>
    <w:basedOn w:val="DefaultParagraphFont"/>
    <w:uiPriority w:val="99"/>
    <w:semiHidden/>
    <w:unhideWhenUsed/>
    <w:rsid w:val="000A5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jpeg"/><Relationship Id="rId26" Type="http://schemas.openxmlformats.org/officeDocument/2006/relationships/header" Target="header10.xml"/><Relationship Id="rId39" Type="http://schemas.openxmlformats.org/officeDocument/2006/relationships/header" Target="header18.xml"/><Relationship Id="rId3" Type="http://schemas.microsoft.com/office/2007/relationships/stylesWithEffects" Target="stylesWithEffects.xml"/><Relationship Id="rId21" Type="http://schemas.openxmlformats.org/officeDocument/2006/relationships/footer" Target="footer6.xml"/><Relationship Id="rId34" Type="http://schemas.openxmlformats.org/officeDocument/2006/relationships/header" Target="header14.xml"/><Relationship Id="rId42"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41"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6.xml"/><Relationship Id="rId40" Type="http://schemas.openxmlformats.org/officeDocument/2006/relationships/header" Target="header1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3.xml"/><Relationship Id="rId44"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header" Target="header21.xml"/></Relationships>
</file>

<file path=word/_rels/footnotes.xml.rels><?xml version="1.0" encoding="UTF-8" standalone="yes"?>
<Relationships xmlns="http://schemas.openxmlformats.org/package/2006/relationships"><Relationship Id="rId3" Type="http://schemas.openxmlformats.org/officeDocument/2006/relationships/hyperlink" Target="http://www.ramsar.org/pdf/strat-plan-2009-f-adj.pdf" TargetMode="External"/><Relationship Id="rId2" Type="http://schemas.openxmlformats.org/officeDocument/2006/relationships/hyperlink" Target="https://www.cbd.int/doc/decisions/cop-10/cop-10-dec-02-fr.pdf" TargetMode="External"/><Relationship Id="rId1" Type="http://schemas.openxmlformats.org/officeDocument/2006/relationships/hyperlink" Target="https://www.cbd.int/doc/publications/addis-gdl-fr.pdf" TargetMode="External"/><Relationship Id="rId6" Type="http://schemas.openxmlformats.org/officeDocument/2006/relationships/hyperlink" Target="http://www.cms.int/bodies/COP/cop8/documents/proceedings/pdf/french/CP8Res_8_02_CMS_StrategicPlan_2006_2011_fre.pdf" TargetMode="External"/><Relationship Id="rId5" Type="http://schemas.openxmlformats.org/officeDocument/2006/relationships/hyperlink" Target="http://www.unep-aewa.org/documents/strategic_plan/strategic_plan_2009-2017_fr.pdf" TargetMode="External"/><Relationship Id="rId4" Type="http://schemas.openxmlformats.org/officeDocument/2006/relationships/hyperlink" Target="http://www.unep-aewa.org/documents/agreement_text/fra/pdf/2012-2015/aewa_agreement_text_fr_2013_2015_annex3_onl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91</Pages>
  <Words>21949</Words>
  <Characters>125115</Characters>
  <Application>Microsoft Office Word</Application>
  <DocSecurity>4</DocSecurity>
  <Lines>1042</Lines>
  <Paragraphs>293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Catherine Lehmann (UNEP/AEWA Secretariat)</cp:lastModifiedBy>
  <cp:revision>2</cp:revision>
  <cp:lastPrinted>2014-11-08T01:24:00Z</cp:lastPrinted>
  <dcterms:created xsi:type="dcterms:W3CDTF">2014-11-08T18:11:00Z</dcterms:created>
  <dcterms:modified xsi:type="dcterms:W3CDTF">2014-11-08T18:11:00Z</dcterms:modified>
</cp:coreProperties>
</file>