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0F1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fr-FR"/>
        </w:rPr>
      </w:pPr>
    </w:p>
    <w:tbl>
      <w:tblPr>
        <w:tblW w:w="9639" w:type="dxa"/>
        <w:tblLayout w:type="fixed"/>
        <w:tblCellMar>
          <w:left w:w="10" w:type="dxa"/>
          <w:right w:w="10" w:type="dxa"/>
        </w:tblCellMar>
        <w:tblLook w:val="0000" w:firstRow="0" w:lastRow="0" w:firstColumn="0" w:lastColumn="0" w:noHBand="0" w:noVBand="0"/>
      </w:tblPr>
      <w:tblGrid>
        <w:gridCol w:w="1526"/>
        <w:gridCol w:w="4286"/>
        <w:gridCol w:w="3827"/>
      </w:tblGrid>
      <w:tr w:rsidR="00BE700A" w:rsidRPr="00541224" w14:paraId="6533CA4E" w14:textId="77777777" w:rsidTr="00471A4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402D6D6" w14:textId="77777777" w:rsidR="00BE700A" w:rsidRPr="00EC2A58" w:rsidRDefault="00BE700A" w:rsidP="008566BB">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47642DDC" wp14:editId="694026F0">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2533" t="-726" r="-2533" b="-726"/>
                          <a:stretch>
                            <a:fillRect/>
                          </a:stretch>
                        </pic:blipFill>
                        <pic:spPr>
                          <a:xfrm>
                            <a:off x="0" y="0"/>
                            <a:ext cx="752478" cy="771525"/>
                          </a:xfrm>
                          <a:prstGeom prst="rect">
                            <a:avLst/>
                          </a:prstGeom>
                          <a:noFill/>
                          <a:ln>
                            <a:noFill/>
                            <a:prstDash/>
                          </a:ln>
                        </pic:spPr>
                      </pic:pic>
                    </a:graphicData>
                  </a:graphic>
                </wp:inline>
              </w:drawing>
            </w:r>
          </w:p>
          <w:p w14:paraId="1BF89427" w14:textId="77777777" w:rsidR="00BE700A" w:rsidRPr="00EC2A58" w:rsidRDefault="00BE700A" w:rsidP="008566BB">
            <w:pPr>
              <w:widowControl w:val="0"/>
              <w:suppressAutoHyphens/>
              <w:autoSpaceDE w:val="0"/>
              <w:autoSpaceDN w:val="0"/>
              <w:spacing w:after="0" w:line="240" w:lineRule="auto"/>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2A586FCA" w14:textId="77777777" w:rsidR="00BE700A" w:rsidRPr="00EC2A58" w:rsidRDefault="00BE700A" w:rsidP="008566BB">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1DC56723" w14:textId="77777777" w:rsidR="00BE700A" w:rsidRPr="00EC2A58" w:rsidRDefault="00BE700A"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39125985" w14:textId="77777777" w:rsidR="00BE700A" w:rsidRPr="00EC2A58" w:rsidRDefault="00BE700A"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100118D0" w14:textId="77777777" w:rsidR="00BE700A" w:rsidRPr="00EC2A58" w:rsidRDefault="00BE700A" w:rsidP="008566B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27" w:type="dxa"/>
            <w:tcBorders>
              <w:top w:val="single" w:sz="12" w:space="0" w:color="000000"/>
              <w:bottom w:val="single" w:sz="12" w:space="0" w:color="000000"/>
            </w:tcBorders>
            <w:shd w:val="clear" w:color="auto" w:fill="auto"/>
            <w:tcMar>
              <w:top w:w="85" w:type="dxa"/>
              <w:left w:w="108" w:type="dxa"/>
              <w:bottom w:w="0" w:type="dxa"/>
              <w:right w:w="108" w:type="dxa"/>
            </w:tcMar>
          </w:tcPr>
          <w:p w14:paraId="2DA7E19F" w14:textId="19D69310" w:rsidR="00BE700A" w:rsidRPr="00471A4E" w:rsidRDefault="00BE700A" w:rsidP="005856E8">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471A4E">
              <w:rPr>
                <w:rFonts w:eastAsia="Arial" w:cs="Arial"/>
                <w:lang w:val="en-US"/>
              </w:rPr>
              <w:t>UNEP/CMS/COP14/Do</w:t>
            </w:r>
            <w:r w:rsidR="00541224" w:rsidRPr="00471A4E">
              <w:rPr>
                <w:rFonts w:eastAsia="Arial" w:cs="Arial"/>
                <w:lang w:val="en-US"/>
              </w:rPr>
              <w:t>c.</w:t>
            </w:r>
            <w:r w:rsidR="00266988" w:rsidRPr="00471A4E">
              <w:rPr>
                <w:rFonts w:eastAsia="Arial" w:cs="Arial"/>
                <w:lang w:val="en-US"/>
              </w:rPr>
              <w:t>31.2</w:t>
            </w:r>
            <w:r w:rsidR="00471A4E" w:rsidRPr="00471A4E">
              <w:rPr>
                <w:rFonts w:eastAsia="Arial" w:cs="Arial"/>
                <w:lang w:val="en-US"/>
              </w:rPr>
              <w:t>/Rev</w:t>
            </w:r>
            <w:r w:rsidR="00471A4E">
              <w:rPr>
                <w:rFonts w:eastAsia="Arial" w:cs="Arial"/>
                <w:lang w:val="en-US"/>
              </w:rPr>
              <w:t>.1</w:t>
            </w:r>
          </w:p>
          <w:p w14:paraId="1C8768F4" w14:textId="7C5DBD61" w:rsidR="00BE700A" w:rsidRPr="005856E8" w:rsidRDefault="00C41EAC" w:rsidP="005856E8">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Pr>
                <w:rFonts w:eastAsia="Calibri" w:cs="Arial"/>
                <w:lang w:val="fr-FR"/>
              </w:rPr>
              <w:t>2</w:t>
            </w:r>
            <w:r w:rsidR="00471A4E">
              <w:rPr>
                <w:rFonts w:eastAsia="Calibri" w:cs="Arial"/>
                <w:lang w:val="fr-FR"/>
              </w:rPr>
              <w:t>7 juillet</w:t>
            </w:r>
            <w:r>
              <w:rPr>
                <w:rFonts w:eastAsia="Calibri" w:cs="Arial"/>
                <w:lang w:val="fr-FR"/>
              </w:rPr>
              <w:t xml:space="preserve"> 2023</w:t>
            </w:r>
          </w:p>
          <w:p w14:paraId="11D22A77" w14:textId="77777777" w:rsidR="00BE700A" w:rsidRPr="00541224" w:rsidRDefault="00BE700A" w:rsidP="005856E8">
            <w:pPr>
              <w:widowControl w:val="0"/>
              <w:suppressAutoHyphens/>
              <w:autoSpaceDE w:val="0"/>
              <w:autoSpaceDN w:val="0"/>
              <w:spacing w:before="120" w:after="0" w:line="240" w:lineRule="auto"/>
              <w:textAlignment w:val="baseline"/>
              <w:rPr>
                <w:rFonts w:ascii="Calibri" w:eastAsia="Calibri" w:hAnsi="Calibri" w:cs="Times New Roman"/>
                <w:lang w:val="fr-FR"/>
              </w:rPr>
            </w:pPr>
            <w:r w:rsidRPr="00EC2A58">
              <w:rPr>
                <w:rFonts w:eastAsia="Arial" w:cs="Arial"/>
                <w:lang w:val="fr-FR"/>
              </w:rPr>
              <w:t>Français</w:t>
            </w:r>
          </w:p>
          <w:p w14:paraId="46B3D831" w14:textId="5B3864A2" w:rsidR="00BE700A" w:rsidRPr="00541224" w:rsidRDefault="00BE700A" w:rsidP="005856E8">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Anglais</w:t>
            </w:r>
          </w:p>
          <w:p w14:paraId="7C79BC25" w14:textId="77777777" w:rsidR="00BE700A" w:rsidRPr="00EC2A58" w:rsidRDefault="00BE700A" w:rsidP="008566BB">
            <w:pPr>
              <w:widowControl w:val="0"/>
              <w:suppressAutoHyphens/>
              <w:autoSpaceDE w:val="0"/>
              <w:autoSpaceDN w:val="0"/>
              <w:spacing w:after="0" w:line="240" w:lineRule="auto"/>
              <w:textAlignment w:val="baseline"/>
              <w:rPr>
                <w:rFonts w:eastAsia="Times New Roman" w:cs="Arial"/>
                <w:sz w:val="12"/>
                <w:szCs w:val="12"/>
                <w:lang w:val="fr-FR"/>
              </w:rPr>
            </w:pPr>
          </w:p>
        </w:tc>
      </w:tr>
    </w:tbl>
    <w:p w14:paraId="01E5EDC3" w14:textId="77777777" w:rsidR="00BE700A" w:rsidRPr="00EC2A58" w:rsidRDefault="00BE700A" w:rsidP="00BE700A">
      <w:pPr>
        <w:widowControl w:val="0"/>
        <w:tabs>
          <w:tab w:val="left" w:pos="-1057"/>
          <w:tab w:val="left" w:pos="-720"/>
        </w:tabs>
        <w:suppressAutoHyphens/>
        <w:autoSpaceDE w:val="0"/>
        <w:autoSpaceDN w:val="0"/>
        <w:spacing w:before="120" w:after="0" w:line="240" w:lineRule="auto"/>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6CDEFF9E" w14:textId="6C12B60E" w:rsidR="00BE700A" w:rsidRPr="00EC2A58" w:rsidRDefault="00BE700A" w:rsidP="00BE700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7853C3">
        <w:rPr>
          <w:rFonts w:eastAsia="Arial" w:cs="Arial"/>
          <w:bCs/>
          <w:lang w:val="fr-FR"/>
        </w:rPr>
        <w:t>12</w:t>
      </w:r>
      <w:r>
        <w:rPr>
          <w:rFonts w:eastAsia="Arial" w:cs="Arial"/>
          <w:bCs/>
          <w:lang w:val="fr-FR"/>
        </w:rPr>
        <w:t xml:space="preserve"> – </w:t>
      </w:r>
      <w:r w:rsidR="007853C3">
        <w:rPr>
          <w:rFonts w:eastAsia="Arial" w:cs="Arial"/>
          <w:bCs/>
          <w:lang w:val="fr-FR"/>
        </w:rPr>
        <w:t>17</w:t>
      </w:r>
      <w:r>
        <w:rPr>
          <w:rFonts w:eastAsia="Arial" w:cs="Arial"/>
          <w:bCs/>
          <w:lang w:val="fr-FR"/>
        </w:rPr>
        <w:t xml:space="preserve"> </w:t>
      </w:r>
      <w:r w:rsidR="007853C3">
        <w:rPr>
          <w:rFonts w:eastAsia="Arial" w:cs="Arial"/>
          <w:bCs/>
          <w:lang w:val="fr-FR"/>
        </w:rPr>
        <w:t>février 2024</w:t>
      </w:r>
    </w:p>
    <w:p w14:paraId="42014FEE" w14:textId="60479315" w:rsidR="00BE700A" w:rsidRPr="00EC2A58" w:rsidRDefault="00BE700A" w:rsidP="00BE700A">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w:t>
      </w:r>
      <w:r w:rsidR="00C41EAC">
        <w:rPr>
          <w:rFonts w:eastAsia="Arial" w:cs="Arial"/>
          <w:iCs/>
          <w:lang w:val="fr-FR"/>
        </w:rPr>
        <w:t xml:space="preserve">t 31 </w:t>
      </w:r>
      <w:r w:rsidRPr="00EC2A58">
        <w:rPr>
          <w:rFonts w:eastAsia="Arial" w:cs="Arial"/>
          <w:iCs/>
          <w:lang w:val="fr-FR"/>
        </w:rPr>
        <w:t>de l’ordre du jour</w:t>
      </w:r>
    </w:p>
    <w:p w14:paraId="7408EC0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1554ADA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5B4F8B3E" w14:textId="77777777" w:rsidR="00B3027D" w:rsidRDefault="00D7655A" w:rsidP="00B302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t xml:space="preserve">ORIENTATIONS SUR LA DÉSAGRÉGATION DES FAMILLES ET DES </w:t>
      </w:r>
    </w:p>
    <w:p w14:paraId="6C96AE1E" w14:textId="3595345F" w:rsidR="002E0DE9" w:rsidRDefault="002D5064"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 xml:space="preserve">GENRES </w:t>
      </w:r>
      <w:r w:rsidR="009105AD">
        <w:rPr>
          <w:rFonts w:eastAsia="Times New Roman" w:cs="Arial"/>
          <w:b/>
          <w:bCs/>
          <w:lang w:val="fr-FR"/>
        </w:rPr>
        <w:t xml:space="preserve">INSCRITS </w:t>
      </w:r>
      <w:r>
        <w:rPr>
          <w:rFonts w:eastAsia="Times New Roman" w:cs="Arial"/>
          <w:b/>
          <w:bCs/>
          <w:lang w:val="fr-FR"/>
        </w:rPr>
        <w:t>À L'ANNEXE II</w:t>
      </w:r>
    </w:p>
    <w:p w14:paraId="57504EB6" w14:textId="5E6C81AE"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fr-FR"/>
        </w:rPr>
      </w:pPr>
      <w:r>
        <w:rPr>
          <w:rFonts w:eastAsia="Times New Roman" w:cs="Arial"/>
          <w:i/>
          <w:lang w:val="fr-FR"/>
        </w:rPr>
        <w:t>(Préparé par le Conseil scientifique)</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fr-FR"/>
        </w:rPr>
      </w:pPr>
    </w:p>
    <w:p w14:paraId="25A47AE0" w14:textId="3FB67371"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lang w:val="fr-FR"/>
        </w:rPr>
      </w:pPr>
    </w:p>
    <w:p w14:paraId="320AAD7B" w14:textId="557797AE" w:rsidR="002E0DE9" w:rsidRPr="002E0DE9" w:rsidRDefault="000D7FCD" w:rsidP="00EC4F04">
      <w:pPr>
        <w:widowControl w:val="0"/>
        <w:suppressAutoHyphens/>
        <w:autoSpaceDE w:val="0"/>
        <w:autoSpaceDN w:val="0"/>
        <w:spacing w:after="0" w:line="240" w:lineRule="auto"/>
        <w:textAlignment w:val="baseline"/>
        <w:rPr>
          <w:rFonts w:eastAsia="Times New Roman" w:cs="Arial"/>
          <w:sz w:val="21"/>
          <w:szCs w:val="21"/>
          <w:lang w:val="fr-FR"/>
        </w:rPr>
      </w:pPr>
      <w:r>
        <w:rPr>
          <w:rFonts w:eastAsia="Times New Roman" w:cs="Arial"/>
          <w:noProof/>
          <w:sz w:val="21"/>
          <w:szCs w:val="21"/>
          <w:lang w:val="fr-FR"/>
        </w:rPr>
        <mc:AlternateContent>
          <mc:Choice Requires="wps">
            <w:drawing>
              <wp:anchor distT="0" distB="0" distL="114300" distR="114300" simplePos="0" relativeHeight="251658240" behindDoc="0" locked="0" layoutInCell="1" allowOverlap="1" wp14:anchorId="13CF45B1" wp14:editId="51A5EE7F">
                <wp:simplePos x="0" y="0"/>
                <wp:positionH relativeFrom="column">
                  <wp:posOffset>876299</wp:posOffset>
                </wp:positionH>
                <wp:positionV relativeFrom="paragraph">
                  <wp:posOffset>61595</wp:posOffset>
                </wp:positionV>
                <wp:extent cx="4695825" cy="3276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695825" cy="327660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lang w:val="fr-FR"/>
                              </w:rPr>
                            </w:pPr>
                            <w:r>
                              <w:rPr>
                                <w:rFonts w:cs="Arial"/>
                                <w:lang w:val="fr-FR"/>
                              </w:rPr>
                              <w:t>Résumé :</w:t>
                            </w:r>
                          </w:p>
                          <w:p w14:paraId="3D9DADAB" w14:textId="77777777" w:rsidR="002E0DE9" w:rsidRDefault="002E0DE9" w:rsidP="002E0DE9">
                            <w:pPr>
                              <w:spacing w:after="0"/>
                              <w:rPr>
                                <w:rFonts w:cs="Arial"/>
                                <w:lang w:val="fr-FR"/>
                              </w:rPr>
                            </w:pPr>
                          </w:p>
                          <w:p w14:paraId="3EFE178F" w14:textId="16330F2E" w:rsidR="001C0D96" w:rsidRDefault="00661875" w:rsidP="00DD7C08">
                            <w:pPr>
                              <w:spacing w:after="0" w:line="240" w:lineRule="auto"/>
                              <w:jc w:val="both"/>
                              <w:rPr>
                                <w:rFonts w:cs="Arial"/>
                                <w:lang w:val="fr-FR"/>
                              </w:rPr>
                            </w:pPr>
                            <w:r>
                              <w:rPr>
                                <w:rFonts w:cs="Arial"/>
                                <w:lang w:val="fr-FR"/>
                              </w:rPr>
                              <w:t xml:space="preserve">Ce document rapporte les résultats des discussions du Groupe de travail intersessions sur la désagrégation des taxons supérieurs inscrits à l'Annexe II sur les traitements alternatifs visant à répondre à cette question.  </w:t>
                            </w:r>
                          </w:p>
                          <w:p w14:paraId="322350C8" w14:textId="77777777" w:rsidR="001C0D96" w:rsidRDefault="001C0D96" w:rsidP="00DD7C08">
                            <w:pPr>
                              <w:spacing w:after="0" w:line="240" w:lineRule="auto"/>
                              <w:jc w:val="both"/>
                              <w:rPr>
                                <w:rFonts w:cs="Arial"/>
                                <w:lang w:val="fr-FR"/>
                              </w:rPr>
                            </w:pPr>
                          </w:p>
                          <w:p w14:paraId="0A7AC1E9" w14:textId="269D84A9" w:rsidR="009C1079" w:rsidRDefault="00D945EA" w:rsidP="00DD7C08">
                            <w:pPr>
                              <w:spacing w:after="0" w:line="240" w:lineRule="auto"/>
                              <w:jc w:val="both"/>
                              <w:rPr>
                                <w:rFonts w:cs="Arial"/>
                                <w:lang w:val="fr-FR"/>
                              </w:rPr>
                            </w:pPr>
                            <w:r>
                              <w:rPr>
                                <w:rFonts w:cs="Arial"/>
                                <w:lang w:val="fr-FR"/>
                              </w:rPr>
                              <w:t>Le Groupe de travail intersessions recommande que, pour aider les Parties à gérer leurs responsabilités à l'égard des espèces agrégées en familles et en genres à l'Annexe II, le Conseil scientifique établisse une liste consultative des espèces au sein des familles et des genres dont une fraction importante franchit cycliquement et de façon prévisible une ou plusieurs des limites de juridiction nationale et dont l'état de conservation est défavorable.  Cette liste devrait être tenue à jour par le Conseil scientifique et devrait être examinée et mise à jour avant chaque session de la Conférence des Parties.</w:t>
                            </w:r>
                          </w:p>
                          <w:p w14:paraId="55DFF6C5" w14:textId="77777777" w:rsidR="00E603EE" w:rsidRDefault="00E603EE" w:rsidP="00E603EE">
                            <w:pPr>
                              <w:spacing w:after="0" w:line="240" w:lineRule="auto"/>
                              <w:rPr>
                                <w:rFonts w:cs="Arial"/>
                                <w:lang w:val="fr-FR"/>
                              </w:rPr>
                            </w:pPr>
                          </w:p>
                          <w:p w14:paraId="0C0AD456" w14:textId="77777777" w:rsidR="00E603EE" w:rsidRPr="00E603EE" w:rsidRDefault="00E603EE" w:rsidP="00E603EE">
                            <w:pPr>
                              <w:spacing w:after="0" w:line="240" w:lineRule="auto"/>
                              <w:jc w:val="both"/>
                              <w:rPr>
                                <w:rStyle w:val="cf01"/>
                                <w:rFonts w:ascii="Arial" w:hAnsi="Arial" w:cs="Arial"/>
                                <w:sz w:val="22"/>
                                <w:szCs w:val="22"/>
                                <w:lang w:val="fr-FR"/>
                              </w:rPr>
                            </w:pPr>
                            <w:r w:rsidRPr="00E603EE">
                              <w:rPr>
                                <w:rStyle w:val="cf01"/>
                                <w:rFonts w:ascii="Arial" w:hAnsi="Arial" w:cs="Arial"/>
                                <w:sz w:val="22"/>
                                <w:szCs w:val="22"/>
                                <w:lang w:val="fr-FR"/>
                              </w:rPr>
                              <w:t>Ce document a été révisé par le Comité de session du Conseil scientifique lors de sa 6</w:t>
                            </w:r>
                            <w:r w:rsidRPr="00E603EE">
                              <w:rPr>
                                <w:rStyle w:val="cf01"/>
                                <w:rFonts w:ascii="Arial" w:hAnsi="Arial" w:cs="Arial"/>
                                <w:sz w:val="22"/>
                                <w:szCs w:val="22"/>
                                <w:vertAlign w:val="superscript"/>
                                <w:lang w:val="fr-FR"/>
                              </w:rPr>
                              <w:t>e</w:t>
                            </w:r>
                            <w:r w:rsidRPr="00E603EE">
                              <w:rPr>
                                <w:rStyle w:val="cf01"/>
                                <w:rFonts w:ascii="Arial" w:hAnsi="Arial" w:cs="Arial"/>
                                <w:sz w:val="22"/>
                                <w:szCs w:val="22"/>
                                <w:lang w:val="fr-FR"/>
                              </w:rPr>
                              <w:t xml:space="preserve"> réunion en juillet 2023.</w:t>
                            </w:r>
                          </w:p>
                          <w:p w14:paraId="65E74ACD" w14:textId="77777777" w:rsidR="00E603EE" w:rsidRDefault="00E603EE" w:rsidP="00DD7C08">
                            <w:pPr>
                              <w:spacing w:after="0" w:line="240" w:lineRule="auto"/>
                              <w:jc w:val="both"/>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69pt;margin-top:4.85pt;width:369.7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" strokeweight=".08811mm">
                <v:textbox>
                  <w:txbxContent>
                    <w:p w14:paraId="69DC25A9" w14:textId="77777777" w:rsidR="002E0DE9" w:rsidRDefault="002E0DE9" w:rsidP="002E0DE9">
                      <w:pPr>
                        <w:spacing w:after="0"/>
                        <w:rPr>
                          <w:rFonts w:cs="Arial"/>
                          <w:lang w:val="fr-FR"/>
                        </w:rPr>
                      </w:pPr>
                      <w:r>
                        <w:rPr>
                          <w:rFonts w:cs="Arial"/>
                          <w:lang w:val="fr-FR"/>
                        </w:rPr>
                        <w:t>Résumé :</w:t>
                      </w:r>
                    </w:p>
                    <w:p w14:paraId="3D9DADAB" w14:textId="77777777" w:rsidR="002E0DE9" w:rsidRDefault="002E0DE9" w:rsidP="002E0DE9">
                      <w:pPr>
                        <w:spacing w:after="0"/>
                        <w:rPr>
                          <w:rFonts w:cs="Arial"/>
                          <w:lang w:val="fr-FR"/>
                        </w:rPr>
                      </w:pPr>
                    </w:p>
                    <w:p w14:paraId="3EFE178F" w14:textId="16330F2E" w:rsidR="001C0D96" w:rsidRDefault="00661875" w:rsidP="00DD7C08">
                      <w:pPr>
                        <w:spacing w:after="0" w:line="240" w:lineRule="auto"/>
                        <w:jc w:val="both"/>
                        <w:rPr>
                          <w:rFonts w:cs="Arial"/>
                          <w:lang w:val="fr-FR"/>
                        </w:rPr>
                      </w:pPr>
                      <w:r>
                        <w:rPr>
                          <w:rFonts w:cs="Arial"/>
                          <w:lang w:val="fr-FR"/>
                        </w:rPr>
                        <w:t xml:space="preserve">Ce document rapporte les résultats des discussions du Groupe de travail intersessions sur la désagrégation des taxons supérieurs inscrits à l'Annexe II sur les traitements alternatifs visant à répondre à cette question.  </w:t>
                      </w:r>
                    </w:p>
                    <w:p w14:paraId="322350C8" w14:textId="77777777" w:rsidR="001C0D96" w:rsidRDefault="001C0D96" w:rsidP="00DD7C08">
                      <w:pPr>
                        <w:spacing w:after="0" w:line="240" w:lineRule="auto"/>
                        <w:jc w:val="both"/>
                        <w:rPr>
                          <w:rFonts w:cs="Arial"/>
                          <w:lang w:val="fr-FR"/>
                        </w:rPr>
                      </w:pPr>
                    </w:p>
                    <w:p w14:paraId="0A7AC1E9" w14:textId="269D84A9" w:rsidR="009C1079" w:rsidRDefault="00D945EA" w:rsidP="00DD7C08">
                      <w:pPr>
                        <w:spacing w:after="0" w:line="240" w:lineRule="auto"/>
                        <w:jc w:val="both"/>
                        <w:rPr>
                          <w:rFonts w:cs="Arial"/>
                          <w:lang w:val="fr-FR"/>
                        </w:rPr>
                      </w:pPr>
                      <w:r>
                        <w:rPr>
                          <w:rFonts w:cs="Arial"/>
                          <w:lang w:val="fr-FR"/>
                        </w:rPr>
                        <w:t>Le Groupe de travail intersessions recommande que, pour aider les Parties à gérer leurs responsabilités à l'égard des espèces agrégées en familles et en genres à l'Annexe II, le Conseil scientifique établisse une liste consultative des espèces au sein des familles et des genres dont une fraction importante franchit cycliquement et de façon prévisible une ou plusieurs des limites de juridiction nationale et dont l'état de conservation est défavorable.  Cette liste devrait être tenue à jour par le Conseil scientifique et devrait être examinée et mise à jour avant chaque session de la Conférence des Parties.</w:t>
                      </w:r>
                    </w:p>
                    <w:p w14:paraId="55DFF6C5" w14:textId="77777777" w:rsidR="00E603EE" w:rsidRDefault="00E603EE" w:rsidP="00E603EE">
                      <w:pPr>
                        <w:spacing w:after="0" w:line="240" w:lineRule="auto"/>
                        <w:rPr>
                          <w:rFonts w:cs="Arial"/>
                          <w:lang w:val="fr-FR"/>
                        </w:rPr>
                      </w:pPr>
                    </w:p>
                    <w:p w14:paraId="0C0AD456" w14:textId="77777777" w:rsidR="00E603EE" w:rsidRPr="00E603EE" w:rsidRDefault="00E603EE" w:rsidP="00E603EE">
                      <w:pPr>
                        <w:spacing w:after="0" w:line="240" w:lineRule="auto"/>
                        <w:jc w:val="both"/>
                        <w:rPr>
                          <w:rStyle w:val="cf01"/>
                          <w:rFonts w:ascii="Arial" w:hAnsi="Arial" w:cs="Arial"/>
                          <w:sz w:val="22"/>
                          <w:szCs w:val="22"/>
                          <w:lang w:val="fr-FR"/>
                        </w:rPr>
                      </w:pPr>
                      <w:r w:rsidRPr="00E603EE">
                        <w:rPr>
                          <w:rStyle w:val="cf01"/>
                          <w:rFonts w:ascii="Arial" w:hAnsi="Arial" w:cs="Arial"/>
                          <w:sz w:val="22"/>
                          <w:szCs w:val="22"/>
                          <w:lang w:val="fr-FR"/>
                        </w:rPr>
                        <w:t>Ce document a été révisé par le Comité de session du Conseil scientifique lors de sa 6</w:t>
                      </w:r>
                      <w:r w:rsidRPr="00E603EE">
                        <w:rPr>
                          <w:rStyle w:val="cf01"/>
                          <w:rFonts w:ascii="Arial" w:hAnsi="Arial" w:cs="Arial"/>
                          <w:sz w:val="22"/>
                          <w:szCs w:val="22"/>
                          <w:vertAlign w:val="superscript"/>
                          <w:lang w:val="fr-FR"/>
                        </w:rPr>
                        <w:t>e</w:t>
                      </w:r>
                      <w:r w:rsidRPr="00E603EE">
                        <w:rPr>
                          <w:rStyle w:val="cf01"/>
                          <w:rFonts w:ascii="Arial" w:hAnsi="Arial" w:cs="Arial"/>
                          <w:sz w:val="22"/>
                          <w:szCs w:val="22"/>
                          <w:lang w:val="fr-FR"/>
                        </w:rPr>
                        <w:t xml:space="preserve"> réunion en juillet 2023.</w:t>
                      </w:r>
                    </w:p>
                    <w:p w14:paraId="65E74ACD" w14:textId="77777777" w:rsidR="00E603EE" w:rsidRDefault="00E603EE" w:rsidP="00DD7C08">
                      <w:pPr>
                        <w:spacing w:after="0" w:line="240" w:lineRule="auto"/>
                        <w:jc w:val="both"/>
                        <w:rPr>
                          <w:rFonts w:cs="Arial"/>
                          <w:lang w:val="fr-FR"/>
                        </w:rPr>
                      </w:pPr>
                    </w:p>
                  </w:txbxContent>
                </v:textbox>
              </v:shape>
            </w:pict>
          </mc:Fallback>
        </mc:AlternateContent>
      </w: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EB42C66" w14:textId="77777777" w:rsidR="005330F7" w:rsidRDefault="005330F7" w:rsidP="00EC4F04">
      <w:pPr>
        <w:spacing w:after="0" w:line="240" w:lineRule="auto"/>
        <w:rPr>
          <w:lang w:val="fr-FR"/>
        </w:rPr>
      </w:pPr>
    </w:p>
    <w:p w14:paraId="111843FD" w14:textId="77777777" w:rsidR="002E0DE9"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73A3A65F" w14:textId="77777777" w:rsidR="00661875" w:rsidRDefault="00661875" w:rsidP="00EC4F04">
      <w:pPr>
        <w:spacing w:after="0" w:line="240" w:lineRule="auto"/>
        <w:rPr>
          <w:lang w:val="fr-FR"/>
        </w:rPr>
        <w:sectPr w:rsidR="00661875" w:rsidSect="00B3027D">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20"/>
          <w:titlePg/>
          <w:docGrid w:linePitch="360"/>
        </w:sectPr>
      </w:pPr>
    </w:p>
    <w:p w14:paraId="452F7A5F" w14:textId="77777777" w:rsidR="00B3027D" w:rsidRDefault="009331CD" w:rsidP="00B302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fr-FR"/>
        </w:rPr>
      </w:pPr>
      <w:r>
        <w:rPr>
          <w:rFonts w:eastAsia="Times New Roman" w:cs="Arial"/>
          <w:b/>
          <w:bCs/>
          <w:lang w:val="fr-FR"/>
        </w:rPr>
        <w:lastRenderedPageBreak/>
        <w:t xml:space="preserve">ORIENTATIONS SUR LA DÉSAGRÉGATION DES FAMILLES ET DES </w:t>
      </w:r>
    </w:p>
    <w:p w14:paraId="6E0B7AE5" w14:textId="21E16754" w:rsidR="000F6AB7" w:rsidRDefault="009331CD" w:rsidP="000F6AB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 xml:space="preserve">GENRES </w:t>
      </w:r>
      <w:r w:rsidR="000D7FCD">
        <w:rPr>
          <w:rFonts w:eastAsia="Times New Roman" w:cs="Arial"/>
          <w:b/>
          <w:bCs/>
          <w:lang w:val="fr-FR"/>
        </w:rPr>
        <w:t xml:space="preserve">INSCRITS </w:t>
      </w:r>
      <w:r>
        <w:rPr>
          <w:rFonts w:eastAsia="Times New Roman" w:cs="Arial"/>
          <w:b/>
          <w:bCs/>
          <w:lang w:val="fr-FR"/>
        </w:rPr>
        <w:t>À L'ANNEXE II</w:t>
      </w:r>
    </w:p>
    <w:p w14:paraId="0DCB8F07" w14:textId="77777777" w:rsidR="002E0DE9" w:rsidRDefault="002E0DE9" w:rsidP="00EC4F04">
      <w:pPr>
        <w:suppressAutoHyphens/>
        <w:autoSpaceDN w:val="0"/>
        <w:spacing w:after="0" w:line="240" w:lineRule="auto"/>
        <w:textAlignment w:val="baseline"/>
        <w:rPr>
          <w:rFonts w:eastAsia="Calibri" w:cs="Arial"/>
          <w:lang w:val="fr-FR"/>
        </w:rPr>
      </w:pPr>
    </w:p>
    <w:p w14:paraId="0D4305E7" w14:textId="77777777" w:rsidR="00B3027D" w:rsidRPr="0046133A" w:rsidRDefault="00B3027D" w:rsidP="00EC4F04">
      <w:pPr>
        <w:suppressAutoHyphens/>
        <w:autoSpaceDN w:val="0"/>
        <w:spacing w:after="0" w:line="240" w:lineRule="auto"/>
        <w:textAlignment w:val="baseline"/>
        <w:rPr>
          <w:rFonts w:eastAsia="Calibri" w:cs="Arial"/>
          <w:lang w:val="fr-FR"/>
        </w:rPr>
      </w:pPr>
    </w:p>
    <w:p w14:paraId="3C86903F" w14:textId="77777777" w:rsidR="002E0DE9" w:rsidRPr="0046133A" w:rsidRDefault="002E0DE9" w:rsidP="00EC4F04">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115888D2" w14:textId="77777777" w:rsidR="002E0DE9" w:rsidRPr="0046133A" w:rsidRDefault="002E0DE9" w:rsidP="00EC4F04">
      <w:pPr>
        <w:spacing w:after="0" w:line="240" w:lineRule="auto"/>
        <w:rPr>
          <w:rFonts w:cs="Arial"/>
          <w:lang w:val="fr-FR"/>
        </w:rPr>
      </w:pPr>
    </w:p>
    <w:p w14:paraId="10C0D884" w14:textId="39C6FCBA" w:rsidR="00D04E3D" w:rsidRPr="00DC31DF" w:rsidRDefault="00D04E3D" w:rsidP="00DC31DF">
      <w:pPr>
        <w:pStyle w:val="pf0"/>
        <w:numPr>
          <w:ilvl w:val="0"/>
          <w:numId w:val="6"/>
        </w:numPr>
        <w:spacing w:before="0" w:beforeAutospacing="0" w:after="0" w:afterAutospacing="0"/>
        <w:ind w:left="567" w:hanging="567"/>
        <w:jc w:val="both"/>
        <w:rPr>
          <w:rStyle w:val="cf01"/>
          <w:rFonts w:ascii="Arial" w:hAnsi="Arial" w:cs="Arial"/>
          <w:sz w:val="24"/>
          <w:szCs w:val="24"/>
          <w:lang w:val="fr-FR"/>
        </w:rPr>
      </w:pPr>
      <w:bookmarkStart w:id="0" w:name="_Hlk19517251"/>
      <w:r>
        <w:rPr>
          <w:rStyle w:val="cf01"/>
          <w:rFonts w:ascii="Arial" w:hAnsi="Arial" w:cs="Arial"/>
          <w:sz w:val="22"/>
          <w:szCs w:val="22"/>
          <w:lang w:val="fr-FR"/>
        </w:rPr>
        <w:t>L'Annexe II de la CMS reprend 63 familles d'oiseaux et trois genres plutôt que des espèces individuelles. En utilisant la taxonomie adoptée par les 11</w:t>
      </w:r>
      <w:r>
        <w:rPr>
          <w:rStyle w:val="cf01"/>
          <w:rFonts w:ascii="Arial" w:hAnsi="Arial"/>
          <w:sz w:val="22"/>
          <w:vertAlign w:val="superscript"/>
          <w:lang w:val="fr-FR"/>
        </w:rPr>
        <w:t>e</w:t>
      </w:r>
      <w:r>
        <w:rPr>
          <w:rStyle w:val="cf01"/>
          <w:rFonts w:ascii="Arial" w:hAnsi="Arial" w:cs="Arial"/>
          <w:sz w:val="22"/>
          <w:szCs w:val="22"/>
          <w:lang w:val="fr-FR"/>
        </w:rPr>
        <w:t xml:space="preserve"> et 12</w:t>
      </w:r>
      <w:r>
        <w:rPr>
          <w:rStyle w:val="cf01"/>
          <w:rFonts w:ascii="Arial" w:hAnsi="Arial"/>
          <w:sz w:val="22"/>
          <w:vertAlign w:val="superscript"/>
          <w:lang w:val="fr-FR"/>
        </w:rPr>
        <w:t>e</w:t>
      </w:r>
      <w:r>
        <w:rPr>
          <w:rStyle w:val="cf01"/>
          <w:rFonts w:ascii="Arial" w:hAnsi="Arial" w:cs="Arial"/>
          <w:sz w:val="22"/>
          <w:szCs w:val="22"/>
          <w:lang w:val="fr-FR"/>
        </w:rPr>
        <w:t xml:space="preserve"> sessions de la Conférence des Parties (COP) comme norme pour la CMS pour les oiseaux, ces familles et genres d'oiseaux inscrits à l'Annexe II contiennent 2 833 espèces. Cependant, toutes ces espèces ne devraient pas être considérées comme couvertes par l'Annexe II. Une première évaluation de la mesure dans laquelle les espèces individuelles remplissent les critères d'inscription à l'Annexe II (tels que définis dans</w:t>
      </w:r>
      <w:r>
        <w:rPr>
          <w:rFonts w:ascii="Arial" w:hAnsi="Arial" w:cs="Arial"/>
          <w:sz w:val="22"/>
          <w:szCs w:val="22"/>
          <w:lang w:val="fr-FR"/>
        </w:rPr>
        <w:t xml:space="preserve"> les </w:t>
      </w:r>
      <w:r>
        <w:rPr>
          <w:rFonts w:ascii="Arial" w:hAnsi="Arial" w:cs="Arial"/>
          <w:i/>
          <w:iCs/>
          <w:sz w:val="22"/>
          <w:szCs w:val="22"/>
          <w:lang w:val="fr-FR"/>
        </w:rPr>
        <w:t>Lignes directrices pour l'évaluation des propositions d'inscription aux Annexes I et II</w:t>
      </w:r>
      <w:r>
        <w:rPr>
          <w:rFonts w:ascii="Arial" w:hAnsi="Arial" w:cs="Arial"/>
          <w:sz w:val="22"/>
          <w:szCs w:val="22"/>
          <w:lang w:val="fr-FR"/>
        </w:rPr>
        <w:t xml:space="preserve"> annexées à </w:t>
      </w:r>
      <w:hyperlink r:id="rId19" w:history="1">
        <w:r>
          <w:rPr>
            <w:rStyle w:val="Hyperlink"/>
            <w:rFonts w:ascii="Arial" w:hAnsi="Arial" w:cs="Arial"/>
            <w:sz w:val="22"/>
            <w:szCs w:val="22"/>
            <w:lang w:val="fr-FR"/>
          </w:rPr>
          <w:t>la Résolution 13.7</w:t>
        </w:r>
      </w:hyperlink>
      <w:r>
        <w:rPr>
          <w:rFonts w:ascii="Arial" w:hAnsi="Arial" w:cs="Arial"/>
          <w:sz w:val="22"/>
          <w:szCs w:val="22"/>
          <w:lang w:val="fr-FR"/>
        </w:rPr>
        <w:t>), a été préparée par Stephen Garnett, Conseiller pour les oiseaux nommé par la COP, pour la considération de la 4</w:t>
      </w:r>
      <w:r>
        <w:rPr>
          <w:rFonts w:ascii="Arial" w:hAnsi="Arial" w:cs="Arial"/>
          <w:sz w:val="22"/>
          <w:szCs w:val="22"/>
          <w:vertAlign w:val="superscript"/>
          <w:lang w:val="fr-FR"/>
        </w:rPr>
        <w:t>e</w:t>
      </w:r>
      <w:r>
        <w:rPr>
          <w:rFonts w:ascii="Arial" w:hAnsi="Arial" w:cs="Arial"/>
          <w:sz w:val="22"/>
          <w:szCs w:val="22"/>
          <w:lang w:val="fr-FR"/>
        </w:rPr>
        <w:t xml:space="preserve"> réunion du Comité de session du Conseil scientifique (</w:t>
      </w:r>
      <w:hyperlink r:id="rId20" w:history="1">
        <w:r>
          <w:rPr>
            <w:rStyle w:val="Hyperlink"/>
            <w:rFonts w:ascii="Arial" w:hAnsi="Arial" w:cs="Arial"/>
            <w:sz w:val="22"/>
            <w:szCs w:val="22"/>
            <w:lang w:val="fr-FR"/>
          </w:rPr>
          <w:t>UNEP/CMS/ScC-SC4/Doc.11.3.2</w:t>
        </w:r>
      </w:hyperlink>
      <w:r>
        <w:rPr>
          <w:rFonts w:ascii="Arial" w:hAnsi="Arial" w:cs="Arial"/>
          <w:sz w:val="22"/>
          <w:szCs w:val="22"/>
          <w:lang w:val="fr-FR"/>
        </w:rPr>
        <w:t>).</w:t>
      </w:r>
      <w:r>
        <w:rPr>
          <w:lang w:val="fr-FR"/>
        </w:rPr>
        <w:t xml:space="preserve"> </w:t>
      </w:r>
      <w:r>
        <w:rPr>
          <w:rStyle w:val="cf01"/>
          <w:rFonts w:ascii="Arial" w:hAnsi="Arial" w:cs="Arial"/>
          <w:sz w:val="22"/>
          <w:szCs w:val="22"/>
          <w:lang w:val="fr-FR"/>
        </w:rPr>
        <w:t xml:space="preserve">Lors de la réunion, il a été convenu que des travaux supplémentaires étaient nécessaires avant que le Conseil scientifique puisse être en mesure de rendre un avis réfléchi à la Conférence des Parties sur les avantages et les inconvénients des différentes manières de traiter les espèces actuellement agrégées sous des familles ou des genres à l'Annexe II. Dans le document </w:t>
      </w:r>
      <w:hyperlink r:id="rId21" w:history="1">
        <w:r>
          <w:rPr>
            <w:rStyle w:val="Hyperlink"/>
            <w:rFonts w:ascii="Arial" w:hAnsi="Arial" w:cs="Arial"/>
            <w:sz w:val="22"/>
            <w:szCs w:val="22"/>
            <w:lang w:val="fr-FR"/>
          </w:rPr>
          <w:t>UNEP/CMS/COP13/Doc.27.3</w:t>
        </w:r>
      </w:hyperlink>
      <w:r>
        <w:rPr>
          <w:rStyle w:val="cf01"/>
          <w:rFonts w:ascii="Arial" w:hAnsi="Arial" w:cs="Arial"/>
          <w:sz w:val="22"/>
          <w:szCs w:val="22"/>
          <w:lang w:val="fr-FR"/>
        </w:rPr>
        <w:t>, le Conseil scientifique a proposé de mener des travaux supplémentaires sur cette question. L'offre a été acceptée par la COP13 et renvoyée au Comité de session du Conseil scientifique pour action.</w:t>
      </w:r>
      <w:r>
        <w:rPr>
          <w:rStyle w:val="FootnoteReference"/>
          <w:rFonts w:ascii="Arial" w:hAnsi="Arial" w:cs="Arial"/>
          <w:sz w:val="22"/>
          <w:szCs w:val="22"/>
          <w:lang w:val="fr-FR"/>
        </w:rPr>
        <w:footnoteReference w:id="2"/>
      </w:r>
    </w:p>
    <w:p w14:paraId="63A88839" w14:textId="77777777" w:rsidR="00D04E3D" w:rsidRPr="0007732B" w:rsidRDefault="00D04E3D" w:rsidP="00DC31DF">
      <w:pPr>
        <w:pStyle w:val="pf0"/>
        <w:spacing w:before="0" w:beforeAutospacing="0" w:after="0" w:afterAutospacing="0"/>
        <w:ind w:left="567" w:hanging="567"/>
        <w:rPr>
          <w:rFonts w:cs="Arial"/>
          <w:lang w:val="fr-FR"/>
        </w:rPr>
      </w:pPr>
    </w:p>
    <w:p w14:paraId="5A956938" w14:textId="0ECF58B8" w:rsidR="008C4774" w:rsidRPr="0046133A" w:rsidRDefault="00447BBE" w:rsidP="00DB4CB5">
      <w:pPr>
        <w:widowControl w:val="0"/>
        <w:numPr>
          <w:ilvl w:val="0"/>
          <w:numId w:val="6"/>
        </w:numPr>
        <w:autoSpaceDE w:val="0"/>
        <w:autoSpaceDN w:val="0"/>
        <w:adjustRightInd w:val="0"/>
        <w:spacing w:after="0" w:line="240" w:lineRule="auto"/>
        <w:ind w:left="567" w:hanging="567"/>
        <w:contextualSpacing/>
        <w:jc w:val="both"/>
        <w:rPr>
          <w:rFonts w:cs="Arial"/>
          <w:lang w:val="fr-FR"/>
        </w:rPr>
      </w:pPr>
      <w:r>
        <w:rPr>
          <w:rFonts w:cs="Arial"/>
          <w:lang w:val="fr-FR"/>
        </w:rPr>
        <w:t>La 5</w:t>
      </w:r>
      <w:r>
        <w:rPr>
          <w:rFonts w:cs="Arial"/>
          <w:vertAlign w:val="superscript"/>
          <w:lang w:val="fr-FR"/>
        </w:rPr>
        <w:t>e</w:t>
      </w:r>
      <w:r>
        <w:rPr>
          <w:rFonts w:cs="Arial"/>
          <w:lang w:val="fr-FR"/>
        </w:rPr>
        <w:t xml:space="preserve"> réunion du Comité de session du Conseil scientifique (ScC-SC5), tenue du 28 juin au 9 juillet 2021, a décidé d'établir un Groupe de travail intersessions sur la désagrégation des taxons supérieurs figurant à l'Annexe II de la Convention, dont le mandat figure dans le document </w:t>
      </w:r>
      <w:hyperlink r:id="rId22" w:history="1">
        <w:r>
          <w:rPr>
            <w:rStyle w:val="Hyperlink"/>
            <w:rFonts w:cs="Arial"/>
            <w:lang w:val="fr-FR"/>
          </w:rPr>
          <w:t>UNEP/CMS/ScC-SC5/</w:t>
        </w:r>
        <w:proofErr w:type="spellStart"/>
        <w:r>
          <w:rPr>
            <w:rStyle w:val="Hyperlink"/>
            <w:rFonts w:cs="Arial"/>
            <w:lang w:val="fr-FR"/>
          </w:rPr>
          <w:t>Outcome</w:t>
        </w:r>
        <w:proofErr w:type="spellEnd"/>
        <w:r>
          <w:rPr>
            <w:rStyle w:val="Hyperlink"/>
            <w:rFonts w:cs="Arial"/>
            <w:lang w:val="fr-FR"/>
          </w:rPr>
          <w:t xml:space="preserve"> 15</w:t>
        </w:r>
      </w:hyperlink>
      <w:r>
        <w:rPr>
          <w:rFonts w:cs="Arial"/>
          <w:lang w:val="fr-FR"/>
        </w:rPr>
        <w:t xml:space="preserve">. </w:t>
      </w:r>
    </w:p>
    <w:p w14:paraId="3F9BBA38" w14:textId="77777777" w:rsidR="00C11464" w:rsidRPr="0046133A" w:rsidRDefault="00C11464" w:rsidP="00C11464">
      <w:pPr>
        <w:widowControl w:val="0"/>
        <w:autoSpaceDE w:val="0"/>
        <w:autoSpaceDN w:val="0"/>
        <w:adjustRightInd w:val="0"/>
        <w:spacing w:after="0" w:line="240" w:lineRule="auto"/>
        <w:jc w:val="both"/>
        <w:rPr>
          <w:rFonts w:cs="Arial"/>
          <w:lang w:val="fr-FR"/>
        </w:rPr>
      </w:pPr>
    </w:p>
    <w:p w14:paraId="0520620B" w14:textId="3B0581E9" w:rsidR="00BF4FD3" w:rsidRPr="0046133A" w:rsidRDefault="00C11464" w:rsidP="009038C1">
      <w:pPr>
        <w:pStyle w:val="ListParagraph"/>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Le mandat de ce Groupe de travail comprend l'exploration des avantages et des inconvénients des divers traitements alternatifs énumérés dans le document </w:t>
      </w:r>
      <w:hyperlink r:id="rId23" w:history="1">
        <w:r>
          <w:rPr>
            <w:rStyle w:val="Hyperlink"/>
            <w:rFonts w:cs="Arial"/>
            <w:lang w:val="fr-FR"/>
          </w:rPr>
          <w:t>UNEP/CMS/ScC-SC5/Doc.8.2</w:t>
        </w:r>
      </w:hyperlink>
      <w:r>
        <w:rPr>
          <w:rFonts w:cs="Arial"/>
          <w:lang w:val="fr-FR"/>
        </w:rPr>
        <w:t xml:space="preserve"> (y compris leurs possibles variantes) et la présentation de ses conclusions à la 6</w:t>
      </w:r>
      <w:r>
        <w:rPr>
          <w:rFonts w:cs="Arial"/>
          <w:vertAlign w:val="superscript"/>
          <w:lang w:val="fr-FR"/>
        </w:rPr>
        <w:t>e</w:t>
      </w:r>
      <w:r>
        <w:rPr>
          <w:rFonts w:cs="Arial"/>
          <w:lang w:val="fr-FR"/>
        </w:rPr>
        <w:t xml:space="preserve"> réunion du Comité de session.</w:t>
      </w:r>
    </w:p>
    <w:p w14:paraId="387456ED" w14:textId="77777777" w:rsidR="00D03E77" w:rsidRPr="0046133A" w:rsidRDefault="00D03E77" w:rsidP="00D03E77">
      <w:pPr>
        <w:pStyle w:val="ListParagraph"/>
        <w:rPr>
          <w:rFonts w:cs="Arial"/>
          <w:lang w:val="fr-FR"/>
        </w:rPr>
      </w:pPr>
    </w:p>
    <w:p w14:paraId="48392C80" w14:textId="2088AF08" w:rsidR="00D03E77" w:rsidRPr="0046133A" w:rsidRDefault="00D03E77" w:rsidP="00D03E77">
      <w:pPr>
        <w:pStyle w:val="ListParagraph"/>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Le Groupe de travail a également été invité à déterminer les espèces aviaires qui traversent les frontières de manière cyclique et prévisible mais qui ne sont pas répertoriées comme menacées (éteintes à l'état sauvage, en danger critique d'extinction, en danger, vulnérables) ou quasi menacées selon les critères de la Liste rouge de l'Union internationale pour la conservation de la nature (UICN) : </w:t>
      </w:r>
    </w:p>
    <w:p w14:paraId="546D0490" w14:textId="77777777" w:rsidR="00D03E77" w:rsidRPr="0046133A" w:rsidRDefault="00D03E77" w:rsidP="00D03E77">
      <w:pPr>
        <w:pStyle w:val="ListParagraph"/>
        <w:widowControl w:val="0"/>
        <w:autoSpaceDE w:val="0"/>
        <w:autoSpaceDN w:val="0"/>
        <w:adjustRightInd w:val="0"/>
        <w:spacing w:after="0" w:line="240" w:lineRule="auto"/>
        <w:ind w:left="360"/>
        <w:jc w:val="both"/>
        <w:rPr>
          <w:rFonts w:cs="Arial"/>
          <w:lang w:val="fr-FR"/>
        </w:rPr>
      </w:pPr>
    </w:p>
    <w:p w14:paraId="7554EEE3" w14:textId="258D839B" w:rsidR="00D03E77" w:rsidRPr="0046133A" w:rsidRDefault="00D03E77" w:rsidP="00D03E77">
      <w:pPr>
        <w:pStyle w:val="ListParagraph"/>
        <w:widowControl w:val="0"/>
        <w:numPr>
          <w:ilvl w:val="0"/>
          <w:numId w:val="33"/>
        </w:numPr>
        <w:autoSpaceDE w:val="0"/>
        <w:autoSpaceDN w:val="0"/>
        <w:adjustRightInd w:val="0"/>
        <w:spacing w:after="0" w:line="240" w:lineRule="auto"/>
        <w:ind w:left="1117"/>
        <w:jc w:val="both"/>
        <w:rPr>
          <w:rFonts w:cs="Arial"/>
          <w:lang w:val="fr-FR"/>
        </w:rPr>
      </w:pPr>
      <w:r>
        <w:rPr>
          <w:rFonts w:cs="Arial"/>
          <w:lang w:val="fr-FR"/>
        </w:rPr>
        <w:t xml:space="preserve">peuvent avoir des populations dont l'état de conservation est défavorable ; </w:t>
      </w:r>
    </w:p>
    <w:p w14:paraId="565D6DDA" w14:textId="77777777" w:rsidR="00D03E77" w:rsidRPr="0046133A" w:rsidRDefault="00D03E77" w:rsidP="00D03E77">
      <w:pPr>
        <w:widowControl w:val="0"/>
        <w:autoSpaceDE w:val="0"/>
        <w:autoSpaceDN w:val="0"/>
        <w:adjustRightInd w:val="0"/>
        <w:spacing w:after="0" w:line="240" w:lineRule="auto"/>
        <w:ind w:left="1117"/>
        <w:jc w:val="both"/>
        <w:rPr>
          <w:rFonts w:cs="Arial"/>
          <w:lang w:val="fr-FR"/>
        </w:rPr>
      </w:pPr>
    </w:p>
    <w:p w14:paraId="594C39E8" w14:textId="40FE96FE" w:rsidR="00D03E77" w:rsidRPr="0046133A" w:rsidRDefault="00D03E77" w:rsidP="00D03E77">
      <w:pPr>
        <w:pStyle w:val="ListParagraph"/>
        <w:widowControl w:val="0"/>
        <w:numPr>
          <w:ilvl w:val="0"/>
          <w:numId w:val="33"/>
        </w:numPr>
        <w:autoSpaceDE w:val="0"/>
        <w:autoSpaceDN w:val="0"/>
        <w:adjustRightInd w:val="0"/>
        <w:spacing w:after="0" w:line="240" w:lineRule="auto"/>
        <w:ind w:left="1117"/>
        <w:jc w:val="both"/>
        <w:rPr>
          <w:rFonts w:cs="Arial"/>
          <w:lang w:val="fr-FR"/>
        </w:rPr>
      </w:pPr>
      <w:r>
        <w:rPr>
          <w:rFonts w:cs="Arial"/>
          <w:lang w:val="fr-FR"/>
        </w:rPr>
        <w:t>peuvent présenter des données insuffisantes ou une tendance démographique négative, même si elles sont classées dans la catégorie "préoccupation mineure".</w:t>
      </w:r>
    </w:p>
    <w:p w14:paraId="180CBFC6" w14:textId="77777777" w:rsidR="00BF4FD3" w:rsidRPr="0046133A" w:rsidRDefault="00BF4FD3" w:rsidP="00BF4FD3">
      <w:pPr>
        <w:widowControl w:val="0"/>
        <w:autoSpaceDE w:val="0"/>
        <w:autoSpaceDN w:val="0"/>
        <w:adjustRightInd w:val="0"/>
        <w:spacing w:after="0" w:line="240" w:lineRule="auto"/>
        <w:jc w:val="both"/>
        <w:rPr>
          <w:rFonts w:cs="Arial"/>
          <w:lang w:val="fr-FR"/>
        </w:rPr>
      </w:pPr>
    </w:p>
    <w:p w14:paraId="3647C64B" w14:textId="7180B71E" w:rsidR="00BF4FD3" w:rsidRPr="0046133A" w:rsidRDefault="00BF4FD3" w:rsidP="00661875">
      <w:pPr>
        <w:widowControl w:val="0"/>
        <w:numPr>
          <w:ilvl w:val="0"/>
          <w:numId w:val="6"/>
        </w:numPr>
        <w:autoSpaceDE w:val="0"/>
        <w:autoSpaceDN w:val="0"/>
        <w:adjustRightInd w:val="0"/>
        <w:spacing w:after="0" w:line="240" w:lineRule="auto"/>
        <w:ind w:left="567" w:hanging="567"/>
        <w:contextualSpacing/>
        <w:jc w:val="both"/>
        <w:rPr>
          <w:rFonts w:cs="Arial"/>
          <w:lang w:val="fr-FR"/>
        </w:rPr>
      </w:pPr>
      <w:r>
        <w:rPr>
          <w:rFonts w:cs="Arial"/>
          <w:lang w:val="fr-FR"/>
        </w:rPr>
        <w:t>Le Groupe de travail s'est réuni deux fois (le 22 juin 2022 et le 27 mars 2023) pour examiner la façon de faire avancer les travaux qui lui ont été confiés, dans le but de fournir des conseils scientifiques pour permettre aux Parties de définir de manière appropriée les espèces dans les familles agrégées à considérer comme couvertes par l'Annexe II. Le présent document restitue les conclusions de la réflexion menée.</w:t>
      </w:r>
    </w:p>
    <w:p w14:paraId="3187FD9C" w14:textId="77777777" w:rsidR="00BF4FD3" w:rsidRDefault="00BF4FD3" w:rsidP="00BD6EB3">
      <w:pPr>
        <w:widowControl w:val="0"/>
        <w:autoSpaceDE w:val="0"/>
        <w:autoSpaceDN w:val="0"/>
        <w:adjustRightInd w:val="0"/>
        <w:spacing w:after="0" w:line="240" w:lineRule="auto"/>
        <w:contextualSpacing/>
        <w:jc w:val="both"/>
        <w:rPr>
          <w:rFonts w:cs="Arial"/>
          <w:lang w:val="fr-FR"/>
        </w:rPr>
      </w:pPr>
    </w:p>
    <w:bookmarkEnd w:id="0"/>
    <w:p w14:paraId="7F13E6E8" w14:textId="18632EF4" w:rsidR="00BF4FD3" w:rsidRPr="00FA23C0" w:rsidRDefault="00BF4FD3" w:rsidP="00C23610">
      <w:pPr>
        <w:keepNext/>
        <w:spacing w:after="0"/>
        <w:rPr>
          <w:u w:val="single"/>
          <w:lang w:val="fr-FR"/>
        </w:rPr>
      </w:pPr>
      <w:r>
        <w:rPr>
          <w:u w:val="single"/>
          <w:lang w:val="fr-FR"/>
        </w:rPr>
        <w:lastRenderedPageBreak/>
        <w:t>Orienter les Parties à la CMS sur la manière de traiter les espèces agrégées dans les familles et les genres de l'Annexe II</w:t>
      </w:r>
    </w:p>
    <w:p w14:paraId="31E1513D" w14:textId="77777777" w:rsidR="00661875" w:rsidRPr="00450BED" w:rsidRDefault="00661875" w:rsidP="00C23610">
      <w:pPr>
        <w:keepNext/>
        <w:widowControl w:val="0"/>
        <w:autoSpaceDE w:val="0"/>
        <w:autoSpaceDN w:val="0"/>
        <w:adjustRightInd w:val="0"/>
        <w:spacing w:after="0" w:line="240" w:lineRule="auto"/>
        <w:jc w:val="both"/>
        <w:rPr>
          <w:rFonts w:cs="Arial"/>
          <w:lang w:val="fr-FR"/>
        </w:rPr>
      </w:pPr>
    </w:p>
    <w:p w14:paraId="6DBFB6B0" w14:textId="3E411615" w:rsidR="00866AFD" w:rsidRDefault="00E666DD" w:rsidP="00866AFD">
      <w:pPr>
        <w:widowControl w:val="0"/>
        <w:numPr>
          <w:ilvl w:val="0"/>
          <w:numId w:val="6"/>
        </w:numPr>
        <w:autoSpaceDE w:val="0"/>
        <w:autoSpaceDN w:val="0"/>
        <w:adjustRightInd w:val="0"/>
        <w:spacing w:after="0" w:line="240" w:lineRule="auto"/>
        <w:ind w:left="567" w:hanging="567"/>
        <w:contextualSpacing/>
        <w:jc w:val="both"/>
        <w:rPr>
          <w:rFonts w:cs="Arial"/>
          <w:lang w:val="fr-FR"/>
        </w:rPr>
      </w:pPr>
      <w:r>
        <w:rPr>
          <w:rFonts w:cs="Arial"/>
          <w:lang w:val="fr-FR"/>
        </w:rPr>
        <w:t xml:space="preserve">Le Groupe de travail a examiné quatre approches alternatives des familles et genres agrégés, conformément au document </w:t>
      </w:r>
      <w:hyperlink r:id="rId24" w:history="1">
        <w:r>
          <w:rPr>
            <w:rStyle w:val="Hyperlink"/>
            <w:rFonts w:cs="Arial"/>
            <w:lang w:val="fr-FR"/>
          </w:rPr>
          <w:t>UNEP/CMS/ScC-SC4/Doc.11.3.2</w:t>
        </w:r>
      </w:hyperlink>
      <w:r>
        <w:rPr>
          <w:rFonts w:cs="Arial"/>
          <w:lang w:val="fr-FR"/>
        </w:rPr>
        <w:t xml:space="preserve"> et à sa version révisée au ScC-SC4, ainsi que deux variantes de ces approches. Les alternatives étaient les suivantes :</w:t>
      </w:r>
    </w:p>
    <w:p w14:paraId="2AF35088" w14:textId="77777777" w:rsidR="008E7FAF" w:rsidRDefault="008E7FAF" w:rsidP="008E7FAF">
      <w:pPr>
        <w:widowControl w:val="0"/>
        <w:autoSpaceDE w:val="0"/>
        <w:autoSpaceDN w:val="0"/>
        <w:adjustRightInd w:val="0"/>
        <w:spacing w:after="0" w:line="240" w:lineRule="auto"/>
        <w:contextualSpacing/>
        <w:jc w:val="both"/>
        <w:rPr>
          <w:rFonts w:cs="Arial"/>
          <w:lang w:val="fr-FR"/>
        </w:rPr>
      </w:pPr>
    </w:p>
    <w:p w14:paraId="3D7B557E" w14:textId="54DED30D"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rPr>
          <w:lang w:val="fr-FR"/>
        </w:rPr>
      </w:pPr>
      <w:r>
        <w:rPr>
          <w:lang w:val="fr-FR"/>
        </w:rPr>
        <w:t xml:space="preserve">Maintenir à l'Annexe II tous les membres des familles qui répondent aux critères de mouvement de la CMS tels qu'énumérés, en notant la </w:t>
      </w:r>
      <w:hyperlink r:id="rId25" w:history="1">
        <w:r>
          <w:rPr>
            <w:rStyle w:val="Hyperlink"/>
            <w:lang w:val="fr-FR"/>
          </w:rPr>
          <w:t>Résolution 13.7</w:t>
        </w:r>
      </w:hyperlink>
      <w:r>
        <w:rPr>
          <w:lang w:val="fr-FR"/>
        </w:rPr>
        <w:t xml:space="preserve"> (paragraphe opérationnel 5) : </w:t>
      </w:r>
      <w:r>
        <w:rPr>
          <w:i/>
          <w:iCs/>
          <w:lang w:val="fr-FR"/>
        </w:rPr>
        <w:t>Approuver que les ajouts ultérieurs aux Annexes de la Convention soient limités aux espèces ou aux taxons inférieurs et que les espèces migratrices couvertes par les listes de taxons supérieurs déjà à l'Annexe II ne soient identifiées que lorsque des Accords sont préparés conformément à l'Article IV de la Convention</w:t>
      </w:r>
      <w:r>
        <w:rPr>
          <w:lang w:val="fr-FR"/>
        </w:rPr>
        <w:t xml:space="preserve"> ; ceci peut être interprété comme une conservation de la liste complète comme référence pour tout besoin futur (par ex. développement d'Accords ; liste des États de l'aire de répartition, rapports nationaux) sans modifier formellement les Annexes. Deux alternatives ont été envisagées :</w:t>
      </w:r>
    </w:p>
    <w:p w14:paraId="6FFEC1D1" w14:textId="77777777" w:rsidR="008E7FAF" w:rsidRDefault="008E7FAF" w:rsidP="00B3027D">
      <w:pPr>
        <w:widowControl w:val="0"/>
        <w:autoSpaceDE w:val="0"/>
        <w:autoSpaceDN w:val="0"/>
        <w:adjustRightInd w:val="0"/>
        <w:spacing w:after="0" w:line="240" w:lineRule="auto"/>
        <w:ind w:left="567"/>
        <w:jc w:val="both"/>
        <w:rPr>
          <w:lang w:val="fr-FR"/>
        </w:rPr>
      </w:pPr>
    </w:p>
    <w:p w14:paraId="2552555E" w14:textId="6DB297E0" w:rsidR="00252C90" w:rsidRDefault="00252C90" w:rsidP="00B3027D">
      <w:pPr>
        <w:pStyle w:val="ListParagraph"/>
        <w:widowControl w:val="0"/>
        <w:numPr>
          <w:ilvl w:val="1"/>
          <w:numId w:val="36"/>
        </w:numPr>
        <w:autoSpaceDE w:val="0"/>
        <w:autoSpaceDN w:val="0"/>
        <w:adjustRightInd w:val="0"/>
        <w:spacing w:after="0" w:line="240" w:lineRule="auto"/>
        <w:ind w:left="1134" w:hanging="567"/>
        <w:jc w:val="both"/>
        <w:rPr>
          <w:lang w:val="fr-FR"/>
        </w:rPr>
      </w:pPr>
      <w:r>
        <w:rPr>
          <w:lang w:val="fr-FR"/>
        </w:rPr>
        <w:t>Pas de changement par rapport aux dispositions actuelles ;</w:t>
      </w:r>
    </w:p>
    <w:p w14:paraId="70968182" w14:textId="77777777" w:rsidR="008E7FAF" w:rsidRDefault="008E7FAF" w:rsidP="00B3027D">
      <w:pPr>
        <w:widowControl w:val="0"/>
        <w:autoSpaceDE w:val="0"/>
        <w:autoSpaceDN w:val="0"/>
        <w:adjustRightInd w:val="0"/>
        <w:spacing w:after="0" w:line="240" w:lineRule="auto"/>
        <w:ind w:left="1134" w:hanging="567"/>
        <w:jc w:val="both"/>
        <w:rPr>
          <w:lang w:val="fr-FR"/>
        </w:rPr>
      </w:pPr>
    </w:p>
    <w:p w14:paraId="649CB6A9" w14:textId="187C4EEC" w:rsidR="00FA3E6F" w:rsidRDefault="00FA3E6F" w:rsidP="00B3027D">
      <w:pPr>
        <w:pStyle w:val="ListParagraph"/>
        <w:widowControl w:val="0"/>
        <w:numPr>
          <w:ilvl w:val="1"/>
          <w:numId w:val="36"/>
        </w:numPr>
        <w:autoSpaceDE w:val="0"/>
        <w:autoSpaceDN w:val="0"/>
        <w:adjustRightInd w:val="0"/>
        <w:spacing w:after="0" w:line="240" w:lineRule="auto"/>
        <w:ind w:left="1134" w:hanging="567"/>
        <w:jc w:val="both"/>
        <w:rPr>
          <w:lang w:val="fr-FR"/>
        </w:rPr>
      </w:pPr>
      <w:r>
        <w:rPr>
          <w:lang w:val="fr-FR"/>
        </w:rPr>
        <w:t>Le Conseil scientifique établit et tient à jour une liste d'espèces figurant à l'Annexe II, dont une fraction importante franchit cycliquement et de façon prévisible une ou plusieurs des limites de juridiction nationale et dont l'état de conservation est défavorable. La liste, qui exclurait les espèces déjà inscrites individuellement à l'Annexe I ou à l'Annexe II, serait strictement consultative pour les Parties, serait gérée par le Conseil scientifique et examinée et mise à jour avant chaque COP, si besoin par l'apport de modifications à la taxonomie et à l'état de conservation.</w:t>
      </w:r>
    </w:p>
    <w:p w14:paraId="1E6539F3" w14:textId="77777777" w:rsidR="008E7FAF" w:rsidRDefault="008E7FAF" w:rsidP="00B3027D">
      <w:pPr>
        <w:widowControl w:val="0"/>
        <w:autoSpaceDE w:val="0"/>
        <w:autoSpaceDN w:val="0"/>
        <w:adjustRightInd w:val="0"/>
        <w:spacing w:after="0" w:line="240" w:lineRule="auto"/>
        <w:ind w:left="567" w:hanging="567"/>
        <w:jc w:val="both"/>
        <w:rPr>
          <w:lang w:val="fr-FR"/>
        </w:rPr>
      </w:pPr>
    </w:p>
    <w:p w14:paraId="3F8B9BF0" w14:textId="026134C0"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rPr>
          <w:lang w:val="fr-FR"/>
        </w:rPr>
      </w:pPr>
      <w:r>
        <w:rPr>
          <w:lang w:val="fr-FR"/>
        </w:rPr>
        <w:t>Remplacer les noms des familles et des genres actuellement agrégés à l'Annexe II par ceux des taxons qui leur appartiennent et qui ont été jugés comme ayant un état de conservation défavorable (c'est-à-dire les espèces qui n'ont pas été évaluées comme étant de préoccupation mineure) et qui, après consultation des États de l'aire de répartition, répondent à la définition d'espèces migratrices énoncée à l'article 1.1 de la Convention ("</w:t>
      </w:r>
      <w:r>
        <w:rPr>
          <w:i/>
          <w:iCs/>
          <w:lang w:val="fr-FR"/>
        </w:rPr>
        <w:t>l'ensemble de la population ou toute partie séparée géographiquement de la population de toute espèce ou de tout taxon inférieur d'animaux sauvages</w:t>
      </w:r>
      <w:bookmarkStart w:id="1" w:name="_Hlk133205167"/>
      <w:r>
        <w:rPr>
          <w:i/>
          <w:iCs/>
          <w:lang w:val="fr-FR"/>
        </w:rPr>
        <w:t>, dont une fraction importante franchit cycliquement et de façon prévisible une ou plusieurs des limites de juridiction nationale</w:t>
      </w:r>
      <w:bookmarkEnd w:id="1"/>
      <w:r>
        <w:rPr>
          <w:lang w:val="fr-FR"/>
        </w:rPr>
        <w:t>"). Deux alternatives ont été envisagées :</w:t>
      </w:r>
    </w:p>
    <w:p w14:paraId="60ED5F46" w14:textId="77777777" w:rsidR="008E7FAF" w:rsidRDefault="008E7FAF" w:rsidP="00B3027D">
      <w:pPr>
        <w:widowControl w:val="0"/>
        <w:autoSpaceDE w:val="0"/>
        <w:autoSpaceDN w:val="0"/>
        <w:adjustRightInd w:val="0"/>
        <w:spacing w:after="0" w:line="240" w:lineRule="auto"/>
        <w:ind w:left="1134" w:hanging="567"/>
        <w:jc w:val="both"/>
        <w:rPr>
          <w:lang w:val="fr-FR"/>
        </w:rPr>
      </w:pPr>
    </w:p>
    <w:p w14:paraId="07673997" w14:textId="34DAB01E" w:rsidR="00F6155B" w:rsidRDefault="00DE3AFF" w:rsidP="00B3027D">
      <w:pPr>
        <w:pStyle w:val="ListParagraph"/>
        <w:widowControl w:val="0"/>
        <w:numPr>
          <w:ilvl w:val="1"/>
          <w:numId w:val="36"/>
        </w:numPr>
        <w:autoSpaceDE w:val="0"/>
        <w:autoSpaceDN w:val="0"/>
        <w:adjustRightInd w:val="0"/>
        <w:spacing w:after="0" w:line="240" w:lineRule="auto"/>
        <w:ind w:left="1134" w:hanging="567"/>
        <w:jc w:val="both"/>
        <w:rPr>
          <w:lang w:val="fr-FR"/>
        </w:rPr>
      </w:pPr>
      <w:r>
        <w:rPr>
          <w:lang w:val="fr-FR"/>
        </w:rPr>
        <w:t>Dresser uniquement la liste des espèces ;</w:t>
      </w:r>
    </w:p>
    <w:p w14:paraId="218E0A3C" w14:textId="77777777" w:rsidR="00A83314" w:rsidRDefault="00A83314" w:rsidP="00B3027D">
      <w:pPr>
        <w:widowControl w:val="0"/>
        <w:autoSpaceDE w:val="0"/>
        <w:autoSpaceDN w:val="0"/>
        <w:adjustRightInd w:val="0"/>
        <w:spacing w:after="0" w:line="240" w:lineRule="auto"/>
        <w:ind w:left="1134" w:hanging="567"/>
        <w:jc w:val="both"/>
        <w:rPr>
          <w:lang w:val="fr-FR"/>
        </w:rPr>
      </w:pPr>
    </w:p>
    <w:p w14:paraId="6D5BA200" w14:textId="5C2A0FF9" w:rsidR="00DE3AFF" w:rsidRDefault="00DE3AFF" w:rsidP="00B3027D">
      <w:pPr>
        <w:pStyle w:val="ListParagraph"/>
        <w:widowControl w:val="0"/>
        <w:numPr>
          <w:ilvl w:val="1"/>
          <w:numId w:val="36"/>
        </w:numPr>
        <w:autoSpaceDE w:val="0"/>
        <w:autoSpaceDN w:val="0"/>
        <w:adjustRightInd w:val="0"/>
        <w:spacing w:after="0" w:line="240" w:lineRule="auto"/>
        <w:ind w:left="1134" w:hanging="567"/>
        <w:jc w:val="both"/>
        <w:rPr>
          <w:lang w:val="fr-FR"/>
        </w:rPr>
      </w:pPr>
      <w:r>
        <w:rPr>
          <w:lang w:val="fr-FR"/>
        </w:rPr>
        <w:t>Dresser la liste des sous-espèces/populations.</w:t>
      </w:r>
    </w:p>
    <w:p w14:paraId="24A325B2" w14:textId="77777777" w:rsidR="00A83314" w:rsidRPr="007D0D7E" w:rsidRDefault="00A83314" w:rsidP="00B3027D">
      <w:pPr>
        <w:widowControl w:val="0"/>
        <w:autoSpaceDE w:val="0"/>
        <w:autoSpaceDN w:val="0"/>
        <w:adjustRightInd w:val="0"/>
        <w:spacing w:after="0" w:line="240" w:lineRule="auto"/>
        <w:ind w:left="1134" w:hanging="567"/>
        <w:jc w:val="both"/>
        <w:rPr>
          <w:lang w:val="fr-FR"/>
        </w:rPr>
      </w:pPr>
    </w:p>
    <w:p w14:paraId="69EA25DE" w14:textId="2204B184"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rPr>
          <w:lang w:val="fr-FR"/>
        </w:rPr>
      </w:pPr>
      <w:r>
        <w:rPr>
          <w:lang w:val="fr-FR"/>
        </w:rPr>
        <w:t>Remplacer les noms des familles et des genres actuellement agrégés à l'Annexe II par ceux des espèces appartenant à ces familles et à ces genres qui ont été jugées comme répondant à la définition d'espèce migratrice de la Convention, indépendamment du caractère favorable de l'état de conservation ;</w:t>
      </w:r>
    </w:p>
    <w:p w14:paraId="4AAD0F06" w14:textId="77777777" w:rsidR="00A83314" w:rsidRDefault="00A83314" w:rsidP="00B3027D">
      <w:pPr>
        <w:widowControl w:val="0"/>
        <w:autoSpaceDE w:val="0"/>
        <w:autoSpaceDN w:val="0"/>
        <w:adjustRightInd w:val="0"/>
        <w:spacing w:after="0" w:line="240" w:lineRule="auto"/>
        <w:ind w:left="567" w:hanging="567"/>
        <w:jc w:val="both"/>
        <w:rPr>
          <w:lang w:val="fr-FR"/>
        </w:rPr>
      </w:pPr>
    </w:p>
    <w:p w14:paraId="15C249E2" w14:textId="291AD8EA" w:rsidR="00927FB4" w:rsidRDefault="00927FB4" w:rsidP="00B3027D">
      <w:pPr>
        <w:pStyle w:val="ListParagraph"/>
        <w:widowControl w:val="0"/>
        <w:numPr>
          <w:ilvl w:val="0"/>
          <w:numId w:val="36"/>
        </w:numPr>
        <w:autoSpaceDE w:val="0"/>
        <w:autoSpaceDN w:val="0"/>
        <w:adjustRightInd w:val="0"/>
        <w:spacing w:after="0" w:line="240" w:lineRule="auto"/>
        <w:ind w:left="567" w:hanging="567"/>
        <w:jc w:val="both"/>
        <w:rPr>
          <w:lang w:val="fr-FR"/>
        </w:rPr>
      </w:pPr>
      <w:r>
        <w:rPr>
          <w:lang w:val="fr-FR"/>
        </w:rPr>
        <w:t>Supprimer toute espèce d'une famille désagrégée, à moins qu'il n'existe une proposition complète d'inscription à l'Annexe II.</w:t>
      </w:r>
    </w:p>
    <w:p w14:paraId="79937985" w14:textId="73157EF5" w:rsidR="00B3027D" w:rsidRDefault="00B3027D" w:rsidP="00896F93">
      <w:pPr>
        <w:widowControl w:val="0"/>
        <w:autoSpaceDE w:val="0"/>
        <w:autoSpaceDN w:val="0"/>
        <w:adjustRightInd w:val="0"/>
        <w:spacing w:after="0" w:line="240" w:lineRule="auto"/>
        <w:jc w:val="both"/>
        <w:rPr>
          <w:lang w:val="fr-FR"/>
        </w:rPr>
      </w:pPr>
      <w:r>
        <w:rPr>
          <w:lang w:val="fr-FR"/>
        </w:rPr>
        <w:br w:type="page"/>
      </w:r>
    </w:p>
    <w:p w14:paraId="0744352D" w14:textId="3B21E66C" w:rsidR="00331A6A" w:rsidRDefault="003C21DE" w:rsidP="006C74C0">
      <w:pPr>
        <w:widowControl w:val="0"/>
        <w:numPr>
          <w:ilvl w:val="0"/>
          <w:numId w:val="6"/>
        </w:numPr>
        <w:autoSpaceDE w:val="0"/>
        <w:autoSpaceDN w:val="0"/>
        <w:adjustRightInd w:val="0"/>
        <w:spacing w:after="0" w:line="240" w:lineRule="auto"/>
        <w:jc w:val="both"/>
        <w:rPr>
          <w:rFonts w:cs="Arial"/>
          <w:lang w:val="fr-FR"/>
        </w:rPr>
      </w:pPr>
      <w:r>
        <w:rPr>
          <w:rFonts w:cs="Arial"/>
          <w:lang w:val="fr-FR"/>
        </w:rPr>
        <w:lastRenderedPageBreak/>
        <w:t>Le Groupe de travail a aussi :</w:t>
      </w:r>
    </w:p>
    <w:p w14:paraId="7D6A3D71" w14:textId="77777777" w:rsidR="002232CB" w:rsidRDefault="002232CB" w:rsidP="00C23610">
      <w:pPr>
        <w:widowControl w:val="0"/>
        <w:autoSpaceDE w:val="0"/>
        <w:autoSpaceDN w:val="0"/>
        <w:adjustRightInd w:val="0"/>
        <w:spacing w:after="0" w:line="240" w:lineRule="auto"/>
        <w:jc w:val="both"/>
        <w:rPr>
          <w:rFonts w:cs="Arial"/>
          <w:lang w:val="fr-FR"/>
        </w:rPr>
      </w:pPr>
    </w:p>
    <w:p w14:paraId="766BA011" w14:textId="1D0BE822" w:rsidR="006C74C0" w:rsidRDefault="0007135A" w:rsidP="00B3027D">
      <w:pPr>
        <w:widowControl w:val="0"/>
        <w:autoSpaceDE w:val="0"/>
        <w:autoSpaceDN w:val="0"/>
        <w:adjustRightInd w:val="0"/>
        <w:spacing w:after="0" w:line="240" w:lineRule="auto"/>
        <w:jc w:val="both"/>
        <w:rPr>
          <w:lang w:val="fr-FR"/>
        </w:rPr>
      </w:pPr>
      <w:r>
        <w:rPr>
          <w:lang w:val="fr-FR"/>
        </w:rPr>
        <w:t>Tout d'abord, analysé les espèces aviaires qui traversent les frontières de manière cyclique et prévisible, mais qui ne sont pas considérées comme menacées (éteintes à l'état sauvage, en danger critique d'extinction, en danger, vulnérables) ou quasi menacées selon les critères de la Liste rouge de l'UICN, dans un échantillon de 13 des 37 familles agrégées (377 espèces, 515 sous-espèces, 675 populations) qui :</w:t>
      </w:r>
    </w:p>
    <w:p w14:paraId="057C6579" w14:textId="77777777" w:rsidR="00A83314" w:rsidRPr="00331A6A" w:rsidRDefault="00A83314" w:rsidP="00B3027D">
      <w:pPr>
        <w:widowControl w:val="0"/>
        <w:tabs>
          <w:tab w:val="left" w:pos="567"/>
        </w:tabs>
        <w:autoSpaceDE w:val="0"/>
        <w:autoSpaceDN w:val="0"/>
        <w:adjustRightInd w:val="0"/>
        <w:spacing w:after="0" w:line="240" w:lineRule="auto"/>
        <w:ind w:left="567" w:hanging="567"/>
        <w:jc w:val="both"/>
        <w:rPr>
          <w:lang w:val="fr-FR"/>
        </w:rPr>
      </w:pPr>
    </w:p>
    <w:p w14:paraId="0AC89DFE" w14:textId="0600592F" w:rsidR="006C74C0" w:rsidRDefault="006C74C0" w:rsidP="00B3027D">
      <w:pPr>
        <w:pStyle w:val="ListParagraph"/>
        <w:widowControl w:val="0"/>
        <w:numPr>
          <w:ilvl w:val="1"/>
          <w:numId w:val="37"/>
        </w:numPr>
        <w:tabs>
          <w:tab w:val="left" w:pos="567"/>
        </w:tabs>
        <w:autoSpaceDE w:val="0"/>
        <w:autoSpaceDN w:val="0"/>
        <w:adjustRightInd w:val="0"/>
        <w:spacing w:after="0" w:line="240" w:lineRule="auto"/>
        <w:ind w:left="567" w:hanging="567"/>
        <w:jc w:val="both"/>
        <w:rPr>
          <w:lang w:val="fr-FR"/>
        </w:rPr>
      </w:pPr>
      <w:r>
        <w:rPr>
          <w:lang w:val="fr-FR"/>
        </w:rPr>
        <w:t xml:space="preserve">peuvent avoir des populations dont l'état de conservation est défavorable ; </w:t>
      </w:r>
    </w:p>
    <w:p w14:paraId="697349D8" w14:textId="77777777" w:rsidR="00A83314" w:rsidRPr="007E74FA" w:rsidRDefault="00A83314" w:rsidP="00B3027D">
      <w:pPr>
        <w:widowControl w:val="0"/>
        <w:tabs>
          <w:tab w:val="left" w:pos="567"/>
        </w:tabs>
        <w:autoSpaceDE w:val="0"/>
        <w:autoSpaceDN w:val="0"/>
        <w:adjustRightInd w:val="0"/>
        <w:spacing w:after="0" w:line="240" w:lineRule="auto"/>
        <w:ind w:left="567" w:hanging="567"/>
        <w:jc w:val="both"/>
        <w:rPr>
          <w:lang w:val="fr-FR"/>
        </w:rPr>
      </w:pPr>
    </w:p>
    <w:p w14:paraId="3A29E83E" w14:textId="566A2130" w:rsidR="006C74C0" w:rsidRDefault="006C74C0" w:rsidP="00B3027D">
      <w:pPr>
        <w:pStyle w:val="ListParagraph"/>
        <w:widowControl w:val="0"/>
        <w:numPr>
          <w:ilvl w:val="1"/>
          <w:numId w:val="37"/>
        </w:numPr>
        <w:tabs>
          <w:tab w:val="left" w:pos="567"/>
        </w:tabs>
        <w:autoSpaceDE w:val="0"/>
        <w:autoSpaceDN w:val="0"/>
        <w:adjustRightInd w:val="0"/>
        <w:spacing w:after="0" w:line="240" w:lineRule="auto"/>
        <w:ind w:left="567" w:hanging="567"/>
        <w:jc w:val="both"/>
        <w:rPr>
          <w:lang w:val="fr-FR"/>
        </w:rPr>
      </w:pPr>
      <w:r>
        <w:rPr>
          <w:lang w:val="fr-FR"/>
        </w:rPr>
        <w:t>peuvent présenter des données insuffisantes ou une tendance démographique négative, même si elles sont classées dans la catégorie "préoccupation mineure".</w:t>
      </w:r>
    </w:p>
    <w:p w14:paraId="5747C851" w14:textId="3B885B58" w:rsidR="00A83314" w:rsidRPr="007E74FA" w:rsidRDefault="00A83314" w:rsidP="00C23610">
      <w:pPr>
        <w:pStyle w:val="ListParagraph"/>
        <w:spacing w:after="0"/>
        <w:rPr>
          <w:lang w:val="fr-FR"/>
        </w:rPr>
      </w:pPr>
    </w:p>
    <w:p w14:paraId="704DCAB4" w14:textId="3CCF47AF" w:rsidR="006C74C0" w:rsidRPr="003341FE" w:rsidRDefault="005C237D" w:rsidP="00B3027D">
      <w:pPr>
        <w:widowControl w:val="0"/>
        <w:autoSpaceDE w:val="0"/>
        <w:autoSpaceDN w:val="0"/>
        <w:adjustRightInd w:val="0"/>
        <w:spacing w:after="0" w:line="240" w:lineRule="auto"/>
        <w:jc w:val="both"/>
        <w:rPr>
          <w:lang w:val="fr-FR"/>
        </w:rPr>
      </w:pPr>
      <w:r>
        <w:rPr>
          <w:lang w:val="fr-FR"/>
        </w:rPr>
        <w:t>Deuxièmement, il a identifié les espèces appartenant aux familles regroupées qui sont déjà inscrites dans les accords associés de la CMS, ainsi que les espèces inscrites dans ces accords associés dans les familles non agrégées qui ne figurent pas à l'Annexe II.</w:t>
      </w:r>
    </w:p>
    <w:p w14:paraId="6FAE6014" w14:textId="77777777" w:rsidR="00896F93" w:rsidRPr="007E74FA" w:rsidRDefault="00896F93" w:rsidP="00896F93">
      <w:pPr>
        <w:widowControl w:val="0"/>
        <w:autoSpaceDE w:val="0"/>
        <w:autoSpaceDN w:val="0"/>
        <w:adjustRightInd w:val="0"/>
        <w:spacing w:after="0" w:line="240" w:lineRule="auto"/>
        <w:jc w:val="both"/>
        <w:rPr>
          <w:lang w:val="fr-FR"/>
        </w:rPr>
      </w:pPr>
    </w:p>
    <w:p w14:paraId="35764EC4" w14:textId="76FDCA41" w:rsidR="006C74C0" w:rsidRPr="0015020A" w:rsidRDefault="002E3917" w:rsidP="00B3027D">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Le Groupe de travail a exploré les procédures administratives requises pour chaque option, c'est-à-dire les voies à suivre pour que les recommandations du Conseil scientifique aboutissent à une proposition susceptible d'être examinée par la COP.</w:t>
      </w:r>
    </w:p>
    <w:p w14:paraId="49C48001" w14:textId="77777777" w:rsidR="00661875" w:rsidRPr="00CD0FE9" w:rsidRDefault="00661875" w:rsidP="00661875">
      <w:pPr>
        <w:spacing w:after="0" w:line="240" w:lineRule="auto"/>
        <w:rPr>
          <w:rFonts w:cs="Arial"/>
          <w:u w:val="single"/>
          <w:lang w:val="fr-FR"/>
        </w:rPr>
      </w:pPr>
    </w:p>
    <w:p w14:paraId="126F8932" w14:textId="0052B108" w:rsidR="00661875" w:rsidRDefault="00661875" w:rsidP="00DC31DF">
      <w:pPr>
        <w:keepNext/>
        <w:spacing w:after="0" w:line="240" w:lineRule="auto"/>
        <w:rPr>
          <w:rFonts w:cs="Arial"/>
          <w:u w:val="single"/>
          <w:lang w:val="fr-FR"/>
        </w:rPr>
      </w:pPr>
      <w:r>
        <w:rPr>
          <w:rFonts w:cs="Arial"/>
          <w:u w:val="single"/>
          <w:lang w:val="fr-FR"/>
        </w:rPr>
        <w:t>Discussion et analyse</w:t>
      </w:r>
    </w:p>
    <w:p w14:paraId="750C9C81" w14:textId="77777777" w:rsidR="00B00848" w:rsidRPr="00CD0FE9" w:rsidRDefault="00B00848" w:rsidP="00DC31DF">
      <w:pPr>
        <w:keepNext/>
        <w:spacing w:after="0" w:line="240" w:lineRule="auto"/>
        <w:rPr>
          <w:rFonts w:cs="Arial"/>
          <w:u w:val="single"/>
          <w:lang w:val="fr-FR"/>
        </w:rPr>
      </w:pPr>
    </w:p>
    <w:p w14:paraId="02EABD40" w14:textId="7D5483B8" w:rsidR="00B8056C" w:rsidRPr="00B3027D" w:rsidRDefault="00A15858" w:rsidP="009C44D8">
      <w:pPr>
        <w:widowControl w:val="0"/>
        <w:numPr>
          <w:ilvl w:val="0"/>
          <w:numId w:val="6"/>
        </w:numPr>
        <w:autoSpaceDE w:val="0"/>
        <w:autoSpaceDN w:val="0"/>
        <w:adjustRightInd w:val="0"/>
        <w:spacing w:after="0" w:line="240" w:lineRule="auto"/>
        <w:ind w:left="567" w:hanging="567"/>
        <w:jc w:val="both"/>
        <w:rPr>
          <w:rFonts w:cs="Arial"/>
          <w:lang w:val="fr-FR"/>
        </w:rPr>
      </w:pPr>
      <w:bookmarkStart w:id="2" w:name="_Hlk130818011"/>
      <w:r>
        <w:rPr>
          <w:rFonts w:cs="Arial"/>
          <w:lang w:val="fr-FR"/>
        </w:rPr>
        <w:t xml:space="preserve">En conclusion, le Groupe de travail a convenu de recommander que </w:t>
      </w:r>
      <w:bookmarkEnd w:id="2"/>
      <w:r>
        <w:rPr>
          <w:rFonts w:cs="Arial"/>
          <w:lang w:val="fr-FR"/>
        </w:rPr>
        <w:t>l'option 1b soit adoptée, c'est-à-dire que le Conseil scientifique crée et tienne à jour une liste</w:t>
      </w:r>
      <w:r>
        <w:rPr>
          <w:lang w:val="fr-FR"/>
        </w:rPr>
        <w:t xml:space="preserve"> d'espèces à</w:t>
      </w:r>
      <w:r>
        <w:rPr>
          <w:rFonts w:cs="Arial"/>
          <w:lang w:val="fr-FR"/>
        </w:rPr>
        <w:t xml:space="preserve"> l'Annexe II, dont une fraction importante franchit cycliquement et de façon prévisible une ou plusieurs des limites de juridiction nationale et dont l'état de conservation est défavorable, et </w:t>
      </w:r>
      <w:r>
        <w:rPr>
          <w:lang w:val="fr-FR"/>
        </w:rPr>
        <w:t xml:space="preserve">qui ne sont pas </w:t>
      </w:r>
      <w:r>
        <w:rPr>
          <w:rFonts w:cs="Arial"/>
          <w:lang w:val="fr-FR"/>
        </w:rPr>
        <w:t>déjà inscrites individuellement à l'Annexe I ou à l'Annexe II. La liste serait strictement consultative pour les Parties, devrait être gérée par le Conseil scientifique, et examinée et mise à jour avant chaque COP, si besoin par l'apport de modifications à la taxonomie et à l'état de conservation.</w:t>
      </w:r>
    </w:p>
    <w:p w14:paraId="25A4E346" w14:textId="77777777" w:rsidR="00B8056C" w:rsidRPr="0076207D" w:rsidRDefault="00B8056C" w:rsidP="0076207D">
      <w:pPr>
        <w:widowControl w:val="0"/>
        <w:autoSpaceDE w:val="0"/>
        <w:autoSpaceDN w:val="0"/>
        <w:adjustRightInd w:val="0"/>
        <w:spacing w:after="0" w:line="240" w:lineRule="auto"/>
        <w:jc w:val="both"/>
        <w:rPr>
          <w:rFonts w:cs="Arial"/>
          <w:lang w:val="fr-FR"/>
        </w:rPr>
      </w:pPr>
    </w:p>
    <w:p w14:paraId="67C4D5B2" w14:textId="77D4D4D2" w:rsidR="00CA3B33" w:rsidRPr="00450BED" w:rsidRDefault="00432234" w:rsidP="00CA3B33">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L'option 1a a été considérée comme moins pertinente que l'option 1b étant donné la longue liste d'espèces migratrices (768) au sein des familles agrégées </w:t>
      </w:r>
      <w:r>
        <w:rPr>
          <w:rFonts w:cs="Arial"/>
          <w:b/>
          <w:bCs/>
          <w:lang w:val="fr-FR"/>
        </w:rPr>
        <w:t xml:space="preserve">qui ne sont pas déjà inscrites individuellement à l'Annexe I ou à l'Annexe II. </w:t>
      </w:r>
      <w:r>
        <w:rPr>
          <w:rFonts w:cs="Arial"/>
          <w:lang w:val="fr-FR"/>
        </w:rPr>
        <w:t>Elle ne fournirait que peu d'indications aux Parties sur les espèces appartenant aux familles agrégées qui pourraient répondre aux critères d'inscription sur la liste de la CMS ou qui pourraient bénéficier d'une gestion de conservation.</w:t>
      </w:r>
    </w:p>
    <w:p w14:paraId="020D2D0B" w14:textId="77777777" w:rsidR="00CA3B33" w:rsidRDefault="00CA3B33" w:rsidP="00AB4C36">
      <w:pPr>
        <w:widowControl w:val="0"/>
        <w:autoSpaceDE w:val="0"/>
        <w:autoSpaceDN w:val="0"/>
        <w:adjustRightInd w:val="0"/>
        <w:spacing w:after="0" w:line="240" w:lineRule="auto"/>
        <w:jc w:val="both"/>
        <w:rPr>
          <w:rFonts w:cs="Arial"/>
          <w:lang w:val="fr-FR"/>
        </w:rPr>
      </w:pPr>
    </w:p>
    <w:p w14:paraId="4A0C0EF5" w14:textId="3A0DB2ED" w:rsidR="00FF3B92" w:rsidRDefault="00F776A7" w:rsidP="00F776A7">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L'option 2a a été jugée moins pertinente que l'option 1b pour les raisons suivantes : </w:t>
      </w:r>
    </w:p>
    <w:p w14:paraId="148B99D6" w14:textId="31CC25E7" w:rsidR="00F776A7" w:rsidRDefault="00FF3B92" w:rsidP="008D193C">
      <w:pPr>
        <w:widowControl w:val="0"/>
        <w:numPr>
          <w:ilvl w:val="0"/>
          <w:numId w:val="39"/>
        </w:numPr>
        <w:autoSpaceDE w:val="0"/>
        <w:autoSpaceDN w:val="0"/>
        <w:adjustRightInd w:val="0"/>
        <w:spacing w:after="0" w:line="240" w:lineRule="auto"/>
        <w:jc w:val="both"/>
        <w:rPr>
          <w:rFonts w:cs="Arial"/>
          <w:lang w:val="fr-FR"/>
        </w:rPr>
      </w:pPr>
      <w:r>
        <w:rPr>
          <w:rFonts w:cs="Arial"/>
          <w:lang w:val="fr-FR"/>
        </w:rPr>
        <w:t>toute espèce figurant sur la liste agrégée élaguée devrait faire l'objet d'une proposition d'inscription spécifique s'il s'avérait qu'elle répond aux critères ;</w:t>
      </w:r>
    </w:p>
    <w:p w14:paraId="78041A50" w14:textId="3AF57FF0" w:rsidR="005832D8" w:rsidRDefault="00CB22D1" w:rsidP="008D193C">
      <w:pPr>
        <w:widowControl w:val="0"/>
        <w:numPr>
          <w:ilvl w:val="0"/>
          <w:numId w:val="39"/>
        </w:numPr>
        <w:autoSpaceDE w:val="0"/>
        <w:autoSpaceDN w:val="0"/>
        <w:adjustRightInd w:val="0"/>
        <w:spacing w:after="0" w:line="240" w:lineRule="auto"/>
        <w:jc w:val="both"/>
        <w:rPr>
          <w:rFonts w:cs="Arial"/>
          <w:lang w:val="fr-FR"/>
        </w:rPr>
      </w:pPr>
      <w:r>
        <w:rPr>
          <w:rFonts w:cs="Arial"/>
          <w:lang w:val="fr-FR"/>
        </w:rPr>
        <w:t>toute espèce de la liste agrégée dont les sous-espèces et/ou les populations pourraient bénéficier d'une inscription à l'Annexe II devra ultérieurement faire l'objet de propositions spécifiques afin d'être incluse.</w:t>
      </w:r>
    </w:p>
    <w:p w14:paraId="4A995C51" w14:textId="77777777" w:rsidR="00F776A7" w:rsidRDefault="00F776A7" w:rsidP="00DC31DF">
      <w:pPr>
        <w:pStyle w:val="ListParagraph"/>
        <w:spacing w:after="0"/>
        <w:rPr>
          <w:rFonts w:cs="Arial"/>
          <w:lang w:val="fr-FR"/>
        </w:rPr>
      </w:pPr>
    </w:p>
    <w:p w14:paraId="3431C9C5" w14:textId="58C3AE8A" w:rsidR="00992A2E" w:rsidRDefault="00F776A7" w:rsidP="00992A2E">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L'option 2b a été considérée comme moins pertinente que l'option 1b parce que l'analyse partielle des espèces dans les familles agrégées de l'Annexe II a révélé que</w:t>
      </w:r>
    </w:p>
    <w:p w14:paraId="51631EC9" w14:textId="3599F185" w:rsidR="00374318" w:rsidRDefault="00897149" w:rsidP="00992A2E">
      <w:pPr>
        <w:pStyle w:val="ListParagraph"/>
        <w:widowControl w:val="0"/>
        <w:numPr>
          <w:ilvl w:val="0"/>
          <w:numId w:val="41"/>
        </w:numPr>
        <w:autoSpaceDE w:val="0"/>
        <w:autoSpaceDN w:val="0"/>
        <w:adjustRightInd w:val="0"/>
        <w:spacing w:after="0" w:line="240" w:lineRule="auto"/>
        <w:jc w:val="both"/>
        <w:rPr>
          <w:rFonts w:cs="Arial"/>
          <w:lang w:val="fr-FR"/>
        </w:rPr>
      </w:pPr>
      <w:r>
        <w:rPr>
          <w:rFonts w:cs="Arial"/>
          <w:lang w:val="fr-FR"/>
        </w:rPr>
        <w:t>la liste des sous-espèces et des populations à prendre en considération serait bien plus longue que celle des seules espèces ;</w:t>
      </w:r>
    </w:p>
    <w:p w14:paraId="5BE1893D" w14:textId="5664185C" w:rsidR="00992A2E" w:rsidRDefault="00897149" w:rsidP="00992A2E">
      <w:pPr>
        <w:pStyle w:val="ListParagraph"/>
        <w:widowControl w:val="0"/>
        <w:numPr>
          <w:ilvl w:val="0"/>
          <w:numId w:val="41"/>
        </w:numPr>
        <w:autoSpaceDE w:val="0"/>
        <w:autoSpaceDN w:val="0"/>
        <w:adjustRightInd w:val="0"/>
        <w:spacing w:after="0" w:line="240" w:lineRule="auto"/>
        <w:jc w:val="both"/>
        <w:rPr>
          <w:rFonts w:cs="Arial"/>
          <w:lang w:val="fr-FR"/>
        </w:rPr>
      </w:pPr>
      <w:r>
        <w:rPr>
          <w:rFonts w:cs="Arial"/>
          <w:lang w:val="fr-FR"/>
        </w:rPr>
        <w:t>le niveau de connaissance des tendances et des mouvements des sous-espèces/populations était souvent bien inférieur à celui de l'espèce dans son ensemble et, dans la plupart des cas, ces sous-espèces/populations n'avaient pas été évaluées séparément sur la Liste rouge de l'UICN ;</w:t>
      </w:r>
    </w:p>
    <w:p w14:paraId="7595B2F9" w14:textId="50687F21" w:rsidR="008B3202" w:rsidRPr="00992A2E" w:rsidRDefault="008B3202" w:rsidP="00992A2E">
      <w:pPr>
        <w:pStyle w:val="ListParagraph"/>
        <w:widowControl w:val="0"/>
        <w:numPr>
          <w:ilvl w:val="0"/>
          <w:numId w:val="41"/>
        </w:numPr>
        <w:autoSpaceDE w:val="0"/>
        <w:autoSpaceDN w:val="0"/>
        <w:adjustRightInd w:val="0"/>
        <w:spacing w:after="0" w:line="240" w:lineRule="auto"/>
        <w:jc w:val="both"/>
        <w:rPr>
          <w:rFonts w:cs="Arial"/>
          <w:lang w:val="fr-FR"/>
        </w:rPr>
      </w:pPr>
      <w:r>
        <w:rPr>
          <w:rFonts w:cs="Arial"/>
          <w:lang w:val="fr-FR"/>
        </w:rPr>
        <w:lastRenderedPageBreak/>
        <w:t>il existe une plus grande incertitude taxonomique concernant les sous-espèces et peu de détails de définition concernant de nombreuses populations, même lorsque celles-ci ont été identifiées.</w:t>
      </w:r>
    </w:p>
    <w:p w14:paraId="7AAF02C7" w14:textId="77777777" w:rsidR="00F776A7" w:rsidRDefault="00F776A7" w:rsidP="00DC31DF">
      <w:pPr>
        <w:pStyle w:val="ListParagraph"/>
        <w:spacing w:after="0"/>
        <w:rPr>
          <w:rFonts w:cs="Arial"/>
          <w:lang w:val="fr-FR"/>
        </w:rPr>
      </w:pPr>
    </w:p>
    <w:p w14:paraId="270A877A" w14:textId="2445B416" w:rsidR="00F776A7" w:rsidRDefault="00F776A7" w:rsidP="00F776A7">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L'option 3 a été jugée moins pertinente que l'option 1b pour la même raison que l'option 1a ; actuellement, 768 taxons sont considérés comme répondant aux critères de mouvement de la CMS (préoccupation mineure, 682 espèces ; une espèce en danger critique d'extinction ; 7 espèces en danger ; 24 espèces vulnérables ; 52 espèces quasi-menacées ; 2 espèces pour lesquelles les données sont insuffisantes).</w:t>
      </w:r>
    </w:p>
    <w:p w14:paraId="7276481B" w14:textId="77777777" w:rsidR="00186631" w:rsidRPr="00186631" w:rsidRDefault="00186631" w:rsidP="00186631">
      <w:pPr>
        <w:widowControl w:val="0"/>
        <w:autoSpaceDE w:val="0"/>
        <w:autoSpaceDN w:val="0"/>
        <w:adjustRightInd w:val="0"/>
        <w:spacing w:after="0" w:line="240" w:lineRule="auto"/>
        <w:jc w:val="both"/>
        <w:rPr>
          <w:rFonts w:cs="Arial"/>
          <w:lang w:val="fr-FR"/>
        </w:rPr>
      </w:pPr>
    </w:p>
    <w:p w14:paraId="3829E8EA" w14:textId="09AC91DF" w:rsidR="00F776A7" w:rsidRDefault="00F776A7" w:rsidP="00DC31DF">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L'option 4, tout en reconnaissant qu'elle simplifierait la liste actuelle et garantirait que chaque espèce inscrite sur la liste de familles figurant dans les Annexes ferait à l'avenir l'objet d'une proposition d'inscription en soutien de son inclusion, fournissant la preuve que les Parties croient fortement que les espèces tireraient profit de leur inclusion dans une Annexe, a néanmoins été considérée comme étant moins pertinente que l'option 1b parce que :</w:t>
      </w:r>
    </w:p>
    <w:p w14:paraId="56638150" w14:textId="000AC12B" w:rsidR="00A02864" w:rsidRDefault="005411D3" w:rsidP="00BA6C73">
      <w:pPr>
        <w:pStyle w:val="ListParagraph"/>
        <w:widowControl w:val="0"/>
        <w:numPr>
          <w:ilvl w:val="0"/>
          <w:numId w:val="42"/>
        </w:numPr>
        <w:autoSpaceDE w:val="0"/>
        <w:autoSpaceDN w:val="0"/>
        <w:adjustRightInd w:val="0"/>
        <w:spacing w:after="0" w:line="240" w:lineRule="auto"/>
        <w:jc w:val="both"/>
        <w:rPr>
          <w:rFonts w:cs="Arial"/>
          <w:lang w:val="fr-FR"/>
        </w:rPr>
      </w:pPr>
      <w:r>
        <w:rPr>
          <w:rFonts w:cs="Arial"/>
          <w:lang w:val="fr-FR"/>
        </w:rPr>
        <w:t>une telle recommandation pourrait ne pas relever du mandat du Conseil scientifique, étant donné que la suppression des familles agrégées n'entrerait pas dans la définition de la désagrégation ;</w:t>
      </w:r>
    </w:p>
    <w:p w14:paraId="09C827CD" w14:textId="513B11B9" w:rsidR="00BA6C73" w:rsidRPr="00BA6C73" w:rsidRDefault="00165115" w:rsidP="00BA6C73">
      <w:pPr>
        <w:pStyle w:val="ListParagraph"/>
        <w:widowControl w:val="0"/>
        <w:numPr>
          <w:ilvl w:val="0"/>
          <w:numId w:val="42"/>
        </w:numPr>
        <w:autoSpaceDE w:val="0"/>
        <w:autoSpaceDN w:val="0"/>
        <w:adjustRightInd w:val="0"/>
        <w:spacing w:after="0" w:line="240" w:lineRule="auto"/>
        <w:jc w:val="both"/>
        <w:rPr>
          <w:rFonts w:cs="Arial"/>
          <w:lang w:val="fr-FR"/>
        </w:rPr>
      </w:pPr>
      <w:r>
        <w:rPr>
          <w:rFonts w:cs="Arial"/>
          <w:lang w:val="fr-FR"/>
        </w:rPr>
        <w:t>elle est moins préventive que le dispositif actuel ;</w:t>
      </w:r>
    </w:p>
    <w:p w14:paraId="5EABA1BD" w14:textId="3D8ECBFE" w:rsidR="00BA6C73" w:rsidRPr="00BA6C73" w:rsidRDefault="00165115" w:rsidP="00BA6C73">
      <w:pPr>
        <w:pStyle w:val="ListParagraph"/>
        <w:widowControl w:val="0"/>
        <w:numPr>
          <w:ilvl w:val="0"/>
          <w:numId w:val="42"/>
        </w:numPr>
        <w:autoSpaceDE w:val="0"/>
        <w:autoSpaceDN w:val="0"/>
        <w:adjustRightInd w:val="0"/>
        <w:spacing w:after="0" w:line="240" w:lineRule="auto"/>
        <w:jc w:val="both"/>
        <w:rPr>
          <w:rFonts w:cs="Arial"/>
          <w:lang w:val="fr-FR"/>
        </w:rPr>
      </w:pPr>
      <w:r>
        <w:rPr>
          <w:rFonts w:cs="Arial"/>
          <w:lang w:val="fr-FR"/>
        </w:rPr>
        <w:t>certaines Parties sont connues pour être opposées à cette option ;</w:t>
      </w:r>
    </w:p>
    <w:p w14:paraId="7968A753" w14:textId="52CA6660" w:rsidR="00BA6C73" w:rsidRPr="00BA6C73" w:rsidRDefault="007C1FE0" w:rsidP="00BA6C73">
      <w:pPr>
        <w:pStyle w:val="ListParagraph"/>
        <w:widowControl w:val="0"/>
        <w:numPr>
          <w:ilvl w:val="0"/>
          <w:numId w:val="42"/>
        </w:numPr>
        <w:autoSpaceDE w:val="0"/>
        <w:autoSpaceDN w:val="0"/>
        <w:adjustRightInd w:val="0"/>
        <w:spacing w:after="0" w:line="240" w:lineRule="auto"/>
        <w:jc w:val="both"/>
        <w:rPr>
          <w:rFonts w:cs="Arial"/>
          <w:lang w:val="fr-FR"/>
        </w:rPr>
      </w:pPr>
      <w:r>
        <w:rPr>
          <w:rFonts w:cs="Arial"/>
          <w:lang w:val="fr-FR"/>
        </w:rPr>
        <w:t>la suppression des familles entraînerait une lourde charge administrative.</w:t>
      </w:r>
    </w:p>
    <w:p w14:paraId="56632019" w14:textId="77777777" w:rsidR="00F776A7" w:rsidRDefault="00F776A7" w:rsidP="00801BA1">
      <w:pPr>
        <w:widowControl w:val="0"/>
        <w:autoSpaceDE w:val="0"/>
        <w:autoSpaceDN w:val="0"/>
        <w:adjustRightInd w:val="0"/>
        <w:spacing w:after="0" w:line="240" w:lineRule="auto"/>
        <w:jc w:val="both"/>
        <w:rPr>
          <w:rFonts w:cs="Arial"/>
          <w:lang w:val="fr-FR"/>
        </w:rPr>
      </w:pPr>
    </w:p>
    <w:p w14:paraId="52DB51BE" w14:textId="59074831" w:rsidR="00950297" w:rsidRDefault="00801BA1" w:rsidP="00D869BA">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Faisant suite aux discussions du Groupe de travail, un projet de résolution a été préparé pour examen lors de la 6</w:t>
      </w:r>
      <w:r>
        <w:rPr>
          <w:rFonts w:cs="Arial"/>
          <w:vertAlign w:val="superscript"/>
          <w:lang w:val="fr-FR"/>
        </w:rPr>
        <w:t>e</w:t>
      </w:r>
      <w:r>
        <w:rPr>
          <w:rFonts w:cs="Arial"/>
          <w:lang w:val="fr-FR"/>
        </w:rPr>
        <w:t xml:space="preserve"> réunion du Comité de session du Conseil scientifique et en vue d'un examen ultérieur dans le cadre de la 14</w:t>
      </w:r>
      <w:r>
        <w:rPr>
          <w:rFonts w:cs="Arial"/>
          <w:vertAlign w:val="superscript"/>
          <w:lang w:val="fr-FR"/>
        </w:rPr>
        <w:t>e</w:t>
      </w:r>
      <w:r>
        <w:rPr>
          <w:rFonts w:cs="Arial"/>
          <w:lang w:val="fr-FR"/>
        </w:rPr>
        <w:t xml:space="preserve"> session de la Conférence des Parties. Le texte ci-dessus a été utilisé dans le projet de résolution pour donner une orientation aux Parties. </w:t>
      </w:r>
    </w:p>
    <w:p w14:paraId="7FDF9026" w14:textId="77777777" w:rsidR="00950297" w:rsidRDefault="00950297" w:rsidP="0076207D">
      <w:pPr>
        <w:widowControl w:val="0"/>
        <w:autoSpaceDE w:val="0"/>
        <w:autoSpaceDN w:val="0"/>
        <w:adjustRightInd w:val="0"/>
        <w:spacing w:after="0" w:line="240" w:lineRule="auto"/>
        <w:jc w:val="both"/>
        <w:rPr>
          <w:rFonts w:cs="Arial"/>
          <w:lang w:val="fr-FR"/>
        </w:rPr>
      </w:pPr>
    </w:p>
    <w:p w14:paraId="5CB111B0" w14:textId="6E1022EB" w:rsidR="00950297" w:rsidRDefault="006C6B5B" w:rsidP="00D869BA">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rPr>
        <w:t xml:space="preserve">Trois décisions ont également été préparées : </w:t>
      </w:r>
    </w:p>
    <w:p w14:paraId="0B495ACC" w14:textId="381E94C5" w:rsidR="006C6B5B" w:rsidRDefault="009F0DBD" w:rsidP="00F118AF">
      <w:pPr>
        <w:widowControl w:val="0"/>
        <w:numPr>
          <w:ilvl w:val="0"/>
          <w:numId w:val="32"/>
        </w:numPr>
        <w:autoSpaceDE w:val="0"/>
        <w:autoSpaceDN w:val="0"/>
        <w:adjustRightInd w:val="0"/>
        <w:spacing w:after="0" w:line="240" w:lineRule="auto"/>
        <w:jc w:val="both"/>
        <w:rPr>
          <w:rFonts w:cs="Arial"/>
          <w:lang w:val="fr-FR"/>
        </w:rPr>
      </w:pPr>
      <w:r>
        <w:rPr>
          <w:rFonts w:cs="Arial"/>
          <w:lang w:val="fr-FR"/>
        </w:rPr>
        <w:t>demandant aux Parties d'utiliser la liste comme appui à la préparation de leurs rapports nationaux ;</w:t>
      </w:r>
    </w:p>
    <w:p w14:paraId="0F72A290" w14:textId="511AF2E3" w:rsidR="00F118AF" w:rsidRPr="00F118AF" w:rsidRDefault="00F118AF" w:rsidP="00F118AF">
      <w:pPr>
        <w:widowControl w:val="0"/>
        <w:numPr>
          <w:ilvl w:val="0"/>
          <w:numId w:val="32"/>
        </w:numPr>
        <w:autoSpaceDE w:val="0"/>
        <w:autoSpaceDN w:val="0"/>
        <w:adjustRightInd w:val="0"/>
        <w:spacing w:after="0" w:line="240" w:lineRule="auto"/>
        <w:jc w:val="both"/>
        <w:rPr>
          <w:rFonts w:cs="Arial"/>
          <w:lang w:val="fr-FR"/>
        </w:rPr>
      </w:pPr>
      <w:r>
        <w:rPr>
          <w:rFonts w:cs="Arial"/>
          <w:lang w:val="fr-FR"/>
        </w:rPr>
        <w:t xml:space="preserve">demandant au Conseil scientifique de mettre à jour la liste avant la COP15 ; </w:t>
      </w:r>
    </w:p>
    <w:p w14:paraId="5662BEE8" w14:textId="11E4C6CF" w:rsidR="006D28CE" w:rsidRDefault="006D28CE" w:rsidP="0076207D">
      <w:pPr>
        <w:widowControl w:val="0"/>
        <w:numPr>
          <w:ilvl w:val="0"/>
          <w:numId w:val="32"/>
        </w:numPr>
        <w:autoSpaceDE w:val="0"/>
        <w:autoSpaceDN w:val="0"/>
        <w:adjustRightInd w:val="0"/>
        <w:spacing w:after="0" w:line="240" w:lineRule="auto"/>
        <w:jc w:val="both"/>
        <w:rPr>
          <w:rFonts w:cs="Arial"/>
          <w:lang w:val="fr-FR"/>
        </w:rPr>
      </w:pPr>
      <w:r>
        <w:rPr>
          <w:rFonts w:cs="Arial"/>
          <w:lang w:val="fr-FR"/>
        </w:rPr>
        <w:t>demandant au Secrétariat d'informer les Parties de l'existence de la liste lors de la préparation de leurs rapports.</w:t>
      </w:r>
    </w:p>
    <w:p w14:paraId="7524F4F2" w14:textId="77777777" w:rsidR="00661875" w:rsidRPr="00CD0FE9" w:rsidRDefault="00661875" w:rsidP="00661875">
      <w:pPr>
        <w:spacing w:after="0" w:line="240" w:lineRule="auto"/>
        <w:jc w:val="both"/>
        <w:rPr>
          <w:rFonts w:cs="Arial"/>
          <w:lang w:val="fr-FR"/>
        </w:rPr>
      </w:pPr>
    </w:p>
    <w:p w14:paraId="25D5D96F" w14:textId="77777777" w:rsidR="00661875" w:rsidRPr="00CD0FE9" w:rsidRDefault="00661875" w:rsidP="00661875">
      <w:pPr>
        <w:spacing w:after="0" w:line="240" w:lineRule="auto"/>
        <w:rPr>
          <w:rFonts w:cs="Arial"/>
          <w:lang w:val="fr-FR"/>
        </w:rPr>
      </w:pPr>
      <w:r>
        <w:rPr>
          <w:rFonts w:cs="Arial"/>
          <w:u w:val="single"/>
          <w:lang w:val="fr-FR"/>
        </w:rPr>
        <w:t>Actions recommandées</w:t>
      </w:r>
    </w:p>
    <w:p w14:paraId="180331FF" w14:textId="77777777" w:rsidR="00661875" w:rsidRPr="00CD0FE9" w:rsidRDefault="00661875" w:rsidP="00661875">
      <w:pPr>
        <w:spacing w:after="0" w:line="240" w:lineRule="auto"/>
        <w:rPr>
          <w:rFonts w:cs="Arial"/>
          <w:lang w:val="fr-FR"/>
        </w:rPr>
      </w:pPr>
    </w:p>
    <w:p w14:paraId="4DA1BFBB" w14:textId="334B2B58" w:rsidR="00661875" w:rsidRPr="00CD0FE9" w:rsidRDefault="00661875" w:rsidP="00661875">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67CDA7B9" w14:textId="77777777" w:rsidR="00831DC2" w:rsidRPr="00695AAD" w:rsidRDefault="00831DC2" w:rsidP="00831DC2">
      <w:pPr>
        <w:pStyle w:val="ListParagraph"/>
        <w:spacing w:after="0" w:line="240" w:lineRule="auto"/>
        <w:contextualSpacing w:val="0"/>
        <w:rPr>
          <w:lang w:val="fr-FR"/>
        </w:rPr>
      </w:pPr>
    </w:p>
    <w:p w14:paraId="495DC3C6" w14:textId="199217C0" w:rsidR="007512E0" w:rsidRPr="00F24738" w:rsidRDefault="00562A3C" w:rsidP="00F24738">
      <w:pPr>
        <w:pStyle w:val="Secondnumbering"/>
        <w:numPr>
          <w:ilvl w:val="0"/>
          <w:numId w:val="45"/>
        </w:numPr>
        <w:ind w:left="1134" w:hanging="567"/>
        <w:rPr>
          <w:lang w:val="fr-FR"/>
        </w:rPr>
      </w:pPr>
      <w:r>
        <w:rPr>
          <w:rFonts w:cs="Arial"/>
          <w:lang w:val="fr-FR"/>
        </w:rPr>
        <w:t>d'adopter le projet de Résolution figurant à l'Annexe 1 du présent document, y compris la liste figurant à l'Annexe 1 du projet de Résolution.</w:t>
      </w:r>
    </w:p>
    <w:p w14:paraId="3B9CA466" w14:textId="77777777" w:rsidR="00F24738" w:rsidRPr="002A012C" w:rsidRDefault="00F24738" w:rsidP="00F24738">
      <w:pPr>
        <w:pStyle w:val="Secondnumbering"/>
        <w:numPr>
          <w:ilvl w:val="0"/>
          <w:numId w:val="0"/>
        </w:numPr>
        <w:ind w:left="1134"/>
        <w:rPr>
          <w:lang w:val="fr-FR"/>
        </w:rPr>
      </w:pPr>
    </w:p>
    <w:p w14:paraId="461D0210" w14:textId="607C5A74" w:rsidR="006E1ED0" w:rsidRPr="00AA74DA" w:rsidRDefault="006E1ED0" w:rsidP="00F24738">
      <w:pPr>
        <w:pStyle w:val="Secondnumbering"/>
        <w:numPr>
          <w:ilvl w:val="0"/>
          <w:numId w:val="45"/>
        </w:numPr>
        <w:ind w:left="1134" w:hanging="567"/>
        <w:rPr>
          <w:lang w:val="fr-FR"/>
        </w:rPr>
      </w:pPr>
      <w:r>
        <w:rPr>
          <w:lang w:val="fr-FR"/>
        </w:rPr>
        <w:t>d'adopter le projet de Décision</w:t>
      </w:r>
      <w:r w:rsidR="000D7FCD">
        <w:rPr>
          <w:lang w:val="fr-FR"/>
        </w:rPr>
        <w:t>s</w:t>
      </w:r>
      <w:r>
        <w:rPr>
          <w:lang w:val="fr-FR"/>
        </w:rPr>
        <w:t xml:space="preserve"> figurant à l'Annexe 2 du présent document.</w:t>
      </w:r>
    </w:p>
    <w:p w14:paraId="1D2AB570" w14:textId="77777777" w:rsidR="008B1B57" w:rsidRPr="00695AAD" w:rsidRDefault="008B1B57" w:rsidP="00562A3C">
      <w:pPr>
        <w:pStyle w:val="Secondnumbering"/>
        <w:numPr>
          <w:ilvl w:val="0"/>
          <w:numId w:val="0"/>
        </w:numPr>
        <w:ind w:left="1134"/>
        <w:rPr>
          <w:lang w:val="fr-FR"/>
        </w:rPr>
      </w:pPr>
    </w:p>
    <w:p w14:paraId="4E68D5FF" w14:textId="77777777" w:rsidR="00F24738" w:rsidRDefault="00F24738" w:rsidP="00392513">
      <w:pPr>
        <w:pStyle w:val="Secondnumbering"/>
        <w:numPr>
          <w:ilvl w:val="0"/>
          <w:numId w:val="0"/>
        </w:numPr>
        <w:ind w:left="1134"/>
        <w:rPr>
          <w:lang w:val="fr-FR"/>
        </w:rPr>
        <w:sectPr w:rsidR="00F24738" w:rsidSect="00B3027D">
          <w:headerReference w:type="even" r:id="rId26"/>
          <w:headerReference w:type="default" r:id="rId27"/>
          <w:footerReference w:type="default" r:id="rId28"/>
          <w:headerReference w:type="first" r:id="rId29"/>
          <w:footerReference w:type="first" r:id="rId30"/>
          <w:pgSz w:w="11906" w:h="16838" w:code="9"/>
          <w:pgMar w:top="1440" w:right="1440" w:bottom="1440" w:left="1440" w:header="720" w:footer="720" w:gutter="0"/>
          <w:cols w:space="720"/>
          <w:titlePg/>
          <w:docGrid w:linePitch="360"/>
        </w:sectPr>
      </w:pPr>
    </w:p>
    <w:p w14:paraId="371628D4" w14:textId="7267214D" w:rsidR="00831DC2" w:rsidRPr="00C15318" w:rsidRDefault="00831DC2" w:rsidP="00C15318">
      <w:pPr>
        <w:pStyle w:val="Secondnumbering"/>
        <w:numPr>
          <w:ilvl w:val="0"/>
          <w:numId w:val="0"/>
        </w:numPr>
        <w:jc w:val="right"/>
        <w:rPr>
          <w:lang w:val="fr-FR"/>
        </w:rPr>
      </w:pPr>
      <w:r>
        <w:rPr>
          <w:rFonts w:cs="Arial"/>
          <w:b/>
          <w:caps/>
          <w:lang w:val="fr-FR"/>
        </w:rPr>
        <w:lastRenderedPageBreak/>
        <w:t>Annexe 1</w:t>
      </w:r>
    </w:p>
    <w:p w14:paraId="0CD2FC19" w14:textId="7D9FD320" w:rsidR="00831DC2" w:rsidRDefault="00831DC2" w:rsidP="00E56D26">
      <w:pPr>
        <w:widowControl w:val="0"/>
        <w:autoSpaceDE w:val="0"/>
        <w:autoSpaceDN w:val="0"/>
        <w:adjustRightInd w:val="0"/>
        <w:spacing w:after="0" w:line="240" w:lineRule="auto"/>
        <w:rPr>
          <w:rFonts w:eastAsia="Times New Roman" w:cs="Arial"/>
          <w:lang w:val="fr-FR"/>
        </w:rPr>
      </w:pPr>
    </w:p>
    <w:p w14:paraId="6B50E63E" w14:textId="77777777" w:rsidR="00332BA2" w:rsidRPr="00831DC2" w:rsidRDefault="00332BA2" w:rsidP="00E56D26">
      <w:pPr>
        <w:widowControl w:val="0"/>
        <w:autoSpaceDE w:val="0"/>
        <w:autoSpaceDN w:val="0"/>
        <w:adjustRightInd w:val="0"/>
        <w:spacing w:after="0" w:line="240" w:lineRule="auto"/>
        <w:rPr>
          <w:rFonts w:eastAsia="Times New Roman" w:cs="Arial"/>
          <w:lang w:val="fr-FR"/>
        </w:rPr>
      </w:pPr>
    </w:p>
    <w:p w14:paraId="151DFF03" w14:textId="19721208" w:rsidR="00831DC2" w:rsidRDefault="00831DC2" w:rsidP="00DD07FD">
      <w:pPr>
        <w:widowControl w:val="0"/>
        <w:autoSpaceDE w:val="0"/>
        <w:autoSpaceDN w:val="0"/>
        <w:adjustRightInd w:val="0"/>
        <w:spacing w:after="0" w:line="240" w:lineRule="auto"/>
        <w:jc w:val="center"/>
        <w:rPr>
          <w:rFonts w:eastAsia="Times New Roman" w:cs="Arial"/>
          <w:lang w:val="fr-FR"/>
        </w:rPr>
      </w:pPr>
      <w:r>
        <w:rPr>
          <w:rFonts w:eastAsia="Times New Roman" w:cs="Arial"/>
          <w:lang w:val="fr-FR"/>
        </w:rPr>
        <w:t>PROJET DE RÉSOLUTION</w:t>
      </w:r>
    </w:p>
    <w:p w14:paraId="3ACCC4D9" w14:textId="77777777" w:rsidR="00695AAD" w:rsidRDefault="00695AAD" w:rsidP="00DD07FD">
      <w:pPr>
        <w:widowControl w:val="0"/>
        <w:autoSpaceDE w:val="0"/>
        <w:autoSpaceDN w:val="0"/>
        <w:adjustRightInd w:val="0"/>
        <w:spacing w:after="0" w:line="240" w:lineRule="auto"/>
        <w:jc w:val="center"/>
        <w:rPr>
          <w:rFonts w:eastAsia="Times New Roman" w:cs="Arial"/>
          <w:lang w:val="fr-FR"/>
        </w:rPr>
      </w:pPr>
    </w:p>
    <w:p w14:paraId="6D7B1290" w14:textId="674D01E7" w:rsidR="00E56D26" w:rsidRPr="00E56D26" w:rsidRDefault="00E56D26" w:rsidP="00DD07FD">
      <w:pPr>
        <w:widowControl w:val="0"/>
        <w:autoSpaceDE w:val="0"/>
        <w:autoSpaceDN w:val="0"/>
        <w:adjustRightInd w:val="0"/>
        <w:spacing w:after="0" w:line="240" w:lineRule="auto"/>
        <w:jc w:val="center"/>
        <w:rPr>
          <w:rFonts w:eastAsia="Times New Roman" w:cs="Arial"/>
          <w:b/>
          <w:bCs/>
          <w:caps/>
          <w:lang w:val="fr-FR"/>
        </w:rPr>
      </w:pPr>
      <w:r>
        <w:rPr>
          <w:rFonts w:eastAsia="Times New Roman" w:cs="Arial"/>
          <w:b/>
          <w:bCs/>
          <w:caps/>
          <w:lang w:val="fr-FR"/>
        </w:rPr>
        <w:t xml:space="preserve">Orientations sur le TRAITEMENT DES ESPÈCES INCLUSES DANS LES FAMILLES AGRÉGÉES </w:t>
      </w:r>
      <w:r w:rsidR="000D7FCD">
        <w:rPr>
          <w:rFonts w:eastAsia="Times New Roman" w:cs="Arial"/>
          <w:b/>
          <w:bCs/>
          <w:caps/>
          <w:lang w:val="fr-FR"/>
        </w:rPr>
        <w:t>INSCRITES</w:t>
      </w:r>
      <w:r>
        <w:rPr>
          <w:rFonts w:eastAsia="Times New Roman" w:cs="Arial"/>
          <w:b/>
          <w:bCs/>
          <w:caps/>
          <w:lang w:val="fr-FR"/>
        </w:rPr>
        <w:t xml:space="preserve"> À L'ANNEXE II</w:t>
      </w:r>
    </w:p>
    <w:p w14:paraId="44BABD3E" w14:textId="77777777" w:rsidR="00831DC2" w:rsidRDefault="00831DC2" w:rsidP="00831DC2">
      <w:pPr>
        <w:widowControl w:val="0"/>
        <w:autoSpaceDE w:val="0"/>
        <w:autoSpaceDN w:val="0"/>
        <w:adjustRightInd w:val="0"/>
        <w:spacing w:after="0" w:line="240" w:lineRule="auto"/>
        <w:jc w:val="both"/>
        <w:rPr>
          <w:rFonts w:eastAsia="Times New Roman" w:cs="Arial"/>
          <w:i/>
          <w:lang w:val="fr-FR"/>
        </w:rPr>
      </w:pPr>
    </w:p>
    <w:p w14:paraId="57AA0814" w14:textId="77777777" w:rsidR="00332BA2" w:rsidRPr="00831DC2" w:rsidRDefault="00332BA2" w:rsidP="00831DC2">
      <w:pPr>
        <w:widowControl w:val="0"/>
        <w:autoSpaceDE w:val="0"/>
        <w:autoSpaceDN w:val="0"/>
        <w:adjustRightInd w:val="0"/>
        <w:spacing w:after="0" w:line="240" w:lineRule="auto"/>
        <w:jc w:val="both"/>
        <w:rPr>
          <w:rFonts w:eastAsia="Times New Roman" w:cs="Arial"/>
          <w:i/>
          <w:lang w:val="fr-FR"/>
        </w:rPr>
      </w:pPr>
    </w:p>
    <w:p w14:paraId="3B320299" w14:textId="322907D8" w:rsidR="00A135F9" w:rsidRPr="000D7FCD" w:rsidRDefault="00831DC2" w:rsidP="000D7FCD">
      <w:pPr>
        <w:widowControl w:val="0"/>
        <w:autoSpaceDE w:val="0"/>
        <w:autoSpaceDN w:val="0"/>
        <w:adjustRightInd w:val="0"/>
        <w:spacing w:after="0" w:line="240" w:lineRule="auto"/>
        <w:jc w:val="both"/>
        <w:rPr>
          <w:rFonts w:cs="Arial"/>
          <w:lang w:val="fr-FR"/>
        </w:rPr>
      </w:pPr>
      <w:r w:rsidRPr="000D7FCD">
        <w:rPr>
          <w:rFonts w:eastAsia="Times New Roman" w:cs="Arial"/>
          <w:i/>
          <w:lang w:val="fr-FR"/>
        </w:rPr>
        <w:t xml:space="preserve">Rappelant </w:t>
      </w:r>
      <w:r w:rsidRPr="000D7FCD">
        <w:rPr>
          <w:rFonts w:cs="Arial"/>
          <w:lang w:val="fr-FR"/>
        </w:rPr>
        <w:t xml:space="preserve">que </w:t>
      </w:r>
      <w:r w:rsidR="000D7FCD" w:rsidRPr="000D7FCD">
        <w:rPr>
          <w:rFonts w:cs="Arial"/>
          <w:lang w:val="fr-FR"/>
        </w:rPr>
        <w:t>l’</w:t>
      </w:r>
      <w:r w:rsidRPr="000D7FCD">
        <w:rPr>
          <w:rFonts w:cs="Arial"/>
          <w:lang w:val="fr-FR"/>
        </w:rPr>
        <w:t xml:space="preserve">Annexe II de la Convention regroupe de nombreuses espèces au sein de familles et de genres nommés, </w:t>
      </w:r>
    </w:p>
    <w:p w14:paraId="3F3D3582" w14:textId="77777777" w:rsidR="006D0258" w:rsidRPr="000D7FCD" w:rsidRDefault="006D0258" w:rsidP="000D7FCD">
      <w:pPr>
        <w:widowControl w:val="0"/>
        <w:autoSpaceDE w:val="0"/>
        <w:autoSpaceDN w:val="0"/>
        <w:adjustRightInd w:val="0"/>
        <w:spacing w:after="0" w:line="240" w:lineRule="auto"/>
        <w:jc w:val="both"/>
        <w:rPr>
          <w:rFonts w:eastAsia="Times New Roman" w:cs="Arial"/>
          <w:lang w:val="fr-FR"/>
        </w:rPr>
      </w:pPr>
    </w:p>
    <w:p w14:paraId="375B4E57" w14:textId="396FFC50" w:rsidR="005C10EE" w:rsidRPr="000D7FCD" w:rsidRDefault="006E36EB" w:rsidP="000D7FCD">
      <w:pPr>
        <w:widowControl w:val="0"/>
        <w:autoSpaceDE w:val="0"/>
        <w:autoSpaceDN w:val="0"/>
        <w:adjustRightInd w:val="0"/>
        <w:spacing w:after="0" w:line="240" w:lineRule="auto"/>
        <w:jc w:val="both"/>
        <w:rPr>
          <w:rFonts w:eastAsia="Times New Roman" w:cs="Arial"/>
          <w:iCs/>
          <w:lang w:val="fr-FR"/>
        </w:rPr>
      </w:pPr>
      <w:r w:rsidRPr="000D7FCD">
        <w:rPr>
          <w:rFonts w:eastAsia="Times New Roman" w:cs="Arial"/>
          <w:i/>
          <w:lang w:val="fr-FR"/>
        </w:rPr>
        <w:t xml:space="preserve">Notant </w:t>
      </w:r>
      <w:r w:rsidRPr="000D7FCD">
        <w:rPr>
          <w:rFonts w:eastAsia="Times New Roman" w:cs="Arial"/>
          <w:iCs/>
          <w:lang w:val="fr-FR"/>
        </w:rPr>
        <w:t xml:space="preserve">que, comme le montre le document UNEP/CMS/ScC-SC5/Doc.8.2, les familles agrégées contiennent plus de 2300 espèces ; une grande proportion d'entre elles se trouvent dans un seul pays, ne traversent pas de façon cyclique ou prévisible </w:t>
      </w:r>
      <w:r w:rsidRPr="000D7FCD">
        <w:rPr>
          <w:lang w:val="fr-FR"/>
        </w:rPr>
        <w:t>une ou plusieurs frontières juridictionnelles nationales et/ou ont un état de conservation défavorable,</w:t>
      </w:r>
    </w:p>
    <w:p w14:paraId="569C71F3" w14:textId="77777777" w:rsidR="00F936B8" w:rsidRPr="000D7FCD" w:rsidRDefault="00F936B8" w:rsidP="000D7FCD">
      <w:pPr>
        <w:widowControl w:val="0"/>
        <w:autoSpaceDE w:val="0"/>
        <w:autoSpaceDN w:val="0"/>
        <w:adjustRightInd w:val="0"/>
        <w:spacing w:after="0" w:line="240" w:lineRule="auto"/>
        <w:jc w:val="both"/>
        <w:rPr>
          <w:rFonts w:eastAsia="Times New Roman" w:cs="Arial"/>
          <w:lang w:val="fr-FR"/>
        </w:rPr>
      </w:pPr>
    </w:p>
    <w:p w14:paraId="4512F3D8" w14:textId="41A89D12" w:rsidR="00E55D39" w:rsidRPr="000D7FCD" w:rsidRDefault="005C10EE" w:rsidP="000D7FCD">
      <w:pPr>
        <w:widowControl w:val="0"/>
        <w:autoSpaceDE w:val="0"/>
        <w:autoSpaceDN w:val="0"/>
        <w:adjustRightInd w:val="0"/>
        <w:spacing w:after="0" w:line="240" w:lineRule="auto"/>
        <w:jc w:val="both"/>
        <w:rPr>
          <w:rFonts w:eastAsia="Times New Roman" w:cs="Arial"/>
          <w:iCs/>
          <w:lang w:val="fr-FR"/>
        </w:rPr>
      </w:pPr>
      <w:r w:rsidRPr="000D7FCD">
        <w:rPr>
          <w:rFonts w:eastAsia="Times New Roman" w:cs="Arial"/>
          <w:i/>
          <w:lang w:val="fr-FR"/>
        </w:rPr>
        <w:t xml:space="preserve">Notant en outre </w:t>
      </w:r>
      <w:r w:rsidRPr="000D7FCD">
        <w:rPr>
          <w:rFonts w:eastAsia="Times New Roman" w:cs="Arial"/>
          <w:iCs/>
          <w:lang w:val="fr-FR"/>
        </w:rPr>
        <w:t xml:space="preserve">qu'avant cette Résolution, il n'existait pas d'orientation exhaustive dans le cadre de la Convention sur les espèces des familles agrégées dont on sait qu'elles peuvent, à tout moment, franchir cycliquement ou de façon prévisible </w:t>
      </w:r>
      <w:r w:rsidRPr="000D7FCD">
        <w:rPr>
          <w:lang w:val="fr-FR"/>
        </w:rPr>
        <w:t>une ou plusieurs frontières juridictionnelles nationales et/ou avoir un état de conservation défavorable,</w:t>
      </w:r>
    </w:p>
    <w:p w14:paraId="179C2152" w14:textId="5BB6FA30" w:rsidR="005C10EE" w:rsidRPr="000D7FCD" w:rsidRDefault="005C10EE" w:rsidP="000D7FCD">
      <w:pPr>
        <w:widowControl w:val="0"/>
        <w:autoSpaceDE w:val="0"/>
        <w:autoSpaceDN w:val="0"/>
        <w:adjustRightInd w:val="0"/>
        <w:spacing w:after="0" w:line="240" w:lineRule="auto"/>
        <w:jc w:val="both"/>
        <w:rPr>
          <w:rFonts w:eastAsia="Times New Roman" w:cs="Arial"/>
          <w:iCs/>
          <w:lang w:val="fr-FR"/>
        </w:rPr>
      </w:pPr>
    </w:p>
    <w:p w14:paraId="22F0533E" w14:textId="07695838" w:rsidR="006E36EB" w:rsidRPr="000D7FCD" w:rsidRDefault="006E36EB" w:rsidP="000D7FCD">
      <w:pPr>
        <w:widowControl w:val="0"/>
        <w:autoSpaceDE w:val="0"/>
        <w:autoSpaceDN w:val="0"/>
        <w:adjustRightInd w:val="0"/>
        <w:spacing w:after="0" w:line="240" w:lineRule="auto"/>
        <w:jc w:val="both"/>
        <w:rPr>
          <w:rFonts w:eastAsia="Times New Roman" w:cs="Arial"/>
          <w:lang w:val="fr-FR"/>
        </w:rPr>
      </w:pPr>
      <w:r w:rsidRPr="000D7FCD">
        <w:rPr>
          <w:rFonts w:eastAsia="Times New Roman" w:cs="Arial"/>
          <w:i/>
          <w:iCs/>
          <w:lang w:val="fr-FR"/>
        </w:rPr>
        <w:t>Reconnaissant</w:t>
      </w:r>
      <w:r w:rsidRPr="000D7FCD">
        <w:rPr>
          <w:rFonts w:eastAsia="Times New Roman" w:cs="Arial"/>
          <w:lang w:val="fr-FR"/>
        </w:rPr>
        <w:t xml:space="preserve"> que de nombreuses espèces couvertes par chaque famille pourraient bénéficier d'une inscription à l'Annexe II,</w:t>
      </w:r>
    </w:p>
    <w:p w14:paraId="7AC3BFEA" w14:textId="77777777" w:rsidR="006E36EB" w:rsidRPr="000D7FCD" w:rsidRDefault="006E36EB" w:rsidP="000D7FCD">
      <w:pPr>
        <w:widowControl w:val="0"/>
        <w:autoSpaceDE w:val="0"/>
        <w:autoSpaceDN w:val="0"/>
        <w:adjustRightInd w:val="0"/>
        <w:spacing w:after="0" w:line="240" w:lineRule="auto"/>
        <w:jc w:val="both"/>
        <w:rPr>
          <w:rFonts w:eastAsia="Times New Roman" w:cs="Arial"/>
          <w:lang w:val="fr-FR"/>
        </w:rPr>
      </w:pPr>
    </w:p>
    <w:p w14:paraId="15A8F482" w14:textId="54DC26B7" w:rsidR="005C10EE" w:rsidRPr="000D7FCD" w:rsidRDefault="006E36EB" w:rsidP="000D7FCD">
      <w:pPr>
        <w:widowControl w:val="0"/>
        <w:autoSpaceDE w:val="0"/>
        <w:autoSpaceDN w:val="0"/>
        <w:adjustRightInd w:val="0"/>
        <w:spacing w:after="0" w:line="240" w:lineRule="auto"/>
        <w:jc w:val="both"/>
        <w:rPr>
          <w:rFonts w:eastAsia="Times New Roman" w:cs="Arial"/>
          <w:iCs/>
          <w:lang w:val="fr-FR"/>
        </w:rPr>
      </w:pPr>
      <w:r w:rsidRPr="000D7FCD">
        <w:rPr>
          <w:rFonts w:eastAsia="Times New Roman" w:cs="Arial"/>
          <w:i/>
          <w:lang w:val="fr-FR"/>
        </w:rPr>
        <w:t>Reconnaissant en outre</w:t>
      </w:r>
      <w:r w:rsidRPr="000D7FCD">
        <w:rPr>
          <w:rFonts w:eastAsia="Times New Roman" w:cs="Arial"/>
          <w:iCs/>
          <w:lang w:val="fr-FR"/>
        </w:rPr>
        <w:t xml:space="preserve"> que le manque de connaissances sur les déplacements et l'état de conservation des espèces inscrites dans les familles agrégées a entravé la capacité des États de l'aire de répartition à identifier les espèces inscrites qui justifient des mesures de conservation ou à rendre compte de ces mesures,</w:t>
      </w:r>
    </w:p>
    <w:p w14:paraId="4DC50CB9" w14:textId="1B85E528" w:rsidR="00E55D39" w:rsidRPr="000D7FCD" w:rsidRDefault="00E55D39" w:rsidP="000D7FCD">
      <w:pPr>
        <w:widowControl w:val="0"/>
        <w:autoSpaceDE w:val="0"/>
        <w:autoSpaceDN w:val="0"/>
        <w:adjustRightInd w:val="0"/>
        <w:spacing w:after="0" w:line="240" w:lineRule="auto"/>
        <w:jc w:val="both"/>
        <w:rPr>
          <w:rFonts w:eastAsia="Times New Roman" w:cs="Arial"/>
          <w:iCs/>
          <w:lang w:val="fr-FR"/>
        </w:rPr>
      </w:pPr>
    </w:p>
    <w:p w14:paraId="7AB50219" w14:textId="78FD3D51" w:rsidR="00E55D39" w:rsidRPr="000D7FCD" w:rsidRDefault="00E55D39" w:rsidP="000D7FCD">
      <w:pPr>
        <w:widowControl w:val="0"/>
        <w:autoSpaceDE w:val="0"/>
        <w:autoSpaceDN w:val="0"/>
        <w:adjustRightInd w:val="0"/>
        <w:spacing w:after="0" w:line="240" w:lineRule="auto"/>
        <w:jc w:val="both"/>
        <w:rPr>
          <w:rFonts w:eastAsia="Times New Roman" w:cs="Arial"/>
          <w:iCs/>
          <w:lang w:val="fr-FR"/>
        </w:rPr>
      </w:pPr>
      <w:r w:rsidRPr="000D7FCD">
        <w:rPr>
          <w:rFonts w:eastAsia="Times New Roman" w:cs="Arial"/>
          <w:i/>
          <w:lang w:val="fr-FR"/>
        </w:rPr>
        <w:t>Reconnaissant en outre</w:t>
      </w:r>
      <w:r w:rsidRPr="000D7FCD">
        <w:rPr>
          <w:rFonts w:eastAsia="Times New Roman" w:cs="Arial"/>
          <w:iCs/>
          <w:lang w:val="fr-FR"/>
        </w:rPr>
        <w:t xml:space="preserve"> </w:t>
      </w:r>
      <w:r w:rsidRPr="000D7FCD">
        <w:rPr>
          <w:rFonts w:cs="Arial"/>
          <w:lang w:val="fr-FR"/>
        </w:rPr>
        <w:t>qu'il est attendu des Parties, dans les Rapports nationaux de la Convention, qu'elles fournissent des informations sur les espèces inscrites aux Annexes de la CMS pour lesquelles elles sont un État de l'aire de répartition ;</w:t>
      </w:r>
    </w:p>
    <w:p w14:paraId="7EA3B901" w14:textId="69FD5C9D" w:rsidR="005C10EE" w:rsidRPr="000D7FCD" w:rsidRDefault="005C10EE" w:rsidP="000D7FCD">
      <w:pPr>
        <w:widowControl w:val="0"/>
        <w:autoSpaceDE w:val="0"/>
        <w:autoSpaceDN w:val="0"/>
        <w:adjustRightInd w:val="0"/>
        <w:spacing w:after="0" w:line="240" w:lineRule="auto"/>
        <w:jc w:val="both"/>
        <w:rPr>
          <w:rFonts w:eastAsia="Times New Roman" w:cs="Arial"/>
          <w:iCs/>
          <w:lang w:val="fr-FR"/>
        </w:rPr>
      </w:pPr>
    </w:p>
    <w:p w14:paraId="37D6D99D" w14:textId="065CD890" w:rsidR="005C10EE" w:rsidRPr="000D7FCD" w:rsidRDefault="005C10EE" w:rsidP="000D7FCD">
      <w:pPr>
        <w:widowControl w:val="0"/>
        <w:autoSpaceDE w:val="0"/>
        <w:autoSpaceDN w:val="0"/>
        <w:adjustRightInd w:val="0"/>
        <w:spacing w:after="0" w:line="240" w:lineRule="auto"/>
        <w:jc w:val="both"/>
        <w:rPr>
          <w:rFonts w:eastAsia="Times New Roman" w:cs="Arial"/>
          <w:iCs/>
          <w:lang w:val="fr-FR"/>
        </w:rPr>
      </w:pPr>
      <w:r w:rsidRPr="000D7FCD">
        <w:rPr>
          <w:rFonts w:eastAsia="Times New Roman" w:cs="Arial"/>
          <w:i/>
          <w:lang w:val="fr-FR"/>
        </w:rPr>
        <w:t>Rappelant avec gratitude</w:t>
      </w:r>
      <w:r w:rsidRPr="000D7FCD">
        <w:rPr>
          <w:rFonts w:eastAsia="Times New Roman" w:cs="Arial"/>
          <w:iCs/>
          <w:lang w:val="fr-FR"/>
        </w:rPr>
        <w:t xml:space="preserve"> les travaux du Comité de session du Conseil scientifique lors de ses 4</w:t>
      </w:r>
      <w:r w:rsidRPr="000D7FCD">
        <w:rPr>
          <w:rFonts w:eastAsia="Times New Roman" w:cs="Arial"/>
          <w:iCs/>
          <w:vertAlign w:val="superscript"/>
          <w:lang w:val="fr-FR"/>
        </w:rPr>
        <w:t>e</w:t>
      </w:r>
      <w:r w:rsidRPr="000D7FCD">
        <w:rPr>
          <w:rFonts w:eastAsia="Times New Roman" w:cs="Arial"/>
          <w:iCs/>
          <w:lang w:val="fr-FR"/>
        </w:rPr>
        <w:t>, 5</w:t>
      </w:r>
      <w:r w:rsidRPr="000D7FCD">
        <w:rPr>
          <w:rFonts w:eastAsia="Times New Roman" w:cs="Arial"/>
          <w:iCs/>
          <w:vertAlign w:val="superscript"/>
          <w:lang w:val="fr-FR"/>
        </w:rPr>
        <w:t>e</w:t>
      </w:r>
      <w:r w:rsidRPr="000D7FCD">
        <w:rPr>
          <w:rFonts w:eastAsia="Times New Roman" w:cs="Arial"/>
          <w:iCs/>
          <w:lang w:val="fr-FR"/>
        </w:rPr>
        <w:t xml:space="preserve"> et 6</w:t>
      </w:r>
      <w:r w:rsidRPr="000D7FCD">
        <w:rPr>
          <w:rFonts w:eastAsia="Times New Roman" w:cs="Arial"/>
          <w:iCs/>
          <w:vertAlign w:val="superscript"/>
          <w:lang w:val="fr-FR"/>
        </w:rPr>
        <w:t>e</w:t>
      </w:r>
      <w:r w:rsidRPr="000D7FCD">
        <w:rPr>
          <w:rFonts w:eastAsia="Times New Roman" w:cs="Arial"/>
          <w:iCs/>
          <w:lang w:val="fr-FR"/>
        </w:rPr>
        <w:t xml:space="preserve"> réunions,</w:t>
      </w:r>
    </w:p>
    <w:p w14:paraId="6B80BBB3" w14:textId="2E7BEB26" w:rsidR="00831DC2" w:rsidRPr="000D7FCD" w:rsidRDefault="00831DC2" w:rsidP="000D7FCD">
      <w:pPr>
        <w:widowControl w:val="0"/>
        <w:autoSpaceDE w:val="0"/>
        <w:autoSpaceDN w:val="0"/>
        <w:adjustRightInd w:val="0"/>
        <w:spacing w:after="0" w:line="240" w:lineRule="auto"/>
        <w:jc w:val="both"/>
        <w:rPr>
          <w:rFonts w:eastAsia="Times New Roman" w:cs="Arial"/>
          <w:i/>
          <w:lang w:val="fr-FR"/>
        </w:rPr>
      </w:pPr>
    </w:p>
    <w:p w14:paraId="62F8E699" w14:textId="77777777" w:rsidR="005C10EE" w:rsidRPr="000D7FCD" w:rsidRDefault="005C10EE" w:rsidP="000D7FCD">
      <w:pPr>
        <w:widowControl w:val="0"/>
        <w:autoSpaceDE w:val="0"/>
        <w:autoSpaceDN w:val="0"/>
        <w:adjustRightInd w:val="0"/>
        <w:spacing w:after="0" w:line="240" w:lineRule="auto"/>
        <w:jc w:val="both"/>
        <w:rPr>
          <w:rFonts w:eastAsia="Times New Roman" w:cs="Arial"/>
          <w:i/>
          <w:lang w:val="fr-FR"/>
        </w:rPr>
      </w:pPr>
    </w:p>
    <w:p w14:paraId="44ADA2C3" w14:textId="77777777" w:rsidR="00831DC2" w:rsidRPr="000D7FCD" w:rsidRDefault="00831DC2" w:rsidP="000D7FCD">
      <w:pPr>
        <w:widowControl w:val="0"/>
        <w:autoSpaceDE w:val="0"/>
        <w:autoSpaceDN w:val="0"/>
        <w:adjustRightInd w:val="0"/>
        <w:spacing w:after="0" w:line="240" w:lineRule="auto"/>
        <w:jc w:val="center"/>
        <w:rPr>
          <w:rFonts w:eastAsia="Times New Roman" w:cs="Arial"/>
          <w:i/>
          <w:lang w:val="fr-FR"/>
        </w:rPr>
      </w:pPr>
      <w:r w:rsidRPr="000D7FCD">
        <w:rPr>
          <w:rFonts w:eastAsia="Times New Roman" w:cs="Arial"/>
          <w:i/>
          <w:lang w:val="fr-FR"/>
        </w:rPr>
        <w:t>La Conférence des Parties à la</w:t>
      </w:r>
    </w:p>
    <w:p w14:paraId="5449D97F" w14:textId="77777777" w:rsidR="00831DC2" w:rsidRPr="000D7FCD" w:rsidRDefault="00831DC2" w:rsidP="000D7FCD">
      <w:pPr>
        <w:widowControl w:val="0"/>
        <w:autoSpaceDE w:val="0"/>
        <w:autoSpaceDN w:val="0"/>
        <w:adjustRightInd w:val="0"/>
        <w:spacing w:after="0" w:line="240" w:lineRule="auto"/>
        <w:jc w:val="center"/>
        <w:rPr>
          <w:rFonts w:eastAsia="Times New Roman" w:cs="Arial"/>
          <w:i/>
          <w:lang w:val="fr-FR"/>
        </w:rPr>
      </w:pPr>
      <w:r w:rsidRPr="000D7FCD">
        <w:rPr>
          <w:rFonts w:eastAsia="Times New Roman" w:cs="Arial"/>
          <w:i/>
          <w:lang w:val="fr-FR"/>
        </w:rPr>
        <w:t>Convention sur la conservation des espèces migratrices appartenant à la faune sauvage</w:t>
      </w:r>
    </w:p>
    <w:p w14:paraId="2BA09718" w14:textId="77777777" w:rsidR="00831DC2" w:rsidRPr="000D7FCD" w:rsidRDefault="00831DC2" w:rsidP="000D7FCD">
      <w:pPr>
        <w:widowControl w:val="0"/>
        <w:autoSpaceDE w:val="0"/>
        <w:autoSpaceDN w:val="0"/>
        <w:adjustRightInd w:val="0"/>
        <w:spacing w:after="0" w:line="240" w:lineRule="auto"/>
        <w:jc w:val="both"/>
        <w:rPr>
          <w:rFonts w:eastAsia="Times New Roman" w:cs="Arial"/>
          <w:lang w:val="fr-FR"/>
        </w:rPr>
      </w:pPr>
    </w:p>
    <w:p w14:paraId="29326DF8" w14:textId="6CBF7C48" w:rsidR="00E56D26" w:rsidRPr="000D7FCD" w:rsidRDefault="00247651" w:rsidP="000D7FCD">
      <w:pPr>
        <w:widowControl w:val="0"/>
        <w:numPr>
          <w:ilvl w:val="0"/>
          <w:numId w:val="8"/>
        </w:numPr>
        <w:autoSpaceDE w:val="0"/>
        <w:autoSpaceDN w:val="0"/>
        <w:adjustRightInd w:val="0"/>
        <w:spacing w:after="0" w:line="240" w:lineRule="auto"/>
        <w:ind w:left="567" w:hanging="567"/>
        <w:jc w:val="both"/>
        <w:rPr>
          <w:rFonts w:eastAsia="Times New Roman" w:cs="Arial"/>
          <w:iCs/>
          <w:lang w:val="fr-FR"/>
        </w:rPr>
      </w:pPr>
      <w:r w:rsidRPr="000D7FCD">
        <w:rPr>
          <w:rFonts w:eastAsia="Times New Roman" w:cs="Arial"/>
          <w:i/>
          <w:lang w:val="fr-FR"/>
        </w:rPr>
        <w:t xml:space="preserve">Prie </w:t>
      </w:r>
      <w:r w:rsidRPr="000D7FCD">
        <w:rPr>
          <w:rFonts w:eastAsia="Times New Roman" w:cs="Arial"/>
          <w:iCs/>
          <w:lang w:val="fr-FR"/>
        </w:rPr>
        <w:t>le Conseil scientifique de tenir à jour une liste d'espèces, telle qu'annexée à la présente Résolution, appartenant à des familles et des genres agrégés figurant à l'Annexe II afin de fournir un</w:t>
      </w:r>
      <w:r w:rsidR="00E603EE">
        <w:rPr>
          <w:rFonts w:eastAsia="Times New Roman" w:cs="Arial"/>
          <w:iCs/>
          <w:lang w:val="fr-FR"/>
        </w:rPr>
        <w:t xml:space="preserve"> conseil</w:t>
      </w:r>
      <w:r w:rsidRPr="000D7FCD">
        <w:rPr>
          <w:rFonts w:eastAsia="Times New Roman" w:cs="Arial"/>
          <w:iCs/>
          <w:lang w:val="fr-FR"/>
        </w:rPr>
        <w:t xml:space="preserve"> aux Parties quant aux espèces dont une </w:t>
      </w:r>
      <w:r w:rsidRPr="000D7FCD">
        <w:rPr>
          <w:lang w:val="fr-FR"/>
        </w:rPr>
        <w:t>fraction importante franchit cycliquement et de façon prévisible une ou plusieurs des limites de juridiction nationale et dont l'état de conservation est défavorable</w:t>
      </w:r>
      <w:r w:rsidRPr="000D7FCD">
        <w:rPr>
          <w:rFonts w:eastAsia="Times New Roman" w:cs="Arial"/>
          <w:iCs/>
          <w:lang w:val="fr-FR"/>
        </w:rPr>
        <w:t xml:space="preserve"> ;</w:t>
      </w:r>
    </w:p>
    <w:p w14:paraId="4BAB135B" w14:textId="77777777" w:rsidR="00E56D26" w:rsidRPr="000D7FCD" w:rsidRDefault="00E56D26" w:rsidP="000D7FCD">
      <w:pPr>
        <w:widowControl w:val="0"/>
        <w:autoSpaceDE w:val="0"/>
        <w:autoSpaceDN w:val="0"/>
        <w:adjustRightInd w:val="0"/>
        <w:spacing w:after="0" w:line="240" w:lineRule="auto"/>
        <w:jc w:val="both"/>
        <w:rPr>
          <w:rFonts w:eastAsia="Times New Roman" w:cs="Arial"/>
          <w:iCs/>
          <w:lang w:val="fr-FR"/>
        </w:rPr>
      </w:pPr>
    </w:p>
    <w:p w14:paraId="4AD12C4A" w14:textId="0E77F988" w:rsidR="00A135F9" w:rsidRPr="000D7FCD" w:rsidRDefault="00E56D26" w:rsidP="000D7FCD">
      <w:pPr>
        <w:widowControl w:val="0"/>
        <w:numPr>
          <w:ilvl w:val="0"/>
          <w:numId w:val="8"/>
        </w:numPr>
        <w:autoSpaceDE w:val="0"/>
        <w:autoSpaceDN w:val="0"/>
        <w:adjustRightInd w:val="0"/>
        <w:spacing w:after="0" w:line="240" w:lineRule="auto"/>
        <w:ind w:left="567" w:hanging="567"/>
        <w:jc w:val="both"/>
        <w:rPr>
          <w:rFonts w:eastAsia="Times New Roman" w:cs="Arial"/>
          <w:iCs/>
          <w:lang w:val="fr-FR"/>
        </w:rPr>
      </w:pPr>
      <w:r w:rsidRPr="000D7FCD">
        <w:rPr>
          <w:rFonts w:eastAsia="Times New Roman" w:cs="Arial"/>
          <w:i/>
          <w:lang w:val="fr-FR"/>
        </w:rPr>
        <w:t>Invite</w:t>
      </w:r>
      <w:r w:rsidRPr="000D7FCD">
        <w:rPr>
          <w:rFonts w:eastAsia="Times New Roman" w:cs="Arial"/>
          <w:iCs/>
          <w:lang w:val="fr-FR"/>
        </w:rPr>
        <w:t xml:space="preserve"> les Parties à tenir compte de la liste mentionnée au paragraphe 1, par exemple lors de la préparation des rapports nationaux. </w:t>
      </w:r>
    </w:p>
    <w:p w14:paraId="30F1AAAB" w14:textId="6DCB5440" w:rsidR="00BF6A66" w:rsidRDefault="00BF6A66" w:rsidP="00BF6A66">
      <w:pPr>
        <w:pStyle w:val="ListParagraph"/>
        <w:rPr>
          <w:rFonts w:eastAsia="Times New Roman" w:cs="Arial"/>
          <w:iCs/>
          <w:lang w:val="fr-FR"/>
        </w:rPr>
      </w:pPr>
    </w:p>
    <w:p w14:paraId="5208FBC5" w14:textId="77777777" w:rsidR="00A60F0F" w:rsidRDefault="00A60F0F">
      <w:pPr>
        <w:rPr>
          <w:rFonts w:cs="Arial"/>
          <w:lang w:val="fr-FR"/>
        </w:rPr>
        <w:sectPr w:rsidR="00A60F0F" w:rsidSect="00B3027D">
          <w:headerReference w:type="first" r:id="rId31"/>
          <w:pgSz w:w="11906" w:h="16838" w:code="9"/>
          <w:pgMar w:top="1440" w:right="1440" w:bottom="1440" w:left="1440" w:header="720" w:footer="720" w:gutter="0"/>
          <w:cols w:space="720"/>
          <w:titlePg/>
          <w:docGrid w:linePitch="360"/>
        </w:sectPr>
      </w:pPr>
    </w:p>
    <w:p w14:paraId="2EB579F3" w14:textId="2016D7CD" w:rsidR="00A4420F" w:rsidRPr="00CD0FE9" w:rsidRDefault="00A4420F" w:rsidP="00A4420F">
      <w:pPr>
        <w:spacing w:after="0" w:line="240" w:lineRule="auto"/>
        <w:jc w:val="right"/>
        <w:rPr>
          <w:rFonts w:cs="Arial"/>
          <w:b/>
          <w:bCs/>
          <w:caps/>
          <w:lang w:val="fr-FR"/>
        </w:rPr>
      </w:pPr>
      <w:r>
        <w:rPr>
          <w:rFonts w:cs="Arial"/>
          <w:b/>
          <w:caps/>
          <w:lang w:val="fr-FR"/>
        </w:rPr>
        <w:lastRenderedPageBreak/>
        <w:t>Annexe 1</w:t>
      </w:r>
    </w:p>
    <w:p w14:paraId="4AFA7A1B" w14:textId="77777777" w:rsidR="00A4420F" w:rsidRPr="00DC31DF" w:rsidRDefault="00A4420F" w:rsidP="007D1D81">
      <w:pPr>
        <w:jc w:val="both"/>
        <w:rPr>
          <w:rFonts w:cs="Arial"/>
          <w:b/>
          <w:bCs/>
          <w:lang w:val="fr-FR"/>
        </w:rPr>
      </w:pPr>
    </w:p>
    <w:p w14:paraId="52687CFC" w14:textId="398E2426" w:rsidR="007D1D81" w:rsidRPr="00C23610" w:rsidRDefault="0023726A" w:rsidP="000D7FCD">
      <w:pPr>
        <w:spacing w:after="0" w:line="240" w:lineRule="auto"/>
        <w:jc w:val="both"/>
        <w:rPr>
          <w:rFonts w:cs="Arial"/>
          <w:lang w:val="fr-FR"/>
        </w:rPr>
      </w:pPr>
      <w:r>
        <w:rPr>
          <w:rFonts w:cs="Arial"/>
          <w:b/>
          <w:bCs/>
          <w:lang w:val="fr-FR"/>
        </w:rPr>
        <w:t>Annexe à la Résolution</w:t>
      </w:r>
      <w:r>
        <w:rPr>
          <w:rFonts w:cs="Arial"/>
          <w:lang w:val="fr-FR"/>
        </w:rPr>
        <w:t xml:space="preserve"> 14.XX.</w:t>
      </w:r>
      <w:r>
        <w:rPr>
          <w:rFonts w:cs="Arial"/>
          <w:b/>
          <w:bCs/>
          <w:lang w:val="fr-FR"/>
        </w:rPr>
        <w:t xml:space="preserve"> </w:t>
      </w:r>
      <w:bookmarkStart w:id="3" w:name="_Hlk134695902"/>
      <w:r>
        <w:rPr>
          <w:rFonts w:cs="Arial"/>
          <w:lang w:val="fr-FR"/>
        </w:rPr>
        <w:t xml:space="preserve">Les espèces </w:t>
      </w:r>
      <w:r w:rsidR="000D7FCD">
        <w:rPr>
          <w:rFonts w:cs="Arial"/>
          <w:lang w:val="fr-FR"/>
        </w:rPr>
        <w:t>de</w:t>
      </w:r>
      <w:r>
        <w:rPr>
          <w:rFonts w:cs="Arial"/>
          <w:lang w:val="fr-FR"/>
        </w:rPr>
        <w:t xml:space="preserve"> l'Annexe II comprennent les familles et genres agrégés qui ne sont pas déjà inscrits individuellement à l'Annexe I ou à l'Annexe II, dont une fraction importante franchit cycliquement et de façon prévisible une ou plusieurs des limites de juridiction nationale et dont l'état de conservation est défavorable. Les taxons en caractères gras sont menacés : en danger critique d'extinction (CR, 1 espèce), en danger (DA, 7 espèces), Vulnérable (VU, 24 esp.) ou Données insuffisantes (DI, 2 esp.). Les espèces en caractères simples sont quasi menacées (QM, 52 esp.) Total 86 espèces</w:t>
      </w:r>
      <w:bookmarkEnd w:id="3"/>
      <w:r>
        <w:rPr>
          <w:rFonts w:cs="Arial"/>
          <w:lang w:val="fr-FR"/>
        </w:rPr>
        <w:t>.</w:t>
      </w:r>
    </w:p>
    <w:tbl>
      <w:tblPr>
        <w:tblW w:w="15451" w:type="dxa"/>
        <w:tblInd w:w="-709" w:type="dxa"/>
        <w:tblLayout w:type="fixed"/>
        <w:tblLook w:val="04A0" w:firstRow="1" w:lastRow="0" w:firstColumn="1" w:lastColumn="0" w:noHBand="0" w:noVBand="1"/>
      </w:tblPr>
      <w:tblGrid>
        <w:gridCol w:w="1702"/>
        <w:gridCol w:w="1983"/>
        <w:gridCol w:w="1695"/>
        <w:gridCol w:w="1108"/>
        <w:gridCol w:w="8963"/>
      </w:tblGrid>
      <w:tr w:rsidR="000D7FCD" w:rsidRPr="000D7FCD" w14:paraId="759AFCA1" w14:textId="77777777" w:rsidTr="00885D66">
        <w:trPr>
          <w:cantSplit/>
          <w:trHeight w:val="290"/>
          <w:tblHeader/>
        </w:trPr>
        <w:tc>
          <w:tcPr>
            <w:tcW w:w="1702" w:type="dxa"/>
            <w:tcBorders>
              <w:top w:val="nil"/>
              <w:left w:val="nil"/>
              <w:bottom w:val="single" w:sz="4" w:space="0" w:color="auto"/>
              <w:right w:val="nil"/>
            </w:tcBorders>
            <w:vAlign w:val="center"/>
            <w:hideMark/>
          </w:tcPr>
          <w:p w14:paraId="26E738AE" w14:textId="184FC573" w:rsidR="00E90F29" w:rsidRPr="000D7FCD" w:rsidRDefault="00E90F29" w:rsidP="00885D66">
            <w:pPr>
              <w:autoSpaceDE w:val="0"/>
              <w:autoSpaceDN w:val="0"/>
              <w:adjustRightInd w:val="0"/>
              <w:rPr>
                <w:rFonts w:cs="Arial"/>
                <w:b/>
                <w:bCs/>
                <w:sz w:val="18"/>
                <w:szCs w:val="18"/>
                <w:lang w:val="fr-FR"/>
              </w:rPr>
            </w:pPr>
            <w:r w:rsidRPr="000D7FCD">
              <w:rPr>
                <w:rFonts w:cs="Arial"/>
                <w:b/>
                <w:bCs/>
                <w:sz w:val="18"/>
                <w:szCs w:val="18"/>
                <w:lang w:val="fr-FR"/>
              </w:rPr>
              <w:t>Famille/Genre</w:t>
            </w:r>
          </w:p>
        </w:tc>
        <w:tc>
          <w:tcPr>
            <w:tcW w:w="1983" w:type="dxa"/>
            <w:tcBorders>
              <w:top w:val="nil"/>
              <w:left w:val="nil"/>
              <w:bottom w:val="single" w:sz="4" w:space="0" w:color="auto"/>
              <w:right w:val="nil"/>
            </w:tcBorders>
            <w:vAlign w:val="center"/>
            <w:hideMark/>
          </w:tcPr>
          <w:p w14:paraId="0F7643C8" w14:textId="57FD8BC5" w:rsidR="00E90F29" w:rsidRPr="000D7FCD" w:rsidRDefault="005E8CD1" w:rsidP="00885D66">
            <w:pPr>
              <w:autoSpaceDE w:val="0"/>
              <w:autoSpaceDN w:val="0"/>
              <w:adjustRightInd w:val="0"/>
              <w:rPr>
                <w:rFonts w:cs="Arial"/>
                <w:b/>
                <w:bCs/>
                <w:sz w:val="18"/>
                <w:szCs w:val="18"/>
                <w:lang w:val="fr-FR"/>
              </w:rPr>
            </w:pPr>
            <w:r w:rsidRPr="000D7FCD">
              <w:rPr>
                <w:rFonts w:cs="Arial"/>
                <w:b/>
                <w:sz w:val="18"/>
                <w:szCs w:val="18"/>
                <w:lang w:val="fr-FR"/>
              </w:rPr>
              <w:t xml:space="preserve">Nom </w:t>
            </w:r>
            <w:r w:rsidRPr="000D7FCD">
              <w:rPr>
                <w:rFonts w:cs="Arial"/>
                <w:b/>
                <w:bCs/>
                <w:sz w:val="18"/>
                <w:szCs w:val="18"/>
                <w:lang w:val="fr-FR"/>
              </w:rPr>
              <w:t>commun</w:t>
            </w:r>
          </w:p>
        </w:tc>
        <w:tc>
          <w:tcPr>
            <w:tcW w:w="1695" w:type="dxa"/>
            <w:tcBorders>
              <w:top w:val="nil"/>
              <w:left w:val="nil"/>
              <w:bottom w:val="single" w:sz="4" w:space="0" w:color="auto"/>
              <w:right w:val="nil"/>
            </w:tcBorders>
            <w:vAlign w:val="center"/>
            <w:hideMark/>
          </w:tcPr>
          <w:p w14:paraId="4712F798" w14:textId="77777777" w:rsidR="00E90F29" w:rsidRPr="000D7FCD" w:rsidRDefault="00E90F29" w:rsidP="00885D66">
            <w:pPr>
              <w:autoSpaceDE w:val="0"/>
              <w:autoSpaceDN w:val="0"/>
              <w:adjustRightInd w:val="0"/>
              <w:rPr>
                <w:rFonts w:cs="Arial"/>
                <w:b/>
                <w:bCs/>
                <w:sz w:val="18"/>
                <w:szCs w:val="18"/>
                <w:lang w:val="fr-FR"/>
              </w:rPr>
            </w:pPr>
            <w:r w:rsidRPr="000D7FCD">
              <w:rPr>
                <w:rFonts w:cs="Arial"/>
                <w:b/>
                <w:bCs/>
                <w:sz w:val="18"/>
                <w:szCs w:val="18"/>
                <w:lang w:val="fr-FR"/>
              </w:rPr>
              <w:t>Nom scientifique</w:t>
            </w:r>
          </w:p>
        </w:tc>
        <w:tc>
          <w:tcPr>
            <w:tcW w:w="1108" w:type="dxa"/>
            <w:tcBorders>
              <w:top w:val="nil"/>
              <w:left w:val="nil"/>
              <w:bottom w:val="single" w:sz="4" w:space="0" w:color="auto"/>
              <w:right w:val="nil"/>
            </w:tcBorders>
            <w:vAlign w:val="center"/>
            <w:hideMark/>
          </w:tcPr>
          <w:p w14:paraId="3DB154F1" w14:textId="77777777" w:rsidR="00E90F29" w:rsidRPr="000D7FCD" w:rsidRDefault="00E90F29" w:rsidP="00885D66">
            <w:pPr>
              <w:autoSpaceDE w:val="0"/>
              <w:autoSpaceDN w:val="0"/>
              <w:adjustRightInd w:val="0"/>
              <w:rPr>
                <w:rFonts w:cs="Arial"/>
                <w:b/>
                <w:bCs/>
                <w:sz w:val="18"/>
                <w:szCs w:val="18"/>
                <w:lang w:val="fr-FR"/>
              </w:rPr>
            </w:pPr>
            <w:r w:rsidRPr="000D7FCD">
              <w:rPr>
                <w:rFonts w:cs="Arial"/>
                <w:b/>
                <w:bCs/>
                <w:sz w:val="18"/>
                <w:szCs w:val="18"/>
                <w:lang w:val="fr-FR"/>
              </w:rPr>
              <w:t>État d'une espèce pour la Liste rouge de l'UICN</w:t>
            </w:r>
          </w:p>
        </w:tc>
        <w:tc>
          <w:tcPr>
            <w:tcW w:w="8963" w:type="dxa"/>
            <w:tcBorders>
              <w:top w:val="nil"/>
              <w:left w:val="nil"/>
              <w:bottom w:val="single" w:sz="4" w:space="0" w:color="auto"/>
              <w:right w:val="nil"/>
            </w:tcBorders>
            <w:vAlign w:val="center"/>
            <w:hideMark/>
          </w:tcPr>
          <w:p w14:paraId="57146968" w14:textId="77777777" w:rsidR="00E90F29" w:rsidRPr="000D7FCD" w:rsidRDefault="00E90F29" w:rsidP="00885D66">
            <w:pPr>
              <w:autoSpaceDE w:val="0"/>
              <w:autoSpaceDN w:val="0"/>
              <w:adjustRightInd w:val="0"/>
              <w:rPr>
                <w:rFonts w:cs="Arial"/>
                <w:b/>
                <w:bCs/>
                <w:sz w:val="18"/>
                <w:szCs w:val="18"/>
                <w:lang w:val="fr-FR"/>
              </w:rPr>
            </w:pPr>
            <w:r w:rsidRPr="000D7FCD">
              <w:rPr>
                <w:rFonts w:cs="Arial"/>
                <w:b/>
                <w:bCs/>
                <w:sz w:val="18"/>
                <w:szCs w:val="18"/>
                <w:lang w:val="fr-FR"/>
              </w:rPr>
              <w:t>Résumé des mouvements</w:t>
            </w:r>
          </w:p>
        </w:tc>
      </w:tr>
      <w:tr w:rsidR="000D7FCD" w:rsidRPr="000D7FCD" w14:paraId="5A9E4267" w14:textId="77777777" w:rsidTr="00E90F29">
        <w:trPr>
          <w:cantSplit/>
          <w:trHeight w:val="290"/>
        </w:trPr>
        <w:tc>
          <w:tcPr>
            <w:tcW w:w="1702" w:type="dxa"/>
            <w:hideMark/>
          </w:tcPr>
          <w:p w14:paraId="55DA93E3"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3D685EC8"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L'oie empereur</w:t>
            </w:r>
          </w:p>
        </w:tc>
        <w:tc>
          <w:tcPr>
            <w:tcW w:w="1695" w:type="dxa"/>
            <w:hideMark/>
          </w:tcPr>
          <w:p w14:paraId="6808E709"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Anser</w:t>
            </w:r>
            <w:proofErr w:type="spellEnd"/>
            <w:r w:rsidRPr="000D7FCD">
              <w:rPr>
                <w:rFonts w:cs="Arial"/>
                <w:i/>
                <w:iCs/>
                <w:sz w:val="18"/>
                <w:szCs w:val="18"/>
                <w:lang w:val="en-US"/>
              </w:rPr>
              <w:t xml:space="preserve"> </w:t>
            </w:r>
            <w:proofErr w:type="spellStart"/>
            <w:r w:rsidRPr="000D7FCD">
              <w:rPr>
                <w:rFonts w:cs="Arial"/>
                <w:i/>
                <w:iCs/>
                <w:sz w:val="18"/>
                <w:szCs w:val="18"/>
                <w:lang w:val="en-US"/>
              </w:rPr>
              <w:t>canagicus</w:t>
            </w:r>
            <w:proofErr w:type="spellEnd"/>
          </w:p>
        </w:tc>
        <w:tc>
          <w:tcPr>
            <w:tcW w:w="1108" w:type="dxa"/>
            <w:hideMark/>
          </w:tcPr>
          <w:p w14:paraId="38942FF1"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28000B11"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5CE1CBB6" w14:textId="77777777" w:rsidTr="00E90F29">
        <w:trPr>
          <w:cantSplit/>
          <w:trHeight w:val="290"/>
        </w:trPr>
        <w:tc>
          <w:tcPr>
            <w:tcW w:w="1702" w:type="dxa"/>
            <w:hideMark/>
          </w:tcPr>
          <w:p w14:paraId="04666162"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66B298A8"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Harelde de Miquelon</w:t>
            </w:r>
          </w:p>
        </w:tc>
        <w:tc>
          <w:tcPr>
            <w:tcW w:w="1695" w:type="dxa"/>
            <w:hideMark/>
          </w:tcPr>
          <w:p w14:paraId="6C975DBD"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Clangula </w:t>
            </w:r>
            <w:proofErr w:type="spellStart"/>
            <w:r w:rsidRPr="000D7FCD">
              <w:rPr>
                <w:rFonts w:cs="Arial"/>
                <w:b/>
                <w:bCs/>
                <w:i/>
                <w:iCs/>
                <w:sz w:val="18"/>
                <w:szCs w:val="18"/>
                <w:lang w:val="en-US"/>
              </w:rPr>
              <w:t>hyemalis</w:t>
            </w:r>
            <w:proofErr w:type="spellEnd"/>
          </w:p>
        </w:tc>
        <w:tc>
          <w:tcPr>
            <w:tcW w:w="1108" w:type="dxa"/>
            <w:hideMark/>
          </w:tcPr>
          <w:p w14:paraId="05F40D68"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sz w:val="18"/>
                <w:szCs w:val="18"/>
                <w:lang w:val="en-US"/>
              </w:rPr>
              <w:t>VU</w:t>
            </w:r>
          </w:p>
        </w:tc>
        <w:tc>
          <w:tcPr>
            <w:tcW w:w="8963" w:type="dxa"/>
            <w:hideMark/>
          </w:tcPr>
          <w:p w14:paraId="7EB2F810"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48D7A1DB" w14:textId="77777777" w:rsidTr="00E90F29">
        <w:trPr>
          <w:cantSplit/>
          <w:trHeight w:val="290"/>
        </w:trPr>
        <w:tc>
          <w:tcPr>
            <w:tcW w:w="1702" w:type="dxa"/>
            <w:hideMark/>
          </w:tcPr>
          <w:p w14:paraId="5D50FB0E"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06BC1E2F"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Eider à lunettes</w:t>
            </w:r>
          </w:p>
        </w:tc>
        <w:tc>
          <w:tcPr>
            <w:tcW w:w="1695" w:type="dxa"/>
            <w:hideMark/>
          </w:tcPr>
          <w:p w14:paraId="79DE993C"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Somateria </w:t>
            </w:r>
            <w:proofErr w:type="spellStart"/>
            <w:r w:rsidRPr="000D7FCD">
              <w:rPr>
                <w:rFonts w:cs="Arial"/>
                <w:i/>
                <w:iCs/>
                <w:sz w:val="18"/>
                <w:szCs w:val="18"/>
                <w:lang w:val="en-US"/>
              </w:rPr>
              <w:t>fischeri</w:t>
            </w:r>
            <w:proofErr w:type="spellEnd"/>
          </w:p>
        </w:tc>
        <w:tc>
          <w:tcPr>
            <w:tcW w:w="1108" w:type="dxa"/>
            <w:hideMark/>
          </w:tcPr>
          <w:p w14:paraId="6BA97A6C"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5FCA632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3C51BE8E" w14:textId="77777777" w:rsidTr="00E90F29">
        <w:trPr>
          <w:cantSplit/>
          <w:trHeight w:val="290"/>
        </w:trPr>
        <w:tc>
          <w:tcPr>
            <w:tcW w:w="1702" w:type="dxa"/>
            <w:hideMark/>
          </w:tcPr>
          <w:p w14:paraId="13691AEA"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423A3A01"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Eider à duvet</w:t>
            </w:r>
          </w:p>
        </w:tc>
        <w:tc>
          <w:tcPr>
            <w:tcW w:w="1695" w:type="dxa"/>
            <w:hideMark/>
          </w:tcPr>
          <w:p w14:paraId="4ED01EA4"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Somateria </w:t>
            </w:r>
            <w:proofErr w:type="spellStart"/>
            <w:r w:rsidRPr="000D7FCD">
              <w:rPr>
                <w:rFonts w:cs="Arial"/>
                <w:i/>
                <w:iCs/>
                <w:sz w:val="18"/>
                <w:szCs w:val="18"/>
                <w:lang w:val="en-US"/>
              </w:rPr>
              <w:t>mollissima</w:t>
            </w:r>
            <w:proofErr w:type="spellEnd"/>
          </w:p>
        </w:tc>
        <w:tc>
          <w:tcPr>
            <w:tcW w:w="1108" w:type="dxa"/>
            <w:hideMark/>
          </w:tcPr>
          <w:p w14:paraId="21345119"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F17E58D"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avec des sites de reproduction et de non-reproduction occupés de manière fiable à chaque saison ; les individus parcourent généralement plus de 1 000 km dans le sens nord-sud. Remplit les critères de mouvement de la CMS.</w:t>
            </w:r>
          </w:p>
        </w:tc>
      </w:tr>
      <w:tr w:rsidR="000D7FCD" w:rsidRPr="000D7FCD" w14:paraId="57A631EF" w14:textId="77777777" w:rsidTr="00E90F29">
        <w:trPr>
          <w:cantSplit/>
          <w:trHeight w:val="290"/>
        </w:trPr>
        <w:tc>
          <w:tcPr>
            <w:tcW w:w="1702" w:type="dxa"/>
            <w:hideMark/>
          </w:tcPr>
          <w:p w14:paraId="2708215C"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7DF493BF"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Macreuse brune</w:t>
            </w:r>
          </w:p>
        </w:tc>
        <w:tc>
          <w:tcPr>
            <w:tcW w:w="1695" w:type="dxa"/>
            <w:hideMark/>
          </w:tcPr>
          <w:p w14:paraId="2AD4F19C"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Melanitta</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fusca</w:t>
            </w:r>
            <w:proofErr w:type="spellEnd"/>
          </w:p>
        </w:tc>
        <w:tc>
          <w:tcPr>
            <w:tcW w:w="1108" w:type="dxa"/>
            <w:hideMark/>
          </w:tcPr>
          <w:p w14:paraId="4645C4D0"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sz w:val="18"/>
                <w:szCs w:val="18"/>
                <w:lang w:val="en-US"/>
              </w:rPr>
              <w:t>VU</w:t>
            </w:r>
          </w:p>
        </w:tc>
        <w:tc>
          <w:tcPr>
            <w:tcW w:w="8963" w:type="dxa"/>
            <w:hideMark/>
          </w:tcPr>
          <w:p w14:paraId="7D9C42E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4957616C" w14:textId="77777777" w:rsidTr="00E90F29">
        <w:trPr>
          <w:cantSplit/>
          <w:trHeight w:val="290"/>
        </w:trPr>
        <w:tc>
          <w:tcPr>
            <w:tcW w:w="1702" w:type="dxa"/>
            <w:hideMark/>
          </w:tcPr>
          <w:p w14:paraId="1DD67C50"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486BBE69"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Macreuse à bec jaune</w:t>
            </w:r>
          </w:p>
        </w:tc>
        <w:tc>
          <w:tcPr>
            <w:tcW w:w="1695" w:type="dxa"/>
            <w:hideMark/>
          </w:tcPr>
          <w:p w14:paraId="6874A892"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Melanitta</w:t>
            </w:r>
            <w:proofErr w:type="spellEnd"/>
            <w:r w:rsidRPr="000D7FCD">
              <w:rPr>
                <w:rFonts w:cs="Arial"/>
                <w:i/>
                <w:iCs/>
                <w:sz w:val="18"/>
                <w:szCs w:val="18"/>
                <w:lang w:val="en-US"/>
              </w:rPr>
              <w:t xml:space="preserve"> americana</w:t>
            </w:r>
          </w:p>
        </w:tc>
        <w:tc>
          <w:tcPr>
            <w:tcW w:w="1108" w:type="dxa"/>
            <w:hideMark/>
          </w:tcPr>
          <w:p w14:paraId="5E73CE7E"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1BC58F5E"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44C8B013" w14:textId="77777777" w:rsidTr="00E90F29">
        <w:trPr>
          <w:cantSplit/>
          <w:trHeight w:val="290"/>
        </w:trPr>
        <w:tc>
          <w:tcPr>
            <w:tcW w:w="1702" w:type="dxa"/>
            <w:hideMark/>
          </w:tcPr>
          <w:p w14:paraId="38415596"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3D7D1DCE"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Harle de Chine</w:t>
            </w:r>
          </w:p>
        </w:tc>
        <w:tc>
          <w:tcPr>
            <w:tcW w:w="1695" w:type="dxa"/>
            <w:hideMark/>
          </w:tcPr>
          <w:p w14:paraId="03ED382A"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Mergus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squamatus</w:t>
            </w:r>
            <w:proofErr w:type="spellEnd"/>
          </w:p>
        </w:tc>
        <w:tc>
          <w:tcPr>
            <w:tcW w:w="1108" w:type="dxa"/>
            <w:hideMark/>
          </w:tcPr>
          <w:p w14:paraId="3E904BF2"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DA</w:t>
            </w:r>
          </w:p>
        </w:tc>
        <w:tc>
          <w:tcPr>
            <w:tcW w:w="8963" w:type="dxa"/>
            <w:hideMark/>
          </w:tcPr>
          <w:p w14:paraId="40BE4E98"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entre 100 et 1 000 km dans le sens nord-sud. Remplit les critères de mouvement de la CMS.</w:t>
            </w:r>
          </w:p>
        </w:tc>
      </w:tr>
      <w:tr w:rsidR="000D7FCD" w:rsidRPr="000D7FCD" w14:paraId="5EE9410F" w14:textId="77777777" w:rsidTr="00E90F29">
        <w:trPr>
          <w:cantSplit/>
          <w:trHeight w:val="290"/>
        </w:trPr>
        <w:tc>
          <w:tcPr>
            <w:tcW w:w="1702" w:type="dxa"/>
            <w:hideMark/>
          </w:tcPr>
          <w:p w14:paraId="62179D0C"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lastRenderedPageBreak/>
              <w:t>Anatidae</w:t>
            </w:r>
          </w:p>
        </w:tc>
        <w:tc>
          <w:tcPr>
            <w:tcW w:w="1983" w:type="dxa"/>
            <w:hideMark/>
          </w:tcPr>
          <w:p w14:paraId="3EF0AE86"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Ouette de l'Orénoque</w:t>
            </w:r>
          </w:p>
        </w:tc>
        <w:tc>
          <w:tcPr>
            <w:tcW w:w="1695" w:type="dxa"/>
            <w:hideMark/>
          </w:tcPr>
          <w:p w14:paraId="32642A5D"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Neochen</w:t>
            </w:r>
            <w:proofErr w:type="spellEnd"/>
            <w:r w:rsidRPr="000D7FCD">
              <w:rPr>
                <w:rFonts w:cs="Arial"/>
                <w:i/>
                <w:iCs/>
                <w:sz w:val="18"/>
                <w:szCs w:val="18"/>
                <w:lang w:val="en-US"/>
              </w:rPr>
              <w:t xml:space="preserve"> jubata</w:t>
            </w:r>
          </w:p>
        </w:tc>
        <w:tc>
          <w:tcPr>
            <w:tcW w:w="1108" w:type="dxa"/>
            <w:hideMark/>
          </w:tcPr>
          <w:p w14:paraId="47BA09E7"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471AADC5"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100 à 1 000 km, mais dans aucune direction cohérente. Remplit les critères de mouvement de la CMS.</w:t>
            </w:r>
          </w:p>
        </w:tc>
      </w:tr>
      <w:tr w:rsidR="000D7FCD" w:rsidRPr="000D7FCD" w14:paraId="225DF053" w14:textId="77777777" w:rsidTr="00E90F29">
        <w:trPr>
          <w:cantSplit/>
          <w:trHeight w:val="290"/>
        </w:trPr>
        <w:tc>
          <w:tcPr>
            <w:tcW w:w="1702" w:type="dxa"/>
            <w:hideMark/>
          </w:tcPr>
          <w:p w14:paraId="3571D2D6"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6AB23547"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Canard à ailes blanches</w:t>
            </w:r>
          </w:p>
        </w:tc>
        <w:tc>
          <w:tcPr>
            <w:tcW w:w="1695" w:type="dxa"/>
            <w:hideMark/>
          </w:tcPr>
          <w:p w14:paraId="51B2E751"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Asarcornis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scutulata</w:t>
            </w:r>
            <w:proofErr w:type="spellEnd"/>
          </w:p>
        </w:tc>
        <w:tc>
          <w:tcPr>
            <w:tcW w:w="1108" w:type="dxa"/>
            <w:hideMark/>
          </w:tcPr>
          <w:p w14:paraId="5760F84C"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DA</w:t>
            </w:r>
          </w:p>
        </w:tc>
        <w:tc>
          <w:tcPr>
            <w:tcW w:w="8963" w:type="dxa"/>
            <w:hideMark/>
          </w:tcPr>
          <w:p w14:paraId="3E226EB3"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Sédentaire/résident : les sites de reproduction sont occupés de manière fiable à chaque saison, mais modérément nomade en dehors de la saison de reproduction ; les individus se déplacent couramment sur moins de 100 km mais dans aucune direction cohérente. Remplit les critères de mouvement de la CMS.</w:t>
            </w:r>
          </w:p>
        </w:tc>
      </w:tr>
      <w:tr w:rsidR="000D7FCD" w:rsidRPr="000D7FCD" w14:paraId="7927820A" w14:textId="77777777" w:rsidTr="00E90F29">
        <w:trPr>
          <w:cantSplit/>
          <w:trHeight w:val="290"/>
        </w:trPr>
        <w:tc>
          <w:tcPr>
            <w:tcW w:w="1702" w:type="dxa"/>
            <w:hideMark/>
          </w:tcPr>
          <w:p w14:paraId="08D9532F"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1458D9F0"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Fuligule milouin</w:t>
            </w:r>
          </w:p>
        </w:tc>
        <w:tc>
          <w:tcPr>
            <w:tcW w:w="1695" w:type="dxa"/>
            <w:hideMark/>
          </w:tcPr>
          <w:p w14:paraId="2FAD97F1"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Aythya </w:t>
            </w:r>
            <w:proofErr w:type="spellStart"/>
            <w:r w:rsidRPr="000D7FCD">
              <w:rPr>
                <w:rFonts w:cs="Arial"/>
                <w:b/>
                <w:bCs/>
                <w:i/>
                <w:iCs/>
                <w:sz w:val="18"/>
                <w:szCs w:val="18"/>
                <w:lang w:val="en-US"/>
              </w:rPr>
              <w:t>ferina</w:t>
            </w:r>
            <w:proofErr w:type="spellEnd"/>
          </w:p>
        </w:tc>
        <w:tc>
          <w:tcPr>
            <w:tcW w:w="1108" w:type="dxa"/>
            <w:hideMark/>
          </w:tcPr>
          <w:p w14:paraId="31AAC487"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7F424FEC"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avec des sites de reproduction et de non-reproduction occupés de manière fiable à chaque saison ; les individus parcourent généralement plus de 1 000 km dans le sens nord-sud. Remplit les critères de mouvement de la CMS.</w:t>
            </w:r>
          </w:p>
        </w:tc>
      </w:tr>
      <w:tr w:rsidR="000D7FCD" w:rsidRPr="000D7FCD" w14:paraId="0C1D6CC6" w14:textId="77777777" w:rsidTr="00E90F29">
        <w:trPr>
          <w:cantSplit/>
          <w:trHeight w:val="290"/>
        </w:trPr>
        <w:tc>
          <w:tcPr>
            <w:tcW w:w="1702" w:type="dxa"/>
            <w:hideMark/>
          </w:tcPr>
          <w:p w14:paraId="7BB4AB12"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5D13D20A"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Canard à lunettes</w:t>
            </w:r>
          </w:p>
        </w:tc>
        <w:tc>
          <w:tcPr>
            <w:tcW w:w="1695" w:type="dxa"/>
            <w:hideMark/>
          </w:tcPr>
          <w:p w14:paraId="5C6DB740"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Speculanas</w:t>
            </w:r>
            <w:proofErr w:type="spellEnd"/>
            <w:r w:rsidRPr="000D7FCD">
              <w:rPr>
                <w:rFonts w:cs="Arial"/>
                <w:i/>
                <w:iCs/>
                <w:sz w:val="18"/>
                <w:szCs w:val="18"/>
                <w:lang w:val="en-US"/>
              </w:rPr>
              <w:t xml:space="preserve"> </w:t>
            </w:r>
            <w:proofErr w:type="spellStart"/>
            <w:r w:rsidRPr="000D7FCD">
              <w:rPr>
                <w:rFonts w:cs="Arial"/>
                <w:i/>
                <w:iCs/>
                <w:sz w:val="18"/>
                <w:szCs w:val="18"/>
                <w:lang w:val="en-US"/>
              </w:rPr>
              <w:t>specularis</w:t>
            </w:r>
            <w:proofErr w:type="spellEnd"/>
          </w:p>
        </w:tc>
        <w:tc>
          <w:tcPr>
            <w:tcW w:w="1108" w:type="dxa"/>
            <w:hideMark/>
          </w:tcPr>
          <w:p w14:paraId="781C087C"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67E6F03"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essor important de l'aire de répartition après la reproduction, avec des sites de reproduction et de non-reproduction occupés de manière fiable à chaque saison ; les individus parcourent généralement entre 100 et 1 000 km dans le sens nord-sud. Remplit les critères de mouvement de la CMS.</w:t>
            </w:r>
          </w:p>
        </w:tc>
      </w:tr>
      <w:tr w:rsidR="000D7FCD" w:rsidRPr="000D7FCD" w14:paraId="613D8057" w14:textId="77777777" w:rsidTr="00E90F29">
        <w:trPr>
          <w:cantSplit/>
          <w:trHeight w:val="290"/>
        </w:trPr>
        <w:tc>
          <w:tcPr>
            <w:tcW w:w="1702" w:type="dxa"/>
            <w:hideMark/>
          </w:tcPr>
          <w:p w14:paraId="5FE29137"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Anatidae</w:t>
            </w:r>
          </w:p>
        </w:tc>
        <w:tc>
          <w:tcPr>
            <w:tcW w:w="1983" w:type="dxa"/>
            <w:hideMark/>
          </w:tcPr>
          <w:p w14:paraId="11E9C80B"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Canard à faucilles</w:t>
            </w:r>
          </w:p>
        </w:tc>
        <w:tc>
          <w:tcPr>
            <w:tcW w:w="1695" w:type="dxa"/>
            <w:hideMark/>
          </w:tcPr>
          <w:p w14:paraId="50AC1866"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Mareca</w:t>
            </w:r>
            <w:proofErr w:type="spellEnd"/>
            <w:r w:rsidRPr="000D7FCD">
              <w:rPr>
                <w:rFonts w:cs="Arial"/>
                <w:i/>
                <w:iCs/>
                <w:sz w:val="18"/>
                <w:szCs w:val="18"/>
                <w:lang w:val="en-US"/>
              </w:rPr>
              <w:t xml:space="preserve"> falcata</w:t>
            </w:r>
          </w:p>
        </w:tc>
        <w:tc>
          <w:tcPr>
            <w:tcW w:w="1108" w:type="dxa"/>
            <w:hideMark/>
          </w:tcPr>
          <w:p w14:paraId="7530E90D"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70699C6B"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3B0824AF" w14:textId="77777777" w:rsidTr="00E90F29">
        <w:trPr>
          <w:cantSplit/>
          <w:trHeight w:val="290"/>
        </w:trPr>
        <w:tc>
          <w:tcPr>
            <w:tcW w:w="1702" w:type="dxa"/>
            <w:hideMark/>
          </w:tcPr>
          <w:p w14:paraId="0F717129"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Phoenicopteridae</w:t>
            </w:r>
          </w:p>
        </w:tc>
        <w:tc>
          <w:tcPr>
            <w:tcW w:w="1983" w:type="dxa"/>
            <w:hideMark/>
          </w:tcPr>
          <w:p w14:paraId="0E0EE66C"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Flamant du Chili</w:t>
            </w:r>
          </w:p>
        </w:tc>
        <w:tc>
          <w:tcPr>
            <w:tcW w:w="1695" w:type="dxa"/>
            <w:hideMark/>
          </w:tcPr>
          <w:p w14:paraId="6CAA7D5F"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Phoenicopterus chilensis</w:t>
            </w:r>
          </w:p>
        </w:tc>
        <w:tc>
          <w:tcPr>
            <w:tcW w:w="1108" w:type="dxa"/>
            <w:hideMark/>
          </w:tcPr>
          <w:p w14:paraId="639891EE"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F23515E"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et nomadisme modéré pendant les saisons de reproduction et de non-reproduction ; les individus parcourent généralement plus de 1 000 km dans le sens nord-sud ; au moins certains mouvements sont principalement altitudinaux. Remplit les critères de mouvement de la CMS.</w:t>
            </w:r>
          </w:p>
        </w:tc>
      </w:tr>
      <w:tr w:rsidR="000D7FCD" w:rsidRPr="000D7FCD" w14:paraId="1E411457" w14:textId="77777777" w:rsidTr="00E90F29">
        <w:trPr>
          <w:cantSplit/>
          <w:trHeight w:val="290"/>
        </w:trPr>
        <w:tc>
          <w:tcPr>
            <w:tcW w:w="1702" w:type="dxa"/>
            <w:hideMark/>
          </w:tcPr>
          <w:p w14:paraId="427430A1"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Phoenicopteridae</w:t>
            </w:r>
          </w:p>
        </w:tc>
        <w:tc>
          <w:tcPr>
            <w:tcW w:w="1983" w:type="dxa"/>
            <w:hideMark/>
          </w:tcPr>
          <w:p w14:paraId="7E7A6F45"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Flamant nain</w:t>
            </w:r>
          </w:p>
        </w:tc>
        <w:tc>
          <w:tcPr>
            <w:tcW w:w="1695" w:type="dxa"/>
            <w:hideMark/>
          </w:tcPr>
          <w:p w14:paraId="3A0BA1A7"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Phoeniconaias</w:t>
            </w:r>
            <w:proofErr w:type="spellEnd"/>
            <w:r w:rsidRPr="000D7FCD">
              <w:rPr>
                <w:rFonts w:cs="Arial"/>
                <w:i/>
                <w:iCs/>
                <w:sz w:val="18"/>
                <w:szCs w:val="18"/>
                <w:lang w:val="en-US"/>
              </w:rPr>
              <w:t xml:space="preserve"> minor</w:t>
            </w:r>
          </w:p>
        </w:tc>
        <w:tc>
          <w:tcPr>
            <w:tcW w:w="1108" w:type="dxa"/>
            <w:hideMark/>
          </w:tcPr>
          <w:p w14:paraId="6B45599C"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5E8B9C9F"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Sédentaire/résident mais fortement nomade pendant les saisons de reproduction et de non-reproduction ; les individus parcourent couramment plus de 1 000 km, mais sans direction cohérente. Remplit les critères de mouvement de la CMS.</w:t>
            </w:r>
          </w:p>
        </w:tc>
      </w:tr>
      <w:tr w:rsidR="000D7FCD" w:rsidRPr="000D7FCD" w14:paraId="64A6D260" w14:textId="77777777" w:rsidTr="00E90F29">
        <w:trPr>
          <w:cantSplit/>
          <w:trHeight w:val="290"/>
        </w:trPr>
        <w:tc>
          <w:tcPr>
            <w:tcW w:w="1702" w:type="dxa"/>
            <w:hideMark/>
          </w:tcPr>
          <w:p w14:paraId="41B6086D" w14:textId="7DC644A5"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Grus</w:t>
            </w:r>
          </w:p>
        </w:tc>
        <w:tc>
          <w:tcPr>
            <w:tcW w:w="1983" w:type="dxa"/>
            <w:hideMark/>
          </w:tcPr>
          <w:p w14:paraId="7F6E07A0"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 xml:space="preserve">Grue </w:t>
            </w:r>
            <w:proofErr w:type="spellStart"/>
            <w:r w:rsidRPr="000D7FCD">
              <w:rPr>
                <w:rFonts w:cs="Arial"/>
                <w:b/>
                <w:bCs/>
                <w:sz w:val="18"/>
                <w:szCs w:val="18"/>
                <w:lang w:val="fr-FR"/>
              </w:rPr>
              <w:t>antigone</w:t>
            </w:r>
            <w:proofErr w:type="spellEnd"/>
          </w:p>
        </w:tc>
        <w:tc>
          <w:tcPr>
            <w:tcW w:w="1695" w:type="dxa"/>
            <w:hideMark/>
          </w:tcPr>
          <w:p w14:paraId="3B2770A6"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Grus </w:t>
            </w:r>
            <w:proofErr w:type="spellStart"/>
            <w:r w:rsidRPr="000D7FCD">
              <w:rPr>
                <w:rFonts w:cs="Arial"/>
                <w:b/>
                <w:bCs/>
                <w:i/>
                <w:iCs/>
                <w:sz w:val="18"/>
                <w:szCs w:val="18"/>
                <w:lang w:val="en-US"/>
              </w:rPr>
              <w:t>antigone</w:t>
            </w:r>
            <w:proofErr w:type="spellEnd"/>
          </w:p>
        </w:tc>
        <w:tc>
          <w:tcPr>
            <w:tcW w:w="1108" w:type="dxa"/>
            <w:hideMark/>
          </w:tcPr>
          <w:p w14:paraId="73195CF4"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2F0FF5E0"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100 à 1 000 km, mais sans direction cohérente ; la sous-population australienne ne migre pas à travers les frontières internationales. Remplit les critères de mouvement de la CMS.</w:t>
            </w:r>
          </w:p>
        </w:tc>
      </w:tr>
      <w:tr w:rsidR="000D7FCD" w:rsidRPr="000D7FCD" w14:paraId="68358D86" w14:textId="77777777" w:rsidTr="00E90F29">
        <w:trPr>
          <w:cantSplit/>
          <w:trHeight w:val="290"/>
        </w:trPr>
        <w:tc>
          <w:tcPr>
            <w:tcW w:w="1702" w:type="dxa"/>
            <w:hideMark/>
          </w:tcPr>
          <w:p w14:paraId="6EE19CBE" w14:textId="0D3D8998"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Grus</w:t>
            </w:r>
          </w:p>
        </w:tc>
        <w:tc>
          <w:tcPr>
            <w:tcW w:w="1983" w:type="dxa"/>
            <w:hideMark/>
          </w:tcPr>
          <w:p w14:paraId="60470621"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Grue blanche d'Amérique</w:t>
            </w:r>
          </w:p>
        </w:tc>
        <w:tc>
          <w:tcPr>
            <w:tcW w:w="1695" w:type="dxa"/>
            <w:hideMark/>
          </w:tcPr>
          <w:p w14:paraId="1FC3096A"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Grus americana</w:t>
            </w:r>
          </w:p>
        </w:tc>
        <w:tc>
          <w:tcPr>
            <w:tcW w:w="1108" w:type="dxa"/>
            <w:hideMark/>
          </w:tcPr>
          <w:p w14:paraId="184CF0CA"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b/>
                <w:bCs/>
                <w:sz w:val="18"/>
                <w:szCs w:val="18"/>
                <w:lang w:val="fr-FR"/>
              </w:rPr>
              <w:t>DA</w:t>
            </w:r>
          </w:p>
        </w:tc>
        <w:tc>
          <w:tcPr>
            <w:tcW w:w="8963" w:type="dxa"/>
            <w:hideMark/>
          </w:tcPr>
          <w:p w14:paraId="5ABE4195"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6F4AE6DF" w14:textId="77777777" w:rsidTr="00E90F29">
        <w:trPr>
          <w:cantSplit/>
          <w:trHeight w:val="290"/>
        </w:trPr>
        <w:tc>
          <w:tcPr>
            <w:tcW w:w="1702" w:type="dxa"/>
            <w:hideMark/>
          </w:tcPr>
          <w:p w14:paraId="69834ACF"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lastRenderedPageBreak/>
              <w:t>Pluvianellidae</w:t>
            </w:r>
            <w:proofErr w:type="spellEnd"/>
          </w:p>
        </w:tc>
        <w:tc>
          <w:tcPr>
            <w:tcW w:w="1983" w:type="dxa"/>
            <w:hideMark/>
          </w:tcPr>
          <w:p w14:paraId="6CD9CE13"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Pluvier de Magellan</w:t>
            </w:r>
          </w:p>
        </w:tc>
        <w:tc>
          <w:tcPr>
            <w:tcW w:w="1695" w:type="dxa"/>
            <w:hideMark/>
          </w:tcPr>
          <w:p w14:paraId="7AC397CC" w14:textId="77777777" w:rsidR="00E90F29" w:rsidRPr="000D7FCD" w:rsidRDefault="00E90F29">
            <w:pPr>
              <w:autoSpaceDE w:val="0"/>
              <w:autoSpaceDN w:val="0"/>
              <w:adjustRightInd w:val="0"/>
              <w:spacing w:before="40" w:after="40"/>
              <w:rPr>
                <w:rFonts w:cs="Arial"/>
                <w:i/>
                <w:iCs/>
                <w:sz w:val="18"/>
                <w:szCs w:val="18"/>
                <w:lang w:val="fr-FR"/>
              </w:rPr>
            </w:pPr>
            <w:proofErr w:type="spellStart"/>
            <w:r w:rsidRPr="000D7FCD">
              <w:rPr>
                <w:rFonts w:cs="Arial"/>
                <w:i/>
                <w:iCs/>
                <w:sz w:val="18"/>
                <w:szCs w:val="18"/>
                <w:lang w:val="fr-FR"/>
              </w:rPr>
              <w:t>Pluvianelle</w:t>
            </w:r>
            <w:proofErr w:type="spellEnd"/>
            <w:r w:rsidRPr="000D7FCD">
              <w:rPr>
                <w:rFonts w:cs="Arial"/>
                <w:i/>
                <w:iCs/>
                <w:sz w:val="18"/>
                <w:szCs w:val="18"/>
                <w:lang w:val="fr-FR"/>
              </w:rPr>
              <w:t xml:space="preserve"> magellanique</w:t>
            </w:r>
          </w:p>
        </w:tc>
        <w:tc>
          <w:tcPr>
            <w:tcW w:w="1108" w:type="dxa"/>
            <w:hideMark/>
          </w:tcPr>
          <w:p w14:paraId="3CA378B4"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65A5426"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essor important de l'aire de répartition après la reproduction, les sites de reproduction étant occupés de manière fiable à chaque saison, mais modérément nomade en dehors de la période de reproduction ; les individus parcourent généralement entre 100 et 1 000 km dans le sens nord-sud. Remplit les critères de mouvement de la CMS.</w:t>
            </w:r>
          </w:p>
        </w:tc>
      </w:tr>
      <w:tr w:rsidR="000D7FCD" w:rsidRPr="000D7FCD" w14:paraId="5E46B60E" w14:textId="77777777" w:rsidTr="00E90F29">
        <w:trPr>
          <w:cantSplit/>
          <w:trHeight w:val="290"/>
        </w:trPr>
        <w:tc>
          <w:tcPr>
            <w:tcW w:w="1702" w:type="dxa"/>
            <w:hideMark/>
          </w:tcPr>
          <w:p w14:paraId="2787ED4D"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Haematopodidae</w:t>
            </w:r>
            <w:proofErr w:type="spellEnd"/>
          </w:p>
        </w:tc>
        <w:tc>
          <w:tcPr>
            <w:tcW w:w="1983" w:type="dxa"/>
            <w:hideMark/>
          </w:tcPr>
          <w:p w14:paraId="24A77938"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Huîtrier pie</w:t>
            </w:r>
          </w:p>
        </w:tc>
        <w:tc>
          <w:tcPr>
            <w:tcW w:w="1695" w:type="dxa"/>
            <w:hideMark/>
          </w:tcPr>
          <w:p w14:paraId="47E20F71"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Haematopus</w:t>
            </w:r>
            <w:proofErr w:type="spellEnd"/>
            <w:r w:rsidRPr="000D7FCD">
              <w:rPr>
                <w:rFonts w:cs="Arial"/>
                <w:i/>
                <w:iCs/>
                <w:sz w:val="18"/>
                <w:szCs w:val="18"/>
                <w:lang w:val="en-US"/>
              </w:rPr>
              <w:t xml:space="preserve"> </w:t>
            </w:r>
            <w:proofErr w:type="spellStart"/>
            <w:r w:rsidRPr="000D7FCD">
              <w:rPr>
                <w:rFonts w:cs="Arial"/>
                <w:i/>
                <w:iCs/>
                <w:sz w:val="18"/>
                <w:szCs w:val="18"/>
                <w:lang w:val="en-US"/>
              </w:rPr>
              <w:t>ostralegus</w:t>
            </w:r>
            <w:proofErr w:type="spellEnd"/>
          </w:p>
        </w:tc>
        <w:tc>
          <w:tcPr>
            <w:tcW w:w="1108" w:type="dxa"/>
            <w:hideMark/>
          </w:tcPr>
          <w:p w14:paraId="4677416F"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81621ED"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519C01CE" w14:textId="77777777" w:rsidTr="00E90F29">
        <w:trPr>
          <w:cantSplit/>
          <w:trHeight w:val="290"/>
        </w:trPr>
        <w:tc>
          <w:tcPr>
            <w:tcW w:w="1702" w:type="dxa"/>
            <w:hideMark/>
          </w:tcPr>
          <w:p w14:paraId="59C33125"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Charadriidae</w:t>
            </w:r>
            <w:proofErr w:type="spellEnd"/>
          </w:p>
        </w:tc>
        <w:tc>
          <w:tcPr>
            <w:tcW w:w="1983" w:type="dxa"/>
            <w:hideMark/>
          </w:tcPr>
          <w:p w14:paraId="30412E29"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Pluvier des Andes</w:t>
            </w:r>
          </w:p>
        </w:tc>
        <w:tc>
          <w:tcPr>
            <w:tcW w:w="1695" w:type="dxa"/>
            <w:hideMark/>
          </w:tcPr>
          <w:p w14:paraId="4F94ACF1"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Phegornis</w:t>
            </w:r>
            <w:proofErr w:type="spellEnd"/>
            <w:r w:rsidRPr="000D7FCD">
              <w:rPr>
                <w:rFonts w:cs="Arial"/>
                <w:i/>
                <w:iCs/>
                <w:sz w:val="18"/>
                <w:szCs w:val="18"/>
                <w:lang w:val="en-US"/>
              </w:rPr>
              <w:t xml:space="preserve"> </w:t>
            </w:r>
            <w:proofErr w:type="spellStart"/>
            <w:r w:rsidRPr="000D7FCD">
              <w:rPr>
                <w:rFonts w:cs="Arial"/>
                <w:i/>
                <w:iCs/>
                <w:sz w:val="18"/>
                <w:szCs w:val="18"/>
                <w:lang w:val="en-US"/>
              </w:rPr>
              <w:t>mitchellii</w:t>
            </w:r>
            <w:proofErr w:type="spellEnd"/>
          </w:p>
        </w:tc>
        <w:tc>
          <w:tcPr>
            <w:tcW w:w="1108" w:type="dxa"/>
            <w:hideMark/>
          </w:tcPr>
          <w:p w14:paraId="15BB6F6C"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52AE3BD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occupés de manière fiable à chaque saison, mais modérément nomade en dehors de la période de reproduction ; les individus parcourent généralement entre 100 et 1 000 km dans le sens nord-sud ; au moins certains mouvements sont principalement altitudinaux. Remplit les critères de mouvement de la CMS.</w:t>
            </w:r>
          </w:p>
        </w:tc>
      </w:tr>
      <w:tr w:rsidR="000D7FCD" w:rsidRPr="000D7FCD" w14:paraId="5F366A6A" w14:textId="77777777" w:rsidTr="00E90F29">
        <w:trPr>
          <w:cantSplit/>
          <w:trHeight w:val="290"/>
        </w:trPr>
        <w:tc>
          <w:tcPr>
            <w:tcW w:w="1702" w:type="dxa"/>
            <w:hideMark/>
          </w:tcPr>
          <w:p w14:paraId="68FE28C8"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Charadriidae</w:t>
            </w:r>
            <w:proofErr w:type="spellEnd"/>
          </w:p>
        </w:tc>
        <w:tc>
          <w:tcPr>
            <w:tcW w:w="1983" w:type="dxa"/>
            <w:hideMark/>
          </w:tcPr>
          <w:p w14:paraId="796F6A01"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Pluvier siffleur</w:t>
            </w:r>
          </w:p>
        </w:tc>
        <w:tc>
          <w:tcPr>
            <w:tcW w:w="1695" w:type="dxa"/>
            <w:hideMark/>
          </w:tcPr>
          <w:p w14:paraId="4242910A"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Charadrius </w:t>
            </w:r>
            <w:proofErr w:type="spellStart"/>
            <w:r w:rsidRPr="000D7FCD">
              <w:rPr>
                <w:rFonts w:cs="Arial"/>
                <w:i/>
                <w:iCs/>
                <w:sz w:val="18"/>
                <w:szCs w:val="18"/>
                <w:lang w:val="en-US"/>
              </w:rPr>
              <w:t>melodus</w:t>
            </w:r>
            <w:proofErr w:type="spellEnd"/>
          </w:p>
        </w:tc>
        <w:tc>
          <w:tcPr>
            <w:tcW w:w="1108" w:type="dxa"/>
            <w:hideMark/>
          </w:tcPr>
          <w:p w14:paraId="0EC2FD09"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971F1EC"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1557FEB2" w14:textId="77777777" w:rsidTr="00E90F29">
        <w:trPr>
          <w:cantSplit/>
          <w:trHeight w:val="290"/>
        </w:trPr>
        <w:tc>
          <w:tcPr>
            <w:tcW w:w="1702" w:type="dxa"/>
            <w:hideMark/>
          </w:tcPr>
          <w:p w14:paraId="459D45FD"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Charadriidae</w:t>
            </w:r>
            <w:proofErr w:type="spellEnd"/>
          </w:p>
        </w:tc>
        <w:tc>
          <w:tcPr>
            <w:tcW w:w="1983" w:type="dxa"/>
            <w:hideMark/>
          </w:tcPr>
          <w:p w14:paraId="3D92E0D0"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 xml:space="preserve">Pluvier de </w:t>
            </w:r>
            <w:proofErr w:type="spellStart"/>
            <w:r w:rsidRPr="000D7FCD">
              <w:rPr>
                <w:rFonts w:cs="Arial"/>
                <w:b/>
                <w:bCs/>
                <w:sz w:val="18"/>
                <w:szCs w:val="18"/>
                <w:lang w:val="fr-FR"/>
              </w:rPr>
              <w:t>Swinhoe</w:t>
            </w:r>
            <w:proofErr w:type="spellEnd"/>
          </w:p>
        </w:tc>
        <w:tc>
          <w:tcPr>
            <w:tcW w:w="1695" w:type="dxa"/>
            <w:hideMark/>
          </w:tcPr>
          <w:p w14:paraId="46C7669A"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Charadrius </w:t>
            </w:r>
            <w:proofErr w:type="spellStart"/>
            <w:r w:rsidRPr="000D7FCD">
              <w:rPr>
                <w:rFonts w:cs="Arial"/>
                <w:b/>
                <w:bCs/>
                <w:i/>
                <w:iCs/>
                <w:sz w:val="18"/>
                <w:szCs w:val="18"/>
                <w:lang w:val="en-US"/>
              </w:rPr>
              <w:t>dealbatus</w:t>
            </w:r>
            <w:proofErr w:type="spellEnd"/>
          </w:p>
        </w:tc>
        <w:tc>
          <w:tcPr>
            <w:tcW w:w="1108" w:type="dxa"/>
            <w:hideMark/>
          </w:tcPr>
          <w:p w14:paraId="6AB7F005"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b/>
                <w:bCs/>
                <w:sz w:val="18"/>
                <w:szCs w:val="18"/>
                <w:lang w:val="fr-FR"/>
              </w:rPr>
              <w:t>DI</w:t>
            </w:r>
          </w:p>
        </w:tc>
        <w:tc>
          <w:tcPr>
            <w:tcW w:w="8963" w:type="dxa"/>
            <w:hideMark/>
          </w:tcPr>
          <w:p w14:paraId="2D7FD3FF"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entre 100 et 1 000 km dans le sens nord-sud. Remplit les critères de mouvement de la CMS.</w:t>
            </w:r>
          </w:p>
        </w:tc>
      </w:tr>
      <w:tr w:rsidR="000D7FCD" w:rsidRPr="000D7FCD" w14:paraId="70977C8D" w14:textId="77777777" w:rsidTr="00E90F29">
        <w:trPr>
          <w:cantSplit/>
          <w:trHeight w:val="290"/>
        </w:trPr>
        <w:tc>
          <w:tcPr>
            <w:tcW w:w="1702" w:type="dxa"/>
            <w:hideMark/>
          </w:tcPr>
          <w:p w14:paraId="6BD2A7DC"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Charadriidae</w:t>
            </w:r>
            <w:proofErr w:type="spellEnd"/>
          </w:p>
        </w:tc>
        <w:tc>
          <w:tcPr>
            <w:tcW w:w="1983" w:type="dxa"/>
            <w:hideMark/>
          </w:tcPr>
          <w:p w14:paraId="0B7EA1C7"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Pluvier neigeux</w:t>
            </w:r>
          </w:p>
        </w:tc>
        <w:tc>
          <w:tcPr>
            <w:tcW w:w="1695" w:type="dxa"/>
            <w:hideMark/>
          </w:tcPr>
          <w:p w14:paraId="141116B4"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Charadrius </w:t>
            </w:r>
            <w:proofErr w:type="spellStart"/>
            <w:r w:rsidRPr="000D7FCD">
              <w:rPr>
                <w:rFonts w:cs="Arial"/>
                <w:i/>
                <w:iCs/>
                <w:sz w:val="18"/>
                <w:szCs w:val="18"/>
                <w:lang w:val="en-US"/>
              </w:rPr>
              <w:t>nivosus</w:t>
            </w:r>
            <w:proofErr w:type="spellEnd"/>
          </w:p>
        </w:tc>
        <w:tc>
          <w:tcPr>
            <w:tcW w:w="1108" w:type="dxa"/>
            <w:hideMark/>
          </w:tcPr>
          <w:p w14:paraId="6EA0AED6"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25603178"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 les sites de reproduction sont occupés de manière fiable à chaque saison, mais modérément nomade en dehors de la saison de reproduction ; les individus parcourent généralement plus de 1 000 km dans le sens nord-sud ; au moins une sous-population distincte de la voie de migration est considérée comme sédentaire. Remplit les critères de mouvement de la CMS.</w:t>
            </w:r>
          </w:p>
        </w:tc>
      </w:tr>
      <w:tr w:rsidR="000D7FCD" w:rsidRPr="000D7FCD" w14:paraId="5FB90799" w14:textId="77777777" w:rsidTr="00E90F29">
        <w:trPr>
          <w:cantSplit/>
          <w:trHeight w:val="290"/>
        </w:trPr>
        <w:tc>
          <w:tcPr>
            <w:tcW w:w="1702" w:type="dxa"/>
            <w:hideMark/>
          </w:tcPr>
          <w:p w14:paraId="7E922089"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Charadriidae</w:t>
            </w:r>
            <w:proofErr w:type="spellEnd"/>
          </w:p>
        </w:tc>
        <w:tc>
          <w:tcPr>
            <w:tcW w:w="1983" w:type="dxa"/>
            <w:hideMark/>
          </w:tcPr>
          <w:p w14:paraId="46F71697"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Pluvier à double collier</w:t>
            </w:r>
          </w:p>
        </w:tc>
        <w:tc>
          <w:tcPr>
            <w:tcW w:w="1695" w:type="dxa"/>
            <w:hideMark/>
          </w:tcPr>
          <w:p w14:paraId="102A6B36"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Charadrius </w:t>
            </w:r>
            <w:proofErr w:type="spellStart"/>
            <w:r w:rsidRPr="000D7FCD">
              <w:rPr>
                <w:rFonts w:cs="Arial"/>
                <w:i/>
                <w:iCs/>
                <w:sz w:val="18"/>
                <w:szCs w:val="18"/>
                <w:lang w:val="en-US"/>
              </w:rPr>
              <w:t>bicinctus</w:t>
            </w:r>
            <w:proofErr w:type="spellEnd"/>
          </w:p>
        </w:tc>
        <w:tc>
          <w:tcPr>
            <w:tcW w:w="1108" w:type="dxa"/>
            <w:hideMark/>
          </w:tcPr>
          <w:p w14:paraId="465FAD9D"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5F944650"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avec des sites de reproduction et de non-reproduction occupés de manière fiable à chaque saison ; les individus parcourent généralement plus de 1 000 km d'est en ouest ; au moins certains mouvements sont principalement altitudinaux ; au moins une sous-population distincte de la voie de migration est considérée comme sédentaire. Remplit les critères de mouvement de la CMS.</w:t>
            </w:r>
          </w:p>
        </w:tc>
      </w:tr>
      <w:tr w:rsidR="000D7FCD" w:rsidRPr="000D7FCD" w14:paraId="61022E0B" w14:textId="77777777" w:rsidTr="00E90F29">
        <w:trPr>
          <w:cantSplit/>
          <w:trHeight w:val="290"/>
        </w:trPr>
        <w:tc>
          <w:tcPr>
            <w:tcW w:w="1702" w:type="dxa"/>
            <w:hideMark/>
          </w:tcPr>
          <w:p w14:paraId="58655EA2"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lastRenderedPageBreak/>
              <w:t>Charadriidae</w:t>
            </w:r>
            <w:proofErr w:type="spellEnd"/>
          </w:p>
        </w:tc>
        <w:tc>
          <w:tcPr>
            <w:tcW w:w="1983" w:type="dxa"/>
            <w:hideMark/>
          </w:tcPr>
          <w:p w14:paraId="43EC55D4"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Pluvier montagnard</w:t>
            </w:r>
          </w:p>
        </w:tc>
        <w:tc>
          <w:tcPr>
            <w:tcW w:w="1695" w:type="dxa"/>
            <w:hideMark/>
          </w:tcPr>
          <w:p w14:paraId="5CA56BD9"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Charadrius </w:t>
            </w:r>
            <w:proofErr w:type="spellStart"/>
            <w:r w:rsidRPr="000D7FCD">
              <w:rPr>
                <w:rFonts w:cs="Arial"/>
                <w:i/>
                <w:iCs/>
                <w:sz w:val="18"/>
                <w:szCs w:val="18"/>
                <w:lang w:val="en-US"/>
              </w:rPr>
              <w:t>montanus</w:t>
            </w:r>
            <w:proofErr w:type="spellEnd"/>
          </w:p>
        </w:tc>
        <w:tc>
          <w:tcPr>
            <w:tcW w:w="1108" w:type="dxa"/>
            <w:hideMark/>
          </w:tcPr>
          <w:p w14:paraId="512748C2"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B1F2E04"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avec des sites de reproduction et de non-reproduction occupés de manière fiable à chaque saison ; les individus parcourent généralement plus de 1 000 km dans le sens nord-sud ; au moins une sous-population distincte de la voie de migration est considérée comme sédentaire. Remplit les critères de mouvement de la CMS.</w:t>
            </w:r>
          </w:p>
        </w:tc>
      </w:tr>
      <w:tr w:rsidR="000D7FCD" w:rsidRPr="000D7FCD" w14:paraId="6C24FC37" w14:textId="77777777" w:rsidTr="00E90F29">
        <w:trPr>
          <w:cantSplit/>
          <w:trHeight w:val="290"/>
        </w:trPr>
        <w:tc>
          <w:tcPr>
            <w:tcW w:w="1702" w:type="dxa"/>
            <w:hideMark/>
          </w:tcPr>
          <w:p w14:paraId="2BAD3E9A"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Charadriidae</w:t>
            </w:r>
            <w:proofErr w:type="spellEnd"/>
          </w:p>
        </w:tc>
        <w:tc>
          <w:tcPr>
            <w:tcW w:w="1983" w:type="dxa"/>
            <w:hideMark/>
          </w:tcPr>
          <w:p w14:paraId="30477549"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Vanneau huppé</w:t>
            </w:r>
          </w:p>
        </w:tc>
        <w:tc>
          <w:tcPr>
            <w:tcW w:w="1695" w:type="dxa"/>
            <w:hideMark/>
          </w:tcPr>
          <w:p w14:paraId="406B351B"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Vanellus</w:t>
            </w:r>
            <w:proofErr w:type="spellEnd"/>
            <w:r w:rsidRPr="000D7FCD">
              <w:rPr>
                <w:rFonts w:cs="Arial"/>
                <w:i/>
                <w:iCs/>
                <w:sz w:val="18"/>
                <w:szCs w:val="18"/>
                <w:lang w:val="en-US"/>
              </w:rPr>
              <w:t xml:space="preserve"> </w:t>
            </w:r>
            <w:proofErr w:type="spellStart"/>
            <w:r w:rsidRPr="000D7FCD">
              <w:rPr>
                <w:rFonts w:cs="Arial"/>
                <w:i/>
                <w:iCs/>
                <w:sz w:val="18"/>
                <w:szCs w:val="18"/>
                <w:lang w:val="en-US"/>
              </w:rPr>
              <w:t>vanellus</w:t>
            </w:r>
            <w:proofErr w:type="spellEnd"/>
          </w:p>
        </w:tc>
        <w:tc>
          <w:tcPr>
            <w:tcW w:w="1108" w:type="dxa"/>
            <w:hideMark/>
          </w:tcPr>
          <w:p w14:paraId="6BE12080"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36A8CA95"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les sites de reproduction étant occupés de manière fiable à chaque saison, mais modérément nomade en dehors de la période de reproduction ; les individus parcourent généralement plus de 1 000 km dans le sens nord-sud. Remplit les critères de mouvement de la CMS.</w:t>
            </w:r>
          </w:p>
        </w:tc>
      </w:tr>
      <w:tr w:rsidR="000D7FCD" w:rsidRPr="000D7FCD" w14:paraId="2A353725" w14:textId="77777777" w:rsidTr="00E90F29">
        <w:trPr>
          <w:cantSplit/>
          <w:trHeight w:val="290"/>
        </w:trPr>
        <w:tc>
          <w:tcPr>
            <w:tcW w:w="1702" w:type="dxa"/>
            <w:hideMark/>
          </w:tcPr>
          <w:p w14:paraId="61ECA9F6"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4F41366E"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Courlis cendré</w:t>
            </w:r>
          </w:p>
        </w:tc>
        <w:tc>
          <w:tcPr>
            <w:tcW w:w="1695" w:type="dxa"/>
            <w:hideMark/>
          </w:tcPr>
          <w:p w14:paraId="13D201AA"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Numenius </w:t>
            </w:r>
            <w:proofErr w:type="spellStart"/>
            <w:r w:rsidRPr="000D7FCD">
              <w:rPr>
                <w:rFonts w:cs="Arial"/>
                <w:i/>
                <w:iCs/>
                <w:sz w:val="18"/>
                <w:szCs w:val="18"/>
                <w:lang w:val="en-US"/>
              </w:rPr>
              <w:t>arquata</w:t>
            </w:r>
            <w:proofErr w:type="spellEnd"/>
          </w:p>
        </w:tc>
        <w:tc>
          <w:tcPr>
            <w:tcW w:w="1108" w:type="dxa"/>
            <w:hideMark/>
          </w:tcPr>
          <w:p w14:paraId="7A969937"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7E80D79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1D1FF332" w14:textId="77777777" w:rsidTr="00E90F29">
        <w:trPr>
          <w:cantSplit/>
          <w:trHeight w:val="290"/>
        </w:trPr>
        <w:tc>
          <w:tcPr>
            <w:tcW w:w="1702" w:type="dxa"/>
            <w:hideMark/>
          </w:tcPr>
          <w:p w14:paraId="56914322"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1DC94E23"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Barge rousse</w:t>
            </w:r>
          </w:p>
        </w:tc>
        <w:tc>
          <w:tcPr>
            <w:tcW w:w="1695" w:type="dxa"/>
            <w:hideMark/>
          </w:tcPr>
          <w:p w14:paraId="4EC765F0"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Limosa </w:t>
            </w:r>
            <w:proofErr w:type="spellStart"/>
            <w:r w:rsidRPr="000D7FCD">
              <w:rPr>
                <w:rFonts w:cs="Arial"/>
                <w:i/>
                <w:iCs/>
                <w:sz w:val="18"/>
                <w:szCs w:val="18"/>
                <w:lang w:val="en-US"/>
              </w:rPr>
              <w:t>lapponica</w:t>
            </w:r>
            <w:proofErr w:type="spellEnd"/>
          </w:p>
        </w:tc>
        <w:tc>
          <w:tcPr>
            <w:tcW w:w="1108" w:type="dxa"/>
            <w:hideMark/>
          </w:tcPr>
          <w:p w14:paraId="529E7E21"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25599EF1"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0111BF00" w14:textId="77777777" w:rsidTr="00E90F29">
        <w:trPr>
          <w:cantSplit/>
          <w:trHeight w:val="290"/>
        </w:trPr>
        <w:tc>
          <w:tcPr>
            <w:tcW w:w="1702" w:type="dxa"/>
            <w:hideMark/>
          </w:tcPr>
          <w:p w14:paraId="6DC18839"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3493E25A"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Barge à queue noire</w:t>
            </w:r>
          </w:p>
        </w:tc>
        <w:tc>
          <w:tcPr>
            <w:tcW w:w="1695" w:type="dxa"/>
            <w:hideMark/>
          </w:tcPr>
          <w:p w14:paraId="285F630D"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Limosa </w:t>
            </w:r>
            <w:proofErr w:type="spellStart"/>
            <w:r w:rsidRPr="000D7FCD">
              <w:rPr>
                <w:rFonts w:cs="Arial"/>
                <w:i/>
                <w:iCs/>
                <w:sz w:val="18"/>
                <w:szCs w:val="18"/>
                <w:lang w:val="en-US"/>
              </w:rPr>
              <w:t>limosa</w:t>
            </w:r>
            <w:proofErr w:type="spellEnd"/>
          </w:p>
        </w:tc>
        <w:tc>
          <w:tcPr>
            <w:tcW w:w="1108" w:type="dxa"/>
            <w:hideMark/>
          </w:tcPr>
          <w:p w14:paraId="6E67A0B8"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188D9920"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5083B615" w14:textId="77777777" w:rsidTr="00E90F29">
        <w:trPr>
          <w:cantSplit/>
          <w:trHeight w:val="290"/>
        </w:trPr>
        <w:tc>
          <w:tcPr>
            <w:tcW w:w="1702" w:type="dxa"/>
            <w:hideMark/>
          </w:tcPr>
          <w:p w14:paraId="20D91E92"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44768A07"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Bécasseau à queue pointue</w:t>
            </w:r>
          </w:p>
        </w:tc>
        <w:tc>
          <w:tcPr>
            <w:tcW w:w="1695" w:type="dxa"/>
            <w:hideMark/>
          </w:tcPr>
          <w:p w14:paraId="1299FC5C"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Calidris acuminata</w:t>
            </w:r>
          </w:p>
        </w:tc>
        <w:tc>
          <w:tcPr>
            <w:tcW w:w="1108" w:type="dxa"/>
            <w:hideMark/>
          </w:tcPr>
          <w:p w14:paraId="38730E12"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30EF884E"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73C017BE" w14:textId="77777777" w:rsidTr="00E90F29">
        <w:trPr>
          <w:cantSplit/>
          <w:trHeight w:val="290"/>
        </w:trPr>
        <w:tc>
          <w:tcPr>
            <w:tcW w:w="1702" w:type="dxa"/>
            <w:hideMark/>
          </w:tcPr>
          <w:p w14:paraId="67ED2901"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104B025A"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Bécasseau cocorli</w:t>
            </w:r>
          </w:p>
        </w:tc>
        <w:tc>
          <w:tcPr>
            <w:tcW w:w="1695" w:type="dxa"/>
            <w:hideMark/>
          </w:tcPr>
          <w:p w14:paraId="28A5FB42"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Calidris </w:t>
            </w:r>
            <w:proofErr w:type="spellStart"/>
            <w:r w:rsidRPr="000D7FCD">
              <w:rPr>
                <w:rFonts w:cs="Arial"/>
                <w:i/>
                <w:iCs/>
                <w:sz w:val="18"/>
                <w:szCs w:val="18"/>
                <w:lang w:val="en-US"/>
              </w:rPr>
              <w:t>ferruginea</w:t>
            </w:r>
            <w:proofErr w:type="spellEnd"/>
          </w:p>
        </w:tc>
        <w:tc>
          <w:tcPr>
            <w:tcW w:w="1108" w:type="dxa"/>
            <w:hideMark/>
          </w:tcPr>
          <w:p w14:paraId="02A4CE2D"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0786347F"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45D0406A" w14:textId="77777777" w:rsidTr="00E90F29">
        <w:trPr>
          <w:cantSplit/>
          <w:trHeight w:val="290"/>
        </w:trPr>
        <w:tc>
          <w:tcPr>
            <w:tcW w:w="1702" w:type="dxa"/>
            <w:hideMark/>
          </w:tcPr>
          <w:p w14:paraId="2B5BC2B2"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7A48E513"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Bécasseau à col roux</w:t>
            </w:r>
          </w:p>
        </w:tc>
        <w:tc>
          <w:tcPr>
            <w:tcW w:w="1695" w:type="dxa"/>
            <w:hideMark/>
          </w:tcPr>
          <w:p w14:paraId="598915DE"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Calidris ruficollis</w:t>
            </w:r>
          </w:p>
        </w:tc>
        <w:tc>
          <w:tcPr>
            <w:tcW w:w="1108" w:type="dxa"/>
            <w:hideMark/>
          </w:tcPr>
          <w:p w14:paraId="7B18CB2C"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01375BE9"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08305C4C" w14:textId="77777777" w:rsidTr="00E90F29">
        <w:trPr>
          <w:cantSplit/>
          <w:trHeight w:val="290"/>
        </w:trPr>
        <w:tc>
          <w:tcPr>
            <w:tcW w:w="1702" w:type="dxa"/>
            <w:hideMark/>
          </w:tcPr>
          <w:p w14:paraId="61440B8E"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0A7C39C1"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Bécassin d'Asie</w:t>
            </w:r>
          </w:p>
        </w:tc>
        <w:tc>
          <w:tcPr>
            <w:tcW w:w="1695" w:type="dxa"/>
            <w:hideMark/>
          </w:tcPr>
          <w:p w14:paraId="5AC05B8E"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Limnodromus</w:t>
            </w:r>
            <w:proofErr w:type="spellEnd"/>
            <w:r w:rsidRPr="000D7FCD">
              <w:rPr>
                <w:rFonts w:cs="Arial"/>
                <w:i/>
                <w:iCs/>
                <w:sz w:val="18"/>
                <w:szCs w:val="18"/>
                <w:lang w:val="en-US"/>
              </w:rPr>
              <w:t xml:space="preserve"> </w:t>
            </w:r>
            <w:proofErr w:type="spellStart"/>
            <w:r w:rsidRPr="000D7FCD">
              <w:rPr>
                <w:rFonts w:cs="Arial"/>
                <w:i/>
                <w:iCs/>
                <w:sz w:val="18"/>
                <w:szCs w:val="18"/>
                <w:lang w:val="en-US"/>
              </w:rPr>
              <w:t>semipalmatus</w:t>
            </w:r>
            <w:proofErr w:type="spellEnd"/>
          </w:p>
        </w:tc>
        <w:tc>
          <w:tcPr>
            <w:tcW w:w="1108" w:type="dxa"/>
            <w:hideMark/>
          </w:tcPr>
          <w:p w14:paraId="20854A81"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3487EA44"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15C09CAF" w14:textId="77777777" w:rsidTr="00E90F29">
        <w:trPr>
          <w:cantSplit/>
          <w:trHeight w:val="290"/>
        </w:trPr>
        <w:tc>
          <w:tcPr>
            <w:tcW w:w="1702" w:type="dxa"/>
            <w:hideMark/>
          </w:tcPr>
          <w:p w14:paraId="42517719"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lastRenderedPageBreak/>
              <w:t>Scolopacidae</w:t>
            </w:r>
            <w:proofErr w:type="spellEnd"/>
          </w:p>
        </w:tc>
        <w:tc>
          <w:tcPr>
            <w:tcW w:w="1983" w:type="dxa"/>
            <w:hideMark/>
          </w:tcPr>
          <w:p w14:paraId="4A52C95B"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Bécassine de Strickland</w:t>
            </w:r>
          </w:p>
        </w:tc>
        <w:tc>
          <w:tcPr>
            <w:tcW w:w="1695" w:type="dxa"/>
            <w:hideMark/>
          </w:tcPr>
          <w:p w14:paraId="650388A4"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Gallinago</w:t>
            </w:r>
            <w:proofErr w:type="spellEnd"/>
            <w:r w:rsidRPr="000D7FCD">
              <w:rPr>
                <w:rFonts w:cs="Arial"/>
                <w:i/>
                <w:iCs/>
                <w:sz w:val="18"/>
                <w:szCs w:val="18"/>
                <w:lang w:val="en-US"/>
              </w:rPr>
              <w:t xml:space="preserve"> </w:t>
            </w:r>
            <w:proofErr w:type="spellStart"/>
            <w:r w:rsidRPr="000D7FCD">
              <w:rPr>
                <w:rFonts w:cs="Arial"/>
                <w:i/>
                <w:iCs/>
                <w:sz w:val="18"/>
                <w:szCs w:val="18"/>
                <w:lang w:val="en-US"/>
              </w:rPr>
              <w:t>stricklandii</w:t>
            </w:r>
            <w:proofErr w:type="spellEnd"/>
          </w:p>
        </w:tc>
        <w:tc>
          <w:tcPr>
            <w:tcW w:w="1108" w:type="dxa"/>
            <w:hideMark/>
          </w:tcPr>
          <w:p w14:paraId="539DDA96"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69D7929E"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 les sites de reproduction sont occupés de manière fiable à chaque saison, mais modérément nomade en dehors de la saison de reproduction ; les individus parcourent généralement entre 100 et 1 000 km dans le sens nord-sud ; au moins une sous-population distincte de la voie de migration est considérée comme sédentaire. Remplit les critères de mouvement de la CMS.</w:t>
            </w:r>
          </w:p>
        </w:tc>
      </w:tr>
      <w:tr w:rsidR="000D7FCD" w:rsidRPr="000D7FCD" w14:paraId="45F1C24B" w14:textId="77777777" w:rsidTr="00E90F29">
        <w:trPr>
          <w:cantSplit/>
          <w:trHeight w:val="290"/>
        </w:trPr>
        <w:tc>
          <w:tcPr>
            <w:tcW w:w="1702" w:type="dxa"/>
            <w:hideMark/>
          </w:tcPr>
          <w:p w14:paraId="1947A484"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6C7F259B"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Bécassine du Japon</w:t>
            </w:r>
          </w:p>
        </w:tc>
        <w:tc>
          <w:tcPr>
            <w:tcW w:w="1695" w:type="dxa"/>
            <w:hideMark/>
          </w:tcPr>
          <w:p w14:paraId="64D29A5A"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Gallinago</w:t>
            </w:r>
            <w:proofErr w:type="spellEnd"/>
            <w:r w:rsidRPr="000D7FCD">
              <w:rPr>
                <w:rFonts w:cs="Arial"/>
                <w:i/>
                <w:iCs/>
                <w:sz w:val="18"/>
                <w:szCs w:val="18"/>
                <w:lang w:val="en-US"/>
              </w:rPr>
              <w:t xml:space="preserve"> </w:t>
            </w:r>
            <w:proofErr w:type="spellStart"/>
            <w:r w:rsidRPr="000D7FCD">
              <w:rPr>
                <w:rFonts w:cs="Arial"/>
                <w:i/>
                <w:iCs/>
                <w:sz w:val="18"/>
                <w:szCs w:val="18"/>
                <w:lang w:val="en-US"/>
              </w:rPr>
              <w:t>hardwickii</w:t>
            </w:r>
            <w:proofErr w:type="spellEnd"/>
          </w:p>
        </w:tc>
        <w:tc>
          <w:tcPr>
            <w:tcW w:w="1108" w:type="dxa"/>
            <w:hideMark/>
          </w:tcPr>
          <w:p w14:paraId="7E785006"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8A2F482"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69F6861B" w14:textId="77777777" w:rsidTr="00E90F29">
        <w:trPr>
          <w:cantSplit/>
          <w:trHeight w:val="290"/>
        </w:trPr>
        <w:tc>
          <w:tcPr>
            <w:tcW w:w="1702" w:type="dxa"/>
            <w:hideMark/>
          </w:tcPr>
          <w:p w14:paraId="66B79A39"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2CA47AE3"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Bécassine des bois</w:t>
            </w:r>
          </w:p>
        </w:tc>
        <w:tc>
          <w:tcPr>
            <w:tcW w:w="1695" w:type="dxa"/>
            <w:hideMark/>
          </w:tcPr>
          <w:p w14:paraId="3D0B2BCF"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Gallinago</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nemoricola</w:t>
            </w:r>
            <w:proofErr w:type="spellEnd"/>
          </w:p>
        </w:tc>
        <w:tc>
          <w:tcPr>
            <w:tcW w:w="1108" w:type="dxa"/>
            <w:hideMark/>
          </w:tcPr>
          <w:p w14:paraId="709C79C4"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3DF83EAD"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occupés de manière fiable à chaque saison, mais modérément nomade en dehors de la période de reproduction ; les individus parcourent généralement entre 100 et 1 000 km dans le sens nord-sud ; au moins certains mouvements sont principalement altitudinaux. Remplit les critères de mouvement de la CMS.</w:t>
            </w:r>
          </w:p>
        </w:tc>
      </w:tr>
      <w:tr w:rsidR="000D7FCD" w:rsidRPr="000D7FCD" w14:paraId="72548F62" w14:textId="77777777" w:rsidTr="00E90F29">
        <w:trPr>
          <w:cantSplit/>
          <w:trHeight w:val="290"/>
        </w:trPr>
        <w:tc>
          <w:tcPr>
            <w:tcW w:w="1702" w:type="dxa"/>
            <w:hideMark/>
          </w:tcPr>
          <w:p w14:paraId="3183B0B9"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241F66CD"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Bécassine double</w:t>
            </w:r>
          </w:p>
        </w:tc>
        <w:tc>
          <w:tcPr>
            <w:tcW w:w="1695" w:type="dxa"/>
            <w:hideMark/>
          </w:tcPr>
          <w:p w14:paraId="63B785C9"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Gallinago</w:t>
            </w:r>
            <w:proofErr w:type="spellEnd"/>
            <w:r w:rsidRPr="000D7FCD">
              <w:rPr>
                <w:rFonts w:cs="Arial"/>
                <w:i/>
                <w:iCs/>
                <w:sz w:val="18"/>
                <w:szCs w:val="18"/>
                <w:lang w:val="en-US"/>
              </w:rPr>
              <w:t xml:space="preserve"> media</w:t>
            </w:r>
          </w:p>
        </w:tc>
        <w:tc>
          <w:tcPr>
            <w:tcW w:w="1108" w:type="dxa"/>
            <w:hideMark/>
          </w:tcPr>
          <w:p w14:paraId="12945C85"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60AE0E64"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03BB9D02" w14:textId="77777777" w:rsidTr="00E90F29">
        <w:trPr>
          <w:cantSplit/>
          <w:trHeight w:val="290"/>
        </w:trPr>
        <w:tc>
          <w:tcPr>
            <w:tcW w:w="1702" w:type="dxa"/>
            <w:hideMark/>
          </w:tcPr>
          <w:p w14:paraId="310D9A30"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Scolopacidae</w:t>
            </w:r>
            <w:proofErr w:type="spellEnd"/>
          </w:p>
        </w:tc>
        <w:tc>
          <w:tcPr>
            <w:tcW w:w="1983" w:type="dxa"/>
            <w:hideMark/>
          </w:tcPr>
          <w:p w14:paraId="71E0F961"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Chevalier de Sibérie</w:t>
            </w:r>
          </w:p>
        </w:tc>
        <w:tc>
          <w:tcPr>
            <w:tcW w:w="1695" w:type="dxa"/>
            <w:hideMark/>
          </w:tcPr>
          <w:p w14:paraId="5ECBE530"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Tringa</w:t>
            </w:r>
            <w:proofErr w:type="spellEnd"/>
            <w:r w:rsidRPr="000D7FCD">
              <w:rPr>
                <w:rFonts w:cs="Arial"/>
                <w:i/>
                <w:iCs/>
                <w:sz w:val="18"/>
                <w:szCs w:val="18"/>
                <w:lang w:val="en-US"/>
              </w:rPr>
              <w:t xml:space="preserve"> </w:t>
            </w:r>
            <w:proofErr w:type="spellStart"/>
            <w:r w:rsidRPr="000D7FCD">
              <w:rPr>
                <w:rFonts w:cs="Arial"/>
                <w:i/>
                <w:iCs/>
                <w:sz w:val="18"/>
                <w:szCs w:val="18"/>
                <w:lang w:val="en-US"/>
              </w:rPr>
              <w:t>brevipes</w:t>
            </w:r>
            <w:proofErr w:type="spellEnd"/>
          </w:p>
        </w:tc>
        <w:tc>
          <w:tcPr>
            <w:tcW w:w="1108" w:type="dxa"/>
            <w:hideMark/>
          </w:tcPr>
          <w:p w14:paraId="4F245274"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3F7C1B2F"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fortement nomade en dehors de la saison de reproduction ; les individus parcourent généralement plus de 1 000 km dans le sens nord-sud. Remplit les critères de mouvement de la CMS.</w:t>
            </w:r>
          </w:p>
        </w:tc>
      </w:tr>
      <w:tr w:rsidR="000D7FCD" w:rsidRPr="000D7FCD" w14:paraId="198AA30E" w14:textId="77777777" w:rsidTr="00E90F29">
        <w:trPr>
          <w:cantSplit/>
          <w:trHeight w:val="290"/>
        </w:trPr>
        <w:tc>
          <w:tcPr>
            <w:tcW w:w="1702" w:type="dxa"/>
            <w:hideMark/>
          </w:tcPr>
          <w:p w14:paraId="4F831AE2"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73AB430A" w14:textId="77777777" w:rsidR="00E90F29" w:rsidRPr="000D7FCD" w:rsidRDefault="00E90F29">
            <w:pPr>
              <w:autoSpaceDE w:val="0"/>
              <w:autoSpaceDN w:val="0"/>
              <w:adjustRightInd w:val="0"/>
              <w:spacing w:before="40" w:after="40"/>
              <w:rPr>
                <w:rFonts w:cs="Arial"/>
                <w:b/>
                <w:bCs/>
                <w:sz w:val="18"/>
                <w:szCs w:val="18"/>
                <w:lang w:val="fr-FR"/>
              </w:rPr>
            </w:pPr>
            <w:proofErr w:type="spellStart"/>
            <w:r w:rsidRPr="000D7FCD">
              <w:rPr>
                <w:rFonts w:cs="Arial"/>
                <w:b/>
                <w:bCs/>
                <w:sz w:val="18"/>
                <w:szCs w:val="18"/>
                <w:lang w:val="fr-FR"/>
              </w:rPr>
              <w:t>Élanion</w:t>
            </w:r>
            <w:proofErr w:type="spellEnd"/>
            <w:r w:rsidRPr="000D7FCD">
              <w:rPr>
                <w:rFonts w:cs="Arial"/>
                <w:b/>
                <w:bCs/>
                <w:sz w:val="18"/>
                <w:szCs w:val="18"/>
                <w:lang w:val="fr-FR"/>
              </w:rPr>
              <w:t xml:space="preserve"> naucler</w:t>
            </w:r>
          </w:p>
        </w:tc>
        <w:tc>
          <w:tcPr>
            <w:tcW w:w="1695" w:type="dxa"/>
            <w:hideMark/>
          </w:tcPr>
          <w:p w14:paraId="0C37C8E7"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Chelictinia</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riocourii</w:t>
            </w:r>
            <w:proofErr w:type="spellEnd"/>
          </w:p>
        </w:tc>
        <w:tc>
          <w:tcPr>
            <w:tcW w:w="1108" w:type="dxa"/>
            <w:hideMark/>
          </w:tcPr>
          <w:p w14:paraId="5322F98B"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7FCC291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et nomadisme modéré pendant les saisons de reproduction et de non-reproduction ; les individus parcourent généralement entre 100 et 1 000 km dans le sens nord-sud ; au moins une sous-population distincte de la voie de migration est considérée comme sédentaire. Remplit les critères de mouvement de la CMS.</w:t>
            </w:r>
          </w:p>
        </w:tc>
      </w:tr>
      <w:tr w:rsidR="000D7FCD" w:rsidRPr="000D7FCD" w14:paraId="0FC88A71" w14:textId="77777777" w:rsidTr="00E90F29">
        <w:trPr>
          <w:cantSplit/>
          <w:trHeight w:val="290"/>
        </w:trPr>
        <w:tc>
          <w:tcPr>
            <w:tcW w:w="1702" w:type="dxa"/>
            <w:hideMark/>
          </w:tcPr>
          <w:p w14:paraId="769E1BC3"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2A9BF337"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Gypaète barbu</w:t>
            </w:r>
          </w:p>
        </w:tc>
        <w:tc>
          <w:tcPr>
            <w:tcW w:w="1695" w:type="dxa"/>
            <w:hideMark/>
          </w:tcPr>
          <w:p w14:paraId="3BCE43B2"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Gypaetus</w:t>
            </w:r>
            <w:proofErr w:type="spellEnd"/>
            <w:r w:rsidRPr="000D7FCD">
              <w:rPr>
                <w:rFonts w:cs="Arial"/>
                <w:i/>
                <w:iCs/>
                <w:sz w:val="18"/>
                <w:szCs w:val="18"/>
                <w:lang w:val="en-US"/>
              </w:rPr>
              <w:t xml:space="preserve"> barbatus</w:t>
            </w:r>
          </w:p>
        </w:tc>
        <w:tc>
          <w:tcPr>
            <w:tcW w:w="1108" w:type="dxa"/>
            <w:hideMark/>
          </w:tcPr>
          <w:p w14:paraId="7307DEC6"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0FFA4D57"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Sédentaire/résident : les sites de reproduction et de non-reproduction sont occupés de manière fiable à chaque saison ; les immatures peuvent migrer au-delà de l'aire de répartition normale des adultes avant de revenir se reproduire. Remplit les critères de mouvement de la CMS.</w:t>
            </w:r>
          </w:p>
        </w:tc>
      </w:tr>
      <w:tr w:rsidR="000D7FCD" w:rsidRPr="000D7FCD" w14:paraId="707C66A5" w14:textId="77777777" w:rsidTr="00E90F29">
        <w:trPr>
          <w:cantSplit/>
          <w:trHeight w:val="290"/>
        </w:trPr>
        <w:tc>
          <w:tcPr>
            <w:tcW w:w="1702" w:type="dxa"/>
            <w:hideMark/>
          </w:tcPr>
          <w:p w14:paraId="1B73C32E"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4313830B"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Bateleur des savanes</w:t>
            </w:r>
          </w:p>
        </w:tc>
        <w:tc>
          <w:tcPr>
            <w:tcW w:w="1695" w:type="dxa"/>
            <w:hideMark/>
          </w:tcPr>
          <w:p w14:paraId="5E9713D6"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Terathopius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ecaudatus</w:t>
            </w:r>
            <w:proofErr w:type="spellEnd"/>
          </w:p>
        </w:tc>
        <w:tc>
          <w:tcPr>
            <w:tcW w:w="1108" w:type="dxa"/>
            <w:hideMark/>
          </w:tcPr>
          <w:p w14:paraId="64E0E696"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b/>
                <w:bCs/>
                <w:sz w:val="18"/>
                <w:szCs w:val="18"/>
                <w:lang w:val="fr-FR"/>
              </w:rPr>
              <w:t>DA</w:t>
            </w:r>
          </w:p>
        </w:tc>
        <w:tc>
          <w:tcPr>
            <w:tcW w:w="8963" w:type="dxa"/>
            <w:hideMark/>
          </w:tcPr>
          <w:p w14:paraId="22FAED46"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entre 100 et 1 000 km dans le sens nord-sud ; les immatures peuvent migrer au-delà de l'aire de répartition normale des adultes avant de revenir se reproduire ; au moins une sous-population distincte de la voie de migration est considérée comme sédentaire. Remplit les critères de mouvement de la CMS.</w:t>
            </w:r>
          </w:p>
        </w:tc>
      </w:tr>
      <w:tr w:rsidR="000D7FCD" w:rsidRPr="000D7FCD" w14:paraId="2A304AC6" w14:textId="77777777" w:rsidTr="00E90F29">
        <w:trPr>
          <w:cantSplit/>
          <w:trHeight w:val="290"/>
        </w:trPr>
        <w:tc>
          <w:tcPr>
            <w:tcW w:w="1702" w:type="dxa"/>
            <w:hideMark/>
          </w:tcPr>
          <w:p w14:paraId="6F7ACCDD"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lastRenderedPageBreak/>
              <w:t>Accipitridae</w:t>
            </w:r>
          </w:p>
        </w:tc>
        <w:tc>
          <w:tcPr>
            <w:tcW w:w="1983" w:type="dxa"/>
            <w:hideMark/>
          </w:tcPr>
          <w:p w14:paraId="55121D1D"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Circaète de Beaudouin</w:t>
            </w:r>
          </w:p>
        </w:tc>
        <w:tc>
          <w:tcPr>
            <w:tcW w:w="1695" w:type="dxa"/>
            <w:hideMark/>
          </w:tcPr>
          <w:p w14:paraId="32F3D1DB"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Circaetus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beaudouini</w:t>
            </w:r>
            <w:proofErr w:type="spellEnd"/>
          </w:p>
        </w:tc>
        <w:tc>
          <w:tcPr>
            <w:tcW w:w="1108" w:type="dxa"/>
            <w:hideMark/>
          </w:tcPr>
          <w:p w14:paraId="4EC67CC0"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2FACA273"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les sites de reproduction étant occupés de manière fiable à chaque saison, mais modérément nomade en dehors de la période de reproduction ; les individus parcourent généralement entre 100 et 1 000 km dans le sens nord-sud. Remplit les critères de mouvement de la CMS.</w:t>
            </w:r>
          </w:p>
        </w:tc>
      </w:tr>
      <w:tr w:rsidR="000D7FCD" w:rsidRPr="000D7FCD" w14:paraId="14531327" w14:textId="77777777" w:rsidTr="00E90F29">
        <w:trPr>
          <w:cantSplit/>
          <w:trHeight w:val="290"/>
        </w:trPr>
        <w:tc>
          <w:tcPr>
            <w:tcW w:w="1702" w:type="dxa"/>
            <w:hideMark/>
          </w:tcPr>
          <w:p w14:paraId="19B154D1"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430F82F5"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Circaète barré</w:t>
            </w:r>
          </w:p>
        </w:tc>
        <w:tc>
          <w:tcPr>
            <w:tcW w:w="1695" w:type="dxa"/>
            <w:hideMark/>
          </w:tcPr>
          <w:p w14:paraId="451FD136"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Circaetus</w:t>
            </w:r>
            <w:proofErr w:type="spellEnd"/>
            <w:r w:rsidRPr="000D7FCD">
              <w:rPr>
                <w:rFonts w:cs="Arial"/>
                <w:i/>
                <w:iCs/>
                <w:sz w:val="18"/>
                <w:szCs w:val="18"/>
                <w:lang w:val="en-US"/>
              </w:rPr>
              <w:t xml:space="preserve"> </w:t>
            </w:r>
            <w:proofErr w:type="spellStart"/>
            <w:r w:rsidRPr="000D7FCD">
              <w:rPr>
                <w:rFonts w:cs="Arial"/>
                <w:i/>
                <w:iCs/>
                <w:sz w:val="18"/>
                <w:szCs w:val="18"/>
                <w:lang w:val="en-US"/>
              </w:rPr>
              <w:t>fasciolatus</w:t>
            </w:r>
            <w:proofErr w:type="spellEnd"/>
          </w:p>
        </w:tc>
        <w:tc>
          <w:tcPr>
            <w:tcW w:w="1108" w:type="dxa"/>
            <w:hideMark/>
          </w:tcPr>
          <w:p w14:paraId="70A9E725"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4115712D"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essor de l'aire de répartition après la reproduction, avec des sites de reproduction et de non-reproduction occupés de manière fiable à chaque saison ; les individus parcourent généralement entre 100 et 1 000 km dans le sens nord-sud. Remplit les critères de mouvement de la CMS.</w:t>
            </w:r>
          </w:p>
        </w:tc>
      </w:tr>
      <w:tr w:rsidR="000D7FCD" w:rsidRPr="000D7FCD" w14:paraId="73183870" w14:textId="77777777" w:rsidTr="00E90F29">
        <w:trPr>
          <w:cantSplit/>
          <w:trHeight w:val="290"/>
        </w:trPr>
        <w:tc>
          <w:tcPr>
            <w:tcW w:w="1702" w:type="dxa"/>
            <w:hideMark/>
          </w:tcPr>
          <w:p w14:paraId="521269F4"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2777849E"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Vautour de l'Himalaya</w:t>
            </w:r>
          </w:p>
        </w:tc>
        <w:tc>
          <w:tcPr>
            <w:tcW w:w="1695" w:type="dxa"/>
            <w:hideMark/>
          </w:tcPr>
          <w:p w14:paraId="2F27661C"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Gyps </w:t>
            </w:r>
            <w:proofErr w:type="spellStart"/>
            <w:r w:rsidRPr="000D7FCD">
              <w:rPr>
                <w:rFonts w:cs="Arial"/>
                <w:i/>
                <w:iCs/>
                <w:sz w:val="18"/>
                <w:szCs w:val="18"/>
                <w:lang w:val="en-US"/>
              </w:rPr>
              <w:t>himalayensis</w:t>
            </w:r>
            <w:proofErr w:type="spellEnd"/>
          </w:p>
        </w:tc>
        <w:tc>
          <w:tcPr>
            <w:tcW w:w="1108" w:type="dxa"/>
            <w:hideMark/>
          </w:tcPr>
          <w:p w14:paraId="1585094E"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2BC2B39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moins de 100 km mais dans aucune direction cohérente ; au moins certains mouvements sont principalement altitudinaux ; les immatures peuvent migrer au-delà de l'aire de répartition normale des adultes avant de revenir se reproduire. Remplit les critères de mouvement de la CMS.</w:t>
            </w:r>
          </w:p>
        </w:tc>
      </w:tr>
      <w:tr w:rsidR="000D7FCD" w:rsidRPr="000D7FCD" w14:paraId="6D7D7518" w14:textId="77777777" w:rsidTr="00E90F29">
        <w:trPr>
          <w:cantSplit/>
          <w:trHeight w:val="290"/>
        </w:trPr>
        <w:tc>
          <w:tcPr>
            <w:tcW w:w="1702" w:type="dxa"/>
            <w:hideMark/>
          </w:tcPr>
          <w:p w14:paraId="033A24DD"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68A4F5A5"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Vautour moine</w:t>
            </w:r>
          </w:p>
        </w:tc>
        <w:tc>
          <w:tcPr>
            <w:tcW w:w="1695" w:type="dxa"/>
            <w:hideMark/>
          </w:tcPr>
          <w:p w14:paraId="1B70A019"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i/>
                <w:iCs/>
                <w:sz w:val="18"/>
                <w:szCs w:val="18"/>
                <w:lang w:val="en-US"/>
              </w:rPr>
              <w:t xml:space="preserve">Aegypius </w:t>
            </w:r>
            <w:proofErr w:type="spellStart"/>
            <w:r w:rsidRPr="000D7FCD">
              <w:rPr>
                <w:rFonts w:cs="Arial"/>
                <w:i/>
                <w:iCs/>
                <w:sz w:val="18"/>
                <w:szCs w:val="18"/>
                <w:lang w:val="en-US"/>
              </w:rPr>
              <w:t>monachus</w:t>
            </w:r>
            <w:proofErr w:type="spellEnd"/>
          </w:p>
        </w:tc>
        <w:tc>
          <w:tcPr>
            <w:tcW w:w="1108" w:type="dxa"/>
            <w:hideMark/>
          </w:tcPr>
          <w:p w14:paraId="4ABAB1CD"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7743F3B0"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essor important et changement de l'aire de répartition après la reproduction et nomadisme modéré pendant les saisons de reproduction et de non-reproduction ; les individus parcourent généralement plus de 1 000 km dans le sens nord-sud ; au moins une sous-population distincte de la voie de migration est considérée comme sédentaire. Remplit les critères de mouvement de la CMS.</w:t>
            </w:r>
          </w:p>
        </w:tc>
      </w:tr>
      <w:tr w:rsidR="000D7FCD" w:rsidRPr="000D7FCD" w14:paraId="545DCE9A" w14:textId="77777777" w:rsidTr="00E90F29">
        <w:trPr>
          <w:cantSplit/>
          <w:trHeight w:val="290"/>
        </w:trPr>
        <w:tc>
          <w:tcPr>
            <w:tcW w:w="1702" w:type="dxa"/>
            <w:hideMark/>
          </w:tcPr>
          <w:p w14:paraId="01020F10"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4708774F"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Aigle montagnard</w:t>
            </w:r>
          </w:p>
        </w:tc>
        <w:tc>
          <w:tcPr>
            <w:tcW w:w="1695" w:type="dxa"/>
            <w:hideMark/>
          </w:tcPr>
          <w:p w14:paraId="2AD5E8C5"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Nisaetus</w:t>
            </w:r>
            <w:proofErr w:type="spellEnd"/>
            <w:r w:rsidRPr="000D7FCD">
              <w:rPr>
                <w:rFonts w:cs="Arial"/>
                <w:i/>
                <w:iCs/>
                <w:sz w:val="18"/>
                <w:szCs w:val="18"/>
                <w:lang w:val="en-US"/>
              </w:rPr>
              <w:t xml:space="preserve"> </w:t>
            </w:r>
            <w:proofErr w:type="spellStart"/>
            <w:r w:rsidRPr="000D7FCD">
              <w:rPr>
                <w:rFonts w:cs="Arial"/>
                <w:i/>
                <w:iCs/>
                <w:sz w:val="18"/>
                <w:szCs w:val="18"/>
                <w:lang w:val="en-US"/>
              </w:rPr>
              <w:t>nipalensis</w:t>
            </w:r>
            <w:proofErr w:type="spellEnd"/>
          </w:p>
        </w:tc>
        <w:tc>
          <w:tcPr>
            <w:tcW w:w="1108" w:type="dxa"/>
            <w:hideMark/>
          </w:tcPr>
          <w:p w14:paraId="6B4F8F0D"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662FDC7B"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entre 100 et 1 000 km dans le sens nord-sud ; au moins certains mouvements sont principalement altitudinaux. Remplit les critères de mouvement de la CMS.</w:t>
            </w:r>
          </w:p>
        </w:tc>
      </w:tr>
      <w:tr w:rsidR="000D7FCD" w:rsidRPr="000D7FCD" w14:paraId="7FB64D62" w14:textId="77777777" w:rsidTr="00E90F29">
        <w:trPr>
          <w:cantSplit/>
          <w:trHeight w:val="290"/>
        </w:trPr>
        <w:tc>
          <w:tcPr>
            <w:tcW w:w="1702" w:type="dxa"/>
            <w:hideMark/>
          </w:tcPr>
          <w:p w14:paraId="2DCBD193"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7F33AFE4"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Aigle ravisseur</w:t>
            </w:r>
          </w:p>
        </w:tc>
        <w:tc>
          <w:tcPr>
            <w:tcW w:w="1695" w:type="dxa"/>
            <w:hideMark/>
          </w:tcPr>
          <w:p w14:paraId="7CEFC692"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Aquila </w:t>
            </w:r>
            <w:proofErr w:type="spellStart"/>
            <w:r w:rsidRPr="000D7FCD">
              <w:rPr>
                <w:rFonts w:cs="Arial"/>
                <w:b/>
                <w:bCs/>
                <w:i/>
                <w:iCs/>
                <w:sz w:val="18"/>
                <w:szCs w:val="18"/>
                <w:lang w:val="en-US"/>
              </w:rPr>
              <w:t>rapax</w:t>
            </w:r>
            <w:proofErr w:type="spellEnd"/>
          </w:p>
        </w:tc>
        <w:tc>
          <w:tcPr>
            <w:tcW w:w="1108" w:type="dxa"/>
            <w:hideMark/>
          </w:tcPr>
          <w:p w14:paraId="15A1BBEA"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78B2B0A2"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entre 100 et 1 000 km dans le sens nord-sud ; au moins une sous-population distincte de la voie de migration est considérée comme sédentaire. Remplit les critères de mouvement de la CMS.</w:t>
            </w:r>
          </w:p>
        </w:tc>
      </w:tr>
      <w:tr w:rsidR="000D7FCD" w:rsidRPr="000D7FCD" w14:paraId="0666AB1D" w14:textId="77777777" w:rsidTr="00E90F29">
        <w:trPr>
          <w:cantSplit/>
          <w:trHeight w:val="290"/>
        </w:trPr>
        <w:tc>
          <w:tcPr>
            <w:tcW w:w="1702" w:type="dxa"/>
            <w:hideMark/>
          </w:tcPr>
          <w:p w14:paraId="0FC3B565"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6212A2DB"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Busard maure</w:t>
            </w:r>
          </w:p>
        </w:tc>
        <w:tc>
          <w:tcPr>
            <w:tcW w:w="1695" w:type="dxa"/>
            <w:hideMark/>
          </w:tcPr>
          <w:p w14:paraId="7FFE8A1D"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Circus </w:t>
            </w:r>
            <w:proofErr w:type="spellStart"/>
            <w:r w:rsidRPr="000D7FCD">
              <w:rPr>
                <w:rFonts w:cs="Arial"/>
                <w:b/>
                <w:bCs/>
                <w:i/>
                <w:iCs/>
                <w:sz w:val="18"/>
                <w:szCs w:val="18"/>
                <w:lang w:val="en-US"/>
              </w:rPr>
              <w:t>maurus</w:t>
            </w:r>
            <w:proofErr w:type="spellEnd"/>
          </w:p>
        </w:tc>
        <w:tc>
          <w:tcPr>
            <w:tcW w:w="1108" w:type="dxa"/>
            <w:hideMark/>
          </w:tcPr>
          <w:p w14:paraId="63058394"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b/>
                <w:bCs/>
                <w:sz w:val="18"/>
                <w:szCs w:val="18"/>
                <w:lang w:val="fr-FR"/>
              </w:rPr>
              <w:t>DA</w:t>
            </w:r>
          </w:p>
        </w:tc>
        <w:tc>
          <w:tcPr>
            <w:tcW w:w="8963" w:type="dxa"/>
            <w:hideMark/>
          </w:tcPr>
          <w:p w14:paraId="6595A725"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 les sites de reproduction sont occupés de manière fiable à chaque saison, mais modérément nomade en dehors de la saison de reproduction ; les individus parcourent généralement plus de 1 000 km dans le sens nord-sud ; quitte parfois l'aire de répartition normale en nombre significatif ; au moins une sous-population distincte de la voie de migration est considérée comme sédentaire. Remplit les critères de mouvement de la CMS.</w:t>
            </w:r>
          </w:p>
        </w:tc>
      </w:tr>
      <w:tr w:rsidR="000D7FCD" w:rsidRPr="000D7FCD" w14:paraId="5E22DC8E" w14:textId="77777777" w:rsidTr="00E90F29">
        <w:trPr>
          <w:cantSplit/>
          <w:trHeight w:val="290"/>
        </w:trPr>
        <w:tc>
          <w:tcPr>
            <w:tcW w:w="1702" w:type="dxa"/>
            <w:hideMark/>
          </w:tcPr>
          <w:p w14:paraId="2BBF23BF"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lastRenderedPageBreak/>
              <w:t>Accipitridae</w:t>
            </w:r>
          </w:p>
        </w:tc>
        <w:tc>
          <w:tcPr>
            <w:tcW w:w="1983" w:type="dxa"/>
            <w:hideMark/>
          </w:tcPr>
          <w:p w14:paraId="5ECB104E"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Busard pâle</w:t>
            </w:r>
          </w:p>
        </w:tc>
        <w:tc>
          <w:tcPr>
            <w:tcW w:w="1695" w:type="dxa"/>
            <w:hideMark/>
          </w:tcPr>
          <w:p w14:paraId="2F3D69D6"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Circus </w:t>
            </w:r>
            <w:proofErr w:type="spellStart"/>
            <w:r w:rsidRPr="000D7FCD">
              <w:rPr>
                <w:rFonts w:cs="Arial"/>
                <w:i/>
                <w:iCs/>
                <w:sz w:val="18"/>
                <w:szCs w:val="18"/>
                <w:lang w:val="en-US"/>
              </w:rPr>
              <w:t>macrourus</w:t>
            </w:r>
            <w:proofErr w:type="spellEnd"/>
          </w:p>
        </w:tc>
        <w:tc>
          <w:tcPr>
            <w:tcW w:w="1108" w:type="dxa"/>
            <w:hideMark/>
          </w:tcPr>
          <w:p w14:paraId="621206FD"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8A3065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0AD6B4E8" w14:textId="77777777" w:rsidTr="00E90F29">
        <w:trPr>
          <w:cantSplit/>
          <w:trHeight w:val="290"/>
        </w:trPr>
        <w:tc>
          <w:tcPr>
            <w:tcW w:w="1702" w:type="dxa"/>
            <w:hideMark/>
          </w:tcPr>
          <w:p w14:paraId="7A741C1C"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536746EC"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Autour à ventre gris</w:t>
            </w:r>
          </w:p>
        </w:tc>
        <w:tc>
          <w:tcPr>
            <w:tcW w:w="1695" w:type="dxa"/>
            <w:hideMark/>
          </w:tcPr>
          <w:p w14:paraId="3C18A32D"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Accipiter </w:t>
            </w:r>
            <w:proofErr w:type="spellStart"/>
            <w:r w:rsidRPr="000D7FCD">
              <w:rPr>
                <w:rFonts w:cs="Arial"/>
                <w:i/>
                <w:iCs/>
                <w:sz w:val="18"/>
                <w:szCs w:val="18"/>
                <w:lang w:val="en-US"/>
              </w:rPr>
              <w:t>poliogaster</w:t>
            </w:r>
            <w:proofErr w:type="spellEnd"/>
          </w:p>
        </w:tc>
        <w:tc>
          <w:tcPr>
            <w:tcW w:w="1108" w:type="dxa"/>
            <w:hideMark/>
          </w:tcPr>
          <w:p w14:paraId="1838CE37"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564BD7C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plus de 1 000 km dans le sens nord-sud. Remplit les critères de mouvement de la CMS.</w:t>
            </w:r>
          </w:p>
        </w:tc>
      </w:tr>
      <w:tr w:rsidR="000D7FCD" w:rsidRPr="000D7FCD" w14:paraId="0F7F5073" w14:textId="77777777" w:rsidTr="00E90F29">
        <w:trPr>
          <w:cantSplit/>
          <w:trHeight w:val="290"/>
        </w:trPr>
        <w:tc>
          <w:tcPr>
            <w:tcW w:w="1702" w:type="dxa"/>
            <w:hideMark/>
          </w:tcPr>
          <w:p w14:paraId="69E6D516"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Accipitridae</w:t>
            </w:r>
          </w:p>
        </w:tc>
        <w:tc>
          <w:tcPr>
            <w:tcW w:w="1983" w:type="dxa"/>
            <w:hideMark/>
          </w:tcPr>
          <w:p w14:paraId="57899EA8"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Pygargue nain</w:t>
            </w:r>
          </w:p>
        </w:tc>
        <w:tc>
          <w:tcPr>
            <w:tcW w:w="1695" w:type="dxa"/>
            <w:hideMark/>
          </w:tcPr>
          <w:p w14:paraId="559881ED"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Icthyophaga</w:t>
            </w:r>
            <w:proofErr w:type="spellEnd"/>
            <w:r w:rsidRPr="000D7FCD">
              <w:rPr>
                <w:rFonts w:cs="Arial"/>
                <w:i/>
                <w:iCs/>
                <w:sz w:val="18"/>
                <w:szCs w:val="18"/>
                <w:lang w:val="en-US"/>
              </w:rPr>
              <w:t xml:space="preserve"> humilis</w:t>
            </w:r>
          </w:p>
        </w:tc>
        <w:tc>
          <w:tcPr>
            <w:tcW w:w="1108" w:type="dxa"/>
            <w:hideMark/>
          </w:tcPr>
          <w:p w14:paraId="56BD3458"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338DE63E"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entre 100 et 1 000 km mais dans aucune direction cohérente ; au moins certains mouvements sont principalement altitudinaux ; au moins une sous-population distincte de la voie de migration est considérée comme sédentaire. Remplit les critères de mouvement de la CMS.</w:t>
            </w:r>
          </w:p>
        </w:tc>
      </w:tr>
      <w:tr w:rsidR="000D7FCD" w:rsidRPr="000D7FCD" w14:paraId="240E8E9B" w14:textId="77777777" w:rsidTr="00E90F29">
        <w:trPr>
          <w:cantSplit/>
          <w:trHeight w:val="290"/>
        </w:trPr>
        <w:tc>
          <w:tcPr>
            <w:tcW w:w="1702" w:type="dxa"/>
            <w:hideMark/>
          </w:tcPr>
          <w:p w14:paraId="223DF42A"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Falconidae</w:t>
            </w:r>
            <w:proofErr w:type="spellEnd"/>
          </w:p>
        </w:tc>
        <w:tc>
          <w:tcPr>
            <w:tcW w:w="1983" w:type="dxa"/>
            <w:hideMark/>
          </w:tcPr>
          <w:p w14:paraId="3DCCC56D"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Caracara austral</w:t>
            </w:r>
          </w:p>
        </w:tc>
        <w:tc>
          <w:tcPr>
            <w:tcW w:w="1695" w:type="dxa"/>
            <w:hideMark/>
          </w:tcPr>
          <w:p w14:paraId="73BEBC17"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Phalcoboenus</w:t>
            </w:r>
            <w:proofErr w:type="spellEnd"/>
            <w:r w:rsidRPr="000D7FCD">
              <w:rPr>
                <w:rFonts w:cs="Arial"/>
                <w:i/>
                <w:iCs/>
                <w:sz w:val="18"/>
                <w:szCs w:val="18"/>
                <w:lang w:val="en-US"/>
              </w:rPr>
              <w:t xml:space="preserve"> australis</w:t>
            </w:r>
          </w:p>
        </w:tc>
        <w:tc>
          <w:tcPr>
            <w:tcW w:w="1108" w:type="dxa"/>
            <w:hideMark/>
          </w:tcPr>
          <w:p w14:paraId="7742A1DB"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52485727"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entre 100 et 1 000 km dans le sens nord-sud ; au moins certains mouvements sont principalement altitudinaux. Remplit les critères de mouvement de la CMS.</w:t>
            </w:r>
          </w:p>
        </w:tc>
      </w:tr>
      <w:tr w:rsidR="000D7FCD" w:rsidRPr="000D7FCD" w14:paraId="7257ECEF" w14:textId="77777777" w:rsidTr="00E90F29">
        <w:trPr>
          <w:cantSplit/>
          <w:trHeight w:val="290"/>
        </w:trPr>
        <w:tc>
          <w:tcPr>
            <w:tcW w:w="1702" w:type="dxa"/>
            <w:hideMark/>
          </w:tcPr>
          <w:p w14:paraId="5D819E02"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Falconidae</w:t>
            </w:r>
            <w:proofErr w:type="spellEnd"/>
          </w:p>
        </w:tc>
        <w:tc>
          <w:tcPr>
            <w:tcW w:w="1983" w:type="dxa"/>
            <w:hideMark/>
          </w:tcPr>
          <w:p w14:paraId="50979A6D"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 xml:space="preserve">Faucon </w:t>
            </w:r>
            <w:proofErr w:type="spellStart"/>
            <w:r w:rsidRPr="000D7FCD">
              <w:rPr>
                <w:rFonts w:cs="Arial"/>
                <w:sz w:val="18"/>
                <w:szCs w:val="18"/>
                <w:lang w:val="fr-FR"/>
              </w:rPr>
              <w:t>chicquera</w:t>
            </w:r>
            <w:proofErr w:type="spellEnd"/>
          </w:p>
        </w:tc>
        <w:tc>
          <w:tcPr>
            <w:tcW w:w="1695" w:type="dxa"/>
            <w:hideMark/>
          </w:tcPr>
          <w:p w14:paraId="630C306C"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i/>
                <w:iCs/>
                <w:sz w:val="18"/>
                <w:szCs w:val="18"/>
                <w:lang w:val="en-US"/>
              </w:rPr>
              <w:t xml:space="preserve">Falco </w:t>
            </w:r>
            <w:proofErr w:type="spellStart"/>
            <w:r w:rsidRPr="000D7FCD">
              <w:rPr>
                <w:rFonts w:cs="Arial"/>
                <w:i/>
                <w:iCs/>
                <w:sz w:val="18"/>
                <w:szCs w:val="18"/>
                <w:lang w:val="en-US"/>
              </w:rPr>
              <w:t>chicquera</w:t>
            </w:r>
            <w:proofErr w:type="spellEnd"/>
          </w:p>
        </w:tc>
        <w:tc>
          <w:tcPr>
            <w:tcW w:w="1108" w:type="dxa"/>
            <w:hideMark/>
          </w:tcPr>
          <w:p w14:paraId="65AA7D7E"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589D37F1"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et nomadisme modéré pendant les saisons de reproduction et de non-reproduction ; les individus parcourent généralement entre 100 et 1 000 km mais dans aucune direction cohérente ; au moins une sous-population distincte de la voie de migration est considérée comme sédentaire. Remplit les critères de mouvement de la CMS.</w:t>
            </w:r>
          </w:p>
        </w:tc>
      </w:tr>
      <w:tr w:rsidR="000D7FCD" w:rsidRPr="000D7FCD" w14:paraId="78FEA635" w14:textId="77777777" w:rsidTr="00E90F29">
        <w:trPr>
          <w:cantSplit/>
          <w:trHeight w:val="290"/>
        </w:trPr>
        <w:tc>
          <w:tcPr>
            <w:tcW w:w="1702" w:type="dxa"/>
            <w:hideMark/>
          </w:tcPr>
          <w:p w14:paraId="32296EFB"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Falconidae</w:t>
            </w:r>
            <w:proofErr w:type="spellEnd"/>
          </w:p>
        </w:tc>
        <w:tc>
          <w:tcPr>
            <w:tcW w:w="1983" w:type="dxa"/>
            <w:hideMark/>
          </w:tcPr>
          <w:p w14:paraId="7A936B39"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Faucon concolore</w:t>
            </w:r>
          </w:p>
        </w:tc>
        <w:tc>
          <w:tcPr>
            <w:tcW w:w="1695" w:type="dxa"/>
            <w:hideMark/>
          </w:tcPr>
          <w:p w14:paraId="048553F6"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Falco concolor</w:t>
            </w:r>
          </w:p>
        </w:tc>
        <w:tc>
          <w:tcPr>
            <w:tcW w:w="1108" w:type="dxa"/>
            <w:hideMark/>
          </w:tcPr>
          <w:p w14:paraId="09F2A75D"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3D0B4798"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7E3896FC" w14:textId="77777777" w:rsidTr="00E90F29">
        <w:trPr>
          <w:cantSplit/>
          <w:trHeight w:val="290"/>
        </w:trPr>
        <w:tc>
          <w:tcPr>
            <w:tcW w:w="1702" w:type="dxa"/>
            <w:hideMark/>
          </w:tcPr>
          <w:p w14:paraId="5C3B38DC"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Oriolidae</w:t>
            </w:r>
            <w:proofErr w:type="spellEnd"/>
          </w:p>
        </w:tc>
        <w:tc>
          <w:tcPr>
            <w:tcW w:w="1983" w:type="dxa"/>
            <w:hideMark/>
          </w:tcPr>
          <w:p w14:paraId="670148A1"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Loriot argenté</w:t>
            </w:r>
          </w:p>
        </w:tc>
        <w:tc>
          <w:tcPr>
            <w:tcW w:w="1695" w:type="dxa"/>
            <w:hideMark/>
          </w:tcPr>
          <w:p w14:paraId="374C3A3B"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Oriolus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mellianus</w:t>
            </w:r>
            <w:proofErr w:type="spellEnd"/>
          </w:p>
        </w:tc>
        <w:tc>
          <w:tcPr>
            <w:tcW w:w="1108" w:type="dxa"/>
            <w:hideMark/>
          </w:tcPr>
          <w:p w14:paraId="0262B8F0"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b/>
                <w:bCs/>
                <w:sz w:val="18"/>
                <w:szCs w:val="18"/>
                <w:lang w:val="fr-FR"/>
              </w:rPr>
              <w:t>DA</w:t>
            </w:r>
          </w:p>
        </w:tc>
        <w:tc>
          <w:tcPr>
            <w:tcW w:w="8963" w:type="dxa"/>
            <w:hideMark/>
          </w:tcPr>
          <w:p w14:paraId="205D77F3"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6275A2FB" w14:textId="77777777" w:rsidTr="00E90F29">
        <w:trPr>
          <w:cantSplit/>
          <w:trHeight w:val="290"/>
        </w:trPr>
        <w:tc>
          <w:tcPr>
            <w:tcW w:w="1702" w:type="dxa"/>
            <w:hideMark/>
          </w:tcPr>
          <w:p w14:paraId="5C054438"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Vireonidae</w:t>
            </w:r>
            <w:proofErr w:type="spellEnd"/>
          </w:p>
        </w:tc>
        <w:tc>
          <w:tcPr>
            <w:tcW w:w="1983" w:type="dxa"/>
            <w:hideMark/>
          </w:tcPr>
          <w:p w14:paraId="51171027"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Viréo à tête noire</w:t>
            </w:r>
          </w:p>
        </w:tc>
        <w:tc>
          <w:tcPr>
            <w:tcW w:w="1695" w:type="dxa"/>
            <w:hideMark/>
          </w:tcPr>
          <w:p w14:paraId="7CD39303"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i/>
                <w:iCs/>
                <w:sz w:val="18"/>
                <w:szCs w:val="18"/>
                <w:lang w:val="en-US"/>
              </w:rPr>
              <w:t>Vireo atricapilla</w:t>
            </w:r>
          </w:p>
        </w:tc>
        <w:tc>
          <w:tcPr>
            <w:tcW w:w="1108" w:type="dxa"/>
            <w:hideMark/>
          </w:tcPr>
          <w:p w14:paraId="5BBBDB0A"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50CEFFB3"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62F44640" w14:textId="77777777" w:rsidTr="00E90F29">
        <w:trPr>
          <w:cantSplit/>
          <w:trHeight w:val="290"/>
        </w:trPr>
        <w:tc>
          <w:tcPr>
            <w:tcW w:w="1702" w:type="dxa"/>
            <w:hideMark/>
          </w:tcPr>
          <w:p w14:paraId="55FA6CD2"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lastRenderedPageBreak/>
              <w:t>Monarchidae</w:t>
            </w:r>
            <w:proofErr w:type="spellEnd"/>
          </w:p>
        </w:tc>
        <w:tc>
          <w:tcPr>
            <w:tcW w:w="1983" w:type="dxa"/>
            <w:hideMark/>
          </w:tcPr>
          <w:p w14:paraId="032D94E0" w14:textId="77777777" w:rsidR="00E90F29" w:rsidRPr="000D7FCD" w:rsidRDefault="00E90F29">
            <w:pPr>
              <w:autoSpaceDE w:val="0"/>
              <w:autoSpaceDN w:val="0"/>
              <w:adjustRightInd w:val="0"/>
              <w:spacing w:before="40" w:after="40"/>
              <w:rPr>
                <w:rFonts w:cs="Arial"/>
                <w:sz w:val="18"/>
                <w:szCs w:val="18"/>
                <w:lang w:val="fr-FR"/>
              </w:rPr>
            </w:pPr>
            <w:proofErr w:type="spellStart"/>
            <w:r w:rsidRPr="000D7FCD">
              <w:rPr>
                <w:rFonts w:cs="Arial"/>
                <w:sz w:val="18"/>
                <w:szCs w:val="18"/>
                <w:lang w:val="fr-FR"/>
              </w:rPr>
              <w:t>Tchitrec</w:t>
            </w:r>
            <w:proofErr w:type="spellEnd"/>
            <w:r w:rsidRPr="000D7FCD">
              <w:rPr>
                <w:rFonts w:cs="Arial"/>
                <w:sz w:val="18"/>
                <w:szCs w:val="18"/>
                <w:lang w:val="fr-FR"/>
              </w:rPr>
              <w:t xml:space="preserve"> du Japon</w:t>
            </w:r>
          </w:p>
        </w:tc>
        <w:tc>
          <w:tcPr>
            <w:tcW w:w="1695" w:type="dxa"/>
            <w:hideMark/>
          </w:tcPr>
          <w:p w14:paraId="06B50E06"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Terpsiphone</w:t>
            </w:r>
            <w:proofErr w:type="spellEnd"/>
            <w:r w:rsidRPr="000D7FCD">
              <w:rPr>
                <w:rFonts w:cs="Arial"/>
                <w:i/>
                <w:iCs/>
                <w:sz w:val="18"/>
                <w:szCs w:val="18"/>
                <w:lang w:val="en-US"/>
              </w:rPr>
              <w:t xml:space="preserve"> </w:t>
            </w:r>
            <w:proofErr w:type="spellStart"/>
            <w:r w:rsidRPr="000D7FCD">
              <w:rPr>
                <w:rFonts w:cs="Arial"/>
                <w:i/>
                <w:iCs/>
                <w:sz w:val="18"/>
                <w:szCs w:val="18"/>
                <w:lang w:val="en-US"/>
              </w:rPr>
              <w:t>atrocaudata</w:t>
            </w:r>
            <w:proofErr w:type="spellEnd"/>
          </w:p>
        </w:tc>
        <w:tc>
          <w:tcPr>
            <w:tcW w:w="1108" w:type="dxa"/>
            <w:hideMark/>
          </w:tcPr>
          <w:p w14:paraId="6AE7BBF2"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5722137C"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avec des sites de reproduction et de non-reproduction occupés de manière fiable à chaque saison ; les individus parcourent généralement plus de 1 000 km dans le sens nord-sud. Remplit les critères de mouvement de la CMS.</w:t>
            </w:r>
          </w:p>
        </w:tc>
      </w:tr>
      <w:tr w:rsidR="000D7FCD" w:rsidRPr="000D7FCD" w14:paraId="5D609FC4" w14:textId="77777777" w:rsidTr="00E90F29">
        <w:trPr>
          <w:cantSplit/>
          <w:trHeight w:val="290"/>
        </w:trPr>
        <w:tc>
          <w:tcPr>
            <w:tcW w:w="1702" w:type="dxa"/>
            <w:hideMark/>
          </w:tcPr>
          <w:p w14:paraId="5037EDC6"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Chaetopidae</w:t>
            </w:r>
            <w:proofErr w:type="spellEnd"/>
          </w:p>
        </w:tc>
        <w:tc>
          <w:tcPr>
            <w:tcW w:w="1983" w:type="dxa"/>
            <w:hideMark/>
          </w:tcPr>
          <w:p w14:paraId="0CA9ADAF" w14:textId="77777777" w:rsidR="00E90F29" w:rsidRPr="000D7FCD" w:rsidRDefault="00E90F29">
            <w:pPr>
              <w:autoSpaceDE w:val="0"/>
              <w:autoSpaceDN w:val="0"/>
              <w:adjustRightInd w:val="0"/>
              <w:spacing w:before="40" w:after="40"/>
              <w:rPr>
                <w:rFonts w:cs="Arial"/>
                <w:sz w:val="18"/>
                <w:szCs w:val="18"/>
                <w:lang w:val="fr-FR"/>
              </w:rPr>
            </w:pPr>
            <w:proofErr w:type="spellStart"/>
            <w:r w:rsidRPr="000D7FCD">
              <w:rPr>
                <w:rFonts w:cs="Arial"/>
                <w:sz w:val="18"/>
                <w:szCs w:val="18"/>
                <w:lang w:val="fr-FR"/>
              </w:rPr>
              <w:t>Chétopse</w:t>
            </w:r>
            <w:proofErr w:type="spellEnd"/>
            <w:r w:rsidRPr="000D7FCD">
              <w:rPr>
                <w:rFonts w:cs="Arial"/>
                <w:sz w:val="18"/>
                <w:szCs w:val="18"/>
                <w:lang w:val="fr-FR"/>
              </w:rPr>
              <w:t xml:space="preserve"> doré</w:t>
            </w:r>
          </w:p>
        </w:tc>
        <w:tc>
          <w:tcPr>
            <w:tcW w:w="1695" w:type="dxa"/>
            <w:hideMark/>
          </w:tcPr>
          <w:p w14:paraId="6478C380"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Chaetops</w:t>
            </w:r>
            <w:proofErr w:type="spellEnd"/>
            <w:r w:rsidRPr="000D7FCD">
              <w:rPr>
                <w:rFonts w:cs="Arial"/>
                <w:i/>
                <w:iCs/>
                <w:sz w:val="18"/>
                <w:szCs w:val="18"/>
                <w:lang w:val="en-US"/>
              </w:rPr>
              <w:t xml:space="preserve"> </w:t>
            </w:r>
            <w:proofErr w:type="spellStart"/>
            <w:r w:rsidRPr="000D7FCD">
              <w:rPr>
                <w:rFonts w:cs="Arial"/>
                <w:i/>
                <w:iCs/>
                <w:sz w:val="18"/>
                <w:szCs w:val="18"/>
                <w:lang w:val="en-US"/>
              </w:rPr>
              <w:t>aurantius</w:t>
            </w:r>
            <w:proofErr w:type="spellEnd"/>
          </w:p>
        </w:tc>
        <w:tc>
          <w:tcPr>
            <w:tcW w:w="1108" w:type="dxa"/>
            <w:hideMark/>
          </w:tcPr>
          <w:p w14:paraId="07F0F6CC"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423895CC"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essor de l'aire de répartition après la reproduction avec des sites de reproduction et de non-reproduction occupés de manière fiable à chaque saison ; les individus parcourent généralement moins de 100 km, mais dans aucune direction cohérente ; au moins certains mouvements sont principalement altitudinaux. Remplit les critères de mouvement de la CMS.</w:t>
            </w:r>
          </w:p>
        </w:tc>
      </w:tr>
      <w:tr w:rsidR="000D7FCD" w:rsidRPr="000D7FCD" w14:paraId="7F06349C" w14:textId="77777777" w:rsidTr="00E90F29">
        <w:trPr>
          <w:cantSplit/>
          <w:trHeight w:val="290"/>
        </w:trPr>
        <w:tc>
          <w:tcPr>
            <w:tcW w:w="1702" w:type="dxa"/>
            <w:hideMark/>
          </w:tcPr>
          <w:p w14:paraId="5EDDF838"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Acrocephalidae</w:t>
            </w:r>
            <w:proofErr w:type="spellEnd"/>
          </w:p>
        </w:tc>
        <w:tc>
          <w:tcPr>
            <w:tcW w:w="1983" w:type="dxa"/>
            <w:hideMark/>
          </w:tcPr>
          <w:p w14:paraId="04886A44"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Rousserolle mandchoue</w:t>
            </w:r>
          </w:p>
        </w:tc>
        <w:tc>
          <w:tcPr>
            <w:tcW w:w="1695" w:type="dxa"/>
            <w:hideMark/>
          </w:tcPr>
          <w:p w14:paraId="00617817"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Acrocephalus </w:t>
            </w:r>
            <w:proofErr w:type="spellStart"/>
            <w:r w:rsidRPr="000D7FCD">
              <w:rPr>
                <w:rFonts w:cs="Arial"/>
                <w:b/>
                <w:bCs/>
                <w:i/>
                <w:iCs/>
                <w:sz w:val="18"/>
                <w:szCs w:val="18"/>
                <w:lang w:val="en-US"/>
              </w:rPr>
              <w:t>tangorum</w:t>
            </w:r>
            <w:proofErr w:type="spellEnd"/>
          </w:p>
        </w:tc>
        <w:tc>
          <w:tcPr>
            <w:tcW w:w="1108" w:type="dxa"/>
            <w:hideMark/>
          </w:tcPr>
          <w:p w14:paraId="3648C57A"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20CC98DD"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40F3B2AD" w14:textId="77777777" w:rsidTr="00E90F29">
        <w:trPr>
          <w:cantSplit/>
          <w:trHeight w:val="290"/>
        </w:trPr>
        <w:tc>
          <w:tcPr>
            <w:tcW w:w="1702" w:type="dxa"/>
            <w:hideMark/>
          </w:tcPr>
          <w:p w14:paraId="2C1D373D"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Locustellidae</w:t>
            </w:r>
            <w:proofErr w:type="spellEnd"/>
          </w:p>
        </w:tc>
        <w:tc>
          <w:tcPr>
            <w:tcW w:w="1983" w:type="dxa"/>
            <w:hideMark/>
          </w:tcPr>
          <w:p w14:paraId="77DCEEA8" w14:textId="77777777" w:rsidR="00E90F29" w:rsidRPr="000D7FCD" w:rsidRDefault="00E90F29">
            <w:pPr>
              <w:autoSpaceDE w:val="0"/>
              <w:autoSpaceDN w:val="0"/>
              <w:adjustRightInd w:val="0"/>
              <w:spacing w:before="40" w:after="40"/>
              <w:rPr>
                <w:rFonts w:cs="Arial"/>
                <w:sz w:val="18"/>
                <w:szCs w:val="18"/>
                <w:lang w:val="fr-FR"/>
              </w:rPr>
            </w:pPr>
            <w:proofErr w:type="spellStart"/>
            <w:r w:rsidRPr="000D7FCD">
              <w:rPr>
                <w:rFonts w:cs="Arial"/>
                <w:sz w:val="18"/>
                <w:szCs w:val="18"/>
                <w:lang w:val="fr-FR"/>
              </w:rPr>
              <w:t>Mégalure</w:t>
            </w:r>
            <w:proofErr w:type="spellEnd"/>
            <w:r w:rsidRPr="000D7FCD">
              <w:rPr>
                <w:rFonts w:cs="Arial"/>
                <w:sz w:val="18"/>
                <w:szCs w:val="18"/>
                <w:lang w:val="fr-FR"/>
              </w:rPr>
              <w:t xml:space="preserve"> du Japon</w:t>
            </w:r>
          </w:p>
        </w:tc>
        <w:tc>
          <w:tcPr>
            <w:tcW w:w="1695" w:type="dxa"/>
            <w:hideMark/>
          </w:tcPr>
          <w:p w14:paraId="71BC9884"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Helopsaltes</w:t>
            </w:r>
            <w:proofErr w:type="spellEnd"/>
            <w:r w:rsidRPr="000D7FCD">
              <w:rPr>
                <w:rFonts w:cs="Arial"/>
                <w:i/>
                <w:iCs/>
                <w:sz w:val="18"/>
                <w:szCs w:val="18"/>
                <w:lang w:val="en-US"/>
              </w:rPr>
              <w:t xml:space="preserve"> </w:t>
            </w:r>
            <w:proofErr w:type="spellStart"/>
            <w:r w:rsidRPr="000D7FCD">
              <w:rPr>
                <w:rFonts w:cs="Arial"/>
                <w:i/>
                <w:iCs/>
                <w:sz w:val="18"/>
                <w:szCs w:val="18"/>
                <w:lang w:val="en-US"/>
              </w:rPr>
              <w:t>pryeri</w:t>
            </w:r>
            <w:proofErr w:type="spellEnd"/>
          </w:p>
        </w:tc>
        <w:tc>
          <w:tcPr>
            <w:tcW w:w="1108" w:type="dxa"/>
            <w:hideMark/>
          </w:tcPr>
          <w:p w14:paraId="6B33F8F6"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43E2DCB2"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634A7570" w14:textId="77777777" w:rsidTr="00E90F29">
        <w:trPr>
          <w:cantSplit/>
          <w:trHeight w:val="290"/>
        </w:trPr>
        <w:tc>
          <w:tcPr>
            <w:tcW w:w="1702" w:type="dxa"/>
            <w:hideMark/>
          </w:tcPr>
          <w:p w14:paraId="601A7E2C"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Locustellidae</w:t>
            </w:r>
            <w:proofErr w:type="spellEnd"/>
          </w:p>
        </w:tc>
        <w:tc>
          <w:tcPr>
            <w:tcW w:w="1983" w:type="dxa"/>
            <w:hideMark/>
          </w:tcPr>
          <w:p w14:paraId="73674A54"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 xml:space="preserve">Locustelle de </w:t>
            </w:r>
            <w:proofErr w:type="spellStart"/>
            <w:r w:rsidRPr="000D7FCD">
              <w:rPr>
                <w:rFonts w:cs="Arial"/>
                <w:b/>
                <w:bCs/>
                <w:sz w:val="18"/>
                <w:szCs w:val="18"/>
                <w:lang w:val="fr-FR"/>
              </w:rPr>
              <w:t>Pleske</w:t>
            </w:r>
            <w:proofErr w:type="spellEnd"/>
          </w:p>
        </w:tc>
        <w:tc>
          <w:tcPr>
            <w:tcW w:w="1695" w:type="dxa"/>
            <w:hideMark/>
          </w:tcPr>
          <w:p w14:paraId="5C9B6B61"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Helopsaltes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pleskei</w:t>
            </w:r>
            <w:proofErr w:type="spellEnd"/>
          </w:p>
        </w:tc>
        <w:tc>
          <w:tcPr>
            <w:tcW w:w="1108" w:type="dxa"/>
            <w:hideMark/>
          </w:tcPr>
          <w:p w14:paraId="5173539C"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505B6CAD"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09749C5A" w14:textId="77777777" w:rsidTr="00E90F29">
        <w:trPr>
          <w:cantSplit/>
          <w:trHeight w:val="290"/>
        </w:trPr>
        <w:tc>
          <w:tcPr>
            <w:tcW w:w="1702" w:type="dxa"/>
            <w:hideMark/>
          </w:tcPr>
          <w:p w14:paraId="3A88295F"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Locustellidae</w:t>
            </w:r>
            <w:proofErr w:type="spellEnd"/>
          </w:p>
        </w:tc>
        <w:tc>
          <w:tcPr>
            <w:tcW w:w="1983" w:type="dxa"/>
            <w:hideMark/>
          </w:tcPr>
          <w:p w14:paraId="14A7F9A1" w14:textId="77777777" w:rsidR="00E90F29" w:rsidRPr="000D7FCD" w:rsidRDefault="00E90F29">
            <w:pPr>
              <w:autoSpaceDE w:val="0"/>
              <w:autoSpaceDN w:val="0"/>
              <w:adjustRightInd w:val="0"/>
              <w:spacing w:before="40" w:after="40"/>
              <w:rPr>
                <w:rFonts w:cs="Arial"/>
                <w:b/>
                <w:bCs/>
                <w:sz w:val="18"/>
                <w:szCs w:val="18"/>
                <w:lang w:val="fr-FR"/>
              </w:rPr>
            </w:pPr>
            <w:proofErr w:type="spellStart"/>
            <w:r w:rsidRPr="000D7FCD">
              <w:rPr>
                <w:rFonts w:cs="Arial"/>
                <w:sz w:val="18"/>
                <w:szCs w:val="18"/>
                <w:lang w:val="fr-FR"/>
              </w:rPr>
              <w:t>Bouscarle</w:t>
            </w:r>
            <w:proofErr w:type="spellEnd"/>
            <w:r w:rsidRPr="000D7FCD">
              <w:rPr>
                <w:rFonts w:cs="Arial"/>
                <w:sz w:val="18"/>
                <w:szCs w:val="18"/>
                <w:lang w:val="fr-FR"/>
              </w:rPr>
              <w:t xml:space="preserve"> à long bec</w:t>
            </w:r>
          </w:p>
        </w:tc>
        <w:tc>
          <w:tcPr>
            <w:tcW w:w="1695" w:type="dxa"/>
            <w:hideMark/>
          </w:tcPr>
          <w:p w14:paraId="0B206058"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Locustella</w:t>
            </w:r>
            <w:proofErr w:type="spellEnd"/>
            <w:r w:rsidRPr="000D7FCD">
              <w:rPr>
                <w:rFonts w:cs="Arial"/>
                <w:i/>
                <w:iCs/>
                <w:sz w:val="18"/>
                <w:szCs w:val="18"/>
                <w:lang w:val="en-US"/>
              </w:rPr>
              <w:t xml:space="preserve"> major</w:t>
            </w:r>
          </w:p>
        </w:tc>
        <w:tc>
          <w:tcPr>
            <w:tcW w:w="1108" w:type="dxa"/>
            <w:hideMark/>
          </w:tcPr>
          <w:p w14:paraId="741CD50D"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11263FB3"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moins de 100 km, mais dans aucune direction constante ; au moins certains mouvements sont principalement altitudinaux. Remplit les critères de mouvement de la CMS.</w:t>
            </w:r>
          </w:p>
        </w:tc>
      </w:tr>
      <w:tr w:rsidR="000D7FCD" w:rsidRPr="000D7FCD" w14:paraId="682724B4" w14:textId="77777777" w:rsidTr="00E90F29">
        <w:trPr>
          <w:cantSplit/>
          <w:trHeight w:val="290"/>
        </w:trPr>
        <w:tc>
          <w:tcPr>
            <w:tcW w:w="1702" w:type="dxa"/>
            <w:hideMark/>
          </w:tcPr>
          <w:p w14:paraId="599EDA5F"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Locustellidae</w:t>
            </w:r>
            <w:proofErr w:type="spellEnd"/>
          </w:p>
        </w:tc>
        <w:tc>
          <w:tcPr>
            <w:tcW w:w="1983" w:type="dxa"/>
            <w:hideMark/>
          </w:tcPr>
          <w:p w14:paraId="3E2C58C3" w14:textId="77777777" w:rsidR="00E90F29" w:rsidRPr="000D7FCD" w:rsidRDefault="00E90F29">
            <w:pPr>
              <w:autoSpaceDE w:val="0"/>
              <w:autoSpaceDN w:val="0"/>
              <w:adjustRightInd w:val="0"/>
              <w:spacing w:before="40" w:after="40"/>
              <w:rPr>
                <w:rFonts w:cs="Arial"/>
                <w:b/>
                <w:bCs/>
                <w:sz w:val="18"/>
                <w:szCs w:val="18"/>
                <w:lang w:val="fr-FR"/>
              </w:rPr>
            </w:pPr>
            <w:proofErr w:type="spellStart"/>
            <w:r w:rsidRPr="000D7FCD">
              <w:rPr>
                <w:rFonts w:cs="Arial"/>
                <w:b/>
                <w:bCs/>
                <w:sz w:val="18"/>
                <w:szCs w:val="18"/>
                <w:lang w:val="fr-FR"/>
              </w:rPr>
              <w:t>Graminicole</w:t>
            </w:r>
            <w:proofErr w:type="spellEnd"/>
            <w:r w:rsidRPr="000D7FCD">
              <w:rPr>
                <w:rFonts w:cs="Arial"/>
                <w:b/>
                <w:bCs/>
                <w:sz w:val="18"/>
                <w:szCs w:val="18"/>
                <w:lang w:val="fr-FR"/>
              </w:rPr>
              <w:t xml:space="preserve"> rayée</w:t>
            </w:r>
          </w:p>
        </w:tc>
        <w:tc>
          <w:tcPr>
            <w:tcW w:w="1695" w:type="dxa"/>
            <w:hideMark/>
          </w:tcPr>
          <w:p w14:paraId="4655FA0B"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Schoenicola</w:t>
            </w:r>
            <w:proofErr w:type="spellEnd"/>
            <w:r w:rsidRPr="000D7FCD">
              <w:rPr>
                <w:rFonts w:cs="Arial"/>
                <w:b/>
                <w:bCs/>
                <w:i/>
                <w:iCs/>
                <w:sz w:val="18"/>
                <w:szCs w:val="18"/>
                <w:lang w:val="en-US"/>
              </w:rPr>
              <w:t xml:space="preserve"> striatus</w:t>
            </w:r>
          </w:p>
        </w:tc>
        <w:tc>
          <w:tcPr>
            <w:tcW w:w="1108" w:type="dxa"/>
            <w:hideMark/>
          </w:tcPr>
          <w:p w14:paraId="6B666397"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520791C3"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et grand nomadisme pendant les saisons de reproduction et de non-reproduction ; les individus parcourent généralement entre 100 et 1 000 km dans le sens nord-sud. Remplit les critères de mouvement de la CMS.</w:t>
            </w:r>
          </w:p>
        </w:tc>
      </w:tr>
      <w:tr w:rsidR="000D7FCD" w:rsidRPr="000D7FCD" w14:paraId="008B9A12" w14:textId="77777777" w:rsidTr="00E90F29">
        <w:trPr>
          <w:cantSplit/>
          <w:trHeight w:val="290"/>
        </w:trPr>
        <w:tc>
          <w:tcPr>
            <w:tcW w:w="1702" w:type="dxa"/>
            <w:hideMark/>
          </w:tcPr>
          <w:p w14:paraId="40B804C0"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Phylloscopidae</w:t>
            </w:r>
            <w:proofErr w:type="spellEnd"/>
          </w:p>
        </w:tc>
        <w:tc>
          <w:tcPr>
            <w:tcW w:w="1983" w:type="dxa"/>
            <w:hideMark/>
          </w:tcPr>
          <w:p w14:paraId="6E9B2126"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Pouillot d'</w:t>
            </w:r>
            <w:proofErr w:type="spellStart"/>
            <w:r w:rsidRPr="000D7FCD">
              <w:rPr>
                <w:rFonts w:cs="Arial"/>
                <w:b/>
                <w:bCs/>
                <w:sz w:val="18"/>
                <w:szCs w:val="18"/>
                <w:lang w:val="fr-FR"/>
              </w:rPr>
              <w:t>Ijima</w:t>
            </w:r>
            <w:proofErr w:type="spellEnd"/>
          </w:p>
        </w:tc>
        <w:tc>
          <w:tcPr>
            <w:tcW w:w="1695" w:type="dxa"/>
            <w:hideMark/>
          </w:tcPr>
          <w:p w14:paraId="5053A21E"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Phylloscopus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ijimae</w:t>
            </w:r>
            <w:proofErr w:type="spellEnd"/>
          </w:p>
        </w:tc>
        <w:tc>
          <w:tcPr>
            <w:tcW w:w="1108" w:type="dxa"/>
            <w:hideMark/>
          </w:tcPr>
          <w:p w14:paraId="337F47B8"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34EF2A1F"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64C2A1AE" w14:textId="77777777" w:rsidTr="00E90F29">
        <w:trPr>
          <w:cantSplit/>
          <w:trHeight w:val="290"/>
        </w:trPr>
        <w:tc>
          <w:tcPr>
            <w:tcW w:w="1702" w:type="dxa"/>
            <w:hideMark/>
          </w:tcPr>
          <w:p w14:paraId="06A25552"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Sylviidae</w:t>
            </w:r>
            <w:proofErr w:type="spellEnd"/>
          </w:p>
        </w:tc>
        <w:tc>
          <w:tcPr>
            <w:tcW w:w="1983" w:type="dxa"/>
            <w:hideMark/>
          </w:tcPr>
          <w:p w14:paraId="1CAFE7C9" w14:textId="77777777" w:rsidR="00E90F29" w:rsidRPr="000D7FCD" w:rsidRDefault="00E90F29">
            <w:pPr>
              <w:autoSpaceDE w:val="0"/>
              <w:autoSpaceDN w:val="0"/>
              <w:adjustRightInd w:val="0"/>
              <w:spacing w:before="40" w:after="40"/>
              <w:rPr>
                <w:rFonts w:cs="Arial"/>
                <w:b/>
                <w:bCs/>
                <w:sz w:val="18"/>
                <w:szCs w:val="18"/>
                <w:lang w:val="fr-FR"/>
              </w:rPr>
            </w:pPr>
            <w:proofErr w:type="spellStart"/>
            <w:r w:rsidRPr="000D7FCD">
              <w:rPr>
                <w:rFonts w:cs="Arial"/>
                <w:b/>
                <w:bCs/>
                <w:sz w:val="18"/>
                <w:szCs w:val="18"/>
                <w:lang w:val="fr-FR"/>
              </w:rPr>
              <w:t>Lioptile</w:t>
            </w:r>
            <w:proofErr w:type="spellEnd"/>
            <w:r w:rsidRPr="000D7FCD">
              <w:rPr>
                <w:rFonts w:cs="Arial"/>
                <w:b/>
                <w:bCs/>
                <w:sz w:val="18"/>
                <w:szCs w:val="18"/>
                <w:lang w:val="fr-FR"/>
              </w:rPr>
              <w:t xml:space="preserve"> à calotte noire</w:t>
            </w:r>
          </w:p>
        </w:tc>
        <w:tc>
          <w:tcPr>
            <w:tcW w:w="1695" w:type="dxa"/>
            <w:hideMark/>
          </w:tcPr>
          <w:p w14:paraId="235BC373"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Sylvia </w:t>
            </w:r>
            <w:proofErr w:type="spellStart"/>
            <w:r w:rsidRPr="000D7FCD">
              <w:rPr>
                <w:rFonts w:cs="Arial"/>
                <w:b/>
                <w:bCs/>
                <w:i/>
                <w:iCs/>
                <w:sz w:val="18"/>
                <w:szCs w:val="18"/>
                <w:lang w:val="en-US"/>
              </w:rPr>
              <w:t>nigricapillus</w:t>
            </w:r>
            <w:proofErr w:type="spellEnd"/>
          </w:p>
        </w:tc>
        <w:tc>
          <w:tcPr>
            <w:tcW w:w="1108" w:type="dxa"/>
            <w:hideMark/>
          </w:tcPr>
          <w:p w14:paraId="1265DA86"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687D0A4D" w14:textId="05B29F76"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réduction de l'aire de répartition après la reproduction avec des sites de reproduction et de non-reproduction occupés de manière fiable à chaque saison ; les individus parcourent généralement entre 100 et 1 000 km, mais dans aucune direction cohérente ; au moins certains mouvements sont principalement altitudinaux. Remplit les critères de mouvement de la CMS.</w:t>
            </w:r>
          </w:p>
        </w:tc>
      </w:tr>
      <w:tr w:rsidR="000D7FCD" w:rsidRPr="000D7FCD" w14:paraId="37630433" w14:textId="77777777" w:rsidTr="00E90F29">
        <w:trPr>
          <w:cantSplit/>
          <w:trHeight w:val="290"/>
        </w:trPr>
        <w:tc>
          <w:tcPr>
            <w:tcW w:w="1702" w:type="dxa"/>
            <w:hideMark/>
          </w:tcPr>
          <w:p w14:paraId="19C17225"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lastRenderedPageBreak/>
              <w:t>Sylviidae</w:t>
            </w:r>
            <w:proofErr w:type="spellEnd"/>
          </w:p>
        </w:tc>
        <w:tc>
          <w:tcPr>
            <w:tcW w:w="1983" w:type="dxa"/>
            <w:hideMark/>
          </w:tcPr>
          <w:p w14:paraId="2D44B86E"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 xml:space="preserve">Fauvette </w:t>
            </w:r>
            <w:proofErr w:type="spellStart"/>
            <w:r w:rsidRPr="000D7FCD">
              <w:rPr>
                <w:rFonts w:cs="Arial"/>
                <w:sz w:val="18"/>
                <w:szCs w:val="18"/>
                <w:lang w:val="fr-FR"/>
              </w:rPr>
              <w:t>pitchou</w:t>
            </w:r>
            <w:proofErr w:type="spellEnd"/>
          </w:p>
        </w:tc>
        <w:tc>
          <w:tcPr>
            <w:tcW w:w="1695" w:type="dxa"/>
            <w:hideMark/>
          </w:tcPr>
          <w:p w14:paraId="40641646"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Curruca</w:t>
            </w:r>
            <w:proofErr w:type="spellEnd"/>
            <w:r w:rsidRPr="000D7FCD">
              <w:rPr>
                <w:rFonts w:cs="Arial"/>
                <w:i/>
                <w:iCs/>
                <w:sz w:val="18"/>
                <w:szCs w:val="18"/>
                <w:lang w:val="en-US"/>
              </w:rPr>
              <w:t xml:space="preserve"> </w:t>
            </w:r>
            <w:proofErr w:type="spellStart"/>
            <w:r w:rsidRPr="000D7FCD">
              <w:rPr>
                <w:rFonts w:cs="Arial"/>
                <w:i/>
                <w:iCs/>
                <w:sz w:val="18"/>
                <w:szCs w:val="18"/>
                <w:lang w:val="en-US"/>
              </w:rPr>
              <w:t>undata</w:t>
            </w:r>
            <w:proofErr w:type="spellEnd"/>
          </w:p>
        </w:tc>
        <w:tc>
          <w:tcPr>
            <w:tcW w:w="1108" w:type="dxa"/>
            <w:hideMark/>
          </w:tcPr>
          <w:p w14:paraId="5AB74BC0"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44E1FA2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occupés de manière fiable à chaque saison, mais modérément nomade en dehors de la période de reproduction ; les individus parcourent généralement entre 100 et 1 000 km, mais dans aucune direction cohérente ; au moins certains mouvements sont principalement altitudinaux. Remplit les critères de mouvement de la CMS.</w:t>
            </w:r>
          </w:p>
        </w:tc>
      </w:tr>
      <w:tr w:rsidR="000D7FCD" w:rsidRPr="000D7FCD" w14:paraId="1FE572BB" w14:textId="77777777" w:rsidTr="00E90F29">
        <w:trPr>
          <w:cantSplit/>
          <w:trHeight w:val="290"/>
        </w:trPr>
        <w:tc>
          <w:tcPr>
            <w:tcW w:w="1702" w:type="dxa"/>
            <w:hideMark/>
          </w:tcPr>
          <w:p w14:paraId="6CA4D72A"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Pellorneidae</w:t>
            </w:r>
            <w:proofErr w:type="spellEnd"/>
          </w:p>
        </w:tc>
        <w:tc>
          <w:tcPr>
            <w:tcW w:w="1983" w:type="dxa"/>
            <w:hideMark/>
          </w:tcPr>
          <w:p w14:paraId="0ADF60C5" w14:textId="77777777" w:rsidR="00E90F29" w:rsidRPr="000D7FCD" w:rsidRDefault="00E90F29">
            <w:pPr>
              <w:autoSpaceDE w:val="0"/>
              <w:autoSpaceDN w:val="0"/>
              <w:adjustRightInd w:val="0"/>
              <w:spacing w:before="40" w:after="40"/>
              <w:rPr>
                <w:rFonts w:cs="Arial"/>
                <w:b/>
                <w:bCs/>
                <w:sz w:val="18"/>
                <w:szCs w:val="18"/>
                <w:lang w:val="fr-FR"/>
              </w:rPr>
            </w:pPr>
            <w:proofErr w:type="spellStart"/>
            <w:r w:rsidRPr="000D7FCD">
              <w:rPr>
                <w:rFonts w:cs="Arial"/>
                <w:sz w:val="18"/>
                <w:szCs w:val="18"/>
                <w:lang w:val="fr-FR"/>
              </w:rPr>
              <w:t>Prinia</w:t>
            </w:r>
            <w:proofErr w:type="spellEnd"/>
            <w:r w:rsidRPr="000D7FCD">
              <w:rPr>
                <w:rFonts w:cs="Arial"/>
                <w:sz w:val="18"/>
                <w:szCs w:val="18"/>
                <w:lang w:val="fr-FR"/>
              </w:rPr>
              <w:t xml:space="preserve"> de Burnes</w:t>
            </w:r>
          </w:p>
        </w:tc>
        <w:tc>
          <w:tcPr>
            <w:tcW w:w="1695" w:type="dxa"/>
            <w:hideMark/>
          </w:tcPr>
          <w:p w14:paraId="36901872"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Laticilla</w:t>
            </w:r>
            <w:proofErr w:type="spellEnd"/>
            <w:r w:rsidRPr="000D7FCD">
              <w:rPr>
                <w:rFonts w:cs="Arial"/>
                <w:i/>
                <w:iCs/>
                <w:sz w:val="18"/>
                <w:szCs w:val="18"/>
                <w:lang w:val="en-US"/>
              </w:rPr>
              <w:t xml:space="preserve"> </w:t>
            </w:r>
            <w:proofErr w:type="spellStart"/>
            <w:r w:rsidRPr="000D7FCD">
              <w:rPr>
                <w:rFonts w:cs="Arial"/>
                <w:i/>
                <w:iCs/>
                <w:sz w:val="18"/>
                <w:szCs w:val="18"/>
                <w:lang w:val="en-US"/>
              </w:rPr>
              <w:t>burnesii</w:t>
            </w:r>
            <w:proofErr w:type="spellEnd"/>
          </w:p>
        </w:tc>
        <w:tc>
          <w:tcPr>
            <w:tcW w:w="1108" w:type="dxa"/>
            <w:hideMark/>
          </w:tcPr>
          <w:p w14:paraId="51068DB4"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03770664"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essor de l'aire de répartition après la reproduction avec des sites de reproduction et de non-reproduction occupés de manière fiable à chaque saison ; les individus parcourent généralement moins de 100 km, mais dans aucune direction cohérente. Remplit les critères de mouvement de la CMS.</w:t>
            </w:r>
          </w:p>
        </w:tc>
      </w:tr>
      <w:tr w:rsidR="000D7FCD" w:rsidRPr="000D7FCD" w14:paraId="35C404D6" w14:textId="77777777" w:rsidTr="00E90F29">
        <w:trPr>
          <w:cantSplit/>
          <w:trHeight w:val="290"/>
        </w:trPr>
        <w:tc>
          <w:tcPr>
            <w:tcW w:w="1702" w:type="dxa"/>
            <w:hideMark/>
          </w:tcPr>
          <w:p w14:paraId="406F20F0"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Turdidae</w:t>
            </w:r>
          </w:p>
        </w:tc>
        <w:tc>
          <w:tcPr>
            <w:tcW w:w="1983" w:type="dxa"/>
            <w:hideMark/>
          </w:tcPr>
          <w:p w14:paraId="024F6917"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 xml:space="preserve">Grive de </w:t>
            </w:r>
            <w:proofErr w:type="spellStart"/>
            <w:r w:rsidRPr="000D7FCD">
              <w:rPr>
                <w:rFonts w:cs="Arial"/>
                <w:b/>
                <w:bCs/>
                <w:sz w:val="18"/>
                <w:szCs w:val="18"/>
                <w:lang w:val="fr-FR"/>
              </w:rPr>
              <w:t>Bicknell</w:t>
            </w:r>
            <w:proofErr w:type="spellEnd"/>
          </w:p>
        </w:tc>
        <w:tc>
          <w:tcPr>
            <w:tcW w:w="1695" w:type="dxa"/>
            <w:hideMark/>
          </w:tcPr>
          <w:p w14:paraId="3B7F38ED"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Catharus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bicknelli</w:t>
            </w:r>
            <w:proofErr w:type="spellEnd"/>
          </w:p>
        </w:tc>
        <w:tc>
          <w:tcPr>
            <w:tcW w:w="1108" w:type="dxa"/>
            <w:hideMark/>
          </w:tcPr>
          <w:p w14:paraId="1AB79DF7"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1133CA40"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4A96AE42" w14:textId="77777777" w:rsidTr="00E90F29">
        <w:trPr>
          <w:cantSplit/>
          <w:trHeight w:val="290"/>
        </w:trPr>
        <w:tc>
          <w:tcPr>
            <w:tcW w:w="1702" w:type="dxa"/>
            <w:hideMark/>
          </w:tcPr>
          <w:p w14:paraId="3BFA5FCE"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Turdidae</w:t>
            </w:r>
          </w:p>
        </w:tc>
        <w:tc>
          <w:tcPr>
            <w:tcW w:w="1983" w:type="dxa"/>
            <w:hideMark/>
          </w:tcPr>
          <w:p w14:paraId="0F3A486B"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Grive mauvis</w:t>
            </w:r>
          </w:p>
        </w:tc>
        <w:tc>
          <w:tcPr>
            <w:tcW w:w="1695" w:type="dxa"/>
            <w:hideMark/>
          </w:tcPr>
          <w:p w14:paraId="49F8D789"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Turdus iliacus</w:t>
            </w:r>
          </w:p>
        </w:tc>
        <w:tc>
          <w:tcPr>
            <w:tcW w:w="1108" w:type="dxa"/>
            <w:hideMark/>
          </w:tcPr>
          <w:p w14:paraId="6A71721E"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1D33D074"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important de l'aire de répartition après la reproduction, les sites de reproduction étant occupés de manière fiable à chaque saison, mais grand nomadisme en dehors de la période de reproduction ; les individus parcourent généralement plus de 1 000 km dans le sens nord-sud. Remplit les critères de mouvement de la CMS.</w:t>
            </w:r>
          </w:p>
        </w:tc>
      </w:tr>
      <w:tr w:rsidR="000D7FCD" w:rsidRPr="000D7FCD" w14:paraId="524F1E2A" w14:textId="77777777" w:rsidTr="00E90F29">
        <w:trPr>
          <w:cantSplit/>
          <w:trHeight w:val="290"/>
        </w:trPr>
        <w:tc>
          <w:tcPr>
            <w:tcW w:w="1702" w:type="dxa"/>
            <w:hideMark/>
          </w:tcPr>
          <w:p w14:paraId="11A80667"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Turdidae</w:t>
            </w:r>
          </w:p>
        </w:tc>
        <w:tc>
          <w:tcPr>
            <w:tcW w:w="1983" w:type="dxa"/>
            <w:hideMark/>
          </w:tcPr>
          <w:p w14:paraId="760A4A86"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 xml:space="preserve">Merle de </w:t>
            </w:r>
            <w:proofErr w:type="spellStart"/>
            <w:r w:rsidRPr="000D7FCD">
              <w:rPr>
                <w:rFonts w:cs="Arial"/>
                <w:b/>
                <w:bCs/>
                <w:sz w:val="18"/>
                <w:szCs w:val="18"/>
                <w:lang w:val="fr-FR"/>
              </w:rPr>
              <w:t>Fea</w:t>
            </w:r>
            <w:proofErr w:type="spellEnd"/>
          </w:p>
        </w:tc>
        <w:tc>
          <w:tcPr>
            <w:tcW w:w="1695" w:type="dxa"/>
            <w:hideMark/>
          </w:tcPr>
          <w:p w14:paraId="03D9DDDC"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Turdus </w:t>
            </w:r>
            <w:proofErr w:type="spellStart"/>
            <w:r w:rsidRPr="000D7FCD">
              <w:rPr>
                <w:rFonts w:cs="Arial"/>
                <w:b/>
                <w:bCs/>
                <w:i/>
                <w:iCs/>
                <w:sz w:val="18"/>
                <w:szCs w:val="18"/>
                <w:lang w:val="en-US"/>
              </w:rPr>
              <w:t>feae</w:t>
            </w:r>
            <w:proofErr w:type="spellEnd"/>
          </w:p>
        </w:tc>
        <w:tc>
          <w:tcPr>
            <w:tcW w:w="1108" w:type="dxa"/>
            <w:hideMark/>
          </w:tcPr>
          <w:p w14:paraId="5820F90B"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03FEF6B6"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4F26C8EC" w14:textId="77777777" w:rsidTr="00E90F29">
        <w:trPr>
          <w:cantSplit/>
          <w:trHeight w:val="290"/>
        </w:trPr>
        <w:tc>
          <w:tcPr>
            <w:tcW w:w="1702" w:type="dxa"/>
            <w:hideMark/>
          </w:tcPr>
          <w:p w14:paraId="404508D9"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337153A2"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 xml:space="preserve">Gobemouche de </w:t>
            </w:r>
            <w:proofErr w:type="spellStart"/>
            <w:r w:rsidRPr="000D7FCD">
              <w:rPr>
                <w:rFonts w:cs="Arial"/>
                <w:sz w:val="18"/>
                <w:szCs w:val="18"/>
                <w:lang w:val="fr-FR"/>
              </w:rPr>
              <w:t>Zappey</w:t>
            </w:r>
            <w:proofErr w:type="spellEnd"/>
          </w:p>
        </w:tc>
        <w:tc>
          <w:tcPr>
            <w:tcW w:w="1695" w:type="dxa"/>
            <w:hideMark/>
          </w:tcPr>
          <w:p w14:paraId="1DA24FC9"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Cyanoptila</w:t>
            </w:r>
            <w:proofErr w:type="spellEnd"/>
            <w:r w:rsidRPr="000D7FCD">
              <w:rPr>
                <w:rFonts w:cs="Arial"/>
                <w:i/>
                <w:iCs/>
                <w:sz w:val="18"/>
                <w:szCs w:val="18"/>
                <w:lang w:val="en-US"/>
              </w:rPr>
              <w:t xml:space="preserve"> </w:t>
            </w:r>
            <w:proofErr w:type="spellStart"/>
            <w:r w:rsidRPr="000D7FCD">
              <w:rPr>
                <w:rFonts w:cs="Arial"/>
                <w:i/>
                <w:iCs/>
                <w:sz w:val="18"/>
                <w:szCs w:val="18"/>
                <w:lang w:val="en-US"/>
              </w:rPr>
              <w:t>cumatilis</w:t>
            </w:r>
            <w:proofErr w:type="spellEnd"/>
          </w:p>
        </w:tc>
        <w:tc>
          <w:tcPr>
            <w:tcW w:w="1108" w:type="dxa"/>
            <w:hideMark/>
          </w:tcPr>
          <w:p w14:paraId="76DB9501"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0F03009"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53AE76FF" w14:textId="77777777" w:rsidTr="00E90F29">
        <w:trPr>
          <w:cantSplit/>
          <w:trHeight w:val="290"/>
        </w:trPr>
        <w:tc>
          <w:tcPr>
            <w:tcW w:w="1702" w:type="dxa"/>
            <w:hideMark/>
          </w:tcPr>
          <w:p w14:paraId="1DF6F3A8"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25EE396B"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Gobemouche à poitrine brune</w:t>
            </w:r>
          </w:p>
        </w:tc>
        <w:tc>
          <w:tcPr>
            <w:tcW w:w="1695" w:type="dxa"/>
            <w:hideMark/>
          </w:tcPr>
          <w:p w14:paraId="3F1D78FD"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Cyornis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brunneatus</w:t>
            </w:r>
            <w:proofErr w:type="spellEnd"/>
          </w:p>
        </w:tc>
        <w:tc>
          <w:tcPr>
            <w:tcW w:w="1108" w:type="dxa"/>
            <w:hideMark/>
          </w:tcPr>
          <w:p w14:paraId="68B767CF"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5F167199"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384EE6BB" w14:textId="77777777" w:rsidTr="00E90F29">
        <w:trPr>
          <w:cantSplit/>
          <w:trHeight w:val="290"/>
        </w:trPr>
        <w:tc>
          <w:tcPr>
            <w:tcW w:w="1702" w:type="dxa"/>
            <w:hideMark/>
          </w:tcPr>
          <w:p w14:paraId="6717E8EE"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1B4FD991"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Gobemouche à bec fort</w:t>
            </w:r>
          </w:p>
        </w:tc>
        <w:tc>
          <w:tcPr>
            <w:tcW w:w="1695" w:type="dxa"/>
            <w:hideMark/>
          </w:tcPr>
          <w:p w14:paraId="615A40C1"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Cyornis</w:t>
            </w:r>
            <w:proofErr w:type="spellEnd"/>
            <w:r w:rsidRPr="000D7FCD">
              <w:rPr>
                <w:rFonts w:cs="Arial"/>
                <w:i/>
                <w:iCs/>
                <w:sz w:val="18"/>
                <w:szCs w:val="18"/>
                <w:lang w:val="en-US"/>
              </w:rPr>
              <w:t xml:space="preserve"> </w:t>
            </w:r>
            <w:proofErr w:type="spellStart"/>
            <w:r w:rsidRPr="000D7FCD">
              <w:rPr>
                <w:rFonts w:cs="Arial"/>
                <w:i/>
                <w:iCs/>
                <w:sz w:val="18"/>
                <w:szCs w:val="18"/>
                <w:lang w:val="en-US"/>
              </w:rPr>
              <w:t>magnirostris</w:t>
            </w:r>
            <w:proofErr w:type="spellEnd"/>
          </w:p>
        </w:tc>
        <w:tc>
          <w:tcPr>
            <w:tcW w:w="1108" w:type="dxa"/>
            <w:hideMark/>
          </w:tcPr>
          <w:p w14:paraId="5E7304FA"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7D92D4FE"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3FBBD2D6" w14:textId="77777777" w:rsidTr="00E90F29">
        <w:trPr>
          <w:cantSplit/>
          <w:trHeight w:val="290"/>
        </w:trPr>
        <w:tc>
          <w:tcPr>
            <w:tcW w:w="1702" w:type="dxa"/>
            <w:hideMark/>
          </w:tcPr>
          <w:p w14:paraId="45F6671B"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lastRenderedPageBreak/>
              <w:t>Muscicapidae</w:t>
            </w:r>
          </w:p>
        </w:tc>
        <w:tc>
          <w:tcPr>
            <w:tcW w:w="1983" w:type="dxa"/>
            <w:hideMark/>
          </w:tcPr>
          <w:p w14:paraId="18DE421D"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Gobemouche des collines</w:t>
            </w:r>
          </w:p>
        </w:tc>
        <w:tc>
          <w:tcPr>
            <w:tcW w:w="1695" w:type="dxa"/>
            <w:hideMark/>
          </w:tcPr>
          <w:p w14:paraId="219B1B11"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Cyornis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banyumas</w:t>
            </w:r>
            <w:proofErr w:type="spellEnd"/>
          </w:p>
        </w:tc>
        <w:tc>
          <w:tcPr>
            <w:tcW w:w="1108" w:type="dxa"/>
            <w:hideMark/>
          </w:tcPr>
          <w:p w14:paraId="566A2E6C"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CR</w:t>
            </w:r>
          </w:p>
        </w:tc>
        <w:tc>
          <w:tcPr>
            <w:tcW w:w="8963" w:type="dxa"/>
            <w:hideMark/>
          </w:tcPr>
          <w:p w14:paraId="4283B781"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entre 100 et 1 000 km dans le sens nord-sud ; au moins certains mouvements sont principalement altitudinaux ; au moins une sous-population distincte de la voie de migration est considérée comme sédentaire. Remplit les critères de mouvement de la CMS.</w:t>
            </w:r>
          </w:p>
        </w:tc>
      </w:tr>
      <w:tr w:rsidR="000D7FCD" w:rsidRPr="000D7FCD" w14:paraId="7B3F3D15" w14:textId="77777777" w:rsidTr="00E90F29">
        <w:trPr>
          <w:cantSplit/>
          <w:trHeight w:val="290"/>
        </w:trPr>
        <w:tc>
          <w:tcPr>
            <w:tcW w:w="1702" w:type="dxa"/>
            <w:hideMark/>
          </w:tcPr>
          <w:p w14:paraId="23942A7E"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062EF9F2"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Brachyptère à ventre roux</w:t>
            </w:r>
          </w:p>
        </w:tc>
        <w:tc>
          <w:tcPr>
            <w:tcW w:w="1695" w:type="dxa"/>
            <w:hideMark/>
          </w:tcPr>
          <w:p w14:paraId="5337680B"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Brachypteryx</w:t>
            </w:r>
            <w:proofErr w:type="spellEnd"/>
            <w:r w:rsidRPr="000D7FCD">
              <w:rPr>
                <w:rFonts w:cs="Arial"/>
                <w:i/>
                <w:iCs/>
                <w:sz w:val="18"/>
                <w:szCs w:val="18"/>
                <w:lang w:val="en-US"/>
              </w:rPr>
              <w:t xml:space="preserve"> </w:t>
            </w:r>
            <w:proofErr w:type="spellStart"/>
            <w:r w:rsidRPr="000D7FCD">
              <w:rPr>
                <w:rFonts w:cs="Arial"/>
                <w:i/>
                <w:iCs/>
                <w:sz w:val="18"/>
                <w:szCs w:val="18"/>
                <w:lang w:val="en-US"/>
              </w:rPr>
              <w:t>hyperythra</w:t>
            </w:r>
            <w:proofErr w:type="spellEnd"/>
          </w:p>
        </w:tc>
        <w:tc>
          <w:tcPr>
            <w:tcW w:w="1108" w:type="dxa"/>
            <w:hideMark/>
          </w:tcPr>
          <w:p w14:paraId="0F9F5181"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6E067DB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changement de l'aire de répartition après la reproduction avec des sites de reproduction et de non-reproduction occupés de manière fiable à chaque saison ; les individus parcourent généralement moins de 100 km, mais dans aucune direction cohérente ; au moins certains mouvements sont principalement altitudinaux. Remplit les critères de mouvement de la CMS.</w:t>
            </w:r>
          </w:p>
        </w:tc>
      </w:tr>
      <w:tr w:rsidR="000D7FCD" w:rsidRPr="000D7FCD" w14:paraId="0276155D" w14:textId="77777777" w:rsidTr="00E90F29">
        <w:trPr>
          <w:cantSplit/>
          <w:trHeight w:val="290"/>
        </w:trPr>
        <w:tc>
          <w:tcPr>
            <w:tcW w:w="1702" w:type="dxa"/>
            <w:hideMark/>
          </w:tcPr>
          <w:p w14:paraId="441754C0"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4E1B28FC"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Rossignol à tête rousse</w:t>
            </w:r>
          </w:p>
        </w:tc>
        <w:tc>
          <w:tcPr>
            <w:tcW w:w="1695" w:type="dxa"/>
            <w:hideMark/>
          </w:tcPr>
          <w:p w14:paraId="03002038"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Larvivora</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ruficeps</w:t>
            </w:r>
            <w:proofErr w:type="spellEnd"/>
          </w:p>
        </w:tc>
        <w:tc>
          <w:tcPr>
            <w:tcW w:w="1108" w:type="dxa"/>
            <w:hideMark/>
          </w:tcPr>
          <w:p w14:paraId="36E0C190"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b/>
                <w:bCs/>
                <w:sz w:val="18"/>
                <w:szCs w:val="18"/>
                <w:lang w:val="fr-FR"/>
              </w:rPr>
              <w:t>DA</w:t>
            </w:r>
          </w:p>
        </w:tc>
        <w:tc>
          <w:tcPr>
            <w:tcW w:w="8963" w:type="dxa"/>
            <w:hideMark/>
          </w:tcPr>
          <w:p w14:paraId="676E7426"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aucune information n'est disponible sur les déplacements hors reproduction ; les individus parcourent généralement plus de 1 000 km dans le sens nord-sud. Remplit les critères de mouvement de la CMS.</w:t>
            </w:r>
          </w:p>
        </w:tc>
      </w:tr>
      <w:tr w:rsidR="000D7FCD" w:rsidRPr="000D7FCD" w14:paraId="2910B709" w14:textId="77777777" w:rsidTr="00E90F29">
        <w:trPr>
          <w:cantSplit/>
          <w:trHeight w:val="290"/>
        </w:trPr>
        <w:tc>
          <w:tcPr>
            <w:tcW w:w="1702" w:type="dxa"/>
            <w:hideMark/>
          </w:tcPr>
          <w:p w14:paraId="071E398D"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2D928282"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Rougegorge du Père David</w:t>
            </w:r>
          </w:p>
        </w:tc>
        <w:tc>
          <w:tcPr>
            <w:tcW w:w="1695" w:type="dxa"/>
            <w:hideMark/>
          </w:tcPr>
          <w:p w14:paraId="68A58D1B" w14:textId="77777777" w:rsidR="00E90F29" w:rsidRPr="000D7FCD" w:rsidRDefault="00E90F29">
            <w:pPr>
              <w:autoSpaceDE w:val="0"/>
              <w:autoSpaceDN w:val="0"/>
              <w:adjustRightInd w:val="0"/>
              <w:spacing w:before="40" w:after="40"/>
              <w:rPr>
                <w:rFonts w:cs="Arial"/>
                <w:i/>
                <w:iCs/>
                <w:sz w:val="18"/>
                <w:szCs w:val="18"/>
                <w:lang w:val="en-AU"/>
              </w:rPr>
            </w:pPr>
            <w:r w:rsidRPr="000D7FCD">
              <w:rPr>
                <w:rFonts w:cs="Arial"/>
                <w:i/>
                <w:iCs/>
                <w:sz w:val="18"/>
                <w:szCs w:val="18"/>
                <w:lang w:val="en-US"/>
              </w:rPr>
              <w:t xml:space="preserve">Calliope </w:t>
            </w:r>
            <w:proofErr w:type="spellStart"/>
            <w:r w:rsidRPr="000D7FCD">
              <w:rPr>
                <w:rFonts w:cs="Arial"/>
                <w:i/>
                <w:iCs/>
                <w:sz w:val="18"/>
                <w:szCs w:val="18"/>
                <w:lang w:val="en-US"/>
              </w:rPr>
              <w:t>pectardens</w:t>
            </w:r>
            <w:proofErr w:type="spellEnd"/>
          </w:p>
        </w:tc>
        <w:tc>
          <w:tcPr>
            <w:tcW w:w="1108" w:type="dxa"/>
            <w:hideMark/>
          </w:tcPr>
          <w:p w14:paraId="3223383D"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0C313BDA"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76E317D1" w14:textId="77777777" w:rsidTr="00E90F29">
        <w:trPr>
          <w:cantSplit/>
          <w:trHeight w:val="290"/>
        </w:trPr>
        <w:tc>
          <w:tcPr>
            <w:tcW w:w="1702" w:type="dxa"/>
            <w:hideMark/>
          </w:tcPr>
          <w:p w14:paraId="014A92D7"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24EFE8EC"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Rossignol à gorge noire</w:t>
            </w:r>
          </w:p>
        </w:tc>
        <w:tc>
          <w:tcPr>
            <w:tcW w:w="1695" w:type="dxa"/>
            <w:hideMark/>
          </w:tcPr>
          <w:p w14:paraId="22C75CA9"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Calliope obscura</w:t>
            </w:r>
          </w:p>
        </w:tc>
        <w:tc>
          <w:tcPr>
            <w:tcW w:w="1108" w:type="dxa"/>
            <w:hideMark/>
          </w:tcPr>
          <w:p w14:paraId="553A83D7"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40E0B964"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sont occupés de manière fiable à chaque saison, mais aucune information n'est disponible sur les déplacements hors reproduction ; les individus parcourent généralement plus de 1 000 km dans le sens nord-sud ; au moins certains déplacements sont principalement altitudinaux. Remplit les critères de mouvement de la CMS.</w:t>
            </w:r>
          </w:p>
        </w:tc>
      </w:tr>
      <w:tr w:rsidR="000D7FCD" w:rsidRPr="000D7FCD" w14:paraId="275C99FA" w14:textId="77777777" w:rsidTr="00E90F29">
        <w:trPr>
          <w:cantSplit/>
          <w:trHeight w:val="290"/>
        </w:trPr>
        <w:tc>
          <w:tcPr>
            <w:tcW w:w="1702" w:type="dxa"/>
            <w:hideMark/>
          </w:tcPr>
          <w:p w14:paraId="011591C9"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33866C04"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Gobemouche du Cachemire</w:t>
            </w:r>
          </w:p>
        </w:tc>
        <w:tc>
          <w:tcPr>
            <w:tcW w:w="1695" w:type="dxa"/>
            <w:hideMark/>
          </w:tcPr>
          <w:p w14:paraId="46EA9E6F"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Ficedula</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subrubra</w:t>
            </w:r>
            <w:proofErr w:type="spellEnd"/>
          </w:p>
        </w:tc>
        <w:tc>
          <w:tcPr>
            <w:tcW w:w="1108" w:type="dxa"/>
            <w:hideMark/>
          </w:tcPr>
          <w:p w14:paraId="31CCEA85"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1D4DB88D"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7815167C" w14:textId="77777777" w:rsidTr="00E90F29">
        <w:trPr>
          <w:cantSplit/>
          <w:trHeight w:val="290"/>
        </w:trPr>
        <w:tc>
          <w:tcPr>
            <w:tcW w:w="1702" w:type="dxa"/>
            <w:hideMark/>
          </w:tcPr>
          <w:p w14:paraId="268BCEBC"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5C86BDA3"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Monticole espion</w:t>
            </w:r>
          </w:p>
        </w:tc>
        <w:tc>
          <w:tcPr>
            <w:tcW w:w="1695" w:type="dxa"/>
            <w:hideMark/>
          </w:tcPr>
          <w:p w14:paraId="38261106"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Monticola</w:t>
            </w:r>
            <w:proofErr w:type="spellEnd"/>
            <w:r w:rsidRPr="000D7FCD">
              <w:rPr>
                <w:rFonts w:cs="Arial"/>
                <w:i/>
                <w:iCs/>
                <w:sz w:val="18"/>
                <w:szCs w:val="18"/>
                <w:lang w:val="en-US"/>
              </w:rPr>
              <w:t xml:space="preserve"> </w:t>
            </w:r>
            <w:proofErr w:type="spellStart"/>
            <w:r w:rsidRPr="000D7FCD">
              <w:rPr>
                <w:rFonts w:cs="Arial"/>
                <w:i/>
                <w:iCs/>
                <w:sz w:val="18"/>
                <w:szCs w:val="18"/>
                <w:lang w:val="en-US"/>
              </w:rPr>
              <w:t>explorator</w:t>
            </w:r>
            <w:proofErr w:type="spellEnd"/>
          </w:p>
        </w:tc>
        <w:tc>
          <w:tcPr>
            <w:tcW w:w="1108" w:type="dxa"/>
            <w:hideMark/>
          </w:tcPr>
          <w:p w14:paraId="2767E1DB"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hideMark/>
          </w:tcPr>
          <w:p w14:paraId="57505DC2"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essor de l'aire de répartition après la reproduction avec des sites de reproduction occupés de manière fiable à chaque saison, mais modérément nomade en dehors de la période de reproduction ; les individus parcourent généralement moins de 100 km mais dans aucune direction cohérente ; au moins certains mouvements sont principalement altitudinaux. Remplit les critères de mouvement de la CMS.</w:t>
            </w:r>
          </w:p>
        </w:tc>
      </w:tr>
      <w:tr w:rsidR="000D7FCD" w:rsidRPr="000D7FCD" w14:paraId="286762AD" w14:textId="77777777" w:rsidTr="00E90F29">
        <w:trPr>
          <w:cantSplit/>
          <w:trHeight w:val="290"/>
        </w:trPr>
        <w:tc>
          <w:tcPr>
            <w:tcW w:w="1702" w:type="dxa"/>
            <w:hideMark/>
          </w:tcPr>
          <w:p w14:paraId="5C0C78CC"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t>Muscicapidae</w:t>
            </w:r>
          </w:p>
        </w:tc>
        <w:tc>
          <w:tcPr>
            <w:tcW w:w="1983" w:type="dxa"/>
            <w:hideMark/>
          </w:tcPr>
          <w:p w14:paraId="65831DB9" w14:textId="77777777" w:rsidR="00E90F29" w:rsidRPr="000D7FCD" w:rsidRDefault="00E90F29">
            <w:pPr>
              <w:autoSpaceDE w:val="0"/>
              <w:autoSpaceDN w:val="0"/>
              <w:adjustRightInd w:val="0"/>
              <w:spacing w:before="40" w:after="40"/>
              <w:rPr>
                <w:rFonts w:cs="Arial"/>
                <w:b/>
                <w:bCs/>
                <w:sz w:val="18"/>
                <w:szCs w:val="18"/>
                <w:lang w:val="fr-FR"/>
              </w:rPr>
            </w:pPr>
            <w:proofErr w:type="spellStart"/>
            <w:r w:rsidRPr="000D7FCD">
              <w:rPr>
                <w:rFonts w:cs="Arial"/>
                <w:b/>
                <w:bCs/>
                <w:sz w:val="18"/>
                <w:szCs w:val="18"/>
                <w:lang w:val="fr-FR"/>
              </w:rPr>
              <w:t>Tarier</w:t>
            </w:r>
            <w:proofErr w:type="spellEnd"/>
            <w:r w:rsidRPr="000D7FCD">
              <w:rPr>
                <w:rFonts w:cs="Arial"/>
                <w:b/>
                <w:bCs/>
                <w:sz w:val="18"/>
                <w:szCs w:val="18"/>
                <w:lang w:val="fr-FR"/>
              </w:rPr>
              <w:t xml:space="preserve"> de </w:t>
            </w:r>
            <w:proofErr w:type="spellStart"/>
            <w:r w:rsidRPr="000D7FCD">
              <w:rPr>
                <w:rFonts w:cs="Arial"/>
                <w:b/>
                <w:bCs/>
                <w:sz w:val="18"/>
                <w:szCs w:val="18"/>
                <w:lang w:val="fr-FR"/>
              </w:rPr>
              <w:t>Stoliczka</w:t>
            </w:r>
            <w:proofErr w:type="spellEnd"/>
          </w:p>
        </w:tc>
        <w:tc>
          <w:tcPr>
            <w:tcW w:w="1695" w:type="dxa"/>
            <w:hideMark/>
          </w:tcPr>
          <w:p w14:paraId="72182675"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 xml:space="preserve">Saxicola </w:t>
            </w:r>
            <w:proofErr w:type="spellStart"/>
            <w:r w:rsidRPr="000D7FCD">
              <w:rPr>
                <w:rFonts w:cs="Arial"/>
                <w:b/>
                <w:bCs/>
                <w:i/>
                <w:iCs/>
                <w:sz w:val="18"/>
                <w:szCs w:val="18"/>
                <w:lang w:val="en-US"/>
              </w:rPr>
              <w:t>macrorhynchus</w:t>
            </w:r>
            <w:proofErr w:type="spellEnd"/>
          </w:p>
        </w:tc>
        <w:tc>
          <w:tcPr>
            <w:tcW w:w="1108" w:type="dxa"/>
            <w:hideMark/>
          </w:tcPr>
          <w:p w14:paraId="2388580F"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40A6ED2C"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et modérément nomade en période de reproduction et fortement nomade en dehors de la période de reproduction ; les individus parcourent généralement entre 100 et 1 000 km, mais sans direction cohérente. Remplit les critères de mouvement de la CMS.</w:t>
            </w:r>
          </w:p>
        </w:tc>
      </w:tr>
      <w:tr w:rsidR="000D7FCD" w:rsidRPr="000D7FCD" w14:paraId="1DD27868" w14:textId="77777777" w:rsidTr="00E90F29">
        <w:trPr>
          <w:cantSplit/>
          <w:trHeight w:val="290"/>
        </w:trPr>
        <w:tc>
          <w:tcPr>
            <w:tcW w:w="1702" w:type="dxa"/>
            <w:hideMark/>
          </w:tcPr>
          <w:p w14:paraId="21416050" w14:textId="77777777" w:rsidR="00E90F29" w:rsidRPr="000D7FCD" w:rsidRDefault="00E90F29">
            <w:pPr>
              <w:autoSpaceDE w:val="0"/>
              <w:autoSpaceDN w:val="0"/>
              <w:adjustRightInd w:val="0"/>
              <w:spacing w:before="40" w:after="40"/>
              <w:rPr>
                <w:rFonts w:cs="Arial"/>
                <w:sz w:val="18"/>
                <w:szCs w:val="18"/>
                <w:lang w:val="en-AU"/>
              </w:rPr>
            </w:pPr>
            <w:r w:rsidRPr="000D7FCD">
              <w:rPr>
                <w:rFonts w:cs="Arial"/>
                <w:sz w:val="18"/>
                <w:szCs w:val="18"/>
                <w:lang w:val="en-US"/>
              </w:rPr>
              <w:lastRenderedPageBreak/>
              <w:t>Muscicapidae</w:t>
            </w:r>
          </w:p>
        </w:tc>
        <w:tc>
          <w:tcPr>
            <w:tcW w:w="1983" w:type="dxa"/>
            <w:hideMark/>
          </w:tcPr>
          <w:p w14:paraId="6418B241" w14:textId="77777777" w:rsidR="00E90F29" w:rsidRPr="000D7FCD" w:rsidRDefault="00E90F29">
            <w:pPr>
              <w:autoSpaceDE w:val="0"/>
              <w:autoSpaceDN w:val="0"/>
              <w:adjustRightInd w:val="0"/>
              <w:spacing w:before="40" w:after="40"/>
              <w:rPr>
                <w:rFonts w:cs="Arial"/>
                <w:b/>
                <w:bCs/>
                <w:sz w:val="18"/>
                <w:szCs w:val="18"/>
                <w:lang w:val="fr-FR"/>
              </w:rPr>
            </w:pPr>
            <w:proofErr w:type="spellStart"/>
            <w:r w:rsidRPr="000D7FCD">
              <w:rPr>
                <w:rFonts w:cs="Arial"/>
                <w:b/>
                <w:bCs/>
                <w:sz w:val="18"/>
                <w:szCs w:val="18"/>
                <w:lang w:val="fr-FR"/>
              </w:rPr>
              <w:t>Tarier</w:t>
            </w:r>
            <w:proofErr w:type="spellEnd"/>
            <w:r w:rsidRPr="000D7FCD">
              <w:rPr>
                <w:rFonts w:cs="Arial"/>
                <w:b/>
                <w:bCs/>
                <w:sz w:val="18"/>
                <w:szCs w:val="18"/>
                <w:lang w:val="fr-FR"/>
              </w:rPr>
              <w:t xml:space="preserve"> de Hodgson</w:t>
            </w:r>
          </w:p>
        </w:tc>
        <w:tc>
          <w:tcPr>
            <w:tcW w:w="1695" w:type="dxa"/>
            <w:hideMark/>
          </w:tcPr>
          <w:p w14:paraId="227B559C" w14:textId="77777777" w:rsidR="00E90F29" w:rsidRPr="000D7FCD" w:rsidRDefault="00E90F29">
            <w:pPr>
              <w:autoSpaceDE w:val="0"/>
              <w:autoSpaceDN w:val="0"/>
              <w:adjustRightInd w:val="0"/>
              <w:spacing w:before="40" w:after="40"/>
              <w:rPr>
                <w:rFonts w:cs="Arial"/>
                <w:b/>
                <w:bCs/>
                <w:i/>
                <w:iCs/>
                <w:sz w:val="18"/>
                <w:szCs w:val="18"/>
                <w:lang w:val="en-AU"/>
              </w:rPr>
            </w:pPr>
            <w:r w:rsidRPr="000D7FCD">
              <w:rPr>
                <w:rFonts w:cs="Arial"/>
                <w:b/>
                <w:bCs/>
                <w:i/>
                <w:iCs/>
                <w:sz w:val="18"/>
                <w:szCs w:val="18"/>
                <w:lang w:val="en-US"/>
              </w:rPr>
              <w:t>Saxicola insignis</w:t>
            </w:r>
          </w:p>
        </w:tc>
        <w:tc>
          <w:tcPr>
            <w:tcW w:w="1108" w:type="dxa"/>
            <w:hideMark/>
          </w:tcPr>
          <w:p w14:paraId="70900E05"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6176D98A" w14:textId="77777777" w:rsidR="00E90F29" w:rsidRPr="000D7FCD" w:rsidRDefault="00E90F29" w:rsidP="00E90F29">
            <w:pPr>
              <w:autoSpaceDE w:val="0"/>
              <w:autoSpaceDN w:val="0"/>
              <w:adjustRightInd w:val="0"/>
              <w:spacing w:before="40" w:after="40"/>
              <w:jc w:val="both"/>
              <w:rPr>
                <w:rFonts w:cs="Arial"/>
                <w:b/>
                <w:bCs/>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49B7D81E" w14:textId="77777777" w:rsidTr="00E90F29">
        <w:trPr>
          <w:cantSplit/>
          <w:trHeight w:val="290"/>
        </w:trPr>
        <w:tc>
          <w:tcPr>
            <w:tcW w:w="1702" w:type="dxa"/>
            <w:hideMark/>
          </w:tcPr>
          <w:p w14:paraId="4D91E9C6"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Motacillidae</w:t>
            </w:r>
            <w:proofErr w:type="spellEnd"/>
          </w:p>
        </w:tc>
        <w:tc>
          <w:tcPr>
            <w:tcW w:w="1983" w:type="dxa"/>
            <w:hideMark/>
          </w:tcPr>
          <w:p w14:paraId="71C22B24"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Pipit de Sprague</w:t>
            </w:r>
          </w:p>
        </w:tc>
        <w:tc>
          <w:tcPr>
            <w:tcW w:w="1695" w:type="dxa"/>
            <w:hideMark/>
          </w:tcPr>
          <w:p w14:paraId="40FDF898"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Anthus</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spragueii</w:t>
            </w:r>
            <w:proofErr w:type="spellEnd"/>
          </w:p>
        </w:tc>
        <w:tc>
          <w:tcPr>
            <w:tcW w:w="1108" w:type="dxa"/>
            <w:hideMark/>
          </w:tcPr>
          <w:p w14:paraId="6A36A413"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4D416A55"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187D1546" w14:textId="77777777" w:rsidTr="00E90F29">
        <w:trPr>
          <w:cantSplit/>
          <w:trHeight w:val="290"/>
        </w:trPr>
        <w:tc>
          <w:tcPr>
            <w:tcW w:w="1702" w:type="dxa"/>
            <w:hideMark/>
          </w:tcPr>
          <w:p w14:paraId="2CEADDA0"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Motacillidae</w:t>
            </w:r>
            <w:proofErr w:type="spellEnd"/>
          </w:p>
        </w:tc>
        <w:tc>
          <w:tcPr>
            <w:tcW w:w="1983" w:type="dxa"/>
            <w:hideMark/>
          </w:tcPr>
          <w:p w14:paraId="49451E16" w14:textId="77777777" w:rsidR="00E90F29" w:rsidRPr="000D7FCD" w:rsidRDefault="00E90F29">
            <w:pPr>
              <w:autoSpaceDE w:val="0"/>
              <w:autoSpaceDN w:val="0"/>
              <w:adjustRightInd w:val="0"/>
              <w:spacing w:before="40" w:after="40"/>
              <w:rPr>
                <w:rFonts w:cs="Arial"/>
                <w:sz w:val="18"/>
                <w:szCs w:val="18"/>
                <w:lang w:val="fr-FR"/>
              </w:rPr>
            </w:pPr>
            <w:r w:rsidRPr="000D7FCD">
              <w:rPr>
                <w:rFonts w:cs="Arial"/>
                <w:sz w:val="18"/>
                <w:szCs w:val="18"/>
                <w:lang w:val="fr-FR"/>
              </w:rPr>
              <w:t>Pipit alticole</w:t>
            </w:r>
          </w:p>
        </w:tc>
        <w:tc>
          <w:tcPr>
            <w:tcW w:w="1695" w:type="dxa"/>
            <w:hideMark/>
          </w:tcPr>
          <w:p w14:paraId="7BA01F76" w14:textId="77777777" w:rsidR="00E90F29" w:rsidRPr="000D7FCD" w:rsidRDefault="00E90F29">
            <w:pPr>
              <w:autoSpaceDE w:val="0"/>
              <w:autoSpaceDN w:val="0"/>
              <w:adjustRightInd w:val="0"/>
              <w:spacing w:before="40" w:after="40"/>
              <w:rPr>
                <w:rFonts w:cs="Arial"/>
                <w:i/>
                <w:iCs/>
                <w:sz w:val="18"/>
                <w:szCs w:val="18"/>
                <w:lang w:val="en-AU"/>
              </w:rPr>
            </w:pPr>
            <w:proofErr w:type="spellStart"/>
            <w:r w:rsidRPr="000D7FCD">
              <w:rPr>
                <w:rFonts w:cs="Arial"/>
                <w:i/>
                <w:iCs/>
                <w:sz w:val="18"/>
                <w:szCs w:val="18"/>
                <w:lang w:val="en-US"/>
              </w:rPr>
              <w:t>Anthus</w:t>
            </w:r>
            <w:proofErr w:type="spellEnd"/>
            <w:r w:rsidRPr="000D7FCD">
              <w:rPr>
                <w:rFonts w:cs="Arial"/>
                <w:i/>
                <w:iCs/>
                <w:sz w:val="18"/>
                <w:szCs w:val="18"/>
                <w:lang w:val="en-US"/>
              </w:rPr>
              <w:t xml:space="preserve"> </w:t>
            </w:r>
            <w:proofErr w:type="spellStart"/>
            <w:r w:rsidRPr="000D7FCD">
              <w:rPr>
                <w:rFonts w:cs="Arial"/>
                <w:i/>
                <w:iCs/>
                <w:sz w:val="18"/>
                <w:szCs w:val="18"/>
                <w:lang w:val="en-US"/>
              </w:rPr>
              <w:t>hoeschi</w:t>
            </w:r>
            <w:proofErr w:type="spellEnd"/>
          </w:p>
        </w:tc>
        <w:tc>
          <w:tcPr>
            <w:tcW w:w="1108" w:type="dxa"/>
            <w:hideMark/>
          </w:tcPr>
          <w:p w14:paraId="48E3DA2B" w14:textId="77777777" w:rsidR="00E90F29" w:rsidRPr="000D7FCD" w:rsidRDefault="00E90F29">
            <w:pPr>
              <w:autoSpaceDE w:val="0"/>
              <w:autoSpaceDN w:val="0"/>
              <w:adjustRightInd w:val="0"/>
              <w:spacing w:before="40" w:after="40"/>
              <w:jc w:val="center"/>
              <w:rPr>
                <w:rFonts w:cs="Arial"/>
                <w:sz w:val="18"/>
                <w:szCs w:val="18"/>
                <w:lang w:val="fr-FR"/>
              </w:rPr>
            </w:pPr>
            <w:r w:rsidRPr="000D7FCD">
              <w:rPr>
                <w:rFonts w:cs="Arial"/>
                <w:sz w:val="18"/>
                <w:szCs w:val="18"/>
                <w:lang w:val="fr-FR"/>
              </w:rPr>
              <w:t>QM</w:t>
            </w:r>
          </w:p>
        </w:tc>
        <w:tc>
          <w:tcPr>
            <w:tcW w:w="8963" w:type="dxa"/>
            <w:hideMark/>
          </w:tcPr>
          <w:p w14:paraId="68357777"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plus de 1 000 km dans le sens nord-sud. Remplit les critères de mouvement de la CMS.</w:t>
            </w:r>
          </w:p>
        </w:tc>
      </w:tr>
      <w:tr w:rsidR="000D7FCD" w:rsidRPr="000D7FCD" w14:paraId="609CC142" w14:textId="77777777" w:rsidTr="00E90F29">
        <w:trPr>
          <w:cantSplit/>
          <w:trHeight w:val="290"/>
        </w:trPr>
        <w:tc>
          <w:tcPr>
            <w:tcW w:w="1702" w:type="dxa"/>
            <w:hideMark/>
          </w:tcPr>
          <w:p w14:paraId="11A5CEB0"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Motacillidae</w:t>
            </w:r>
            <w:proofErr w:type="spellEnd"/>
          </w:p>
        </w:tc>
        <w:tc>
          <w:tcPr>
            <w:tcW w:w="1983" w:type="dxa"/>
            <w:hideMark/>
          </w:tcPr>
          <w:p w14:paraId="20F6E884"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b/>
                <w:bCs/>
                <w:sz w:val="18"/>
                <w:szCs w:val="18"/>
                <w:lang w:val="fr-FR"/>
              </w:rPr>
              <w:t>Pipit à gorge jaune</w:t>
            </w:r>
          </w:p>
        </w:tc>
        <w:tc>
          <w:tcPr>
            <w:tcW w:w="1695" w:type="dxa"/>
            <w:hideMark/>
          </w:tcPr>
          <w:p w14:paraId="3B42DABB"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b/>
                <w:bCs/>
                <w:i/>
                <w:iCs/>
                <w:sz w:val="18"/>
                <w:szCs w:val="18"/>
                <w:lang w:val="en-US"/>
              </w:rPr>
              <w:t>Hemimacronyx</w:t>
            </w:r>
            <w:proofErr w:type="spellEnd"/>
            <w:r w:rsidRPr="000D7FCD">
              <w:rPr>
                <w:rFonts w:cs="Arial"/>
                <w:b/>
                <w:bCs/>
                <w:i/>
                <w:iCs/>
                <w:sz w:val="18"/>
                <w:szCs w:val="18"/>
                <w:lang w:val="en-US"/>
              </w:rPr>
              <w:t xml:space="preserve"> </w:t>
            </w:r>
            <w:proofErr w:type="spellStart"/>
            <w:r w:rsidRPr="000D7FCD">
              <w:rPr>
                <w:rFonts w:cs="Arial"/>
                <w:b/>
                <w:bCs/>
                <w:i/>
                <w:iCs/>
                <w:sz w:val="18"/>
                <w:szCs w:val="18"/>
                <w:lang w:val="en-US"/>
              </w:rPr>
              <w:t>chloris</w:t>
            </w:r>
            <w:proofErr w:type="spellEnd"/>
          </w:p>
        </w:tc>
        <w:tc>
          <w:tcPr>
            <w:tcW w:w="1108" w:type="dxa"/>
            <w:hideMark/>
          </w:tcPr>
          <w:p w14:paraId="0ECE1C6A" w14:textId="77777777" w:rsidR="00E90F29" w:rsidRPr="000D7FCD" w:rsidRDefault="00E90F29">
            <w:pPr>
              <w:autoSpaceDE w:val="0"/>
              <w:autoSpaceDN w:val="0"/>
              <w:adjustRightInd w:val="0"/>
              <w:spacing w:before="40" w:after="40"/>
              <w:jc w:val="center"/>
              <w:rPr>
                <w:rFonts w:cs="Arial"/>
                <w:b/>
                <w:bCs/>
                <w:sz w:val="18"/>
                <w:szCs w:val="18"/>
                <w:lang w:val="en-AU"/>
              </w:rPr>
            </w:pPr>
            <w:r w:rsidRPr="000D7FCD">
              <w:rPr>
                <w:rFonts w:cs="Arial"/>
                <w:b/>
                <w:bCs/>
                <w:sz w:val="18"/>
                <w:szCs w:val="18"/>
                <w:lang w:val="en-US"/>
              </w:rPr>
              <w:t>VU</w:t>
            </w:r>
          </w:p>
        </w:tc>
        <w:tc>
          <w:tcPr>
            <w:tcW w:w="8963" w:type="dxa"/>
            <w:hideMark/>
          </w:tcPr>
          <w:p w14:paraId="1424D83E"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partiel : essor important de l'aire de répartition après la reproduction, avec des sites de reproduction et de non-reproduction occupés de manière fiable à chaque saison ; les individus parcourent généralement entre 100 et 1 000 km dans le sens est-ouest ; au moins certains mouvements sont principalement altitudinaux. Remplit les critères de mouvement de la CMS.</w:t>
            </w:r>
          </w:p>
        </w:tc>
      </w:tr>
      <w:tr w:rsidR="000D7FCD" w:rsidRPr="000D7FCD" w14:paraId="6012E5EB" w14:textId="77777777" w:rsidTr="00E90F29">
        <w:trPr>
          <w:cantSplit/>
          <w:trHeight w:val="290"/>
        </w:trPr>
        <w:tc>
          <w:tcPr>
            <w:tcW w:w="1702" w:type="dxa"/>
            <w:tcBorders>
              <w:top w:val="nil"/>
              <w:left w:val="nil"/>
              <w:bottom w:val="single" w:sz="4" w:space="0" w:color="auto"/>
              <w:right w:val="nil"/>
            </w:tcBorders>
            <w:hideMark/>
          </w:tcPr>
          <w:p w14:paraId="78AEF1BE" w14:textId="77777777" w:rsidR="00E90F29" w:rsidRPr="000D7FCD" w:rsidRDefault="00E90F29">
            <w:pPr>
              <w:autoSpaceDE w:val="0"/>
              <w:autoSpaceDN w:val="0"/>
              <w:adjustRightInd w:val="0"/>
              <w:spacing w:before="40" w:after="40"/>
              <w:rPr>
                <w:rFonts w:cs="Arial"/>
                <w:sz w:val="18"/>
                <w:szCs w:val="18"/>
                <w:lang w:val="en-AU"/>
              </w:rPr>
            </w:pPr>
            <w:proofErr w:type="spellStart"/>
            <w:r w:rsidRPr="000D7FCD">
              <w:rPr>
                <w:rFonts w:cs="Arial"/>
                <w:sz w:val="18"/>
                <w:szCs w:val="18"/>
                <w:lang w:val="en-US"/>
              </w:rPr>
              <w:t>Motacillidae</w:t>
            </w:r>
            <w:proofErr w:type="spellEnd"/>
          </w:p>
        </w:tc>
        <w:tc>
          <w:tcPr>
            <w:tcW w:w="1983" w:type="dxa"/>
            <w:tcBorders>
              <w:top w:val="nil"/>
              <w:left w:val="nil"/>
              <w:bottom w:val="single" w:sz="4" w:space="0" w:color="auto"/>
              <w:right w:val="nil"/>
            </w:tcBorders>
            <w:hideMark/>
          </w:tcPr>
          <w:p w14:paraId="6A7CEE06" w14:textId="77777777" w:rsidR="00E90F29" w:rsidRPr="000D7FCD" w:rsidRDefault="00E90F29">
            <w:pPr>
              <w:autoSpaceDE w:val="0"/>
              <w:autoSpaceDN w:val="0"/>
              <w:adjustRightInd w:val="0"/>
              <w:spacing w:before="40" w:after="40"/>
              <w:rPr>
                <w:rFonts w:cs="Arial"/>
                <w:b/>
                <w:bCs/>
                <w:sz w:val="18"/>
                <w:szCs w:val="18"/>
                <w:lang w:val="fr-FR"/>
              </w:rPr>
            </w:pPr>
            <w:r w:rsidRPr="000D7FCD">
              <w:rPr>
                <w:rFonts w:cs="Arial"/>
                <w:sz w:val="18"/>
                <w:szCs w:val="18"/>
                <w:lang w:val="fr-FR"/>
              </w:rPr>
              <w:t>Bergeronnette du Mékong</w:t>
            </w:r>
          </w:p>
        </w:tc>
        <w:tc>
          <w:tcPr>
            <w:tcW w:w="1695" w:type="dxa"/>
            <w:tcBorders>
              <w:top w:val="nil"/>
              <w:left w:val="nil"/>
              <w:bottom w:val="single" w:sz="4" w:space="0" w:color="auto"/>
              <w:right w:val="nil"/>
            </w:tcBorders>
            <w:hideMark/>
          </w:tcPr>
          <w:p w14:paraId="55C43A83" w14:textId="77777777" w:rsidR="00E90F29" w:rsidRPr="000D7FCD" w:rsidRDefault="00E90F29">
            <w:pPr>
              <w:autoSpaceDE w:val="0"/>
              <w:autoSpaceDN w:val="0"/>
              <w:adjustRightInd w:val="0"/>
              <w:spacing w:before="40" w:after="40"/>
              <w:rPr>
                <w:rFonts w:cs="Arial"/>
                <w:b/>
                <w:bCs/>
                <w:i/>
                <w:iCs/>
                <w:sz w:val="18"/>
                <w:szCs w:val="18"/>
                <w:lang w:val="en-AU"/>
              </w:rPr>
            </w:pPr>
            <w:proofErr w:type="spellStart"/>
            <w:r w:rsidRPr="000D7FCD">
              <w:rPr>
                <w:rFonts w:cs="Arial"/>
                <w:i/>
                <w:iCs/>
                <w:sz w:val="18"/>
                <w:szCs w:val="18"/>
                <w:lang w:val="en-US"/>
              </w:rPr>
              <w:t>Motacilla</w:t>
            </w:r>
            <w:proofErr w:type="spellEnd"/>
            <w:r w:rsidRPr="000D7FCD">
              <w:rPr>
                <w:rFonts w:cs="Arial"/>
                <w:i/>
                <w:iCs/>
                <w:sz w:val="18"/>
                <w:szCs w:val="18"/>
                <w:lang w:val="en-US"/>
              </w:rPr>
              <w:t xml:space="preserve"> </w:t>
            </w:r>
            <w:proofErr w:type="spellStart"/>
            <w:r w:rsidRPr="000D7FCD">
              <w:rPr>
                <w:rFonts w:cs="Arial"/>
                <w:i/>
                <w:iCs/>
                <w:sz w:val="18"/>
                <w:szCs w:val="18"/>
                <w:lang w:val="en-US"/>
              </w:rPr>
              <w:t>samveasnae</w:t>
            </w:r>
            <w:proofErr w:type="spellEnd"/>
          </w:p>
        </w:tc>
        <w:tc>
          <w:tcPr>
            <w:tcW w:w="1108" w:type="dxa"/>
            <w:tcBorders>
              <w:top w:val="nil"/>
              <w:left w:val="nil"/>
              <w:bottom w:val="single" w:sz="4" w:space="0" w:color="auto"/>
              <w:right w:val="nil"/>
            </w:tcBorders>
            <w:hideMark/>
          </w:tcPr>
          <w:p w14:paraId="6405A7BA" w14:textId="77777777" w:rsidR="00E90F29" w:rsidRPr="000D7FCD" w:rsidRDefault="00E90F29">
            <w:pPr>
              <w:autoSpaceDE w:val="0"/>
              <w:autoSpaceDN w:val="0"/>
              <w:adjustRightInd w:val="0"/>
              <w:spacing w:before="40" w:after="40"/>
              <w:jc w:val="center"/>
              <w:rPr>
                <w:rFonts w:cs="Arial"/>
                <w:b/>
                <w:bCs/>
                <w:sz w:val="18"/>
                <w:szCs w:val="18"/>
                <w:lang w:val="fr-FR"/>
              </w:rPr>
            </w:pPr>
            <w:r w:rsidRPr="000D7FCD">
              <w:rPr>
                <w:rFonts w:cs="Arial"/>
                <w:sz w:val="18"/>
                <w:szCs w:val="18"/>
                <w:lang w:val="fr-FR"/>
              </w:rPr>
              <w:t>QM</w:t>
            </w:r>
          </w:p>
        </w:tc>
        <w:tc>
          <w:tcPr>
            <w:tcW w:w="8963" w:type="dxa"/>
            <w:tcBorders>
              <w:top w:val="nil"/>
              <w:left w:val="nil"/>
              <w:bottom w:val="single" w:sz="4" w:space="0" w:color="auto"/>
              <w:right w:val="nil"/>
            </w:tcBorders>
            <w:hideMark/>
          </w:tcPr>
          <w:p w14:paraId="4800793D" w14:textId="77777777" w:rsidR="00E90F29" w:rsidRPr="000D7FCD" w:rsidRDefault="00E90F29" w:rsidP="00E90F29">
            <w:pPr>
              <w:autoSpaceDE w:val="0"/>
              <w:autoSpaceDN w:val="0"/>
              <w:adjustRightInd w:val="0"/>
              <w:spacing w:before="40" w:after="40"/>
              <w:jc w:val="both"/>
              <w:rPr>
                <w:rFonts w:cs="Arial"/>
                <w:sz w:val="18"/>
                <w:szCs w:val="18"/>
                <w:lang w:val="fr-FR"/>
              </w:rPr>
            </w:pPr>
            <w:r w:rsidRPr="000D7FCD">
              <w:rPr>
                <w:rFonts w:cs="Arial"/>
                <w:sz w:val="18"/>
                <w:szCs w:val="18"/>
                <w:lang w:val="fr-FR"/>
              </w:rPr>
              <w:t>Migrateur complet : les sites de reproduction et de non-reproduction sont occupés de manière fiable à chaque saison ; les individus parcourent généralement moins de 100 km mais dans aucune direction cohérente. Remplit les critères de mouvement de la CMS.</w:t>
            </w:r>
          </w:p>
        </w:tc>
      </w:tr>
    </w:tbl>
    <w:p w14:paraId="500B5205" w14:textId="77777777" w:rsidR="00C10EBA" w:rsidRPr="000D7FCD" w:rsidRDefault="00C10EBA" w:rsidP="00C10EBA">
      <w:pPr>
        <w:jc w:val="both"/>
        <w:rPr>
          <w:rFonts w:cs="Arial"/>
          <w:b/>
          <w:bCs/>
          <w:lang w:val="fr-FR"/>
        </w:rPr>
      </w:pPr>
    </w:p>
    <w:p w14:paraId="5D566800" w14:textId="77777777" w:rsidR="00C10EBA" w:rsidRPr="000D7FCD" w:rsidRDefault="00C10EBA" w:rsidP="00C10EBA">
      <w:pPr>
        <w:widowControl w:val="0"/>
        <w:autoSpaceDE w:val="0"/>
        <w:autoSpaceDN w:val="0"/>
        <w:adjustRightInd w:val="0"/>
        <w:spacing w:after="0" w:line="240" w:lineRule="auto"/>
        <w:jc w:val="both"/>
        <w:rPr>
          <w:rFonts w:cs="Arial"/>
          <w:lang w:val="fr-FR"/>
        </w:rPr>
      </w:pPr>
    </w:p>
    <w:p w14:paraId="5037FF98" w14:textId="77777777" w:rsidR="00C10EBA" w:rsidRPr="000D7FCD" w:rsidRDefault="00C10EBA" w:rsidP="007D1D81">
      <w:pPr>
        <w:jc w:val="both"/>
        <w:rPr>
          <w:rFonts w:cs="Arial"/>
          <w:b/>
          <w:bCs/>
          <w:lang w:val="fr-FR"/>
        </w:rPr>
      </w:pPr>
    </w:p>
    <w:p w14:paraId="5212B248" w14:textId="77777777" w:rsidR="006E1ED0" w:rsidRDefault="006E1ED0" w:rsidP="00B876E1">
      <w:pPr>
        <w:widowControl w:val="0"/>
        <w:autoSpaceDE w:val="0"/>
        <w:autoSpaceDN w:val="0"/>
        <w:adjustRightInd w:val="0"/>
        <w:spacing w:after="0" w:line="240" w:lineRule="auto"/>
        <w:jc w:val="both"/>
        <w:rPr>
          <w:rFonts w:cs="Arial"/>
          <w:lang w:val="fr-FR"/>
        </w:rPr>
      </w:pPr>
    </w:p>
    <w:p w14:paraId="7A5FBB3F" w14:textId="008038E1" w:rsidR="006E1ED0" w:rsidRDefault="006E1ED0" w:rsidP="00B876E1">
      <w:pPr>
        <w:widowControl w:val="0"/>
        <w:autoSpaceDE w:val="0"/>
        <w:autoSpaceDN w:val="0"/>
        <w:adjustRightInd w:val="0"/>
        <w:spacing w:after="0" w:line="240" w:lineRule="auto"/>
        <w:jc w:val="both"/>
        <w:rPr>
          <w:rFonts w:cs="Arial"/>
          <w:lang w:val="fr-FR"/>
        </w:rPr>
        <w:sectPr w:rsidR="006E1ED0" w:rsidSect="00C41EAC">
          <w:headerReference w:type="even" r:id="rId32"/>
          <w:headerReference w:type="default" r:id="rId33"/>
          <w:headerReference w:type="first" r:id="rId34"/>
          <w:pgSz w:w="16838" w:h="11906" w:orient="landscape" w:code="9"/>
          <w:pgMar w:top="1440" w:right="1440" w:bottom="1440" w:left="1440" w:header="720" w:footer="720" w:gutter="0"/>
          <w:cols w:space="720"/>
          <w:titlePg/>
          <w:docGrid w:linePitch="360"/>
        </w:sectPr>
      </w:pPr>
    </w:p>
    <w:p w14:paraId="3FD4BFF7" w14:textId="77777777" w:rsidR="006E1ED0" w:rsidRPr="00CD0FE9" w:rsidRDefault="006E1ED0" w:rsidP="006E1ED0">
      <w:pPr>
        <w:spacing w:after="0" w:line="240" w:lineRule="auto"/>
        <w:jc w:val="right"/>
        <w:rPr>
          <w:rFonts w:cs="Arial"/>
          <w:b/>
          <w:bCs/>
          <w:caps/>
          <w:lang w:val="fr-FR"/>
        </w:rPr>
      </w:pPr>
      <w:r>
        <w:rPr>
          <w:rFonts w:cs="Arial"/>
          <w:b/>
          <w:caps/>
          <w:lang w:val="fr-FR"/>
        </w:rPr>
        <w:lastRenderedPageBreak/>
        <w:t>Annexe 2</w:t>
      </w:r>
    </w:p>
    <w:p w14:paraId="5FD53840" w14:textId="77777777" w:rsidR="006E1ED0" w:rsidRDefault="006E1ED0" w:rsidP="006E1ED0">
      <w:pPr>
        <w:spacing w:after="0" w:line="240" w:lineRule="auto"/>
        <w:rPr>
          <w:rFonts w:cs="Arial"/>
          <w:lang w:val="fr-FR"/>
        </w:rPr>
      </w:pPr>
    </w:p>
    <w:p w14:paraId="27F7AF79" w14:textId="77777777" w:rsidR="00885D66" w:rsidRPr="00CD0FE9" w:rsidRDefault="00885D66" w:rsidP="006E1ED0">
      <w:pPr>
        <w:spacing w:after="0" w:line="240" w:lineRule="auto"/>
        <w:rPr>
          <w:rFonts w:cs="Arial"/>
          <w:lang w:val="fr-FR"/>
        </w:rPr>
      </w:pPr>
    </w:p>
    <w:p w14:paraId="11DBE112" w14:textId="7416754B" w:rsidR="006E1ED0" w:rsidRDefault="006E1ED0" w:rsidP="006E1ED0">
      <w:pPr>
        <w:spacing w:after="0" w:line="240" w:lineRule="auto"/>
        <w:jc w:val="center"/>
        <w:rPr>
          <w:rFonts w:cs="Arial"/>
          <w:lang w:val="fr-FR"/>
        </w:rPr>
      </w:pPr>
      <w:r>
        <w:rPr>
          <w:rFonts w:cs="Arial"/>
          <w:lang w:val="fr-FR"/>
        </w:rPr>
        <w:t>PROJET DE DÉCISION</w:t>
      </w:r>
      <w:r w:rsidR="000D7FCD">
        <w:rPr>
          <w:rFonts w:cs="Arial"/>
          <w:lang w:val="fr-FR"/>
        </w:rPr>
        <w:t>S</w:t>
      </w:r>
    </w:p>
    <w:p w14:paraId="3B561FA5" w14:textId="77777777" w:rsidR="006E1ED0" w:rsidRPr="00CD0FE9" w:rsidRDefault="006E1ED0" w:rsidP="006E1ED0">
      <w:pPr>
        <w:spacing w:after="0" w:line="240" w:lineRule="auto"/>
        <w:jc w:val="center"/>
        <w:rPr>
          <w:rFonts w:cs="Arial"/>
          <w:lang w:val="fr-FR"/>
        </w:rPr>
      </w:pPr>
    </w:p>
    <w:p w14:paraId="7208C7F1" w14:textId="04DB84C2" w:rsidR="006E1ED0" w:rsidRPr="00E56D26" w:rsidRDefault="006E1ED0" w:rsidP="006E1ED0">
      <w:pPr>
        <w:widowControl w:val="0"/>
        <w:autoSpaceDE w:val="0"/>
        <w:autoSpaceDN w:val="0"/>
        <w:adjustRightInd w:val="0"/>
        <w:spacing w:after="0" w:line="240" w:lineRule="auto"/>
        <w:jc w:val="center"/>
        <w:rPr>
          <w:rFonts w:eastAsia="Times New Roman" w:cs="Arial"/>
          <w:b/>
          <w:bCs/>
          <w:caps/>
          <w:lang w:val="fr-FR"/>
        </w:rPr>
      </w:pPr>
      <w:r>
        <w:rPr>
          <w:rFonts w:eastAsia="Times New Roman" w:cs="Arial"/>
          <w:b/>
          <w:bCs/>
          <w:caps/>
          <w:lang w:val="fr-FR"/>
        </w:rPr>
        <w:t xml:space="preserve">Orientations concernant LA CRÉATION D'UNE LISTE CONSULTATIVE D'ESPÈCES AGRÉGÉES PAR FAMILLES ET GENRES </w:t>
      </w:r>
      <w:r w:rsidR="000D7FCD">
        <w:rPr>
          <w:rFonts w:eastAsia="Times New Roman" w:cs="Arial"/>
          <w:b/>
          <w:bCs/>
          <w:caps/>
          <w:lang w:val="fr-FR"/>
        </w:rPr>
        <w:t>INSCRITES</w:t>
      </w:r>
      <w:r>
        <w:rPr>
          <w:rFonts w:eastAsia="Times New Roman" w:cs="Arial"/>
          <w:b/>
          <w:bCs/>
          <w:caps/>
          <w:lang w:val="fr-FR"/>
        </w:rPr>
        <w:t xml:space="preserve"> À L'ANNEXE II</w:t>
      </w:r>
    </w:p>
    <w:p w14:paraId="55EB61EF" w14:textId="77777777" w:rsidR="006E1ED0" w:rsidRPr="00E56D26" w:rsidRDefault="006E1ED0" w:rsidP="006E1ED0">
      <w:pPr>
        <w:widowControl w:val="0"/>
        <w:autoSpaceDE w:val="0"/>
        <w:autoSpaceDN w:val="0"/>
        <w:adjustRightInd w:val="0"/>
        <w:spacing w:after="0" w:line="240" w:lineRule="auto"/>
        <w:jc w:val="center"/>
        <w:rPr>
          <w:rFonts w:eastAsia="Times New Roman" w:cs="Arial"/>
          <w:b/>
          <w:bCs/>
          <w:caps/>
          <w:lang w:val="fr-FR"/>
        </w:rPr>
      </w:pPr>
    </w:p>
    <w:p w14:paraId="4218F18E" w14:textId="77777777" w:rsidR="006E1ED0" w:rsidRPr="00CD0FE9" w:rsidRDefault="006E1ED0" w:rsidP="006E1ED0">
      <w:pPr>
        <w:spacing w:after="0" w:line="240" w:lineRule="auto"/>
        <w:jc w:val="both"/>
        <w:rPr>
          <w:rFonts w:cs="Arial"/>
          <w:lang w:val="fr-FR"/>
        </w:rPr>
      </w:pPr>
    </w:p>
    <w:p w14:paraId="51F7A55C" w14:textId="338C20B6" w:rsidR="006E1ED0" w:rsidRPr="00CD0FE9" w:rsidRDefault="000D7FCD" w:rsidP="006E1ED0">
      <w:pPr>
        <w:spacing w:after="0" w:line="240" w:lineRule="auto"/>
        <w:jc w:val="both"/>
        <w:rPr>
          <w:rFonts w:cs="Arial"/>
          <w:b/>
          <w:i/>
          <w:lang w:val="fr-FR"/>
        </w:rPr>
      </w:pPr>
      <w:r>
        <w:rPr>
          <w:rFonts w:cs="Arial"/>
          <w:b/>
          <w:i/>
          <w:lang w:val="fr-FR"/>
        </w:rPr>
        <w:t xml:space="preserve">Adressée aux </w:t>
      </w:r>
      <w:r w:rsidR="006E1ED0">
        <w:rPr>
          <w:rFonts w:cs="Arial"/>
          <w:b/>
          <w:i/>
          <w:lang w:val="fr-FR"/>
        </w:rPr>
        <w:t xml:space="preserve">Parties </w:t>
      </w:r>
    </w:p>
    <w:p w14:paraId="248F8CEC" w14:textId="77777777" w:rsidR="006E1ED0" w:rsidRPr="00CD0FE9" w:rsidRDefault="006E1ED0" w:rsidP="006E1ED0">
      <w:pPr>
        <w:spacing w:after="0" w:line="240" w:lineRule="auto"/>
        <w:jc w:val="both"/>
        <w:rPr>
          <w:rFonts w:cs="Arial"/>
          <w:lang w:val="fr-FR"/>
        </w:rPr>
      </w:pPr>
    </w:p>
    <w:p w14:paraId="321DECB0" w14:textId="309C220C" w:rsidR="006E1ED0" w:rsidRPr="00CD0FE9" w:rsidRDefault="006E1ED0" w:rsidP="006E1ED0">
      <w:pPr>
        <w:spacing w:after="0" w:line="240" w:lineRule="auto"/>
        <w:ind w:left="851" w:hanging="851"/>
        <w:jc w:val="both"/>
        <w:rPr>
          <w:rFonts w:cs="Arial"/>
          <w:iCs/>
          <w:lang w:val="fr-FR"/>
        </w:rPr>
      </w:pPr>
      <w:r>
        <w:rPr>
          <w:rFonts w:cs="Arial"/>
          <w:lang w:val="fr-FR"/>
        </w:rPr>
        <w:t>14.AA</w:t>
      </w:r>
      <w:r>
        <w:rPr>
          <w:rFonts w:cs="Arial"/>
          <w:lang w:val="fr-FR"/>
        </w:rPr>
        <w:tab/>
      </w:r>
      <w:r>
        <w:rPr>
          <w:rFonts w:cs="Arial"/>
          <w:iCs/>
          <w:lang w:val="fr-FR"/>
        </w:rPr>
        <w:t xml:space="preserve"> Les Parties sont invitées à </w:t>
      </w:r>
      <w:r>
        <w:rPr>
          <w:rFonts w:cs="Arial"/>
          <w:lang w:val="fr-FR"/>
        </w:rPr>
        <w:t xml:space="preserve">utiliser la liste annexée à la Résolution 14.xx pour les aider à rédiger leur rapport national sur les espèces pour lesquelles elles constituent un État de l'aire de répartition. </w:t>
      </w:r>
    </w:p>
    <w:p w14:paraId="410DE332" w14:textId="77777777" w:rsidR="006E1ED0" w:rsidRPr="0099380E" w:rsidRDefault="006E1ED0" w:rsidP="006E1ED0">
      <w:pPr>
        <w:widowControl w:val="0"/>
        <w:autoSpaceDE w:val="0"/>
        <w:autoSpaceDN w:val="0"/>
        <w:adjustRightInd w:val="0"/>
        <w:spacing w:after="0" w:line="240" w:lineRule="auto"/>
        <w:jc w:val="both"/>
        <w:rPr>
          <w:rFonts w:eastAsia="Times New Roman" w:cs="Arial"/>
          <w:iCs/>
          <w:lang w:val="fr-FR"/>
        </w:rPr>
      </w:pPr>
    </w:p>
    <w:p w14:paraId="4CD1C50A" w14:textId="77777777" w:rsidR="006E1ED0" w:rsidRPr="00CD0FE9" w:rsidRDefault="006E1ED0" w:rsidP="006E1ED0">
      <w:pPr>
        <w:widowControl w:val="0"/>
        <w:autoSpaceDE w:val="0"/>
        <w:autoSpaceDN w:val="0"/>
        <w:adjustRightInd w:val="0"/>
        <w:spacing w:after="0" w:line="240" w:lineRule="auto"/>
        <w:jc w:val="both"/>
        <w:rPr>
          <w:rFonts w:cs="Arial"/>
          <w:lang w:val="fr-FR"/>
        </w:rPr>
      </w:pPr>
    </w:p>
    <w:p w14:paraId="2680DC3D" w14:textId="2F61C4DA" w:rsidR="006E1ED0" w:rsidRPr="00CD0FE9" w:rsidRDefault="000D7FCD" w:rsidP="006E1ED0">
      <w:pPr>
        <w:spacing w:after="0" w:line="240" w:lineRule="auto"/>
        <w:jc w:val="both"/>
        <w:rPr>
          <w:rFonts w:cs="Arial"/>
          <w:lang w:val="fr-FR"/>
        </w:rPr>
      </w:pPr>
      <w:r>
        <w:rPr>
          <w:rFonts w:cs="Arial"/>
          <w:b/>
          <w:i/>
          <w:lang w:val="fr-FR"/>
        </w:rPr>
        <w:t>Adressée au</w:t>
      </w:r>
      <w:r w:rsidR="006E1ED0">
        <w:rPr>
          <w:rFonts w:cs="Arial"/>
          <w:b/>
          <w:i/>
          <w:lang w:val="fr-FR"/>
        </w:rPr>
        <w:t xml:space="preserve"> Conseil scientifique </w:t>
      </w:r>
    </w:p>
    <w:p w14:paraId="388DCE34" w14:textId="77777777" w:rsidR="006E1ED0" w:rsidRPr="00CD0FE9" w:rsidRDefault="006E1ED0" w:rsidP="006E1ED0">
      <w:pPr>
        <w:spacing w:after="0" w:line="240" w:lineRule="auto"/>
        <w:jc w:val="both"/>
        <w:rPr>
          <w:rFonts w:cs="Arial"/>
          <w:lang w:val="fr-FR"/>
        </w:rPr>
      </w:pPr>
    </w:p>
    <w:p w14:paraId="332C63A7" w14:textId="6C249EA2" w:rsidR="006E1ED0" w:rsidRPr="00CD0FE9" w:rsidRDefault="006E1ED0" w:rsidP="006E1ED0">
      <w:pPr>
        <w:spacing w:after="0" w:line="240" w:lineRule="auto"/>
        <w:ind w:left="851" w:hanging="851"/>
        <w:jc w:val="both"/>
        <w:rPr>
          <w:rFonts w:cs="Arial"/>
          <w:lang w:val="fr-FR"/>
        </w:rPr>
      </w:pPr>
      <w:r>
        <w:rPr>
          <w:rFonts w:cs="Arial"/>
          <w:lang w:val="fr-FR"/>
        </w:rPr>
        <w:t>14.</w:t>
      </w:r>
      <w:r w:rsidR="00445019">
        <w:rPr>
          <w:rFonts w:cs="Arial"/>
          <w:lang w:val="fr-FR"/>
        </w:rPr>
        <w:t>BB</w:t>
      </w:r>
      <w:r>
        <w:rPr>
          <w:rFonts w:cs="Arial"/>
          <w:lang w:val="fr-FR"/>
        </w:rPr>
        <w:tab/>
        <w:t xml:space="preserve">Le Conseil scientifique, sous réserve de la disponibilité des ressources, est </w:t>
      </w:r>
      <w:r w:rsidR="00445019">
        <w:rPr>
          <w:rFonts w:cs="Arial"/>
          <w:lang w:val="fr-FR"/>
        </w:rPr>
        <w:t>prié</w:t>
      </w:r>
      <w:r>
        <w:rPr>
          <w:rFonts w:cs="Arial"/>
          <w:lang w:val="fr-FR"/>
        </w:rPr>
        <w:t xml:space="preserve"> :</w:t>
      </w:r>
    </w:p>
    <w:p w14:paraId="48F7D170" w14:textId="77777777" w:rsidR="006E1ED0" w:rsidRPr="00CD0FE9" w:rsidRDefault="006E1ED0" w:rsidP="006E1ED0">
      <w:pPr>
        <w:spacing w:after="0" w:line="240" w:lineRule="auto"/>
        <w:ind w:left="720" w:hanging="720"/>
        <w:jc w:val="both"/>
        <w:rPr>
          <w:rFonts w:cs="Arial"/>
          <w:lang w:val="fr-FR"/>
        </w:rPr>
      </w:pPr>
    </w:p>
    <w:p w14:paraId="662A925F" w14:textId="4A3E008E" w:rsidR="006E1ED0" w:rsidRDefault="00445019" w:rsidP="006E1ED0">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de m</w:t>
      </w:r>
      <w:r w:rsidR="006E1ED0">
        <w:rPr>
          <w:rFonts w:cs="Arial"/>
          <w:lang w:val="fr-FR"/>
        </w:rPr>
        <w:t xml:space="preserve">ettre à jour la liste annexée à la Résolution 14.xx, qui fournit des </w:t>
      </w:r>
      <w:r w:rsidR="00E603EE">
        <w:rPr>
          <w:rFonts w:cs="Arial"/>
          <w:lang w:val="fr-FR"/>
        </w:rPr>
        <w:t>conseils</w:t>
      </w:r>
      <w:r w:rsidR="006E1ED0">
        <w:rPr>
          <w:rFonts w:cs="Arial"/>
          <w:lang w:val="fr-FR"/>
        </w:rPr>
        <w:t xml:space="preserve"> sur </w:t>
      </w:r>
      <w:r w:rsidR="006E1ED0">
        <w:rPr>
          <w:rFonts w:eastAsia="Times New Roman" w:cs="Arial"/>
          <w:iCs/>
          <w:lang w:val="fr-FR"/>
        </w:rPr>
        <w:t xml:space="preserve">les espèces dans des familles agrégées dont une </w:t>
      </w:r>
      <w:r w:rsidR="006E1ED0">
        <w:rPr>
          <w:lang w:val="fr-FR"/>
        </w:rPr>
        <w:t>fraction importante franchit cycliquement et de façon prévisible une ou plusieurs des limites de juridiction nationale et dont l'état de conservation est défavorable</w:t>
      </w:r>
      <w:r w:rsidR="006E1ED0">
        <w:rPr>
          <w:rFonts w:cs="Arial"/>
          <w:lang w:val="fr-FR"/>
        </w:rPr>
        <w:t>;</w:t>
      </w:r>
    </w:p>
    <w:p w14:paraId="0A3E3ACE" w14:textId="77777777" w:rsidR="006E1ED0" w:rsidRPr="00CD0FE9" w:rsidRDefault="006E1ED0" w:rsidP="006E1ED0">
      <w:pPr>
        <w:spacing w:after="0" w:line="240" w:lineRule="auto"/>
        <w:ind w:left="1418" w:hanging="567"/>
        <w:jc w:val="both"/>
        <w:rPr>
          <w:rFonts w:cs="Arial"/>
          <w:lang w:val="fr-FR"/>
        </w:rPr>
      </w:pPr>
    </w:p>
    <w:p w14:paraId="1062A0B8" w14:textId="6D0F480D" w:rsidR="006E1ED0" w:rsidRDefault="00445019" w:rsidP="006E1ED0">
      <w:pPr>
        <w:widowControl w:val="0"/>
        <w:numPr>
          <w:ilvl w:val="0"/>
          <w:numId w:val="15"/>
        </w:numPr>
        <w:autoSpaceDE w:val="0"/>
        <w:autoSpaceDN w:val="0"/>
        <w:adjustRightInd w:val="0"/>
        <w:spacing w:after="0" w:line="240" w:lineRule="auto"/>
        <w:ind w:left="1418" w:hanging="567"/>
        <w:jc w:val="both"/>
        <w:rPr>
          <w:rFonts w:cs="Arial"/>
          <w:lang w:val="fr-FR"/>
        </w:rPr>
      </w:pPr>
      <w:r>
        <w:rPr>
          <w:rFonts w:cs="Arial"/>
          <w:lang w:val="fr-FR"/>
        </w:rPr>
        <w:t xml:space="preserve">de </w:t>
      </w:r>
      <w:r w:rsidR="006E1ED0">
        <w:rPr>
          <w:rFonts w:cs="Arial"/>
          <w:lang w:val="fr-FR"/>
        </w:rPr>
        <w:t>rend</w:t>
      </w:r>
      <w:r>
        <w:rPr>
          <w:rFonts w:cs="Arial"/>
          <w:lang w:val="fr-FR"/>
        </w:rPr>
        <w:t>re</w:t>
      </w:r>
      <w:r w:rsidR="006E1ED0">
        <w:rPr>
          <w:rFonts w:cs="Arial"/>
          <w:lang w:val="fr-FR"/>
        </w:rPr>
        <w:t xml:space="preserve"> compte des progrès accomplis dans la mise en œuvre de la présente décision lors de la 15</w:t>
      </w:r>
      <w:r w:rsidR="006E1ED0">
        <w:rPr>
          <w:rFonts w:cs="Arial"/>
          <w:vertAlign w:val="superscript"/>
          <w:lang w:val="fr-FR"/>
        </w:rPr>
        <w:t>e</w:t>
      </w:r>
      <w:r w:rsidR="006E1ED0">
        <w:rPr>
          <w:rFonts w:cs="Arial"/>
          <w:lang w:val="fr-FR"/>
        </w:rPr>
        <w:t xml:space="preserve"> Session de la Conférence des Parties.</w:t>
      </w:r>
    </w:p>
    <w:p w14:paraId="0112C4F0" w14:textId="77777777" w:rsidR="006E1ED0" w:rsidRDefault="006E1ED0" w:rsidP="00445019">
      <w:pPr>
        <w:widowControl w:val="0"/>
        <w:autoSpaceDE w:val="0"/>
        <w:autoSpaceDN w:val="0"/>
        <w:adjustRightInd w:val="0"/>
        <w:spacing w:after="0" w:line="240" w:lineRule="auto"/>
        <w:jc w:val="both"/>
        <w:rPr>
          <w:rFonts w:cs="Arial"/>
          <w:lang w:val="fr-FR"/>
        </w:rPr>
      </w:pPr>
    </w:p>
    <w:p w14:paraId="79D44C41" w14:textId="77777777" w:rsidR="00445019" w:rsidRPr="00CD0FE9" w:rsidRDefault="00445019" w:rsidP="00445019">
      <w:pPr>
        <w:widowControl w:val="0"/>
        <w:autoSpaceDE w:val="0"/>
        <w:autoSpaceDN w:val="0"/>
        <w:adjustRightInd w:val="0"/>
        <w:spacing w:after="0" w:line="240" w:lineRule="auto"/>
        <w:jc w:val="both"/>
        <w:rPr>
          <w:rFonts w:cs="Arial"/>
          <w:lang w:val="fr-FR"/>
        </w:rPr>
      </w:pPr>
    </w:p>
    <w:p w14:paraId="4819E76E" w14:textId="207FFD96" w:rsidR="006E1ED0" w:rsidRPr="00CD0FE9" w:rsidRDefault="000D7FCD" w:rsidP="006E1ED0">
      <w:pPr>
        <w:spacing w:after="0" w:line="240" w:lineRule="auto"/>
        <w:jc w:val="both"/>
        <w:rPr>
          <w:rFonts w:cs="Arial"/>
          <w:b/>
          <w:i/>
          <w:lang w:val="fr-FR"/>
        </w:rPr>
      </w:pPr>
      <w:r>
        <w:rPr>
          <w:rFonts w:cs="Arial"/>
          <w:b/>
          <w:i/>
          <w:lang w:val="fr-FR"/>
        </w:rPr>
        <w:t>Adressée au</w:t>
      </w:r>
      <w:r w:rsidR="006E1ED0">
        <w:rPr>
          <w:rFonts w:cs="Arial"/>
          <w:b/>
          <w:i/>
          <w:lang w:val="fr-FR"/>
        </w:rPr>
        <w:t xml:space="preserve"> Secrétariat</w:t>
      </w:r>
    </w:p>
    <w:p w14:paraId="24D0424D" w14:textId="77777777" w:rsidR="006E1ED0" w:rsidRPr="00CD0FE9" w:rsidRDefault="006E1ED0" w:rsidP="006E1ED0">
      <w:pPr>
        <w:spacing w:after="0" w:line="240" w:lineRule="auto"/>
        <w:jc w:val="both"/>
        <w:rPr>
          <w:rFonts w:cs="Arial"/>
          <w:lang w:val="fr-FR"/>
        </w:rPr>
      </w:pPr>
    </w:p>
    <w:p w14:paraId="648C5305" w14:textId="798F4FDE" w:rsidR="006E1ED0" w:rsidRPr="00CD0FE9" w:rsidRDefault="006E1ED0" w:rsidP="006E1ED0">
      <w:pPr>
        <w:spacing w:after="0" w:line="240" w:lineRule="auto"/>
        <w:ind w:left="851" w:hanging="851"/>
        <w:jc w:val="both"/>
        <w:rPr>
          <w:rFonts w:cs="Arial"/>
          <w:iCs/>
          <w:lang w:val="fr-FR"/>
        </w:rPr>
      </w:pPr>
      <w:r>
        <w:rPr>
          <w:rFonts w:cs="Arial"/>
          <w:lang w:val="fr-FR"/>
        </w:rPr>
        <w:t>14.</w:t>
      </w:r>
      <w:r w:rsidR="00445019">
        <w:rPr>
          <w:rFonts w:cs="Arial"/>
          <w:lang w:val="fr-FR"/>
        </w:rPr>
        <w:t>CC</w:t>
      </w:r>
      <w:r>
        <w:rPr>
          <w:rFonts w:cs="Arial"/>
          <w:lang w:val="fr-FR"/>
        </w:rPr>
        <w:tab/>
        <w:t xml:space="preserve">Le Secrétariat informera les Parties de l'existence de la liste annexée à la Résolution 14.xx lors de la préparation des rapports nationaux. </w:t>
      </w:r>
    </w:p>
    <w:p w14:paraId="7659D8DB" w14:textId="77777777" w:rsidR="006E1ED0" w:rsidRDefault="006E1ED0" w:rsidP="006E1ED0">
      <w:pPr>
        <w:widowControl w:val="0"/>
        <w:autoSpaceDE w:val="0"/>
        <w:autoSpaceDN w:val="0"/>
        <w:adjustRightInd w:val="0"/>
        <w:spacing w:after="0" w:line="240" w:lineRule="auto"/>
        <w:jc w:val="both"/>
        <w:rPr>
          <w:rFonts w:cs="Arial"/>
          <w:lang w:val="fr-FR"/>
        </w:rPr>
      </w:pPr>
    </w:p>
    <w:p w14:paraId="14E5E3FF" w14:textId="77777777" w:rsidR="00480892" w:rsidRPr="000B22FB" w:rsidRDefault="00480892" w:rsidP="00B876E1">
      <w:pPr>
        <w:widowControl w:val="0"/>
        <w:autoSpaceDE w:val="0"/>
        <w:autoSpaceDN w:val="0"/>
        <w:adjustRightInd w:val="0"/>
        <w:spacing w:after="0" w:line="240" w:lineRule="auto"/>
        <w:jc w:val="both"/>
        <w:rPr>
          <w:rFonts w:cs="Arial"/>
          <w:lang w:val="fr-FR"/>
        </w:rPr>
      </w:pPr>
    </w:p>
    <w:sectPr w:rsidR="00480892" w:rsidRPr="000B22FB" w:rsidSect="00C41EAC">
      <w:headerReference w:type="first" r:id="rId3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A596" w14:textId="77777777" w:rsidR="002E61B8" w:rsidRDefault="002E61B8" w:rsidP="002E0DE9">
      <w:pPr>
        <w:spacing w:after="0" w:line="240" w:lineRule="auto"/>
        <w:rPr>
          <w:lang w:val="fr-FR"/>
        </w:rPr>
      </w:pPr>
      <w:r>
        <w:rPr>
          <w:lang w:val="fr-FR"/>
        </w:rPr>
        <w:separator/>
      </w:r>
    </w:p>
  </w:endnote>
  <w:endnote w:type="continuationSeparator" w:id="0">
    <w:p w14:paraId="49DBCE2A" w14:textId="77777777" w:rsidR="002E61B8" w:rsidRDefault="002E61B8" w:rsidP="002E0DE9">
      <w:pPr>
        <w:spacing w:after="0" w:line="240" w:lineRule="auto"/>
        <w:rPr>
          <w:lang w:val="fr-FR"/>
        </w:rPr>
      </w:pPr>
      <w:r>
        <w:rPr>
          <w:lang w:val="fr-FR"/>
        </w:rPr>
        <w:continuationSeparator/>
      </w:r>
    </w:p>
  </w:endnote>
  <w:endnote w:type="continuationNotice" w:id="1">
    <w:p w14:paraId="3FE8A2D0" w14:textId="77777777" w:rsidR="002E61B8" w:rsidRDefault="002E61B8">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66DF" w14:textId="77777777" w:rsidR="00E603EE" w:rsidRDefault="00E60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46DE" w14:textId="77777777" w:rsidR="00E603EE" w:rsidRDefault="00E603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73048270"/>
      <w:docPartObj>
        <w:docPartGallery w:val="Page Numbers (Bottom of Page)"/>
        <w:docPartUnique/>
      </w:docPartObj>
    </w:sdtPr>
    <w:sdtEndPr>
      <w:rPr>
        <w:noProof/>
      </w:rPr>
    </w:sdtEndPr>
    <w:sdtContent>
      <w:p w14:paraId="1B9A0CB1" w14:textId="327E0D00" w:rsidR="00B3027D" w:rsidRPr="00B3027D" w:rsidRDefault="00B3027D" w:rsidP="00B3027D">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83978047"/>
      <w:docPartObj>
        <w:docPartGallery w:val="Page Numbers (Bottom of Page)"/>
        <w:docPartUnique/>
      </w:docPartObj>
    </w:sdtPr>
    <w:sdtEndPr>
      <w:rPr>
        <w:noProof/>
      </w:rPr>
    </w:sdtEndPr>
    <w:sdtContent>
      <w:p w14:paraId="31E8F66F" w14:textId="4978C5B2" w:rsidR="00B3027D" w:rsidRPr="00B3027D" w:rsidRDefault="00B3027D" w:rsidP="00B3027D">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326F" w14:textId="77777777" w:rsidR="002E61B8" w:rsidRDefault="002E61B8" w:rsidP="002E0DE9">
      <w:pPr>
        <w:spacing w:after="0" w:line="240" w:lineRule="auto"/>
        <w:rPr>
          <w:lang w:val="fr-FR"/>
        </w:rPr>
      </w:pPr>
      <w:r>
        <w:rPr>
          <w:lang w:val="fr-FR"/>
        </w:rPr>
        <w:separator/>
      </w:r>
    </w:p>
  </w:footnote>
  <w:footnote w:type="continuationSeparator" w:id="0">
    <w:p w14:paraId="2BEAAA19" w14:textId="77777777" w:rsidR="002E61B8" w:rsidRDefault="002E61B8" w:rsidP="002E0DE9">
      <w:pPr>
        <w:spacing w:after="0" w:line="240" w:lineRule="auto"/>
        <w:rPr>
          <w:lang w:val="fr-FR"/>
        </w:rPr>
      </w:pPr>
      <w:r>
        <w:rPr>
          <w:lang w:val="fr-FR"/>
        </w:rPr>
        <w:continuationSeparator/>
      </w:r>
    </w:p>
  </w:footnote>
  <w:footnote w:type="continuationNotice" w:id="1">
    <w:p w14:paraId="76D3C98D" w14:textId="77777777" w:rsidR="002E61B8" w:rsidRDefault="002E61B8">
      <w:pPr>
        <w:spacing w:after="0" w:line="240" w:lineRule="auto"/>
        <w:rPr>
          <w:lang w:val="fr-FR"/>
        </w:rPr>
      </w:pPr>
    </w:p>
  </w:footnote>
  <w:footnote w:id="2">
    <w:p w14:paraId="414CB122" w14:textId="38680F4D" w:rsidR="003F67BD" w:rsidRPr="00B3027D" w:rsidRDefault="003F67BD" w:rsidP="00DC31DF">
      <w:pPr>
        <w:pStyle w:val="FootnoteText"/>
        <w:spacing w:after="120"/>
        <w:ind w:left="142" w:hanging="142"/>
        <w:rPr>
          <w:sz w:val="16"/>
          <w:szCs w:val="16"/>
          <w:lang w:val="fr-FR"/>
        </w:rPr>
      </w:pPr>
      <w:r>
        <w:rPr>
          <w:rStyle w:val="FootnoteReference"/>
          <w:sz w:val="16"/>
          <w:szCs w:val="16"/>
          <w:lang w:val="fr-FR"/>
        </w:rPr>
        <w:footnoteRef/>
      </w:r>
      <w:r>
        <w:rPr>
          <w:sz w:val="16"/>
          <w:szCs w:val="16"/>
          <w:lang w:val="fr-FR"/>
        </w:rPr>
        <w:t xml:space="preserve"> Paragraphe 552 du rapport de la réunion de la COP13 ; </w:t>
      </w:r>
      <w:hyperlink r:id="rId1" w:history="1">
        <w:r w:rsidR="00604A87">
          <w:rPr>
            <w:rStyle w:val="Hyperlink"/>
            <w:sz w:val="16"/>
            <w:szCs w:val="16"/>
            <w:lang w:val="fr-FR"/>
          </w:rPr>
          <w:t>https://www.cms.int/fr/node/20909</w:t>
        </w:r>
      </w:hyperlink>
      <w:r>
        <w:rPr>
          <w:sz w:val="16"/>
          <w:szCs w:val="16"/>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E83E" w14:textId="05430A4E" w:rsidR="00885D66" w:rsidRPr="0076207D" w:rsidRDefault="00885D66" w:rsidP="00885D66">
    <w:pPr>
      <w:pStyle w:val="Header"/>
      <w:pBdr>
        <w:bottom w:val="single" w:sz="4" w:space="1" w:color="auto"/>
      </w:pBdr>
      <w:ind w:left="-567"/>
      <w:jc w:val="right"/>
      <w:rPr>
        <w:i/>
        <w:sz w:val="18"/>
      </w:rPr>
    </w:pPr>
    <w:r>
      <w:rPr>
        <w:i/>
        <w:sz w:val="18"/>
      </w:rPr>
      <w:t>UNEP/CMS/COP14/Doc.31.2/</w:t>
    </w:r>
    <w:r w:rsidR="00E603EE">
      <w:rPr>
        <w:i/>
        <w:sz w:val="18"/>
      </w:rPr>
      <w:t>Rev.1/</w:t>
    </w:r>
    <w:r>
      <w:rPr>
        <w:i/>
        <w:sz w:val="18"/>
      </w:rPr>
      <w:t>Annex</w:t>
    </w:r>
    <w:r w:rsidR="00C41EAC">
      <w:rPr>
        <w:i/>
        <w:sz w:val="18"/>
      </w:rPr>
      <w:t>e</w:t>
    </w:r>
    <w:r>
      <w:rPr>
        <w:i/>
        <w:sz w:val="18"/>
      </w:rPr>
      <w:t xml:space="preserve"> 1</w:t>
    </w:r>
  </w:p>
  <w:p w14:paraId="4FC14C38" w14:textId="77777777" w:rsidR="00885D66" w:rsidRPr="002E0DE9" w:rsidRDefault="00885D66"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FE17" w14:textId="1D84F6BF" w:rsidR="00885D66" w:rsidRPr="0076207D" w:rsidRDefault="00885D66" w:rsidP="00E95DFF">
    <w:pPr>
      <w:pStyle w:val="Header"/>
      <w:pBdr>
        <w:bottom w:val="single" w:sz="4" w:space="1" w:color="auto"/>
      </w:pBdr>
      <w:rPr>
        <w:i/>
        <w:sz w:val="18"/>
      </w:rPr>
    </w:pPr>
    <w:r>
      <w:rPr>
        <w:i/>
        <w:sz w:val="18"/>
      </w:rPr>
      <w:t>UNEP/CMS/COP14/Doc.31.2/</w:t>
    </w:r>
    <w:r w:rsidR="00E603EE">
      <w:rPr>
        <w:i/>
        <w:sz w:val="18"/>
      </w:rPr>
      <w:t>Rev.1/</w:t>
    </w:r>
    <w:r>
      <w:rPr>
        <w:i/>
        <w:sz w:val="18"/>
      </w:rPr>
      <w:t>Annex 2</w:t>
    </w:r>
  </w:p>
  <w:p w14:paraId="5FAF88AD" w14:textId="77777777" w:rsidR="00885D66" w:rsidRPr="002E0DE9" w:rsidRDefault="00885D66"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40E83FBC" w:rsidR="002E0DE9" w:rsidRPr="002E0DE9" w:rsidRDefault="002E0DE9" w:rsidP="002E0DE9">
    <w:pPr>
      <w:pStyle w:val="Header"/>
      <w:pBdr>
        <w:bottom w:val="single" w:sz="4" w:space="1" w:color="auto"/>
      </w:pBdr>
      <w:rPr>
        <w:i/>
        <w:sz w:val="18"/>
        <w:szCs w:val="18"/>
      </w:rPr>
    </w:pPr>
    <w:r>
      <w:rPr>
        <w:rFonts w:eastAsia="Times New Roman" w:cs="Arial"/>
        <w:i/>
        <w:sz w:val="18"/>
        <w:szCs w:val="18"/>
      </w:rPr>
      <w:t>UNEP/CMS/COP14/Doc.31.2/Annex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64FA" w14:textId="269758AB" w:rsidR="00541224" w:rsidRPr="00EC2A58" w:rsidRDefault="00541224" w:rsidP="00541224">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58242" behindDoc="0" locked="0" layoutInCell="1" allowOverlap="1" wp14:anchorId="626D0F1B" wp14:editId="0CE97426">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7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8240" behindDoc="0" locked="0" layoutInCell="1" allowOverlap="1" wp14:anchorId="73199A83" wp14:editId="38498315">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80"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58241" behindDoc="0" locked="0" layoutInCell="1" allowOverlap="1" wp14:anchorId="7736A141" wp14:editId="05D538A6">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BCEAA6E" w14:textId="77777777" w:rsidR="00541224" w:rsidRDefault="00541224" w:rsidP="00541224">
    <w:pPr>
      <w:pStyle w:val="Header"/>
    </w:pPr>
  </w:p>
  <w:p w14:paraId="6645AC3B" w14:textId="77777777" w:rsidR="00541224" w:rsidRDefault="005412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3B9FFC20" w:rsidR="00371DE1" w:rsidRPr="00E603EE" w:rsidRDefault="00371DE1" w:rsidP="00371DE1">
    <w:pPr>
      <w:pStyle w:val="Header"/>
      <w:pBdr>
        <w:bottom w:val="single" w:sz="4" w:space="1" w:color="auto"/>
      </w:pBdr>
      <w:rPr>
        <w:i/>
        <w:sz w:val="18"/>
        <w:lang w:val="en-US"/>
      </w:rPr>
    </w:pPr>
    <w:r w:rsidRPr="00E603EE">
      <w:rPr>
        <w:i/>
        <w:sz w:val="18"/>
        <w:lang w:val="en-US"/>
      </w:rPr>
      <w:t>UNEP/CMS/COP14/Doc.31.2</w:t>
    </w:r>
    <w:r w:rsidR="00E603EE" w:rsidRPr="00E603EE">
      <w:rPr>
        <w:i/>
        <w:sz w:val="18"/>
        <w:lang w:val="en-US"/>
      </w:rPr>
      <w:t>/Rev</w:t>
    </w:r>
    <w:r w:rsidR="00E603EE">
      <w:rPr>
        <w:i/>
        <w:sz w:val="18"/>
        <w:lang w:val="en-US"/>
      </w:rPr>
      <w:t>.1</w:t>
    </w:r>
  </w:p>
  <w:p w14:paraId="66849521" w14:textId="77777777" w:rsidR="00371DE1" w:rsidRPr="00E603EE" w:rsidRDefault="00371DE1" w:rsidP="00371DE1">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E03E" w14:textId="1C0AD46F" w:rsidR="00B3027D" w:rsidRPr="002E0DE9" w:rsidRDefault="00B3027D" w:rsidP="000D7FCD">
    <w:pPr>
      <w:pStyle w:val="Header"/>
      <w:pBdr>
        <w:bottom w:val="single" w:sz="4" w:space="1" w:color="auto"/>
      </w:pBdr>
      <w:jc w:val="right"/>
      <w:rPr>
        <w:i/>
        <w:sz w:val="18"/>
        <w:szCs w:val="18"/>
      </w:rPr>
    </w:pPr>
    <w:r>
      <w:rPr>
        <w:rFonts w:eastAsia="Times New Roman" w:cs="Arial"/>
        <w:i/>
        <w:sz w:val="18"/>
        <w:szCs w:val="18"/>
      </w:rPr>
      <w:t>UNEP/CMS/COP14/Doc.31.2</w:t>
    </w:r>
    <w:r w:rsidR="00E603EE">
      <w:rPr>
        <w:rFonts w:eastAsia="Times New Roman" w:cs="Arial"/>
        <w:i/>
        <w:sz w:val="18"/>
        <w:szCs w:val="18"/>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41149D18" w:rsidR="00371DE1" w:rsidRPr="00E603EE" w:rsidRDefault="00371DE1" w:rsidP="00C94751">
    <w:pPr>
      <w:pStyle w:val="Header"/>
      <w:pBdr>
        <w:bottom w:val="single" w:sz="4" w:space="1" w:color="auto"/>
      </w:pBdr>
      <w:rPr>
        <w:i/>
        <w:sz w:val="18"/>
        <w:lang w:val="en-US"/>
      </w:rPr>
    </w:pPr>
    <w:r w:rsidRPr="00E603EE">
      <w:rPr>
        <w:i/>
        <w:sz w:val="18"/>
        <w:lang w:val="en-US"/>
      </w:rPr>
      <w:t>UNEP/CMS/COP14/Doc.31.2</w:t>
    </w:r>
    <w:r w:rsidR="00E603EE" w:rsidRPr="00E603EE">
      <w:rPr>
        <w:i/>
        <w:sz w:val="18"/>
        <w:lang w:val="en-US"/>
      </w:rPr>
      <w:t>/Rev</w:t>
    </w:r>
    <w:r w:rsidR="00E603EE">
      <w:rPr>
        <w:i/>
        <w:sz w:val="18"/>
        <w:lang w:val="en-US"/>
      </w:rPr>
      <w:t>.1</w:t>
    </w:r>
  </w:p>
  <w:p w14:paraId="222E2511" w14:textId="77777777" w:rsidR="00371DE1" w:rsidRPr="00E603EE"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0E95" w14:textId="5F2CBB03" w:rsidR="00332BA2" w:rsidRPr="0076207D" w:rsidRDefault="00332BA2" w:rsidP="00C94751">
    <w:pPr>
      <w:pStyle w:val="Header"/>
      <w:pBdr>
        <w:bottom w:val="single" w:sz="4" w:space="1" w:color="auto"/>
      </w:pBdr>
      <w:rPr>
        <w:i/>
        <w:sz w:val="18"/>
      </w:rPr>
    </w:pPr>
    <w:r>
      <w:rPr>
        <w:i/>
        <w:sz w:val="18"/>
      </w:rPr>
      <w:t>UNEP/CMS/COP14/Doc.31.2/</w:t>
    </w:r>
    <w:r w:rsidR="00E603EE">
      <w:rPr>
        <w:i/>
        <w:sz w:val="18"/>
      </w:rPr>
      <w:t>Rev.1/</w:t>
    </w:r>
    <w:r>
      <w:rPr>
        <w:i/>
        <w:sz w:val="18"/>
      </w:rPr>
      <w:t>Annex</w:t>
    </w:r>
    <w:r w:rsidR="00C41EAC">
      <w:rPr>
        <w:i/>
        <w:sz w:val="18"/>
      </w:rPr>
      <w:t>e</w:t>
    </w:r>
    <w:r>
      <w:rPr>
        <w:i/>
        <w:sz w:val="18"/>
      </w:rPr>
      <w:t xml:space="preserve"> 1</w:t>
    </w:r>
  </w:p>
  <w:p w14:paraId="533D1164" w14:textId="77777777" w:rsidR="00332BA2" w:rsidRPr="002E0DE9" w:rsidRDefault="00332BA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8FB0" w14:textId="45A9AEE8" w:rsidR="00885D66" w:rsidRPr="0076207D" w:rsidRDefault="00885D66" w:rsidP="00885D66">
    <w:pPr>
      <w:pStyle w:val="Header"/>
      <w:pBdr>
        <w:bottom w:val="single" w:sz="4" w:space="1" w:color="auto"/>
      </w:pBdr>
      <w:ind w:left="-709" w:right="-180"/>
      <w:rPr>
        <w:i/>
        <w:sz w:val="18"/>
      </w:rPr>
    </w:pPr>
    <w:r>
      <w:rPr>
        <w:i/>
        <w:sz w:val="18"/>
      </w:rPr>
      <w:t>UNEP/CMS/COP14/Doc.31.2/</w:t>
    </w:r>
    <w:r w:rsidR="00E603EE">
      <w:rPr>
        <w:i/>
        <w:sz w:val="18"/>
      </w:rPr>
      <w:t>Rev.1/</w:t>
    </w:r>
    <w:r>
      <w:rPr>
        <w:i/>
        <w:sz w:val="18"/>
      </w:rPr>
      <w:t>Annex</w:t>
    </w:r>
    <w:r w:rsidR="00C41EAC">
      <w:rPr>
        <w:i/>
        <w:sz w:val="18"/>
      </w:rPr>
      <w:t>e</w:t>
    </w:r>
    <w:r>
      <w:rPr>
        <w:i/>
        <w:sz w:val="18"/>
      </w:rPr>
      <w:t xml:space="preserve"> 1</w:t>
    </w:r>
  </w:p>
  <w:p w14:paraId="218D1FD1" w14:textId="77777777" w:rsidR="00885D66" w:rsidRPr="00371DE1" w:rsidRDefault="00885D66" w:rsidP="00371DE1">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53B1" w14:textId="159B3C62" w:rsidR="00885D66" w:rsidRPr="002E0DE9" w:rsidRDefault="00885D66" w:rsidP="00885D66">
    <w:pPr>
      <w:pStyle w:val="Header"/>
      <w:pBdr>
        <w:bottom w:val="single" w:sz="4" w:space="1" w:color="auto"/>
      </w:pBdr>
      <w:jc w:val="right"/>
      <w:rPr>
        <w:i/>
        <w:sz w:val="18"/>
        <w:szCs w:val="18"/>
      </w:rPr>
    </w:pPr>
    <w:r>
      <w:rPr>
        <w:rFonts w:eastAsia="Times New Roman" w:cs="Arial"/>
        <w:i/>
        <w:sz w:val="18"/>
        <w:szCs w:val="18"/>
      </w:rPr>
      <w:t>UNEP/CMS/COP14/Doc.31.2</w:t>
    </w:r>
    <w:r w:rsidR="00C41EAC">
      <w:rPr>
        <w:rFonts w:eastAsia="Times New Roman" w:cs="Arial"/>
        <w:i/>
        <w:sz w:val="18"/>
        <w:szCs w:val="18"/>
      </w:rPr>
      <w:t>/</w:t>
    </w:r>
    <w:r w:rsidR="00E603EE">
      <w:rPr>
        <w:rFonts w:eastAsia="Times New Roman" w:cs="Arial"/>
        <w:i/>
        <w:sz w:val="18"/>
        <w:szCs w:val="18"/>
      </w:rPr>
      <w:t>Rev.1/</w:t>
    </w:r>
    <w:r>
      <w:rPr>
        <w:rFonts w:eastAsia="Times New Roman" w:cs="Arial"/>
        <w:i/>
        <w:sz w:val="18"/>
        <w:szCs w:val="18"/>
      </w:rPr>
      <w:t>Annex</w:t>
    </w:r>
    <w:r w:rsidR="00C41EAC">
      <w:rPr>
        <w:rFonts w:eastAsia="Times New Roman" w:cs="Arial"/>
        <w:i/>
        <w:sz w:val="18"/>
        <w:szCs w:val="18"/>
      </w:rPr>
      <w:t>e</w:t>
    </w:r>
    <w:r>
      <w:rPr>
        <w:rFonts w:eastAsia="Times New Roman" w:cs="Arial"/>
        <w:i/>
        <w:sz w:val="18"/>
        <w:szCs w:val="1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A9"/>
    <w:multiLevelType w:val="hybridMultilevel"/>
    <w:tmpl w:val="5B460B8A"/>
    <w:lvl w:ilvl="0" w:tplc="08090017">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 w15:restartNumberingAfterBreak="0">
    <w:nsid w:val="02DB43D0"/>
    <w:multiLevelType w:val="hybridMultilevel"/>
    <w:tmpl w:val="5BE27984"/>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4764001"/>
    <w:multiLevelType w:val="hybridMultilevel"/>
    <w:tmpl w:val="8ECA407A"/>
    <w:lvl w:ilvl="0" w:tplc="FFFFFFFF">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CFF4679"/>
    <w:multiLevelType w:val="hybridMultilevel"/>
    <w:tmpl w:val="C82A9148"/>
    <w:lvl w:ilvl="0" w:tplc="28DE4CAE">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5527BBA"/>
    <w:multiLevelType w:val="hybridMultilevel"/>
    <w:tmpl w:val="5B460B8A"/>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9" w15:restartNumberingAfterBreak="0">
    <w:nsid w:val="2D28027A"/>
    <w:multiLevelType w:val="hybridMultilevel"/>
    <w:tmpl w:val="8ECA407A"/>
    <w:lvl w:ilvl="0" w:tplc="0C09001B">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DD32C07"/>
    <w:multiLevelType w:val="hybridMultilevel"/>
    <w:tmpl w:val="8FE854E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318F68D2"/>
    <w:multiLevelType w:val="hybridMultilevel"/>
    <w:tmpl w:val="0C101282"/>
    <w:lvl w:ilvl="0" w:tplc="73D8BF8E">
      <w:start w:val="1"/>
      <w:numFmt w:val="decimal"/>
      <w:lvlText w:val="%1."/>
      <w:lvlJc w:val="left"/>
      <w:pPr>
        <w:ind w:left="720" w:hanging="360"/>
      </w:pPr>
    </w:lvl>
    <w:lvl w:ilvl="1" w:tplc="4B34873A">
      <w:start w:val="1"/>
      <w:numFmt w:val="decimal"/>
      <w:lvlText w:val="%2."/>
      <w:lvlJc w:val="left"/>
      <w:pPr>
        <w:ind w:left="720" w:hanging="360"/>
      </w:pPr>
    </w:lvl>
    <w:lvl w:ilvl="2" w:tplc="5EBCEBC4">
      <w:start w:val="1"/>
      <w:numFmt w:val="decimal"/>
      <w:lvlText w:val="%3."/>
      <w:lvlJc w:val="left"/>
      <w:pPr>
        <w:ind w:left="720" w:hanging="360"/>
      </w:pPr>
    </w:lvl>
    <w:lvl w:ilvl="3" w:tplc="59B02FE8">
      <w:start w:val="1"/>
      <w:numFmt w:val="decimal"/>
      <w:lvlText w:val="%4."/>
      <w:lvlJc w:val="left"/>
      <w:pPr>
        <w:ind w:left="720" w:hanging="360"/>
      </w:pPr>
    </w:lvl>
    <w:lvl w:ilvl="4" w:tplc="561ABF70">
      <w:start w:val="1"/>
      <w:numFmt w:val="decimal"/>
      <w:lvlText w:val="%5."/>
      <w:lvlJc w:val="left"/>
      <w:pPr>
        <w:ind w:left="720" w:hanging="360"/>
      </w:pPr>
    </w:lvl>
    <w:lvl w:ilvl="5" w:tplc="CBC031A0">
      <w:start w:val="1"/>
      <w:numFmt w:val="decimal"/>
      <w:lvlText w:val="%6."/>
      <w:lvlJc w:val="left"/>
      <w:pPr>
        <w:ind w:left="720" w:hanging="360"/>
      </w:pPr>
    </w:lvl>
    <w:lvl w:ilvl="6" w:tplc="2E70EA68">
      <w:start w:val="1"/>
      <w:numFmt w:val="decimal"/>
      <w:lvlText w:val="%7."/>
      <w:lvlJc w:val="left"/>
      <w:pPr>
        <w:ind w:left="720" w:hanging="360"/>
      </w:pPr>
    </w:lvl>
    <w:lvl w:ilvl="7" w:tplc="3FF87FD6">
      <w:start w:val="1"/>
      <w:numFmt w:val="decimal"/>
      <w:lvlText w:val="%8."/>
      <w:lvlJc w:val="left"/>
      <w:pPr>
        <w:ind w:left="720" w:hanging="360"/>
      </w:pPr>
    </w:lvl>
    <w:lvl w:ilvl="8" w:tplc="D752E75E">
      <w:start w:val="1"/>
      <w:numFmt w:val="decimal"/>
      <w:lvlText w:val="%9."/>
      <w:lvlJc w:val="left"/>
      <w:pPr>
        <w:ind w:left="720" w:hanging="360"/>
      </w:pPr>
    </w:lvl>
  </w:abstractNum>
  <w:abstractNum w:abstractNumId="12" w15:restartNumberingAfterBreak="0">
    <w:nsid w:val="35A37C09"/>
    <w:multiLevelType w:val="hybridMultilevel"/>
    <w:tmpl w:val="9502D4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B016079"/>
    <w:multiLevelType w:val="hybridMultilevel"/>
    <w:tmpl w:val="2FFE9968"/>
    <w:lvl w:ilvl="0" w:tplc="96C6CAE2">
      <w:start w:val="1"/>
      <w:numFmt w:val="lowerLetter"/>
      <w:lvlText w:val="%1)"/>
      <w:lvlJc w:val="left"/>
      <w:pPr>
        <w:ind w:left="1647" w:hanging="360"/>
      </w:pPr>
      <w:rPr>
        <w:i w:val="0"/>
        <w:iCs w:val="0"/>
      </w:rPr>
    </w:lvl>
    <w:lvl w:ilvl="1" w:tplc="10000019" w:tentative="1">
      <w:start w:val="1"/>
      <w:numFmt w:val="lowerLetter"/>
      <w:lvlText w:val="%2."/>
      <w:lvlJc w:val="left"/>
      <w:pPr>
        <w:ind w:left="2367" w:hanging="360"/>
      </w:pPr>
    </w:lvl>
    <w:lvl w:ilvl="2" w:tplc="1000001B" w:tentative="1">
      <w:start w:val="1"/>
      <w:numFmt w:val="lowerRoman"/>
      <w:lvlText w:val="%3."/>
      <w:lvlJc w:val="right"/>
      <w:pPr>
        <w:ind w:left="3087" w:hanging="180"/>
      </w:pPr>
    </w:lvl>
    <w:lvl w:ilvl="3" w:tplc="1000000F" w:tentative="1">
      <w:start w:val="1"/>
      <w:numFmt w:val="decimal"/>
      <w:lvlText w:val="%4."/>
      <w:lvlJc w:val="left"/>
      <w:pPr>
        <w:ind w:left="3807" w:hanging="360"/>
      </w:pPr>
    </w:lvl>
    <w:lvl w:ilvl="4" w:tplc="10000019" w:tentative="1">
      <w:start w:val="1"/>
      <w:numFmt w:val="lowerLetter"/>
      <w:lvlText w:val="%5."/>
      <w:lvlJc w:val="left"/>
      <w:pPr>
        <w:ind w:left="4527" w:hanging="360"/>
      </w:pPr>
    </w:lvl>
    <w:lvl w:ilvl="5" w:tplc="1000001B" w:tentative="1">
      <w:start w:val="1"/>
      <w:numFmt w:val="lowerRoman"/>
      <w:lvlText w:val="%6."/>
      <w:lvlJc w:val="right"/>
      <w:pPr>
        <w:ind w:left="5247" w:hanging="180"/>
      </w:pPr>
    </w:lvl>
    <w:lvl w:ilvl="6" w:tplc="1000000F" w:tentative="1">
      <w:start w:val="1"/>
      <w:numFmt w:val="decimal"/>
      <w:lvlText w:val="%7."/>
      <w:lvlJc w:val="left"/>
      <w:pPr>
        <w:ind w:left="5967" w:hanging="360"/>
      </w:pPr>
    </w:lvl>
    <w:lvl w:ilvl="7" w:tplc="10000019" w:tentative="1">
      <w:start w:val="1"/>
      <w:numFmt w:val="lowerLetter"/>
      <w:lvlText w:val="%8."/>
      <w:lvlJc w:val="left"/>
      <w:pPr>
        <w:ind w:left="6687" w:hanging="360"/>
      </w:pPr>
    </w:lvl>
    <w:lvl w:ilvl="8" w:tplc="1000001B" w:tentative="1">
      <w:start w:val="1"/>
      <w:numFmt w:val="lowerRoman"/>
      <w:lvlText w:val="%9."/>
      <w:lvlJc w:val="right"/>
      <w:pPr>
        <w:ind w:left="7407" w:hanging="180"/>
      </w:pPr>
    </w:lvl>
  </w:abstractNum>
  <w:abstractNum w:abstractNumId="15" w15:restartNumberingAfterBreak="0">
    <w:nsid w:val="3D2F79E3"/>
    <w:multiLevelType w:val="hybridMultilevel"/>
    <w:tmpl w:val="D6BCA4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4738F7"/>
    <w:multiLevelType w:val="hybridMultilevel"/>
    <w:tmpl w:val="31FABBEA"/>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8" w15:restartNumberingAfterBreak="0">
    <w:nsid w:val="441A6B55"/>
    <w:multiLevelType w:val="hybridMultilevel"/>
    <w:tmpl w:val="D2C67490"/>
    <w:lvl w:ilvl="0" w:tplc="EE34F4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0F3483"/>
    <w:multiLevelType w:val="hybridMultilevel"/>
    <w:tmpl w:val="5382F994"/>
    <w:lvl w:ilvl="0" w:tplc="DCC40E32">
      <w:start w:val="1"/>
      <w:numFmt w:val="decimal"/>
      <w:lvlText w:val="Option %1."/>
      <w:lvlJc w:val="left"/>
      <w:pPr>
        <w:ind w:left="2742" w:hanging="360"/>
      </w:pPr>
      <w:rPr>
        <w:rFonts w:hint="default"/>
      </w:rPr>
    </w:lvl>
    <w:lvl w:ilvl="1" w:tplc="FFFFFFFF">
      <w:start w:val="1"/>
      <w:numFmt w:val="lowerLetter"/>
      <w:lvlText w:val="%2."/>
      <w:lvlJc w:val="left"/>
      <w:pPr>
        <w:ind w:left="3462" w:hanging="360"/>
      </w:pPr>
    </w:lvl>
    <w:lvl w:ilvl="2" w:tplc="FFFFFFFF">
      <w:start w:val="1"/>
      <w:numFmt w:val="lowerRoman"/>
      <w:lvlText w:val="%3."/>
      <w:lvlJc w:val="right"/>
      <w:pPr>
        <w:ind w:left="4182" w:hanging="180"/>
      </w:pPr>
    </w:lvl>
    <w:lvl w:ilvl="3" w:tplc="FFFFFFFF">
      <w:start w:val="1"/>
      <w:numFmt w:val="decimal"/>
      <w:lvlText w:val="%4."/>
      <w:lvlJc w:val="left"/>
      <w:pPr>
        <w:ind w:left="4902" w:hanging="360"/>
      </w:pPr>
    </w:lvl>
    <w:lvl w:ilvl="4" w:tplc="FFFFFFFF">
      <w:start w:val="1"/>
      <w:numFmt w:val="lowerLetter"/>
      <w:lvlText w:val="%5."/>
      <w:lvlJc w:val="left"/>
      <w:pPr>
        <w:ind w:left="5622" w:hanging="360"/>
      </w:pPr>
    </w:lvl>
    <w:lvl w:ilvl="5" w:tplc="FFFFFFFF">
      <w:start w:val="1"/>
      <w:numFmt w:val="lowerRoman"/>
      <w:lvlText w:val="%6."/>
      <w:lvlJc w:val="right"/>
      <w:pPr>
        <w:ind w:left="6342" w:hanging="180"/>
      </w:pPr>
    </w:lvl>
    <w:lvl w:ilvl="6" w:tplc="FFFFFFFF">
      <w:start w:val="1"/>
      <w:numFmt w:val="decimal"/>
      <w:lvlText w:val="%7."/>
      <w:lvlJc w:val="left"/>
      <w:pPr>
        <w:ind w:left="7062" w:hanging="360"/>
      </w:pPr>
    </w:lvl>
    <w:lvl w:ilvl="7" w:tplc="FFFFFFFF">
      <w:start w:val="1"/>
      <w:numFmt w:val="lowerLetter"/>
      <w:lvlText w:val="%8."/>
      <w:lvlJc w:val="left"/>
      <w:pPr>
        <w:ind w:left="7782" w:hanging="360"/>
      </w:pPr>
    </w:lvl>
    <w:lvl w:ilvl="8" w:tplc="FFFFFFFF">
      <w:start w:val="1"/>
      <w:numFmt w:val="lowerRoman"/>
      <w:lvlText w:val="%9."/>
      <w:lvlJc w:val="right"/>
      <w:pPr>
        <w:ind w:left="8502" w:hanging="180"/>
      </w:pPr>
    </w:lvl>
  </w:abstractNum>
  <w:abstractNum w:abstractNumId="20" w15:restartNumberingAfterBreak="0">
    <w:nsid w:val="4B2E5580"/>
    <w:multiLevelType w:val="hybridMultilevel"/>
    <w:tmpl w:val="8ECA407A"/>
    <w:lvl w:ilvl="0" w:tplc="FFFFFFFF">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1" w15:restartNumberingAfterBreak="0">
    <w:nsid w:val="4EA72916"/>
    <w:multiLevelType w:val="hybridMultilevel"/>
    <w:tmpl w:val="5D8AE5F4"/>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3" w15:restartNumberingAfterBreak="0">
    <w:nsid w:val="54796381"/>
    <w:multiLevelType w:val="hybridMultilevel"/>
    <w:tmpl w:val="440A81D2"/>
    <w:lvl w:ilvl="0" w:tplc="662AC786">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DA4449"/>
    <w:multiLevelType w:val="hybridMultilevel"/>
    <w:tmpl w:val="A6DA6E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8" w15:restartNumberingAfterBreak="0">
    <w:nsid w:val="5CDA511D"/>
    <w:multiLevelType w:val="hybridMultilevel"/>
    <w:tmpl w:val="9E56BBDC"/>
    <w:lvl w:ilvl="0" w:tplc="0809001B">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9" w15:restartNumberingAfterBreak="0">
    <w:nsid w:val="64112AAC"/>
    <w:multiLevelType w:val="hybridMultilevel"/>
    <w:tmpl w:val="87A64F20"/>
    <w:lvl w:ilvl="0" w:tplc="01FC7B1C">
      <w:start w:val="1"/>
      <w:numFmt w:val="decimal"/>
      <w:lvlText w:val="%1."/>
      <w:lvlJc w:val="left"/>
      <w:pPr>
        <w:ind w:left="720" w:hanging="360"/>
      </w:pPr>
    </w:lvl>
    <w:lvl w:ilvl="1" w:tplc="4B0C9612">
      <w:start w:val="1"/>
      <w:numFmt w:val="decimal"/>
      <w:lvlText w:val="%2."/>
      <w:lvlJc w:val="left"/>
      <w:pPr>
        <w:ind w:left="720" w:hanging="360"/>
      </w:pPr>
    </w:lvl>
    <w:lvl w:ilvl="2" w:tplc="E018BCD8">
      <w:start w:val="1"/>
      <w:numFmt w:val="decimal"/>
      <w:lvlText w:val="%3."/>
      <w:lvlJc w:val="left"/>
      <w:pPr>
        <w:ind w:left="720" w:hanging="360"/>
      </w:pPr>
    </w:lvl>
    <w:lvl w:ilvl="3" w:tplc="3E246568">
      <w:start w:val="1"/>
      <w:numFmt w:val="decimal"/>
      <w:lvlText w:val="%4."/>
      <w:lvlJc w:val="left"/>
      <w:pPr>
        <w:ind w:left="720" w:hanging="360"/>
      </w:pPr>
    </w:lvl>
    <w:lvl w:ilvl="4" w:tplc="A98A8BAE">
      <w:start w:val="1"/>
      <w:numFmt w:val="decimal"/>
      <w:lvlText w:val="%5."/>
      <w:lvlJc w:val="left"/>
      <w:pPr>
        <w:ind w:left="720" w:hanging="360"/>
      </w:pPr>
    </w:lvl>
    <w:lvl w:ilvl="5" w:tplc="07E66FAE">
      <w:start w:val="1"/>
      <w:numFmt w:val="decimal"/>
      <w:lvlText w:val="%6."/>
      <w:lvlJc w:val="left"/>
      <w:pPr>
        <w:ind w:left="720" w:hanging="360"/>
      </w:pPr>
    </w:lvl>
    <w:lvl w:ilvl="6" w:tplc="D5C8DD3C">
      <w:start w:val="1"/>
      <w:numFmt w:val="decimal"/>
      <w:lvlText w:val="%7."/>
      <w:lvlJc w:val="left"/>
      <w:pPr>
        <w:ind w:left="720" w:hanging="360"/>
      </w:pPr>
    </w:lvl>
    <w:lvl w:ilvl="7" w:tplc="EC028EDE">
      <w:start w:val="1"/>
      <w:numFmt w:val="decimal"/>
      <w:lvlText w:val="%8."/>
      <w:lvlJc w:val="left"/>
      <w:pPr>
        <w:ind w:left="720" w:hanging="360"/>
      </w:pPr>
    </w:lvl>
    <w:lvl w:ilvl="8" w:tplc="6D5CCED2">
      <w:start w:val="1"/>
      <w:numFmt w:val="decimal"/>
      <w:lvlText w:val="%9."/>
      <w:lvlJc w:val="left"/>
      <w:pPr>
        <w:ind w:left="720" w:hanging="360"/>
      </w:pPr>
    </w:lvl>
  </w:abstractNum>
  <w:abstractNum w:abstractNumId="30" w15:restartNumberingAfterBreak="0">
    <w:nsid w:val="65651453"/>
    <w:multiLevelType w:val="hybridMultilevel"/>
    <w:tmpl w:val="6A9205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6DFF224F"/>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216FD"/>
    <w:multiLevelType w:val="hybridMultilevel"/>
    <w:tmpl w:val="5340104C"/>
    <w:lvl w:ilvl="0" w:tplc="20000017">
      <w:start w:val="1"/>
      <w:numFmt w:val="lowerLetter"/>
      <w:lvlText w:val="%1)"/>
      <w:lvlJc w:val="left"/>
      <w:pPr>
        <w:ind w:left="2138" w:hanging="360"/>
      </w:p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37" w15:restartNumberingAfterBreak="0">
    <w:nsid w:val="7795641C"/>
    <w:multiLevelType w:val="hybridMultilevel"/>
    <w:tmpl w:val="2BA6F104"/>
    <w:lvl w:ilvl="0" w:tplc="0C09000F">
      <w:start w:val="1"/>
      <w:numFmt w:val="decimal"/>
      <w:lvlText w:val="%1."/>
      <w:lvlJc w:val="left"/>
      <w:pPr>
        <w:ind w:left="1154" w:hanging="360"/>
      </w:pPr>
      <w:rPr>
        <w:rFonts w:hint="default"/>
      </w:r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38"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39" w15:restartNumberingAfterBreak="0">
    <w:nsid w:val="7C8F5DD4"/>
    <w:multiLevelType w:val="hybridMultilevel"/>
    <w:tmpl w:val="CA9AFE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90359B"/>
    <w:multiLevelType w:val="hybridMultilevel"/>
    <w:tmpl w:val="12B29EF8"/>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1331327332">
    <w:abstractNumId w:val="26"/>
  </w:num>
  <w:num w:numId="2" w16cid:durableId="1379892108">
    <w:abstractNumId w:val="35"/>
  </w:num>
  <w:num w:numId="3" w16cid:durableId="572476118">
    <w:abstractNumId w:val="6"/>
  </w:num>
  <w:num w:numId="4" w16cid:durableId="1125779542">
    <w:abstractNumId w:val="22"/>
  </w:num>
  <w:num w:numId="5" w16cid:durableId="2105220670">
    <w:abstractNumId w:val="4"/>
  </w:num>
  <w:num w:numId="6" w16cid:durableId="1994599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71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4889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8666573">
    <w:abstractNumId w:val="27"/>
  </w:num>
  <w:num w:numId="10" w16cid:durableId="1390231962">
    <w:abstractNumId w:val="31"/>
  </w:num>
  <w:num w:numId="11" w16cid:durableId="321354514">
    <w:abstractNumId w:val="6"/>
    <w:lvlOverride w:ilvl="0">
      <w:startOverride w:val="1"/>
    </w:lvlOverride>
  </w:num>
  <w:num w:numId="12" w16cid:durableId="91096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9255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91569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0434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8758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2085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0025">
    <w:abstractNumId w:val="33"/>
  </w:num>
  <w:num w:numId="19" w16cid:durableId="586504435">
    <w:abstractNumId w:val="14"/>
  </w:num>
  <w:num w:numId="20" w16cid:durableId="353189039">
    <w:abstractNumId w:val="3"/>
  </w:num>
  <w:num w:numId="21" w16cid:durableId="1641226893">
    <w:abstractNumId w:val="10"/>
  </w:num>
  <w:num w:numId="22" w16cid:durableId="1153373227">
    <w:abstractNumId w:val="40"/>
  </w:num>
  <w:num w:numId="23" w16cid:durableId="1154376781">
    <w:abstractNumId w:val="30"/>
  </w:num>
  <w:num w:numId="24" w16cid:durableId="99449382">
    <w:abstractNumId w:val="0"/>
  </w:num>
  <w:num w:numId="25" w16cid:durableId="264921518">
    <w:abstractNumId w:val="18"/>
  </w:num>
  <w:num w:numId="26" w16cid:durableId="876117536">
    <w:abstractNumId w:val="23"/>
  </w:num>
  <w:num w:numId="27" w16cid:durableId="1168863565">
    <w:abstractNumId w:val="25"/>
  </w:num>
  <w:num w:numId="28" w16cid:durableId="997883866">
    <w:abstractNumId w:val="8"/>
  </w:num>
  <w:num w:numId="29" w16cid:durableId="1461874397">
    <w:abstractNumId w:val="5"/>
  </w:num>
  <w:num w:numId="30" w16cid:durableId="1153639535">
    <w:abstractNumId w:val="11"/>
  </w:num>
  <w:num w:numId="31" w16cid:durableId="1717316053">
    <w:abstractNumId w:val="29"/>
  </w:num>
  <w:num w:numId="32" w16cid:durableId="129787629">
    <w:abstractNumId w:val="28"/>
  </w:num>
  <w:num w:numId="33" w16cid:durableId="523596785">
    <w:abstractNumId w:val="9"/>
  </w:num>
  <w:num w:numId="34" w16cid:durableId="374738099">
    <w:abstractNumId w:val="39"/>
  </w:num>
  <w:num w:numId="35" w16cid:durableId="568150123">
    <w:abstractNumId w:val="2"/>
  </w:num>
  <w:num w:numId="36" w16cid:durableId="1271007960">
    <w:abstractNumId w:val="19"/>
  </w:num>
  <w:num w:numId="37" w16cid:durableId="1188906342">
    <w:abstractNumId w:val="37"/>
  </w:num>
  <w:num w:numId="38" w16cid:durableId="1665161958">
    <w:abstractNumId w:val="20"/>
  </w:num>
  <w:num w:numId="39" w16cid:durableId="700711318">
    <w:abstractNumId w:val="17"/>
  </w:num>
  <w:num w:numId="40" w16cid:durableId="840120047">
    <w:abstractNumId w:val="1"/>
  </w:num>
  <w:num w:numId="41" w16cid:durableId="2134445838">
    <w:abstractNumId w:val="12"/>
  </w:num>
  <w:num w:numId="42" w16cid:durableId="1898972941">
    <w:abstractNumId w:val="21"/>
  </w:num>
  <w:num w:numId="43" w16cid:durableId="1554611496">
    <w:abstractNumId w:val="34"/>
  </w:num>
  <w:num w:numId="44" w16cid:durableId="1566255579">
    <w:abstractNumId w:val="15"/>
  </w:num>
  <w:num w:numId="45" w16cid:durableId="1388080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48E7"/>
    <w:rsid w:val="000079B6"/>
    <w:rsid w:val="0001212C"/>
    <w:rsid w:val="000211B1"/>
    <w:rsid w:val="00021CBE"/>
    <w:rsid w:val="00021EAC"/>
    <w:rsid w:val="00023B9D"/>
    <w:rsid w:val="00030B0B"/>
    <w:rsid w:val="00032561"/>
    <w:rsid w:val="0003266B"/>
    <w:rsid w:val="00032BB0"/>
    <w:rsid w:val="00034ADC"/>
    <w:rsid w:val="00034AE2"/>
    <w:rsid w:val="00040B25"/>
    <w:rsid w:val="00041FD9"/>
    <w:rsid w:val="00042E01"/>
    <w:rsid w:val="00051F72"/>
    <w:rsid w:val="00056251"/>
    <w:rsid w:val="00056706"/>
    <w:rsid w:val="00062FA5"/>
    <w:rsid w:val="00070CB2"/>
    <w:rsid w:val="0007135A"/>
    <w:rsid w:val="00074625"/>
    <w:rsid w:val="00076868"/>
    <w:rsid w:val="0007732B"/>
    <w:rsid w:val="00084FAA"/>
    <w:rsid w:val="00087671"/>
    <w:rsid w:val="0009125B"/>
    <w:rsid w:val="00094A7A"/>
    <w:rsid w:val="00094C25"/>
    <w:rsid w:val="00097ABC"/>
    <w:rsid w:val="000A153D"/>
    <w:rsid w:val="000A5EFC"/>
    <w:rsid w:val="000A6221"/>
    <w:rsid w:val="000A7292"/>
    <w:rsid w:val="000B100A"/>
    <w:rsid w:val="000B22FB"/>
    <w:rsid w:val="000B5B00"/>
    <w:rsid w:val="000C166A"/>
    <w:rsid w:val="000C1723"/>
    <w:rsid w:val="000C23DE"/>
    <w:rsid w:val="000C349E"/>
    <w:rsid w:val="000C4411"/>
    <w:rsid w:val="000C4C04"/>
    <w:rsid w:val="000C55F2"/>
    <w:rsid w:val="000D1AE7"/>
    <w:rsid w:val="000D318F"/>
    <w:rsid w:val="000D3278"/>
    <w:rsid w:val="000D3B84"/>
    <w:rsid w:val="000D3CA3"/>
    <w:rsid w:val="000D7FCD"/>
    <w:rsid w:val="000E03AA"/>
    <w:rsid w:val="000E0A36"/>
    <w:rsid w:val="000E1775"/>
    <w:rsid w:val="000E1EA4"/>
    <w:rsid w:val="000E29ED"/>
    <w:rsid w:val="000E45E1"/>
    <w:rsid w:val="000F20FD"/>
    <w:rsid w:val="000F2303"/>
    <w:rsid w:val="000F2765"/>
    <w:rsid w:val="000F5089"/>
    <w:rsid w:val="000F5901"/>
    <w:rsid w:val="000F6AB7"/>
    <w:rsid w:val="00102F71"/>
    <w:rsid w:val="00105010"/>
    <w:rsid w:val="00105997"/>
    <w:rsid w:val="001079D2"/>
    <w:rsid w:val="00113509"/>
    <w:rsid w:val="00113542"/>
    <w:rsid w:val="0011556C"/>
    <w:rsid w:val="0012020D"/>
    <w:rsid w:val="00121161"/>
    <w:rsid w:val="00121C7D"/>
    <w:rsid w:val="001241D2"/>
    <w:rsid w:val="001248A1"/>
    <w:rsid w:val="00125121"/>
    <w:rsid w:val="00126012"/>
    <w:rsid w:val="00126F86"/>
    <w:rsid w:val="001273B8"/>
    <w:rsid w:val="00127FBE"/>
    <w:rsid w:val="00132560"/>
    <w:rsid w:val="00137823"/>
    <w:rsid w:val="00140564"/>
    <w:rsid w:val="00140E9F"/>
    <w:rsid w:val="001420E0"/>
    <w:rsid w:val="00142CF5"/>
    <w:rsid w:val="001434CD"/>
    <w:rsid w:val="00143FA2"/>
    <w:rsid w:val="00147A39"/>
    <w:rsid w:val="0015020A"/>
    <w:rsid w:val="00151650"/>
    <w:rsid w:val="00152447"/>
    <w:rsid w:val="00152EEA"/>
    <w:rsid w:val="00153F1D"/>
    <w:rsid w:val="001564FC"/>
    <w:rsid w:val="00156F60"/>
    <w:rsid w:val="00161B83"/>
    <w:rsid w:val="00165115"/>
    <w:rsid w:val="001667C9"/>
    <w:rsid w:val="0017076B"/>
    <w:rsid w:val="0017164A"/>
    <w:rsid w:val="00171FE1"/>
    <w:rsid w:val="001721DD"/>
    <w:rsid w:val="0017266D"/>
    <w:rsid w:val="00174592"/>
    <w:rsid w:val="00175376"/>
    <w:rsid w:val="00175851"/>
    <w:rsid w:val="00176C2D"/>
    <w:rsid w:val="00177132"/>
    <w:rsid w:val="001773AF"/>
    <w:rsid w:val="001816A6"/>
    <w:rsid w:val="001829A5"/>
    <w:rsid w:val="00183086"/>
    <w:rsid w:val="00186631"/>
    <w:rsid w:val="001871A8"/>
    <w:rsid w:val="00193BF4"/>
    <w:rsid w:val="001946AF"/>
    <w:rsid w:val="0019570E"/>
    <w:rsid w:val="001A0E03"/>
    <w:rsid w:val="001A2292"/>
    <w:rsid w:val="001A2ED9"/>
    <w:rsid w:val="001A484C"/>
    <w:rsid w:val="001A5797"/>
    <w:rsid w:val="001A7E90"/>
    <w:rsid w:val="001A7EFE"/>
    <w:rsid w:val="001B0363"/>
    <w:rsid w:val="001B2561"/>
    <w:rsid w:val="001B2D58"/>
    <w:rsid w:val="001B4C31"/>
    <w:rsid w:val="001B535C"/>
    <w:rsid w:val="001B5F22"/>
    <w:rsid w:val="001C049C"/>
    <w:rsid w:val="001C0D96"/>
    <w:rsid w:val="001C15FE"/>
    <w:rsid w:val="001C49AB"/>
    <w:rsid w:val="001C5993"/>
    <w:rsid w:val="001C71C7"/>
    <w:rsid w:val="001C7DDC"/>
    <w:rsid w:val="001D4719"/>
    <w:rsid w:val="001D6232"/>
    <w:rsid w:val="001D6564"/>
    <w:rsid w:val="001D66A1"/>
    <w:rsid w:val="001D724C"/>
    <w:rsid w:val="001E587A"/>
    <w:rsid w:val="001E74B6"/>
    <w:rsid w:val="001E7C5F"/>
    <w:rsid w:val="001F2B7A"/>
    <w:rsid w:val="001F528A"/>
    <w:rsid w:val="001F6331"/>
    <w:rsid w:val="001F76C4"/>
    <w:rsid w:val="001F7AE7"/>
    <w:rsid w:val="002002AB"/>
    <w:rsid w:val="00201235"/>
    <w:rsid w:val="00201DFA"/>
    <w:rsid w:val="002124FC"/>
    <w:rsid w:val="0021274A"/>
    <w:rsid w:val="002160CF"/>
    <w:rsid w:val="0021614E"/>
    <w:rsid w:val="002170E5"/>
    <w:rsid w:val="00221162"/>
    <w:rsid w:val="00221F8C"/>
    <w:rsid w:val="002232CB"/>
    <w:rsid w:val="00224338"/>
    <w:rsid w:val="00233AE9"/>
    <w:rsid w:val="00234BEB"/>
    <w:rsid w:val="0023726A"/>
    <w:rsid w:val="002377E9"/>
    <w:rsid w:val="00240903"/>
    <w:rsid w:val="00240F90"/>
    <w:rsid w:val="002419EA"/>
    <w:rsid w:val="00243918"/>
    <w:rsid w:val="00244611"/>
    <w:rsid w:val="0024655B"/>
    <w:rsid w:val="00246A7D"/>
    <w:rsid w:val="00247651"/>
    <w:rsid w:val="00252C90"/>
    <w:rsid w:val="00254469"/>
    <w:rsid w:val="00264735"/>
    <w:rsid w:val="00265A75"/>
    <w:rsid w:val="00266988"/>
    <w:rsid w:val="00270D96"/>
    <w:rsid w:val="002720D1"/>
    <w:rsid w:val="00272662"/>
    <w:rsid w:val="0027617B"/>
    <w:rsid w:val="002810D8"/>
    <w:rsid w:val="0028164D"/>
    <w:rsid w:val="00281B9F"/>
    <w:rsid w:val="00283EF4"/>
    <w:rsid w:val="002866EE"/>
    <w:rsid w:val="00286B4A"/>
    <w:rsid w:val="00286D96"/>
    <w:rsid w:val="002907A8"/>
    <w:rsid w:val="00292BDF"/>
    <w:rsid w:val="0029659F"/>
    <w:rsid w:val="00297A51"/>
    <w:rsid w:val="002A00FE"/>
    <w:rsid w:val="002A012C"/>
    <w:rsid w:val="002A0A2B"/>
    <w:rsid w:val="002A10AA"/>
    <w:rsid w:val="002A36F2"/>
    <w:rsid w:val="002A3D88"/>
    <w:rsid w:val="002A6B5A"/>
    <w:rsid w:val="002A716C"/>
    <w:rsid w:val="002A7447"/>
    <w:rsid w:val="002B4CDA"/>
    <w:rsid w:val="002B7BC9"/>
    <w:rsid w:val="002C23B1"/>
    <w:rsid w:val="002C57A6"/>
    <w:rsid w:val="002C6BD6"/>
    <w:rsid w:val="002C70DA"/>
    <w:rsid w:val="002C7545"/>
    <w:rsid w:val="002D26FC"/>
    <w:rsid w:val="002D4BAF"/>
    <w:rsid w:val="002D5064"/>
    <w:rsid w:val="002D6582"/>
    <w:rsid w:val="002D77BC"/>
    <w:rsid w:val="002E0724"/>
    <w:rsid w:val="002E089A"/>
    <w:rsid w:val="002E0DE9"/>
    <w:rsid w:val="002E29EE"/>
    <w:rsid w:val="002E3917"/>
    <w:rsid w:val="002E3A9F"/>
    <w:rsid w:val="002E61B8"/>
    <w:rsid w:val="002E6FEC"/>
    <w:rsid w:val="002F1681"/>
    <w:rsid w:val="002F18AE"/>
    <w:rsid w:val="002F29E5"/>
    <w:rsid w:val="002F4396"/>
    <w:rsid w:val="002F59A0"/>
    <w:rsid w:val="003036E0"/>
    <w:rsid w:val="00304AE5"/>
    <w:rsid w:val="00305E40"/>
    <w:rsid w:val="00305FE2"/>
    <w:rsid w:val="00310B43"/>
    <w:rsid w:val="00313221"/>
    <w:rsid w:val="00320269"/>
    <w:rsid w:val="00320984"/>
    <w:rsid w:val="003211AB"/>
    <w:rsid w:val="00321DF8"/>
    <w:rsid w:val="00322248"/>
    <w:rsid w:val="00326287"/>
    <w:rsid w:val="00331A6A"/>
    <w:rsid w:val="00332BA2"/>
    <w:rsid w:val="003341FE"/>
    <w:rsid w:val="00335607"/>
    <w:rsid w:val="0033656F"/>
    <w:rsid w:val="00336746"/>
    <w:rsid w:val="0033799D"/>
    <w:rsid w:val="0034122E"/>
    <w:rsid w:val="00342307"/>
    <w:rsid w:val="003438DF"/>
    <w:rsid w:val="00345C27"/>
    <w:rsid w:val="00346E6A"/>
    <w:rsid w:val="00352089"/>
    <w:rsid w:val="0035208F"/>
    <w:rsid w:val="00360838"/>
    <w:rsid w:val="00367AA1"/>
    <w:rsid w:val="00371DE1"/>
    <w:rsid w:val="00372E8C"/>
    <w:rsid w:val="00374318"/>
    <w:rsid w:val="00374686"/>
    <w:rsid w:val="00376D97"/>
    <w:rsid w:val="00383651"/>
    <w:rsid w:val="00392513"/>
    <w:rsid w:val="00395E23"/>
    <w:rsid w:val="003973A2"/>
    <w:rsid w:val="00397470"/>
    <w:rsid w:val="003975CA"/>
    <w:rsid w:val="00397EAE"/>
    <w:rsid w:val="003A0864"/>
    <w:rsid w:val="003A27D6"/>
    <w:rsid w:val="003A3561"/>
    <w:rsid w:val="003A6891"/>
    <w:rsid w:val="003A6D74"/>
    <w:rsid w:val="003B15B0"/>
    <w:rsid w:val="003B2EE4"/>
    <w:rsid w:val="003B4FA9"/>
    <w:rsid w:val="003B5DB4"/>
    <w:rsid w:val="003C21DE"/>
    <w:rsid w:val="003C3669"/>
    <w:rsid w:val="003C508B"/>
    <w:rsid w:val="003C5FDF"/>
    <w:rsid w:val="003D0724"/>
    <w:rsid w:val="003D1B8E"/>
    <w:rsid w:val="003D28D4"/>
    <w:rsid w:val="003D2E34"/>
    <w:rsid w:val="003D4D47"/>
    <w:rsid w:val="003E0F1E"/>
    <w:rsid w:val="003E1EB2"/>
    <w:rsid w:val="003E487F"/>
    <w:rsid w:val="003F0176"/>
    <w:rsid w:val="003F4ED2"/>
    <w:rsid w:val="003F4F08"/>
    <w:rsid w:val="003F67BD"/>
    <w:rsid w:val="003F7B08"/>
    <w:rsid w:val="004017AC"/>
    <w:rsid w:val="004029AD"/>
    <w:rsid w:val="00403C51"/>
    <w:rsid w:val="004063BC"/>
    <w:rsid w:val="00406D1C"/>
    <w:rsid w:val="0040739A"/>
    <w:rsid w:val="00417061"/>
    <w:rsid w:val="0042067A"/>
    <w:rsid w:val="00431579"/>
    <w:rsid w:val="00432234"/>
    <w:rsid w:val="004341A6"/>
    <w:rsid w:val="004368DB"/>
    <w:rsid w:val="00442849"/>
    <w:rsid w:val="00444BB3"/>
    <w:rsid w:val="00445019"/>
    <w:rsid w:val="00446DFC"/>
    <w:rsid w:val="00447567"/>
    <w:rsid w:val="00447BBE"/>
    <w:rsid w:val="00450BED"/>
    <w:rsid w:val="00450DF8"/>
    <w:rsid w:val="004574D6"/>
    <w:rsid w:val="0046133A"/>
    <w:rsid w:val="004624B7"/>
    <w:rsid w:val="004674BB"/>
    <w:rsid w:val="00467A22"/>
    <w:rsid w:val="00467AB2"/>
    <w:rsid w:val="00471A4E"/>
    <w:rsid w:val="00472A50"/>
    <w:rsid w:val="004730F7"/>
    <w:rsid w:val="004734E7"/>
    <w:rsid w:val="0047484C"/>
    <w:rsid w:val="00476E04"/>
    <w:rsid w:val="0047703F"/>
    <w:rsid w:val="00480892"/>
    <w:rsid w:val="0048118D"/>
    <w:rsid w:val="004838C8"/>
    <w:rsid w:val="00485D6C"/>
    <w:rsid w:val="004871B0"/>
    <w:rsid w:val="004872E3"/>
    <w:rsid w:val="00490F44"/>
    <w:rsid w:val="004931C4"/>
    <w:rsid w:val="00494103"/>
    <w:rsid w:val="004961CC"/>
    <w:rsid w:val="004976E8"/>
    <w:rsid w:val="004A0154"/>
    <w:rsid w:val="004A1C08"/>
    <w:rsid w:val="004A305C"/>
    <w:rsid w:val="004A4669"/>
    <w:rsid w:val="004A49B3"/>
    <w:rsid w:val="004A6AFA"/>
    <w:rsid w:val="004B1089"/>
    <w:rsid w:val="004B14C2"/>
    <w:rsid w:val="004B1DD1"/>
    <w:rsid w:val="004B44B7"/>
    <w:rsid w:val="004B6F9C"/>
    <w:rsid w:val="004B7071"/>
    <w:rsid w:val="004C407F"/>
    <w:rsid w:val="004D07CD"/>
    <w:rsid w:val="004D12BB"/>
    <w:rsid w:val="004D1D4B"/>
    <w:rsid w:val="004D5F00"/>
    <w:rsid w:val="004E13BD"/>
    <w:rsid w:val="004E4EBC"/>
    <w:rsid w:val="004E7D2A"/>
    <w:rsid w:val="004F08A7"/>
    <w:rsid w:val="004F2FBB"/>
    <w:rsid w:val="004F45EF"/>
    <w:rsid w:val="004F5DB7"/>
    <w:rsid w:val="004F67CB"/>
    <w:rsid w:val="00504071"/>
    <w:rsid w:val="005051B1"/>
    <w:rsid w:val="00505282"/>
    <w:rsid w:val="005059F8"/>
    <w:rsid w:val="00505C2F"/>
    <w:rsid w:val="00511824"/>
    <w:rsid w:val="005132A1"/>
    <w:rsid w:val="005142BC"/>
    <w:rsid w:val="0051444B"/>
    <w:rsid w:val="00514EAA"/>
    <w:rsid w:val="00515902"/>
    <w:rsid w:val="005178F6"/>
    <w:rsid w:val="005214C7"/>
    <w:rsid w:val="00522C6C"/>
    <w:rsid w:val="005252B2"/>
    <w:rsid w:val="00525E0B"/>
    <w:rsid w:val="0052721C"/>
    <w:rsid w:val="005312DE"/>
    <w:rsid w:val="0053174D"/>
    <w:rsid w:val="00532484"/>
    <w:rsid w:val="005330F7"/>
    <w:rsid w:val="005348D6"/>
    <w:rsid w:val="00536827"/>
    <w:rsid w:val="005411D3"/>
    <w:rsid w:val="00541224"/>
    <w:rsid w:val="00544F62"/>
    <w:rsid w:val="0054609C"/>
    <w:rsid w:val="005463F1"/>
    <w:rsid w:val="005511A4"/>
    <w:rsid w:val="0055226D"/>
    <w:rsid w:val="005528F7"/>
    <w:rsid w:val="0055335C"/>
    <w:rsid w:val="0055447E"/>
    <w:rsid w:val="00555B72"/>
    <w:rsid w:val="00562A3C"/>
    <w:rsid w:val="00562DF6"/>
    <w:rsid w:val="005630BC"/>
    <w:rsid w:val="00563598"/>
    <w:rsid w:val="00563B4D"/>
    <w:rsid w:val="00567953"/>
    <w:rsid w:val="0057185E"/>
    <w:rsid w:val="005722A8"/>
    <w:rsid w:val="00572347"/>
    <w:rsid w:val="00574D74"/>
    <w:rsid w:val="00575A3E"/>
    <w:rsid w:val="005767D7"/>
    <w:rsid w:val="0058047F"/>
    <w:rsid w:val="00581F4F"/>
    <w:rsid w:val="0058276B"/>
    <w:rsid w:val="005832D8"/>
    <w:rsid w:val="005856E8"/>
    <w:rsid w:val="00587872"/>
    <w:rsid w:val="00593EF2"/>
    <w:rsid w:val="005967CA"/>
    <w:rsid w:val="00596B2A"/>
    <w:rsid w:val="00596C74"/>
    <w:rsid w:val="00597883"/>
    <w:rsid w:val="005A0B9A"/>
    <w:rsid w:val="005A1815"/>
    <w:rsid w:val="005A260B"/>
    <w:rsid w:val="005A2951"/>
    <w:rsid w:val="005B3B9F"/>
    <w:rsid w:val="005B7EC3"/>
    <w:rsid w:val="005C0213"/>
    <w:rsid w:val="005C0E20"/>
    <w:rsid w:val="005C10EE"/>
    <w:rsid w:val="005C1B0C"/>
    <w:rsid w:val="005C237D"/>
    <w:rsid w:val="005C2DB3"/>
    <w:rsid w:val="005D2D87"/>
    <w:rsid w:val="005D488F"/>
    <w:rsid w:val="005D6AB0"/>
    <w:rsid w:val="005D71C0"/>
    <w:rsid w:val="005E27C7"/>
    <w:rsid w:val="005E2CD3"/>
    <w:rsid w:val="005E8CD1"/>
    <w:rsid w:val="005F4509"/>
    <w:rsid w:val="005F7FDF"/>
    <w:rsid w:val="00604969"/>
    <w:rsid w:val="00604A87"/>
    <w:rsid w:val="006100C4"/>
    <w:rsid w:val="006153E9"/>
    <w:rsid w:val="00615AEE"/>
    <w:rsid w:val="00617408"/>
    <w:rsid w:val="00622CEA"/>
    <w:rsid w:val="00624D9B"/>
    <w:rsid w:val="006259D7"/>
    <w:rsid w:val="00625C09"/>
    <w:rsid w:val="00627B2A"/>
    <w:rsid w:val="0063026B"/>
    <w:rsid w:val="006317B8"/>
    <w:rsid w:val="006339E3"/>
    <w:rsid w:val="00634616"/>
    <w:rsid w:val="006409A7"/>
    <w:rsid w:val="00643378"/>
    <w:rsid w:val="00643419"/>
    <w:rsid w:val="00644B56"/>
    <w:rsid w:val="00652364"/>
    <w:rsid w:val="0065683D"/>
    <w:rsid w:val="00657FA9"/>
    <w:rsid w:val="00660E5E"/>
    <w:rsid w:val="00661875"/>
    <w:rsid w:val="0066203C"/>
    <w:rsid w:val="00665270"/>
    <w:rsid w:val="0066767D"/>
    <w:rsid w:val="006706DC"/>
    <w:rsid w:val="00670DCE"/>
    <w:rsid w:val="00676807"/>
    <w:rsid w:val="0068120C"/>
    <w:rsid w:val="00683354"/>
    <w:rsid w:val="00684BB3"/>
    <w:rsid w:val="00690277"/>
    <w:rsid w:val="006912C4"/>
    <w:rsid w:val="00692AF2"/>
    <w:rsid w:val="006935C4"/>
    <w:rsid w:val="00693D86"/>
    <w:rsid w:val="0069431D"/>
    <w:rsid w:val="00695AAD"/>
    <w:rsid w:val="00696361"/>
    <w:rsid w:val="0069797E"/>
    <w:rsid w:val="006A03A1"/>
    <w:rsid w:val="006A26F4"/>
    <w:rsid w:val="006B2F52"/>
    <w:rsid w:val="006C093C"/>
    <w:rsid w:val="006C0AB5"/>
    <w:rsid w:val="006C364D"/>
    <w:rsid w:val="006C5549"/>
    <w:rsid w:val="006C6B5B"/>
    <w:rsid w:val="006C74C0"/>
    <w:rsid w:val="006D0258"/>
    <w:rsid w:val="006D15DF"/>
    <w:rsid w:val="006D22EB"/>
    <w:rsid w:val="006D26F2"/>
    <w:rsid w:val="006D28CE"/>
    <w:rsid w:val="006D63FA"/>
    <w:rsid w:val="006E1ED0"/>
    <w:rsid w:val="006E1FDD"/>
    <w:rsid w:val="006E36EB"/>
    <w:rsid w:val="006E44A5"/>
    <w:rsid w:val="006E54B2"/>
    <w:rsid w:val="006E5E19"/>
    <w:rsid w:val="006E712E"/>
    <w:rsid w:val="006F1A08"/>
    <w:rsid w:val="006F779A"/>
    <w:rsid w:val="007103E9"/>
    <w:rsid w:val="00711A29"/>
    <w:rsid w:val="0071211F"/>
    <w:rsid w:val="00712385"/>
    <w:rsid w:val="00720515"/>
    <w:rsid w:val="00720C4E"/>
    <w:rsid w:val="007246B5"/>
    <w:rsid w:val="007263FB"/>
    <w:rsid w:val="00726897"/>
    <w:rsid w:val="00732632"/>
    <w:rsid w:val="007374F7"/>
    <w:rsid w:val="00741B8E"/>
    <w:rsid w:val="007447C3"/>
    <w:rsid w:val="0075023F"/>
    <w:rsid w:val="007512E0"/>
    <w:rsid w:val="007533A3"/>
    <w:rsid w:val="00755E2A"/>
    <w:rsid w:val="007572E4"/>
    <w:rsid w:val="00760EA7"/>
    <w:rsid w:val="00761B61"/>
    <w:rsid w:val="0076207D"/>
    <w:rsid w:val="00762D2F"/>
    <w:rsid w:val="00764E39"/>
    <w:rsid w:val="00765711"/>
    <w:rsid w:val="00767FBF"/>
    <w:rsid w:val="007731C5"/>
    <w:rsid w:val="007803EB"/>
    <w:rsid w:val="00783752"/>
    <w:rsid w:val="007837D7"/>
    <w:rsid w:val="00783CDF"/>
    <w:rsid w:val="007853C3"/>
    <w:rsid w:val="00785C77"/>
    <w:rsid w:val="00785DEF"/>
    <w:rsid w:val="00790DEA"/>
    <w:rsid w:val="00791C48"/>
    <w:rsid w:val="00794482"/>
    <w:rsid w:val="00797A16"/>
    <w:rsid w:val="00797B64"/>
    <w:rsid w:val="007A15CB"/>
    <w:rsid w:val="007A37DF"/>
    <w:rsid w:val="007A4664"/>
    <w:rsid w:val="007A5119"/>
    <w:rsid w:val="007A659B"/>
    <w:rsid w:val="007B001A"/>
    <w:rsid w:val="007B47F1"/>
    <w:rsid w:val="007C034F"/>
    <w:rsid w:val="007C0B50"/>
    <w:rsid w:val="007C1FE0"/>
    <w:rsid w:val="007C2DB4"/>
    <w:rsid w:val="007C666D"/>
    <w:rsid w:val="007C7D41"/>
    <w:rsid w:val="007D0D7E"/>
    <w:rsid w:val="007D1D81"/>
    <w:rsid w:val="007D77D9"/>
    <w:rsid w:val="007E02AD"/>
    <w:rsid w:val="007E3210"/>
    <w:rsid w:val="007E3C0F"/>
    <w:rsid w:val="007E4D0E"/>
    <w:rsid w:val="007E641E"/>
    <w:rsid w:val="007E74FA"/>
    <w:rsid w:val="007F55E0"/>
    <w:rsid w:val="007F5C03"/>
    <w:rsid w:val="008017C7"/>
    <w:rsid w:val="00801BA1"/>
    <w:rsid w:val="008027F3"/>
    <w:rsid w:val="00802D72"/>
    <w:rsid w:val="00802F85"/>
    <w:rsid w:val="00803CE1"/>
    <w:rsid w:val="00810212"/>
    <w:rsid w:val="00810555"/>
    <w:rsid w:val="00811F7B"/>
    <w:rsid w:val="0081278D"/>
    <w:rsid w:val="00815619"/>
    <w:rsid w:val="008156DF"/>
    <w:rsid w:val="0081604C"/>
    <w:rsid w:val="00817E0C"/>
    <w:rsid w:val="00821966"/>
    <w:rsid w:val="008226C3"/>
    <w:rsid w:val="00822C1D"/>
    <w:rsid w:val="00823169"/>
    <w:rsid w:val="008235FA"/>
    <w:rsid w:val="008255F2"/>
    <w:rsid w:val="008257C9"/>
    <w:rsid w:val="0082738E"/>
    <w:rsid w:val="008276DF"/>
    <w:rsid w:val="00827C87"/>
    <w:rsid w:val="00830B62"/>
    <w:rsid w:val="00830CEE"/>
    <w:rsid w:val="00831998"/>
    <w:rsid w:val="00831DC2"/>
    <w:rsid w:val="008469D1"/>
    <w:rsid w:val="00850BAC"/>
    <w:rsid w:val="00855284"/>
    <w:rsid w:val="0085611C"/>
    <w:rsid w:val="0085617C"/>
    <w:rsid w:val="00857EBE"/>
    <w:rsid w:val="00861B78"/>
    <w:rsid w:val="0086323A"/>
    <w:rsid w:val="00864D8A"/>
    <w:rsid w:val="00866AFD"/>
    <w:rsid w:val="00870168"/>
    <w:rsid w:val="008708AF"/>
    <w:rsid w:val="00873B08"/>
    <w:rsid w:val="00874FAD"/>
    <w:rsid w:val="00877F0A"/>
    <w:rsid w:val="00881CE5"/>
    <w:rsid w:val="00883192"/>
    <w:rsid w:val="00885D66"/>
    <w:rsid w:val="00886626"/>
    <w:rsid w:val="00887204"/>
    <w:rsid w:val="00887A45"/>
    <w:rsid w:val="0089562E"/>
    <w:rsid w:val="0089591B"/>
    <w:rsid w:val="00896F93"/>
    <w:rsid w:val="00897149"/>
    <w:rsid w:val="00897BC1"/>
    <w:rsid w:val="008A3C1C"/>
    <w:rsid w:val="008A7080"/>
    <w:rsid w:val="008B0AC3"/>
    <w:rsid w:val="008B1154"/>
    <w:rsid w:val="008B12E7"/>
    <w:rsid w:val="008B1B57"/>
    <w:rsid w:val="008B3202"/>
    <w:rsid w:val="008B3891"/>
    <w:rsid w:val="008C1A04"/>
    <w:rsid w:val="008C33DE"/>
    <w:rsid w:val="008C3546"/>
    <w:rsid w:val="008C4774"/>
    <w:rsid w:val="008D0A42"/>
    <w:rsid w:val="008D1253"/>
    <w:rsid w:val="008D1813"/>
    <w:rsid w:val="008D193C"/>
    <w:rsid w:val="008D5AD0"/>
    <w:rsid w:val="008D5E28"/>
    <w:rsid w:val="008D66E6"/>
    <w:rsid w:val="008D78D2"/>
    <w:rsid w:val="008E1097"/>
    <w:rsid w:val="008E1125"/>
    <w:rsid w:val="008E268F"/>
    <w:rsid w:val="008E4D5D"/>
    <w:rsid w:val="008E7FAF"/>
    <w:rsid w:val="008F2812"/>
    <w:rsid w:val="008F7398"/>
    <w:rsid w:val="00901B11"/>
    <w:rsid w:val="009038C1"/>
    <w:rsid w:val="00905290"/>
    <w:rsid w:val="009056A6"/>
    <w:rsid w:val="009105AD"/>
    <w:rsid w:val="00912ADF"/>
    <w:rsid w:val="00914162"/>
    <w:rsid w:val="009219BF"/>
    <w:rsid w:val="0092489F"/>
    <w:rsid w:val="00924CCD"/>
    <w:rsid w:val="00927911"/>
    <w:rsid w:val="00927FB4"/>
    <w:rsid w:val="0093195D"/>
    <w:rsid w:val="009323B4"/>
    <w:rsid w:val="009326DD"/>
    <w:rsid w:val="009331CD"/>
    <w:rsid w:val="009339F2"/>
    <w:rsid w:val="00935CE0"/>
    <w:rsid w:val="00942CA5"/>
    <w:rsid w:val="00943488"/>
    <w:rsid w:val="00944C19"/>
    <w:rsid w:val="00947FE4"/>
    <w:rsid w:val="00950035"/>
    <w:rsid w:val="00950297"/>
    <w:rsid w:val="00952E10"/>
    <w:rsid w:val="009551E2"/>
    <w:rsid w:val="00956CC7"/>
    <w:rsid w:val="00957126"/>
    <w:rsid w:val="00961E10"/>
    <w:rsid w:val="009664CB"/>
    <w:rsid w:val="00970B03"/>
    <w:rsid w:val="00973588"/>
    <w:rsid w:val="009758F1"/>
    <w:rsid w:val="00977D49"/>
    <w:rsid w:val="0098358B"/>
    <w:rsid w:val="009877A7"/>
    <w:rsid w:val="00992A2E"/>
    <w:rsid w:val="0099380E"/>
    <w:rsid w:val="009A1F4E"/>
    <w:rsid w:val="009A5955"/>
    <w:rsid w:val="009A65C0"/>
    <w:rsid w:val="009B1292"/>
    <w:rsid w:val="009B4731"/>
    <w:rsid w:val="009B6B39"/>
    <w:rsid w:val="009C1079"/>
    <w:rsid w:val="009C3DD2"/>
    <w:rsid w:val="009C44D8"/>
    <w:rsid w:val="009C5DEA"/>
    <w:rsid w:val="009C6EEE"/>
    <w:rsid w:val="009D223D"/>
    <w:rsid w:val="009D250E"/>
    <w:rsid w:val="009D2583"/>
    <w:rsid w:val="009D2890"/>
    <w:rsid w:val="009E3606"/>
    <w:rsid w:val="009E361E"/>
    <w:rsid w:val="009E4183"/>
    <w:rsid w:val="009E4C0C"/>
    <w:rsid w:val="009E6D18"/>
    <w:rsid w:val="009F0036"/>
    <w:rsid w:val="009F0DBD"/>
    <w:rsid w:val="009F2512"/>
    <w:rsid w:val="009F2C2F"/>
    <w:rsid w:val="009F47D7"/>
    <w:rsid w:val="009F7573"/>
    <w:rsid w:val="009F7D4F"/>
    <w:rsid w:val="009F7D57"/>
    <w:rsid w:val="00A02864"/>
    <w:rsid w:val="00A0425B"/>
    <w:rsid w:val="00A04B6B"/>
    <w:rsid w:val="00A0718C"/>
    <w:rsid w:val="00A10418"/>
    <w:rsid w:val="00A109FE"/>
    <w:rsid w:val="00A113DD"/>
    <w:rsid w:val="00A135F9"/>
    <w:rsid w:val="00A13CBA"/>
    <w:rsid w:val="00A15858"/>
    <w:rsid w:val="00A16A81"/>
    <w:rsid w:val="00A175CC"/>
    <w:rsid w:val="00A207F6"/>
    <w:rsid w:val="00A2519A"/>
    <w:rsid w:val="00A3049D"/>
    <w:rsid w:val="00A3175A"/>
    <w:rsid w:val="00A34291"/>
    <w:rsid w:val="00A3666C"/>
    <w:rsid w:val="00A37EBE"/>
    <w:rsid w:val="00A4420F"/>
    <w:rsid w:val="00A46054"/>
    <w:rsid w:val="00A53EB5"/>
    <w:rsid w:val="00A545D9"/>
    <w:rsid w:val="00A54EAF"/>
    <w:rsid w:val="00A555C7"/>
    <w:rsid w:val="00A575DC"/>
    <w:rsid w:val="00A60F0F"/>
    <w:rsid w:val="00A61148"/>
    <w:rsid w:val="00A62DDC"/>
    <w:rsid w:val="00A71DEB"/>
    <w:rsid w:val="00A71E2D"/>
    <w:rsid w:val="00A74F7B"/>
    <w:rsid w:val="00A77EFD"/>
    <w:rsid w:val="00A806FC"/>
    <w:rsid w:val="00A83314"/>
    <w:rsid w:val="00A836DB"/>
    <w:rsid w:val="00A8790A"/>
    <w:rsid w:val="00A92B5C"/>
    <w:rsid w:val="00A95ECF"/>
    <w:rsid w:val="00A96D34"/>
    <w:rsid w:val="00A97751"/>
    <w:rsid w:val="00AA39E3"/>
    <w:rsid w:val="00AA74DA"/>
    <w:rsid w:val="00AB4C36"/>
    <w:rsid w:val="00AB4F72"/>
    <w:rsid w:val="00AC451F"/>
    <w:rsid w:val="00AC755F"/>
    <w:rsid w:val="00AD24A9"/>
    <w:rsid w:val="00AD35B4"/>
    <w:rsid w:val="00AD66AF"/>
    <w:rsid w:val="00AD68C1"/>
    <w:rsid w:val="00AE00D9"/>
    <w:rsid w:val="00AE13C8"/>
    <w:rsid w:val="00AE1715"/>
    <w:rsid w:val="00AE62B2"/>
    <w:rsid w:val="00AE65E9"/>
    <w:rsid w:val="00AE7797"/>
    <w:rsid w:val="00AF2E4D"/>
    <w:rsid w:val="00AF33FF"/>
    <w:rsid w:val="00AF5B96"/>
    <w:rsid w:val="00AF7256"/>
    <w:rsid w:val="00B00848"/>
    <w:rsid w:val="00B05192"/>
    <w:rsid w:val="00B075FB"/>
    <w:rsid w:val="00B11F2F"/>
    <w:rsid w:val="00B15840"/>
    <w:rsid w:val="00B176A4"/>
    <w:rsid w:val="00B25B4D"/>
    <w:rsid w:val="00B263DA"/>
    <w:rsid w:val="00B267EE"/>
    <w:rsid w:val="00B27B90"/>
    <w:rsid w:val="00B3027D"/>
    <w:rsid w:val="00B33596"/>
    <w:rsid w:val="00B34F60"/>
    <w:rsid w:val="00B3779B"/>
    <w:rsid w:val="00B45836"/>
    <w:rsid w:val="00B5042B"/>
    <w:rsid w:val="00B50653"/>
    <w:rsid w:val="00B54FBE"/>
    <w:rsid w:val="00B5519F"/>
    <w:rsid w:val="00B57E93"/>
    <w:rsid w:val="00B61F7D"/>
    <w:rsid w:val="00B7004A"/>
    <w:rsid w:val="00B700E1"/>
    <w:rsid w:val="00B742D1"/>
    <w:rsid w:val="00B8040D"/>
    <w:rsid w:val="00B8056C"/>
    <w:rsid w:val="00B834E4"/>
    <w:rsid w:val="00B876E1"/>
    <w:rsid w:val="00B87BC6"/>
    <w:rsid w:val="00B90BD6"/>
    <w:rsid w:val="00B91B22"/>
    <w:rsid w:val="00B93738"/>
    <w:rsid w:val="00B939FA"/>
    <w:rsid w:val="00B942E0"/>
    <w:rsid w:val="00B97D82"/>
    <w:rsid w:val="00BA4816"/>
    <w:rsid w:val="00BA5A24"/>
    <w:rsid w:val="00BA6C73"/>
    <w:rsid w:val="00BB08C9"/>
    <w:rsid w:val="00BB2683"/>
    <w:rsid w:val="00BB5C0E"/>
    <w:rsid w:val="00BC5DCF"/>
    <w:rsid w:val="00BD1FA5"/>
    <w:rsid w:val="00BD51B1"/>
    <w:rsid w:val="00BD6EB3"/>
    <w:rsid w:val="00BE0EA7"/>
    <w:rsid w:val="00BE65BD"/>
    <w:rsid w:val="00BE700A"/>
    <w:rsid w:val="00BF3EE3"/>
    <w:rsid w:val="00BF4C1E"/>
    <w:rsid w:val="00BF4FD3"/>
    <w:rsid w:val="00BF5985"/>
    <w:rsid w:val="00BF6A66"/>
    <w:rsid w:val="00C04BC5"/>
    <w:rsid w:val="00C05296"/>
    <w:rsid w:val="00C10EBA"/>
    <w:rsid w:val="00C11464"/>
    <w:rsid w:val="00C15318"/>
    <w:rsid w:val="00C15971"/>
    <w:rsid w:val="00C1651D"/>
    <w:rsid w:val="00C2025E"/>
    <w:rsid w:val="00C22E86"/>
    <w:rsid w:val="00C23610"/>
    <w:rsid w:val="00C26BE4"/>
    <w:rsid w:val="00C2719B"/>
    <w:rsid w:val="00C40D30"/>
    <w:rsid w:val="00C41DA7"/>
    <w:rsid w:val="00C41EAC"/>
    <w:rsid w:val="00C44E43"/>
    <w:rsid w:val="00C4625B"/>
    <w:rsid w:val="00C52243"/>
    <w:rsid w:val="00C52852"/>
    <w:rsid w:val="00C53332"/>
    <w:rsid w:val="00C547A9"/>
    <w:rsid w:val="00C60D11"/>
    <w:rsid w:val="00C62207"/>
    <w:rsid w:val="00C62485"/>
    <w:rsid w:val="00C63855"/>
    <w:rsid w:val="00C63C1F"/>
    <w:rsid w:val="00C64198"/>
    <w:rsid w:val="00C64E7D"/>
    <w:rsid w:val="00C73245"/>
    <w:rsid w:val="00C74D47"/>
    <w:rsid w:val="00C74EA8"/>
    <w:rsid w:val="00C8241F"/>
    <w:rsid w:val="00C85984"/>
    <w:rsid w:val="00C86A59"/>
    <w:rsid w:val="00C8791E"/>
    <w:rsid w:val="00C90057"/>
    <w:rsid w:val="00C912B1"/>
    <w:rsid w:val="00C91740"/>
    <w:rsid w:val="00C92986"/>
    <w:rsid w:val="00C93722"/>
    <w:rsid w:val="00C93F23"/>
    <w:rsid w:val="00C943E6"/>
    <w:rsid w:val="00C946E6"/>
    <w:rsid w:val="00C94751"/>
    <w:rsid w:val="00C968F7"/>
    <w:rsid w:val="00C978CC"/>
    <w:rsid w:val="00CA320E"/>
    <w:rsid w:val="00CA3B33"/>
    <w:rsid w:val="00CA7D83"/>
    <w:rsid w:val="00CB22D1"/>
    <w:rsid w:val="00CB2F65"/>
    <w:rsid w:val="00CB371E"/>
    <w:rsid w:val="00CB4052"/>
    <w:rsid w:val="00CC0424"/>
    <w:rsid w:val="00CC2AFF"/>
    <w:rsid w:val="00CC35DC"/>
    <w:rsid w:val="00CD3F7C"/>
    <w:rsid w:val="00CD52FE"/>
    <w:rsid w:val="00CD67BB"/>
    <w:rsid w:val="00CF2DDE"/>
    <w:rsid w:val="00CF443B"/>
    <w:rsid w:val="00CF4B63"/>
    <w:rsid w:val="00CF6CA9"/>
    <w:rsid w:val="00D01978"/>
    <w:rsid w:val="00D028C6"/>
    <w:rsid w:val="00D03E77"/>
    <w:rsid w:val="00D048DF"/>
    <w:rsid w:val="00D04E3D"/>
    <w:rsid w:val="00D07721"/>
    <w:rsid w:val="00D11113"/>
    <w:rsid w:val="00D15240"/>
    <w:rsid w:val="00D17673"/>
    <w:rsid w:val="00D215E4"/>
    <w:rsid w:val="00D2467F"/>
    <w:rsid w:val="00D266C9"/>
    <w:rsid w:val="00D272E1"/>
    <w:rsid w:val="00D34CA9"/>
    <w:rsid w:val="00D35D85"/>
    <w:rsid w:val="00D37024"/>
    <w:rsid w:val="00D370C9"/>
    <w:rsid w:val="00D37576"/>
    <w:rsid w:val="00D4011D"/>
    <w:rsid w:val="00D435BF"/>
    <w:rsid w:val="00D46256"/>
    <w:rsid w:val="00D51D90"/>
    <w:rsid w:val="00D537E4"/>
    <w:rsid w:val="00D53B74"/>
    <w:rsid w:val="00D559A2"/>
    <w:rsid w:val="00D6023F"/>
    <w:rsid w:val="00D7303C"/>
    <w:rsid w:val="00D7493A"/>
    <w:rsid w:val="00D7655A"/>
    <w:rsid w:val="00D77C5A"/>
    <w:rsid w:val="00D82ACF"/>
    <w:rsid w:val="00D84E64"/>
    <w:rsid w:val="00D869BA"/>
    <w:rsid w:val="00D93A50"/>
    <w:rsid w:val="00D94027"/>
    <w:rsid w:val="00D945EA"/>
    <w:rsid w:val="00D952A4"/>
    <w:rsid w:val="00D95504"/>
    <w:rsid w:val="00D97883"/>
    <w:rsid w:val="00DA0AB7"/>
    <w:rsid w:val="00DA1C89"/>
    <w:rsid w:val="00DB06EF"/>
    <w:rsid w:val="00DB1F20"/>
    <w:rsid w:val="00DB551C"/>
    <w:rsid w:val="00DC31DF"/>
    <w:rsid w:val="00DC419D"/>
    <w:rsid w:val="00DC5DF5"/>
    <w:rsid w:val="00DC5F64"/>
    <w:rsid w:val="00DD07FD"/>
    <w:rsid w:val="00DD12B1"/>
    <w:rsid w:val="00DD1F60"/>
    <w:rsid w:val="00DD3E44"/>
    <w:rsid w:val="00DD4429"/>
    <w:rsid w:val="00DD5B01"/>
    <w:rsid w:val="00DD6CCD"/>
    <w:rsid w:val="00DD7C08"/>
    <w:rsid w:val="00DD7C8D"/>
    <w:rsid w:val="00DE2962"/>
    <w:rsid w:val="00DE3AFF"/>
    <w:rsid w:val="00DE6676"/>
    <w:rsid w:val="00DE7201"/>
    <w:rsid w:val="00DE786F"/>
    <w:rsid w:val="00DF1568"/>
    <w:rsid w:val="00DF18B2"/>
    <w:rsid w:val="00DF4D2E"/>
    <w:rsid w:val="00DF5677"/>
    <w:rsid w:val="00DF6335"/>
    <w:rsid w:val="00DF730C"/>
    <w:rsid w:val="00E01DBA"/>
    <w:rsid w:val="00E02729"/>
    <w:rsid w:val="00E13DFB"/>
    <w:rsid w:val="00E14A85"/>
    <w:rsid w:val="00E155B3"/>
    <w:rsid w:val="00E15874"/>
    <w:rsid w:val="00E15940"/>
    <w:rsid w:val="00E15F63"/>
    <w:rsid w:val="00E16BDD"/>
    <w:rsid w:val="00E178B2"/>
    <w:rsid w:val="00E230FF"/>
    <w:rsid w:val="00E234BF"/>
    <w:rsid w:val="00E250E5"/>
    <w:rsid w:val="00E2589B"/>
    <w:rsid w:val="00E25C69"/>
    <w:rsid w:val="00E319F1"/>
    <w:rsid w:val="00E33BF8"/>
    <w:rsid w:val="00E343C1"/>
    <w:rsid w:val="00E34CF1"/>
    <w:rsid w:val="00E363DF"/>
    <w:rsid w:val="00E40B70"/>
    <w:rsid w:val="00E43F63"/>
    <w:rsid w:val="00E457BE"/>
    <w:rsid w:val="00E4605F"/>
    <w:rsid w:val="00E47EC9"/>
    <w:rsid w:val="00E558A8"/>
    <w:rsid w:val="00E55BB0"/>
    <w:rsid w:val="00E55D39"/>
    <w:rsid w:val="00E56884"/>
    <w:rsid w:val="00E56D26"/>
    <w:rsid w:val="00E5775B"/>
    <w:rsid w:val="00E603EE"/>
    <w:rsid w:val="00E6282A"/>
    <w:rsid w:val="00E63293"/>
    <w:rsid w:val="00E63441"/>
    <w:rsid w:val="00E666DD"/>
    <w:rsid w:val="00E70F5A"/>
    <w:rsid w:val="00E72B45"/>
    <w:rsid w:val="00E75990"/>
    <w:rsid w:val="00E90F29"/>
    <w:rsid w:val="00E922C7"/>
    <w:rsid w:val="00E95359"/>
    <w:rsid w:val="00E95DFF"/>
    <w:rsid w:val="00EB0309"/>
    <w:rsid w:val="00EB0D0D"/>
    <w:rsid w:val="00EB10CF"/>
    <w:rsid w:val="00EB1BFE"/>
    <w:rsid w:val="00EB2155"/>
    <w:rsid w:val="00EB3B54"/>
    <w:rsid w:val="00EB3CFF"/>
    <w:rsid w:val="00EC0DC2"/>
    <w:rsid w:val="00EC2BDD"/>
    <w:rsid w:val="00EC2C97"/>
    <w:rsid w:val="00EC3B5E"/>
    <w:rsid w:val="00EC3E1A"/>
    <w:rsid w:val="00EC4566"/>
    <w:rsid w:val="00EC4F04"/>
    <w:rsid w:val="00EC5A62"/>
    <w:rsid w:val="00EC6EE1"/>
    <w:rsid w:val="00ED0A97"/>
    <w:rsid w:val="00ED1DBA"/>
    <w:rsid w:val="00ED5ADE"/>
    <w:rsid w:val="00EE45F3"/>
    <w:rsid w:val="00EE78FE"/>
    <w:rsid w:val="00EE7D9B"/>
    <w:rsid w:val="00EF56F3"/>
    <w:rsid w:val="00EF669C"/>
    <w:rsid w:val="00F03FA9"/>
    <w:rsid w:val="00F118AA"/>
    <w:rsid w:val="00F118AF"/>
    <w:rsid w:val="00F15FAC"/>
    <w:rsid w:val="00F17043"/>
    <w:rsid w:val="00F172FE"/>
    <w:rsid w:val="00F21160"/>
    <w:rsid w:val="00F218DF"/>
    <w:rsid w:val="00F22D20"/>
    <w:rsid w:val="00F24738"/>
    <w:rsid w:val="00F25E90"/>
    <w:rsid w:val="00F276FB"/>
    <w:rsid w:val="00F279AC"/>
    <w:rsid w:val="00F27B81"/>
    <w:rsid w:val="00F337D2"/>
    <w:rsid w:val="00F339BE"/>
    <w:rsid w:val="00F33B1D"/>
    <w:rsid w:val="00F36B86"/>
    <w:rsid w:val="00F372D9"/>
    <w:rsid w:val="00F416F9"/>
    <w:rsid w:val="00F44D3A"/>
    <w:rsid w:val="00F460D9"/>
    <w:rsid w:val="00F5504B"/>
    <w:rsid w:val="00F553EA"/>
    <w:rsid w:val="00F55792"/>
    <w:rsid w:val="00F56332"/>
    <w:rsid w:val="00F57AF2"/>
    <w:rsid w:val="00F6155B"/>
    <w:rsid w:val="00F64A29"/>
    <w:rsid w:val="00F6582E"/>
    <w:rsid w:val="00F65AF6"/>
    <w:rsid w:val="00F66B87"/>
    <w:rsid w:val="00F70A22"/>
    <w:rsid w:val="00F73688"/>
    <w:rsid w:val="00F74B44"/>
    <w:rsid w:val="00F76899"/>
    <w:rsid w:val="00F776A7"/>
    <w:rsid w:val="00F812AB"/>
    <w:rsid w:val="00F81B4A"/>
    <w:rsid w:val="00F8300A"/>
    <w:rsid w:val="00F874E4"/>
    <w:rsid w:val="00F915F2"/>
    <w:rsid w:val="00F936B8"/>
    <w:rsid w:val="00FA0B2C"/>
    <w:rsid w:val="00FA23C0"/>
    <w:rsid w:val="00FA353E"/>
    <w:rsid w:val="00FA3E6F"/>
    <w:rsid w:val="00FA4593"/>
    <w:rsid w:val="00FA5434"/>
    <w:rsid w:val="00FB578B"/>
    <w:rsid w:val="00FB716C"/>
    <w:rsid w:val="00FC094D"/>
    <w:rsid w:val="00FC5230"/>
    <w:rsid w:val="00FC5B4F"/>
    <w:rsid w:val="00FD0976"/>
    <w:rsid w:val="00FD12B5"/>
    <w:rsid w:val="00FD192E"/>
    <w:rsid w:val="00FD1A04"/>
    <w:rsid w:val="00FE00E5"/>
    <w:rsid w:val="00FE2572"/>
    <w:rsid w:val="00FE4455"/>
    <w:rsid w:val="00FE542E"/>
    <w:rsid w:val="00FE586D"/>
    <w:rsid w:val="00FE5AF2"/>
    <w:rsid w:val="00FF3B92"/>
    <w:rsid w:val="00FF3E89"/>
    <w:rsid w:val="00FF7297"/>
    <w:rsid w:val="00FF72DB"/>
    <w:rsid w:val="00FF77FE"/>
    <w:rsid w:val="15204497"/>
    <w:rsid w:val="3448C95D"/>
    <w:rsid w:val="4FE630A2"/>
    <w:rsid w:val="59AA692A"/>
    <w:rsid w:val="5ADA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BF4FD3"/>
    <w:rPr>
      <w:color w:val="0000FF"/>
      <w:u w:val="single"/>
    </w:rPr>
  </w:style>
  <w:style w:type="paragraph" w:styleId="FootnoteText">
    <w:name w:val="footnote text"/>
    <w:basedOn w:val="Normal"/>
    <w:link w:val="FootnoteTextChar"/>
    <w:uiPriority w:val="99"/>
    <w:semiHidden/>
    <w:unhideWhenUsed/>
    <w:rsid w:val="00450BE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50BED"/>
    <w:rPr>
      <w:sz w:val="20"/>
      <w:szCs w:val="20"/>
    </w:rPr>
  </w:style>
  <w:style w:type="character" w:styleId="FootnoteReference">
    <w:name w:val="footnote reference"/>
    <w:basedOn w:val="DefaultParagraphFont"/>
    <w:uiPriority w:val="99"/>
    <w:semiHidden/>
    <w:unhideWhenUsed/>
    <w:rsid w:val="00450BED"/>
    <w:rPr>
      <w:vertAlign w:val="superscript"/>
    </w:rPr>
  </w:style>
  <w:style w:type="character" w:styleId="FollowedHyperlink">
    <w:name w:val="FollowedHyperlink"/>
    <w:basedOn w:val="DefaultParagraphFont"/>
    <w:uiPriority w:val="99"/>
    <w:semiHidden/>
    <w:unhideWhenUsed/>
    <w:rsid w:val="00801BA1"/>
    <w:rPr>
      <w:color w:val="954F72" w:themeColor="followedHyperlink"/>
      <w:u w:val="single"/>
    </w:rPr>
  </w:style>
  <w:style w:type="character" w:styleId="UnresolvedMention">
    <w:name w:val="Unresolved Mention"/>
    <w:basedOn w:val="DefaultParagraphFont"/>
    <w:uiPriority w:val="99"/>
    <w:semiHidden/>
    <w:unhideWhenUsed/>
    <w:rsid w:val="00FE542E"/>
    <w:rPr>
      <w:color w:val="605E5C"/>
      <w:shd w:val="clear" w:color="auto" w:fill="E1DFDD"/>
    </w:rPr>
  </w:style>
  <w:style w:type="character" w:styleId="CommentReference">
    <w:name w:val="annotation reference"/>
    <w:basedOn w:val="DefaultParagraphFont"/>
    <w:uiPriority w:val="99"/>
    <w:semiHidden/>
    <w:unhideWhenUsed/>
    <w:rsid w:val="006E54B2"/>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6E54B2"/>
    <w:rPr>
      <w:sz w:val="20"/>
      <w:szCs w:val="20"/>
      <w:lang w:val="en-GB"/>
    </w:rPr>
  </w:style>
  <w:style w:type="paragraph" w:styleId="CommentSubject">
    <w:name w:val="annotation subject"/>
    <w:basedOn w:val="CommentText"/>
    <w:next w:val="CommentText"/>
    <w:link w:val="CommentSubjectChar"/>
    <w:uiPriority w:val="99"/>
    <w:semiHidden/>
    <w:unhideWhenUsed/>
    <w:rsid w:val="006E54B2"/>
    <w:rPr>
      <w:b/>
      <w:bCs/>
    </w:rPr>
  </w:style>
  <w:style w:type="character" w:customStyle="1" w:styleId="CommentSubjectChar">
    <w:name w:val="Comment Subject Char"/>
    <w:basedOn w:val="CommentTextChar"/>
    <w:link w:val="CommentSubject"/>
    <w:uiPriority w:val="99"/>
    <w:semiHidden/>
    <w:rsid w:val="006E54B2"/>
    <w:rPr>
      <w:b/>
      <w:bCs/>
      <w:sz w:val="20"/>
      <w:szCs w:val="20"/>
      <w:lang w:val="en-GB"/>
    </w:rPr>
  </w:style>
  <w:style w:type="character" w:customStyle="1" w:styleId="cf01">
    <w:name w:val="cf01"/>
    <w:basedOn w:val="DefaultParagraphFont"/>
    <w:rsid w:val="001C71C7"/>
    <w:rPr>
      <w:rFonts w:ascii="Segoe UI" w:hAnsi="Segoe UI" w:cs="Segoe UI" w:hint="default"/>
      <w:sz w:val="18"/>
      <w:szCs w:val="18"/>
    </w:rPr>
  </w:style>
  <w:style w:type="paragraph" w:customStyle="1" w:styleId="Default">
    <w:name w:val="Default"/>
    <w:rsid w:val="00927FB4"/>
    <w:pPr>
      <w:autoSpaceDE w:val="0"/>
      <w:autoSpaceDN w:val="0"/>
      <w:adjustRightInd w:val="0"/>
      <w:spacing w:after="0" w:line="240" w:lineRule="auto"/>
    </w:pPr>
    <w:rPr>
      <w:rFonts w:cs="Arial"/>
      <w:color w:val="000000"/>
      <w:sz w:val="24"/>
      <w:szCs w:val="24"/>
      <w:lang w:val="en-AU"/>
    </w:rPr>
  </w:style>
  <w:style w:type="paragraph" w:customStyle="1" w:styleId="pf0">
    <w:name w:val="pf0"/>
    <w:basedOn w:val="Normal"/>
    <w:rsid w:val="00D04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44B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63266">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86773974">
      <w:bodyDiv w:val="1"/>
      <w:marLeft w:val="0"/>
      <w:marRight w:val="0"/>
      <w:marTop w:val="0"/>
      <w:marBottom w:val="0"/>
      <w:divBdr>
        <w:top w:val="none" w:sz="0" w:space="0" w:color="auto"/>
        <w:left w:val="none" w:sz="0" w:space="0" w:color="auto"/>
        <w:bottom w:val="none" w:sz="0" w:space="0" w:color="auto"/>
        <w:right w:val="none" w:sz="0" w:space="0" w:color="auto"/>
      </w:divBdr>
    </w:div>
    <w:div w:id="1924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21" Type="http://schemas.openxmlformats.org/officeDocument/2006/relationships/hyperlink" Target="https://www.cms.int/fr/node/19341" TargetMode="External"/><Relationship Id="rId34" Type="http://schemas.openxmlformats.org/officeDocument/2006/relationships/header" Target="header10.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https://www.cms.int/fr/document/lignes-directrices-pour-la-pr%C3%A9paration-et-l%C3%A9valuation-des-propositions-damendement-des" TargetMode="External"/><Relationship Id="rId33" Type="http://schemas.openxmlformats.org/officeDocument/2006/relationships/header" Target="header9.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ms.int/fr/node/18785"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ms.int/fr/node/18785" TargetMode="Externa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ms.int/fr/node/22493"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ms.int/fr/document/lignes-directrices-pour-la-pr%C3%A9paration-et-l%C3%A9valuation-des-propositions-damendement-des"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ms.int/fr/node/22750"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fr/node/20909"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2B142FD1-87FD-4D07-8C5E-A2E24E112B45}">
    <t:Anchor>
      <t:Comment id="675010525"/>
    </t:Anchor>
    <t:History>
      <t:Event id="{9D9776E1-4B71-478E-AD0C-21DAD198F3CD}" time="2023-06-20T13:56:54.815Z">
        <t:Attribution userId="S::melanie.virtue@un.org::ee91034a-7055-4896-9c91-945b9c77bbc7" userProvider="AD" userName="Melanie Virtue"/>
        <t:Anchor>
          <t:Comment id="675039942"/>
        </t:Anchor>
        <t:Create/>
      </t:Event>
      <t:Event id="{D03B2E65-DC79-4657-9320-86514C4D6019}" time="2023-06-20T13:56:54.815Z">
        <t:Attribution userId="S::melanie.virtue@un.org::ee91034a-7055-4896-9c91-945b9c77bbc7" userProvider="AD" userName="Melanie Virtue"/>
        <t:Anchor>
          <t:Comment id="675039942"/>
        </t:Anchor>
        <t:Assign userId="S::marco.barbieri@un.org::5484d944-462a-42e9-b2b4-8f6851958447" userProvider="AD" userName="Marco Barbieri"/>
      </t:Event>
      <t:Event id="{2CBE32C6-25EA-4D0C-82A0-87A7F03BEAB9}" time="2023-06-20T13:56:54.815Z">
        <t:Attribution userId="S::melanie.virtue@un.org::ee91034a-7055-4896-9c91-945b9c77bbc7" userProvider="AD" userName="Melanie Virtue"/>
        <t:Anchor>
          <t:Comment id="675039942"/>
        </t:Anchor>
        <t:SetTitle title="@Marco Barbieri cleared with a few commen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Sent xmlns="a7b50396-0b06-45c1-b28e-46f86d566a1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35E1ADEF-1357-43DB-8477-982CB10DE042}">
  <ds:schemaRefs>
    <ds:schemaRef ds:uri="http://schemas.microsoft.com/sharepoint/v3/contenttype/forms"/>
  </ds:schemaRefs>
</ds:datastoreItem>
</file>

<file path=customXml/itemProps3.xml><?xml version="1.0" encoding="utf-8"?>
<ds:datastoreItem xmlns:ds="http://schemas.openxmlformats.org/officeDocument/2006/customXml" ds:itemID="{C54A3B5E-E239-41BC-903D-DB591B6B07A3}">
  <ds:schemaRefs>
    <ds:schemaRef ds:uri="http://schemas.microsoft.com/sharepoint/v3/contenttype/forms"/>
  </ds:schemaRefs>
</ds:datastoreItem>
</file>

<file path=customXml/itemProps4.xml><?xml version="1.0" encoding="utf-8"?>
<ds:datastoreItem xmlns:ds="http://schemas.openxmlformats.org/officeDocument/2006/customXml" ds:itemID="{3A8EA285-288B-4A87-A3B7-1B8CCEDA6BD9}">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5.xml><?xml version="1.0" encoding="utf-8"?>
<ds:datastoreItem xmlns:ds="http://schemas.openxmlformats.org/officeDocument/2006/customXml" ds:itemID="{61FD10C6-F1AE-4FB4-B781-6EADA1E6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7285</Words>
  <Characters>41528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5</cp:revision>
  <cp:lastPrinted>2023-03-14T19:50:00Z</cp:lastPrinted>
  <dcterms:created xsi:type="dcterms:W3CDTF">2023-08-04T08:41:00Z</dcterms:created>
  <dcterms:modified xsi:type="dcterms:W3CDTF">2023-11-06T11:09:00Z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UniqueId">
    <vt:lpwstr>{c5024d6d-2b04-4d5d-8963-34383c1eb7d5}</vt:lpwstr>
  </property>
  <property fmtid="{D5CDD505-2E9C-101B-9397-08002B2CF9AE}" pid="8" name="RecordPoint_ActiveItemWebId">
    <vt:lpwstr>{344c6e69-c594-4ca4-b341-09ae9dfc1422}</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SubmissionCompleted">
    <vt:lpwstr/>
  </property>
  <property fmtid="{D5CDD505-2E9C-101B-9397-08002B2CF9AE}" pid="13" name="RecordPoint_RecordFormat">
    <vt:lpwstr/>
  </property>
  <property fmtid="{D5CDD505-2E9C-101B-9397-08002B2CF9AE}" pid="14" name="TaxKeyword">
    <vt:lpwstr/>
  </property>
  <property fmtid="{D5CDD505-2E9C-101B-9397-08002B2CF9AE}" pid="15" name="MediaServiceImageTags">
    <vt:lpwstr/>
  </property>
</Properties>
</file>