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FD95" w14:textId="77777777" w:rsidR="006E5484" w:rsidRDefault="006E5484">
      <w:pPr>
        <w:widowControl w:val="0"/>
        <w:tabs>
          <w:tab w:val="left" w:pos="-1057"/>
          <w:tab w:val="left" w:pos="-720"/>
        </w:tabs>
        <w:spacing w:after="0" w:line="240" w:lineRule="auto"/>
        <w:ind w:left="-90"/>
        <w:textAlignment w:val="baseline"/>
        <w:rPr>
          <w:rFonts w:eastAsia="Times New Roman" w:cs="Arial"/>
          <w:spacing w:val="-8"/>
          <w:sz w:val="8"/>
          <w:szCs w:val="8"/>
          <w:lang w:val="fr-FR"/>
        </w:rPr>
      </w:pPr>
    </w:p>
    <w:tbl>
      <w:tblPr>
        <w:tblW w:w="9648" w:type="dxa"/>
        <w:tblLayout w:type="fixed"/>
        <w:tblCellMar>
          <w:left w:w="10" w:type="dxa"/>
          <w:right w:w="10" w:type="dxa"/>
        </w:tblCellMar>
        <w:tblLook w:val="0000" w:firstRow="0" w:lastRow="0" w:firstColumn="0" w:lastColumn="0" w:noHBand="0" w:noVBand="0"/>
      </w:tblPr>
      <w:tblGrid>
        <w:gridCol w:w="1526"/>
        <w:gridCol w:w="3861"/>
        <w:gridCol w:w="4261"/>
      </w:tblGrid>
      <w:tr w:rsidR="002D3F84" w:rsidRPr="002D3F84" w14:paraId="75684DA4" w14:textId="77777777" w:rsidTr="005F3AF5">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968A42F" w14:textId="77777777" w:rsidR="002D3F84" w:rsidRPr="002D3F84" w:rsidRDefault="002D3F84" w:rsidP="002D3F84">
            <w:pPr>
              <w:widowControl w:val="0"/>
              <w:autoSpaceDE w:val="0"/>
              <w:autoSpaceDN w:val="0"/>
              <w:spacing w:after="0" w:line="240" w:lineRule="auto"/>
              <w:textAlignment w:val="baseline"/>
              <w:rPr>
                <w:rFonts w:ascii="Calibri" w:eastAsia="Calibri" w:hAnsi="Calibri" w:cs="Times New Roman"/>
                <w:lang w:val="en-US"/>
              </w:rPr>
            </w:pPr>
            <w:r w:rsidRPr="002D3F84">
              <w:rPr>
                <w:rFonts w:eastAsia="Times New Roman" w:cs="Arial"/>
                <w:noProof/>
                <w:lang w:val="en-US"/>
              </w:rPr>
              <w:drawing>
                <wp:inline distT="0" distB="0" distL="0" distR="0" wp14:anchorId="6778335E" wp14:editId="0957957D">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E6F8654" w14:textId="77777777" w:rsidR="002D3F84" w:rsidRPr="002D3F84" w:rsidRDefault="002D3F84" w:rsidP="002D3F84">
            <w:pPr>
              <w:widowControl w:val="0"/>
              <w:autoSpaceDE w:val="0"/>
              <w:autoSpaceDN w:val="0"/>
              <w:spacing w:after="0" w:line="240" w:lineRule="auto"/>
              <w:textAlignment w:val="baseline"/>
              <w:rPr>
                <w:rFonts w:eastAsia="Times New Roman" w:cs="Arial"/>
                <w:lang w:val="fr-FR"/>
              </w:rPr>
            </w:pPr>
          </w:p>
        </w:tc>
        <w:tc>
          <w:tcPr>
            <w:tcW w:w="3861" w:type="dxa"/>
            <w:tcBorders>
              <w:top w:val="single" w:sz="12" w:space="0" w:color="000000"/>
              <w:bottom w:val="single" w:sz="12" w:space="0" w:color="000000"/>
            </w:tcBorders>
            <w:shd w:val="clear" w:color="auto" w:fill="auto"/>
            <w:tcMar>
              <w:top w:w="85" w:type="dxa"/>
              <w:left w:w="108" w:type="dxa"/>
              <w:bottom w:w="0" w:type="dxa"/>
              <w:right w:w="108" w:type="dxa"/>
            </w:tcMar>
          </w:tcPr>
          <w:p w14:paraId="37810388" w14:textId="77777777" w:rsidR="002D3F84" w:rsidRPr="002D3F84" w:rsidRDefault="002D3F84" w:rsidP="002D3F84">
            <w:pPr>
              <w:keepNext/>
              <w:widowControl w:val="0"/>
              <w:autoSpaceDE w:val="0"/>
              <w:autoSpaceDN w:val="0"/>
              <w:spacing w:after="0" w:line="240" w:lineRule="auto"/>
              <w:ind w:left="-108"/>
              <w:textAlignment w:val="baseline"/>
              <w:outlineLvl w:val="1"/>
              <w:rPr>
                <w:rFonts w:eastAsia="Times New Roman" w:cs="Arial"/>
                <w:sz w:val="12"/>
                <w:szCs w:val="12"/>
                <w:lang w:val="fr-FR"/>
              </w:rPr>
            </w:pPr>
          </w:p>
          <w:p w14:paraId="6B714907" w14:textId="77777777" w:rsidR="002D3F84" w:rsidRPr="002D3F84" w:rsidRDefault="002D3F84" w:rsidP="002D3F84">
            <w:pPr>
              <w:keepNext/>
              <w:widowControl w:val="0"/>
              <w:autoSpaceDE w:val="0"/>
              <w:autoSpaceDN w:val="0"/>
              <w:spacing w:after="0" w:line="240" w:lineRule="auto"/>
              <w:ind w:left="-108"/>
              <w:textAlignment w:val="baseline"/>
              <w:outlineLvl w:val="1"/>
              <w:rPr>
                <w:rFonts w:ascii="Calibri" w:eastAsia="Calibri" w:hAnsi="Calibri" w:cs="Times New Roman"/>
                <w:lang w:val="fr-FR"/>
              </w:rPr>
            </w:pPr>
            <w:r w:rsidRPr="002D3F84">
              <w:rPr>
                <w:rFonts w:eastAsia="Arial" w:cs="Arial"/>
                <w:b/>
                <w:bCs/>
                <w:sz w:val="32"/>
                <w:szCs w:val="32"/>
                <w:lang w:val="fr-FR"/>
              </w:rPr>
              <w:t>CONVENTION SUR</w:t>
            </w:r>
          </w:p>
          <w:p w14:paraId="740B7C76" w14:textId="77777777" w:rsidR="002D3F84" w:rsidRPr="002D3F84" w:rsidRDefault="002D3F84" w:rsidP="002D3F84">
            <w:pPr>
              <w:keepNext/>
              <w:widowControl w:val="0"/>
              <w:autoSpaceDE w:val="0"/>
              <w:autoSpaceDN w:val="0"/>
              <w:spacing w:after="0" w:line="240" w:lineRule="auto"/>
              <w:ind w:left="-108"/>
              <w:textAlignment w:val="baseline"/>
              <w:outlineLvl w:val="1"/>
              <w:rPr>
                <w:rFonts w:ascii="Calibri" w:eastAsia="Calibri" w:hAnsi="Calibri" w:cs="Times New Roman"/>
                <w:lang w:val="fr-FR"/>
              </w:rPr>
            </w:pPr>
            <w:r w:rsidRPr="002D3F84">
              <w:rPr>
                <w:rFonts w:eastAsia="Arial" w:cs="Arial"/>
                <w:b/>
                <w:bCs/>
                <w:sz w:val="32"/>
                <w:szCs w:val="32"/>
                <w:lang w:val="fr-FR"/>
              </w:rPr>
              <w:t>LES ESPÈCES</w:t>
            </w:r>
          </w:p>
          <w:p w14:paraId="77B2C2DC" w14:textId="77777777" w:rsidR="002D3F84" w:rsidRPr="002D3F84" w:rsidRDefault="002D3F84" w:rsidP="002D3F84">
            <w:pPr>
              <w:keepNext/>
              <w:widowControl w:val="0"/>
              <w:autoSpaceDE w:val="0"/>
              <w:autoSpaceDN w:val="0"/>
              <w:spacing w:after="0" w:line="240" w:lineRule="auto"/>
              <w:ind w:left="-108"/>
              <w:textAlignment w:val="baseline"/>
              <w:outlineLvl w:val="1"/>
              <w:rPr>
                <w:rFonts w:ascii="Calibri" w:eastAsia="Calibri" w:hAnsi="Calibri" w:cs="Times New Roman"/>
                <w:lang w:val="fr-FR"/>
              </w:rPr>
            </w:pPr>
            <w:r w:rsidRPr="002D3F84">
              <w:rPr>
                <w:rFonts w:eastAsia="Arial" w:cs="Arial"/>
                <w:b/>
                <w:bCs/>
                <w:sz w:val="32"/>
                <w:szCs w:val="32"/>
                <w:lang w:val="fr-FR"/>
              </w:rPr>
              <w:t>MIGRATRICES</w:t>
            </w:r>
          </w:p>
        </w:tc>
        <w:tc>
          <w:tcPr>
            <w:tcW w:w="4261" w:type="dxa"/>
            <w:tcBorders>
              <w:top w:val="single" w:sz="12" w:space="0" w:color="000000"/>
              <w:bottom w:val="single" w:sz="12" w:space="0" w:color="000000"/>
            </w:tcBorders>
            <w:shd w:val="clear" w:color="auto" w:fill="auto"/>
            <w:tcMar>
              <w:top w:w="85" w:type="dxa"/>
              <w:left w:w="108" w:type="dxa"/>
              <w:bottom w:w="0" w:type="dxa"/>
              <w:right w:w="108" w:type="dxa"/>
            </w:tcMar>
          </w:tcPr>
          <w:p w14:paraId="1BF0D1CE" w14:textId="61E4CAA7" w:rsidR="002D3F84" w:rsidRPr="005F3AF5" w:rsidRDefault="002D3F84" w:rsidP="00573550">
            <w:pPr>
              <w:widowControl w:val="0"/>
              <w:tabs>
                <w:tab w:val="left" w:pos="5040"/>
                <w:tab w:val="left" w:pos="5760"/>
                <w:tab w:val="left" w:pos="6008"/>
                <w:tab w:val="left" w:pos="6480"/>
                <w:tab w:val="left" w:pos="7200"/>
                <w:tab w:val="left" w:pos="7920"/>
                <w:tab w:val="left" w:pos="8640"/>
              </w:tabs>
              <w:autoSpaceDE w:val="0"/>
              <w:autoSpaceDN w:val="0"/>
              <w:spacing w:before="120" w:after="120" w:line="240" w:lineRule="auto"/>
              <w:textAlignment w:val="baseline"/>
              <w:rPr>
                <w:rFonts w:ascii="Calibri" w:eastAsia="Calibri" w:hAnsi="Calibri" w:cs="Times New Roman"/>
                <w:lang w:val="en-US"/>
              </w:rPr>
            </w:pPr>
            <w:r w:rsidRPr="005F3AF5">
              <w:rPr>
                <w:rFonts w:eastAsia="Arial" w:cs="Arial"/>
                <w:lang w:val="en-US"/>
              </w:rPr>
              <w:t>UNEP/CMS/COP14/Doc.27.5.1</w:t>
            </w:r>
            <w:r w:rsidR="005F3AF5">
              <w:rPr>
                <w:rFonts w:eastAsia="Arial" w:cs="Arial"/>
                <w:lang w:val="en-US"/>
              </w:rPr>
              <w:t>/</w:t>
            </w:r>
            <w:r w:rsidR="00A87207" w:rsidRPr="005F3AF5">
              <w:rPr>
                <w:rFonts w:eastAsia="Arial" w:cs="Arial"/>
                <w:lang w:val="en-US"/>
              </w:rPr>
              <w:t>Rev.1</w:t>
            </w:r>
          </w:p>
          <w:p w14:paraId="00AD7F04" w14:textId="7E608FAC" w:rsidR="002D3F84" w:rsidRPr="00573550" w:rsidRDefault="005F3AF5" w:rsidP="00573550">
            <w:pPr>
              <w:widowControl w:val="0"/>
              <w:tabs>
                <w:tab w:val="left" w:pos="5040"/>
                <w:tab w:val="left" w:pos="5760"/>
                <w:tab w:val="left" w:pos="6008"/>
                <w:tab w:val="left" w:pos="6480"/>
                <w:tab w:val="left" w:pos="7200"/>
                <w:tab w:val="left" w:pos="7920"/>
                <w:tab w:val="left" w:pos="8640"/>
              </w:tabs>
              <w:autoSpaceDE w:val="0"/>
              <w:autoSpaceDN w:val="0"/>
              <w:spacing w:before="120" w:after="120" w:line="240" w:lineRule="auto"/>
              <w:textAlignment w:val="baseline"/>
              <w:rPr>
                <w:rFonts w:eastAsia="Calibri" w:cs="Arial"/>
                <w:lang w:val="fr-FR"/>
              </w:rPr>
            </w:pPr>
            <w:r>
              <w:rPr>
                <w:rFonts w:eastAsia="Calibri" w:cs="Arial"/>
                <w:lang w:val="fr-FR"/>
              </w:rPr>
              <w:t xml:space="preserve">12 octobre </w:t>
            </w:r>
            <w:r w:rsidR="002D3F84">
              <w:rPr>
                <w:rFonts w:eastAsia="Calibri" w:cs="Arial"/>
                <w:lang w:val="fr-FR"/>
              </w:rPr>
              <w:t>2023</w:t>
            </w:r>
          </w:p>
          <w:p w14:paraId="1AEE7241" w14:textId="77777777" w:rsidR="002D3F84" w:rsidRPr="002D3F84" w:rsidRDefault="002D3F84" w:rsidP="002D3F84">
            <w:pPr>
              <w:widowControl w:val="0"/>
              <w:autoSpaceDE w:val="0"/>
              <w:autoSpaceDN w:val="0"/>
              <w:spacing w:after="0" w:line="240" w:lineRule="auto"/>
              <w:textAlignment w:val="baseline"/>
              <w:rPr>
                <w:rFonts w:ascii="Calibri" w:eastAsia="Calibri" w:hAnsi="Calibri" w:cs="Times New Roman"/>
                <w:lang w:val="fr-FR"/>
              </w:rPr>
            </w:pPr>
            <w:r w:rsidRPr="002D3F84">
              <w:rPr>
                <w:rFonts w:eastAsia="Arial" w:cs="Arial"/>
                <w:lang w:val="fr-FR"/>
              </w:rPr>
              <w:t>Français</w:t>
            </w:r>
          </w:p>
          <w:p w14:paraId="48A1EB20" w14:textId="77777777" w:rsidR="002D3F84" w:rsidRPr="002D3F84" w:rsidRDefault="002D3F84" w:rsidP="002D3F84">
            <w:pPr>
              <w:widowControl w:val="0"/>
              <w:autoSpaceDE w:val="0"/>
              <w:autoSpaceDN w:val="0"/>
              <w:spacing w:after="0" w:line="240" w:lineRule="auto"/>
              <w:textAlignment w:val="baseline"/>
              <w:rPr>
                <w:rFonts w:ascii="Calibri" w:eastAsia="Calibri" w:hAnsi="Calibri" w:cs="Times New Roman"/>
                <w:lang w:val="fr-FR"/>
              </w:rPr>
            </w:pPr>
            <w:r w:rsidRPr="002D3F84">
              <w:rPr>
                <w:rFonts w:eastAsia="Arial" w:cs="Arial"/>
                <w:lang w:val="fr-FR"/>
              </w:rPr>
              <w:t>Original : Anglais</w:t>
            </w:r>
          </w:p>
          <w:p w14:paraId="06C602DB" w14:textId="77777777" w:rsidR="002D3F84" w:rsidRPr="002D3F84" w:rsidRDefault="002D3F84" w:rsidP="002D3F84">
            <w:pPr>
              <w:widowControl w:val="0"/>
              <w:autoSpaceDE w:val="0"/>
              <w:autoSpaceDN w:val="0"/>
              <w:spacing w:after="0" w:line="240" w:lineRule="auto"/>
              <w:textAlignment w:val="baseline"/>
              <w:rPr>
                <w:rFonts w:eastAsia="Times New Roman" w:cs="Arial"/>
                <w:sz w:val="12"/>
                <w:szCs w:val="12"/>
                <w:lang w:val="fr-FR"/>
              </w:rPr>
            </w:pPr>
          </w:p>
        </w:tc>
      </w:tr>
    </w:tbl>
    <w:p w14:paraId="2F9158B2" w14:textId="77777777" w:rsidR="002D3F84" w:rsidRPr="002D3F84" w:rsidRDefault="002D3F84" w:rsidP="002D3F84">
      <w:pPr>
        <w:widowControl w:val="0"/>
        <w:tabs>
          <w:tab w:val="left" w:pos="-1057"/>
          <w:tab w:val="left" w:pos="-720"/>
        </w:tabs>
        <w:autoSpaceDE w:val="0"/>
        <w:autoSpaceDN w:val="0"/>
        <w:spacing w:before="120" w:after="0" w:line="240" w:lineRule="auto"/>
        <w:textAlignment w:val="baseline"/>
        <w:rPr>
          <w:rFonts w:ascii="Calibri" w:eastAsia="Calibri" w:hAnsi="Calibri" w:cs="Times New Roman"/>
          <w:lang w:val="fr-FR"/>
        </w:rPr>
      </w:pPr>
      <w:r w:rsidRPr="002D3F84">
        <w:rPr>
          <w:rFonts w:eastAsia="Arial" w:cs="Arial"/>
          <w:lang w:val="fr-FR"/>
        </w:rPr>
        <w:t>14</w:t>
      </w:r>
      <w:r w:rsidRPr="002D3F84">
        <w:rPr>
          <w:rFonts w:eastAsia="Arial" w:cs="Arial"/>
          <w:vertAlign w:val="superscript"/>
          <w:lang w:val="fr-FR"/>
        </w:rPr>
        <w:t>ème</w:t>
      </w:r>
      <w:r w:rsidRPr="002D3F84">
        <w:rPr>
          <w:rFonts w:eastAsia="Arial" w:cs="Arial"/>
          <w:lang w:val="fr-FR"/>
        </w:rPr>
        <w:t xml:space="preserve"> SESSION DE LA CONFÉRENCE DES PARTIES</w:t>
      </w:r>
    </w:p>
    <w:p w14:paraId="7604762F" w14:textId="6659DFD3" w:rsidR="002D3F84" w:rsidRPr="002D3F84" w:rsidRDefault="002D3F84" w:rsidP="002D3F84">
      <w:pPr>
        <w:widowControl w:val="0"/>
        <w:pBdr>
          <w:top w:val="single" w:sz="6" w:space="0" w:color="FFFFFF"/>
          <w:left w:val="single" w:sz="6" w:space="0" w:color="FFFFFF"/>
          <w:bottom w:val="single" w:sz="6" w:space="0" w:color="FFFFFF"/>
          <w:right w:val="single" w:sz="6" w:space="0" w:color="FFFFFF"/>
        </w:pBdr>
        <w:autoSpaceDE w:val="0"/>
        <w:autoSpaceDN w:val="0"/>
        <w:spacing w:after="0" w:line="228" w:lineRule="auto"/>
        <w:textAlignment w:val="baseline"/>
        <w:outlineLvl w:val="1"/>
        <w:rPr>
          <w:rFonts w:ascii="Calibri" w:eastAsia="Calibri" w:hAnsi="Calibri" w:cs="Times New Roman"/>
          <w:lang w:val="fr-FR"/>
        </w:rPr>
      </w:pPr>
      <w:r w:rsidRPr="002D3F84">
        <w:rPr>
          <w:rFonts w:eastAsia="Arial" w:cs="Arial"/>
          <w:bCs/>
          <w:lang w:val="fr-FR"/>
        </w:rPr>
        <w:t xml:space="preserve">Samarcande, Ouzbékistan, </w:t>
      </w:r>
      <w:r w:rsidR="005F3AF5">
        <w:rPr>
          <w:rFonts w:eastAsia="Arial" w:cs="Arial"/>
          <w:bCs/>
          <w:lang w:val="fr-FR"/>
        </w:rPr>
        <w:t>1</w:t>
      </w:r>
      <w:r w:rsidRPr="005F3AF5">
        <w:rPr>
          <w:rFonts w:eastAsia="Arial" w:cs="Arial"/>
          <w:bCs/>
          <w:lang w:val="fr-FR"/>
        </w:rPr>
        <w:t xml:space="preserve">2 – </w:t>
      </w:r>
      <w:r w:rsidR="005F3AF5">
        <w:rPr>
          <w:rFonts w:eastAsia="Arial" w:cs="Arial"/>
          <w:bCs/>
          <w:lang w:val="fr-FR"/>
        </w:rPr>
        <w:t>17 février 2024</w:t>
      </w:r>
    </w:p>
    <w:p w14:paraId="2436DAE4" w14:textId="6097A252" w:rsidR="002D3F84" w:rsidRDefault="002D3F84" w:rsidP="002D3F84">
      <w:pPr>
        <w:widowControl w:val="0"/>
        <w:autoSpaceDE w:val="0"/>
        <w:autoSpaceDN w:val="0"/>
        <w:spacing w:after="0" w:line="228" w:lineRule="auto"/>
        <w:textAlignment w:val="baseline"/>
        <w:rPr>
          <w:rFonts w:eastAsia="Arial" w:cs="Arial"/>
          <w:iCs/>
          <w:lang w:val="fr-FR"/>
        </w:rPr>
      </w:pPr>
      <w:r w:rsidRPr="002D3F84">
        <w:rPr>
          <w:rFonts w:eastAsia="Arial" w:cs="Arial"/>
          <w:iCs/>
          <w:lang w:val="fr-FR"/>
        </w:rPr>
        <w:t>Poin</w:t>
      </w:r>
      <w:r>
        <w:rPr>
          <w:rFonts w:eastAsia="Arial" w:cs="Arial"/>
          <w:iCs/>
          <w:lang w:val="fr-FR"/>
        </w:rPr>
        <w:t>t 27.5</w:t>
      </w:r>
      <w:r w:rsidRPr="002D3F84">
        <w:rPr>
          <w:rFonts w:eastAsia="Arial" w:cs="Arial"/>
          <w:iCs/>
          <w:lang w:val="fr-FR"/>
        </w:rPr>
        <w:t xml:space="preserve"> de l’ordre du jour</w:t>
      </w:r>
    </w:p>
    <w:p w14:paraId="55B95FD1" w14:textId="77777777" w:rsidR="002D3F84" w:rsidRDefault="002D3F84" w:rsidP="002D3F84">
      <w:pPr>
        <w:widowControl w:val="0"/>
        <w:autoSpaceDE w:val="0"/>
        <w:autoSpaceDN w:val="0"/>
        <w:spacing w:after="0" w:line="228" w:lineRule="auto"/>
        <w:textAlignment w:val="baseline"/>
        <w:rPr>
          <w:rFonts w:eastAsia="Arial" w:cs="Arial"/>
          <w:iCs/>
          <w:lang w:val="fr-FR"/>
        </w:rPr>
      </w:pPr>
    </w:p>
    <w:p w14:paraId="1271B073" w14:textId="77777777" w:rsidR="002D3F84" w:rsidRPr="002D3F84" w:rsidRDefault="002D3F84" w:rsidP="002D3F84">
      <w:pPr>
        <w:widowControl w:val="0"/>
        <w:autoSpaceDE w:val="0"/>
        <w:autoSpaceDN w:val="0"/>
        <w:spacing w:after="0" w:line="228" w:lineRule="auto"/>
        <w:textAlignment w:val="baseline"/>
        <w:rPr>
          <w:rFonts w:ascii="Calibri" w:eastAsia="Calibri" w:hAnsi="Calibri" w:cs="Times New Roman"/>
          <w:lang w:val="fr-FR"/>
        </w:rPr>
      </w:pPr>
    </w:p>
    <w:p w14:paraId="4C34D11A" w14:textId="4F64689A" w:rsidR="006E5484" w:rsidRDefault="00FB2FEF">
      <w:pPr>
        <w:widowControl w:val="0"/>
        <w:pBdr>
          <w:top w:val="single" w:sz="6" w:space="0" w:color="FFFFFF"/>
          <w:left w:val="single" w:sz="6" w:space="0" w:color="FFFFFF"/>
          <w:bottom w:val="single" w:sz="6" w:space="0" w:color="FFFFFF"/>
          <w:right w:val="single" w:sz="6" w:space="0" w:color="FFFFFF"/>
        </w:pBdr>
        <w:spacing w:after="120" w:line="240" w:lineRule="auto"/>
        <w:ind w:left="-86" w:right="-360"/>
        <w:jc w:val="center"/>
        <w:textAlignment w:val="baseline"/>
        <w:outlineLvl w:val="1"/>
        <w:rPr>
          <w:lang w:val="fr-FR"/>
        </w:rPr>
      </w:pPr>
      <w:r>
        <w:rPr>
          <w:rFonts w:eastAsia="Times New Roman" w:cs="Arial"/>
          <w:b/>
          <w:bCs/>
          <w:lang w:val="fr-FR"/>
        </w:rPr>
        <w:t>PRIORITÉS DE CONSERVATION POUR LES CÉTACÉS</w:t>
      </w:r>
    </w:p>
    <w:p w14:paraId="2146BEA5" w14:textId="45E68489" w:rsidR="006E5484" w:rsidRDefault="00FB2FEF">
      <w:pPr>
        <w:widowControl w:val="0"/>
        <w:spacing w:after="0" w:line="240" w:lineRule="auto"/>
        <w:jc w:val="center"/>
        <w:textAlignment w:val="baseline"/>
        <w:rPr>
          <w:lang w:val="fr-FR"/>
        </w:rPr>
      </w:pPr>
      <w:r>
        <w:rPr>
          <w:rFonts w:eastAsia="Times New Roman" w:cs="Arial"/>
          <w:i/>
          <w:lang w:val="fr-FR"/>
        </w:rPr>
        <w:t>(Préparé par le Secrétariat</w:t>
      </w:r>
      <w:r w:rsidR="005F3AF5">
        <w:rPr>
          <w:rFonts w:eastAsia="Times New Roman" w:cs="Arial"/>
          <w:i/>
          <w:lang w:val="fr-FR"/>
        </w:rPr>
        <w:t xml:space="preserve"> et le Conseil scientifique</w:t>
      </w:r>
      <w:r>
        <w:rPr>
          <w:rFonts w:eastAsia="Times New Roman" w:cs="Arial"/>
          <w:i/>
          <w:lang w:val="fr-FR"/>
        </w:rPr>
        <w:t>)</w:t>
      </w:r>
    </w:p>
    <w:p w14:paraId="320C7E82" w14:textId="77777777" w:rsidR="006E5484" w:rsidRDefault="006E5484">
      <w:pPr>
        <w:widowControl w:val="0"/>
        <w:tabs>
          <w:tab w:val="left" w:pos="8295"/>
        </w:tabs>
        <w:spacing w:after="0" w:line="240" w:lineRule="auto"/>
        <w:jc w:val="both"/>
        <w:textAlignment w:val="baseline"/>
        <w:rPr>
          <w:rFonts w:cs="Arial"/>
          <w:i/>
          <w:sz w:val="21"/>
          <w:szCs w:val="21"/>
          <w:lang w:val="fr-FR"/>
        </w:rPr>
      </w:pPr>
    </w:p>
    <w:p w14:paraId="245E0E68" w14:textId="77777777" w:rsidR="006E5484" w:rsidRDefault="006E5484">
      <w:pPr>
        <w:widowControl w:val="0"/>
        <w:tabs>
          <w:tab w:val="left" w:pos="8295"/>
        </w:tabs>
        <w:spacing w:after="0" w:line="240" w:lineRule="auto"/>
        <w:jc w:val="both"/>
        <w:textAlignment w:val="baseline"/>
        <w:rPr>
          <w:rFonts w:eastAsia="Times New Roman" w:cs="Arial"/>
          <w:sz w:val="21"/>
          <w:szCs w:val="21"/>
          <w:lang w:val="fr-FR"/>
        </w:rPr>
      </w:pPr>
    </w:p>
    <w:p w14:paraId="475B62B4" w14:textId="77777777" w:rsidR="006E5484" w:rsidRDefault="00FB2FEF">
      <w:pPr>
        <w:widowControl w:val="0"/>
        <w:spacing w:after="0" w:line="240" w:lineRule="auto"/>
        <w:textAlignment w:val="baseline"/>
        <w:rPr>
          <w:rFonts w:ascii="Calibri" w:eastAsia="Calibri" w:hAnsi="Calibri" w:cs="Times New Roman"/>
          <w:lang w:val="fr-FR"/>
        </w:rPr>
      </w:pPr>
      <w:r>
        <w:rPr>
          <w:rFonts w:ascii="Calibri" w:eastAsia="Calibri" w:hAnsi="Calibri" w:cs="Times New Roman"/>
          <w:noProof/>
          <w:lang w:val="fr-FR"/>
        </w:rPr>
        <mc:AlternateContent>
          <mc:Choice Requires="wps">
            <w:drawing>
              <wp:anchor distT="0" distB="26670" distL="0" distR="19050" simplePos="0" relativeHeight="251658240" behindDoc="0" locked="0" layoutInCell="0" allowOverlap="1" wp14:anchorId="3C514DF8" wp14:editId="2FD9EE89">
                <wp:simplePos x="0" y="0"/>
                <wp:positionH relativeFrom="column">
                  <wp:posOffset>750013</wp:posOffset>
                </wp:positionH>
                <wp:positionV relativeFrom="paragraph">
                  <wp:posOffset>97305</wp:posOffset>
                </wp:positionV>
                <wp:extent cx="4818580" cy="1880171"/>
                <wp:effectExtent l="0" t="0" r="20320" b="25400"/>
                <wp:wrapNone/>
                <wp:docPr id="2" name="Rectangle 2"/>
                <wp:cNvGraphicFramePr/>
                <a:graphic xmlns:a="http://schemas.openxmlformats.org/drawingml/2006/main">
                  <a:graphicData uri="http://schemas.microsoft.com/office/word/2010/wordprocessingShape">
                    <wps:wsp>
                      <wps:cNvSpPr/>
                      <wps:spPr>
                        <a:xfrm>
                          <a:off x="0" y="0"/>
                          <a:ext cx="4818580" cy="1880171"/>
                        </a:xfrm>
                        <a:prstGeom prst="rect">
                          <a:avLst/>
                        </a:prstGeom>
                        <a:solidFill>
                          <a:srgbClr val="FFFFFF"/>
                        </a:solidFill>
                        <a:ln w="3172">
                          <a:solidFill>
                            <a:srgbClr val="000000"/>
                          </a:solidFill>
                          <a:round/>
                        </a:ln>
                      </wps:spPr>
                      <wps:style>
                        <a:lnRef idx="0">
                          <a:scrgbClr r="0" g="0" b="0"/>
                        </a:lnRef>
                        <a:fillRef idx="0">
                          <a:scrgbClr r="0" g="0" b="0"/>
                        </a:fillRef>
                        <a:effectRef idx="0">
                          <a:scrgbClr r="0" g="0" b="0"/>
                        </a:effectRef>
                        <a:fontRef idx="minor"/>
                      </wps:style>
                      <wps:txbx>
                        <w:txbxContent>
                          <w:p w14:paraId="112CD717" w14:textId="77777777" w:rsidR="006E5484" w:rsidRDefault="00FB2FEF">
                            <w:pPr>
                              <w:pStyle w:val="FrameContents"/>
                              <w:spacing w:after="0"/>
                              <w:rPr>
                                <w:lang w:val="fr-FR"/>
                              </w:rPr>
                            </w:pPr>
                            <w:r>
                              <w:rPr>
                                <w:rFonts w:cs="Arial"/>
                                <w:lang w:val="fr-FR"/>
                              </w:rPr>
                              <w:t>Résumé :</w:t>
                            </w:r>
                          </w:p>
                          <w:p w14:paraId="004439CB" w14:textId="77777777" w:rsidR="006E5484" w:rsidRDefault="006E5484">
                            <w:pPr>
                              <w:pStyle w:val="FrameContents"/>
                              <w:spacing w:after="0"/>
                              <w:rPr>
                                <w:rFonts w:cs="Arial"/>
                                <w:lang w:val="fr-FR"/>
                              </w:rPr>
                            </w:pPr>
                          </w:p>
                          <w:p w14:paraId="5469C935" w14:textId="45614559" w:rsidR="006E5484" w:rsidRDefault="00FB2FEF" w:rsidP="005F3AF5">
                            <w:pPr>
                              <w:pStyle w:val="FrameContents"/>
                              <w:spacing w:after="0" w:line="240" w:lineRule="auto"/>
                              <w:jc w:val="both"/>
                              <w:rPr>
                                <w:rFonts w:cs="Arial"/>
                                <w:iCs/>
                                <w:color w:val="000000"/>
                                <w:lang w:val="fr-FR"/>
                              </w:rPr>
                            </w:pPr>
                            <w:r>
                              <w:rPr>
                                <w:rFonts w:cs="Arial"/>
                                <w:color w:val="000000"/>
                                <w:lang w:val="fr-FR"/>
                              </w:rPr>
                              <w:t xml:space="preserve">Le présent document fait état des avancées dans la mise en œuvre des </w:t>
                            </w:r>
                            <w:r>
                              <w:rPr>
                                <w:rFonts w:cs="Arial"/>
                                <w:iCs/>
                                <w:color w:val="000000"/>
                                <w:lang w:val="fr-FR"/>
                              </w:rPr>
                              <w:t xml:space="preserve">Décisions 13.80 à 13.85 et contient un projet de </w:t>
                            </w:r>
                            <w:r>
                              <w:rPr>
                                <w:rFonts w:cs="Arial"/>
                                <w:color w:val="000000"/>
                                <w:lang w:val="fr-FR"/>
                              </w:rPr>
                              <w:t xml:space="preserve">résolution </w:t>
                            </w:r>
                            <w:r>
                              <w:rPr>
                                <w:rFonts w:cs="Arial"/>
                                <w:iCs/>
                                <w:color w:val="000000"/>
                                <w:lang w:val="fr-FR"/>
                              </w:rPr>
                              <w:t xml:space="preserve">et </w:t>
                            </w:r>
                            <w:r w:rsidR="00626628">
                              <w:rPr>
                                <w:rFonts w:cs="Arial"/>
                                <w:iCs/>
                                <w:color w:val="000000"/>
                                <w:lang w:val="fr-FR"/>
                              </w:rPr>
                              <w:t>un</w:t>
                            </w:r>
                            <w:r>
                              <w:rPr>
                                <w:rFonts w:cs="Arial"/>
                                <w:iCs/>
                                <w:color w:val="000000"/>
                                <w:lang w:val="fr-FR"/>
                              </w:rPr>
                              <w:t xml:space="preserve"> projet</w:t>
                            </w:r>
                            <w:r w:rsidR="00626628">
                              <w:rPr>
                                <w:rFonts w:cs="Arial"/>
                                <w:iCs/>
                                <w:color w:val="000000"/>
                                <w:lang w:val="fr-FR"/>
                              </w:rPr>
                              <w:t xml:space="preserve"> </w:t>
                            </w:r>
                            <w:r>
                              <w:rPr>
                                <w:rFonts w:cs="Arial"/>
                                <w:iCs/>
                                <w:color w:val="000000"/>
                                <w:lang w:val="fr-FR"/>
                              </w:rPr>
                              <w:t>de décisions pour adoption.</w:t>
                            </w:r>
                          </w:p>
                          <w:p w14:paraId="69606504" w14:textId="77777777" w:rsidR="00077EE5" w:rsidRDefault="00077EE5" w:rsidP="005F3AF5">
                            <w:pPr>
                              <w:pStyle w:val="FrameContents"/>
                              <w:spacing w:after="0" w:line="240" w:lineRule="auto"/>
                              <w:jc w:val="both"/>
                              <w:rPr>
                                <w:rFonts w:cs="Arial"/>
                                <w:iCs/>
                                <w:color w:val="000000"/>
                                <w:lang w:val="fr-FR"/>
                              </w:rPr>
                            </w:pPr>
                          </w:p>
                          <w:p w14:paraId="50634BF7" w14:textId="6E9D5C25" w:rsidR="00077EE5" w:rsidRDefault="005F3AF5" w:rsidP="005F3AF5">
                            <w:pPr>
                              <w:pStyle w:val="FrameContents"/>
                              <w:spacing w:after="0" w:line="240" w:lineRule="auto"/>
                              <w:jc w:val="both"/>
                              <w:rPr>
                                <w:lang w:val="fr-FR"/>
                              </w:rPr>
                            </w:pPr>
                            <w:proofErr w:type="gramStart"/>
                            <w:r w:rsidRPr="005F3AF5">
                              <w:rPr>
                                <w:lang w:val="fr-FR"/>
                              </w:rPr>
                              <w:t>Suite à</w:t>
                            </w:r>
                            <w:proofErr w:type="gramEnd"/>
                            <w:r w:rsidRPr="005F3AF5">
                              <w:rPr>
                                <w:lang w:val="fr-FR"/>
                              </w:rPr>
                              <w:t xml:space="preserve"> la discussion lors de la 6ème réunion du Comité de session du Conseil scientifique, un groupe de correspondance a été mis en place pour aider à affiner le document. La révision 1 reflète les changements convenus par ce groupe.</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3C514DF8" id="Rectangle 2" o:spid="_x0000_s1026" style="position:absolute;margin-left:59.05pt;margin-top:7.65pt;width:379.4pt;height:148.05pt;z-index:251658240;visibility:visible;mso-wrap-style:square;mso-width-percent:0;mso-height-percent:0;mso-wrap-distance-left:0;mso-wrap-distance-top:0;mso-wrap-distance-right:1.5pt;mso-wrap-distance-bottom:2.1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" o:allowincell="f" strokeweight=".08811mm">
                <v:stroke joinstyle="round"/>
                <v:textbox>
                  <w:txbxContent>
                    <w:p w14:paraId="112CD717" w14:textId="77777777" w:rsidR="006E5484" w:rsidRDefault="00FB2FEF">
                      <w:pPr>
                        <w:pStyle w:val="FrameContents"/>
                        <w:spacing w:after="0"/>
                        <w:rPr>
                          <w:lang w:val="fr-FR"/>
                        </w:rPr>
                      </w:pPr>
                      <w:r>
                        <w:rPr>
                          <w:rFonts w:cs="Arial"/>
                          <w:lang w:val="fr-FR"/>
                        </w:rPr>
                        <w:t>Résumé :</w:t>
                      </w:r>
                    </w:p>
                    <w:p w14:paraId="004439CB" w14:textId="77777777" w:rsidR="006E5484" w:rsidRDefault="006E5484">
                      <w:pPr>
                        <w:pStyle w:val="FrameContents"/>
                        <w:spacing w:after="0"/>
                        <w:rPr>
                          <w:rFonts w:cs="Arial"/>
                          <w:lang w:val="fr-FR"/>
                        </w:rPr>
                      </w:pPr>
                    </w:p>
                    <w:p w14:paraId="5469C935" w14:textId="45614559" w:rsidR="006E5484" w:rsidRDefault="00FB2FEF" w:rsidP="005F3AF5">
                      <w:pPr>
                        <w:pStyle w:val="FrameContents"/>
                        <w:spacing w:after="0" w:line="240" w:lineRule="auto"/>
                        <w:jc w:val="both"/>
                        <w:rPr>
                          <w:rFonts w:cs="Arial"/>
                          <w:iCs/>
                          <w:color w:val="000000"/>
                          <w:lang w:val="fr-FR"/>
                        </w:rPr>
                      </w:pPr>
                      <w:r>
                        <w:rPr>
                          <w:rFonts w:cs="Arial"/>
                          <w:color w:val="000000"/>
                          <w:lang w:val="fr-FR"/>
                        </w:rPr>
                        <w:t xml:space="preserve">Le présent document fait état des avancées dans la mise en œuvre des </w:t>
                      </w:r>
                      <w:r>
                        <w:rPr>
                          <w:rFonts w:cs="Arial"/>
                          <w:iCs/>
                          <w:color w:val="000000"/>
                          <w:lang w:val="fr-FR"/>
                        </w:rPr>
                        <w:t xml:space="preserve">Décisions 13.80 à 13.85 et contient un projet de </w:t>
                      </w:r>
                      <w:r>
                        <w:rPr>
                          <w:rFonts w:cs="Arial"/>
                          <w:color w:val="000000"/>
                          <w:lang w:val="fr-FR"/>
                        </w:rPr>
                        <w:t xml:space="preserve">résolution </w:t>
                      </w:r>
                      <w:r>
                        <w:rPr>
                          <w:rFonts w:cs="Arial"/>
                          <w:iCs/>
                          <w:color w:val="000000"/>
                          <w:lang w:val="fr-FR"/>
                        </w:rPr>
                        <w:t xml:space="preserve">et </w:t>
                      </w:r>
                      <w:r w:rsidR="00626628">
                        <w:rPr>
                          <w:rFonts w:cs="Arial"/>
                          <w:iCs/>
                          <w:color w:val="000000"/>
                          <w:lang w:val="fr-FR"/>
                        </w:rPr>
                        <w:t>un</w:t>
                      </w:r>
                      <w:r>
                        <w:rPr>
                          <w:rFonts w:cs="Arial"/>
                          <w:iCs/>
                          <w:color w:val="000000"/>
                          <w:lang w:val="fr-FR"/>
                        </w:rPr>
                        <w:t xml:space="preserve"> projet</w:t>
                      </w:r>
                      <w:r w:rsidR="00626628">
                        <w:rPr>
                          <w:rFonts w:cs="Arial"/>
                          <w:iCs/>
                          <w:color w:val="000000"/>
                          <w:lang w:val="fr-FR"/>
                        </w:rPr>
                        <w:t xml:space="preserve"> </w:t>
                      </w:r>
                      <w:r>
                        <w:rPr>
                          <w:rFonts w:cs="Arial"/>
                          <w:iCs/>
                          <w:color w:val="000000"/>
                          <w:lang w:val="fr-FR"/>
                        </w:rPr>
                        <w:t>de décisions pour adoption.</w:t>
                      </w:r>
                    </w:p>
                    <w:p w14:paraId="69606504" w14:textId="77777777" w:rsidR="00077EE5" w:rsidRDefault="00077EE5" w:rsidP="005F3AF5">
                      <w:pPr>
                        <w:pStyle w:val="FrameContents"/>
                        <w:spacing w:after="0" w:line="240" w:lineRule="auto"/>
                        <w:jc w:val="both"/>
                        <w:rPr>
                          <w:rFonts w:cs="Arial"/>
                          <w:iCs/>
                          <w:color w:val="000000"/>
                          <w:lang w:val="fr-FR"/>
                        </w:rPr>
                      </w:pPr>
                    </w:p>
                    <w:p w14:paraId="50634BF7" w14:textId="6E9D5C25" w:rsidR="00077EE5" w:rsidRDefault="005F3AF5" w:rsidP="005F3AF5">
                      <w:pPr>
                        <w:pStyle w:val="FrameContents"/>
                        <w:spacing w:after="0" w:line="240" w:lineRule="auto"/>
                        <w:jc w:val="both"/>
                        <w:rPr>
                          <w:lang w:val="fr-FR"/>
                        </w:rPr>
                      </w:pPr>
                      <w:r w:rsidRPr="005F3AF5">
                        <w:rPr>
                          <w:lang w:val="fr-FR"/>
                        </w:rPr>
                        <w:t>Suite à la discussion lors de la 6ème réunion du Comité de session du Conseil scientifique, un groupe de correspondance a été mis en place pour aider à affiner le document. La révision 1 reflète les changements convenus par ce groupe.</w:t>
                      </w:r>
                    </w:p>
                  </w:txbxContent>
                </v:textbox>
              </v:rect>
            </w:pict>
          </mc:Fallback>
        </mc:AlternateContent>
      </w:r>
    </w:p>
    <w:p w14:paraId="17E672B4" w14:textId="77777777" w:rsidR="006E5484" w:rsidRDefault="006E5484">
      <w:pPr>
        <w:widowControl w:val="0"/>
        <w:spacing w:after="0" w:line="240" w:lineRule="auto"/>
        <w:textAlignment w:val="baseline"/>
        <w:rPr>
          <w:rFonts w:eastAsia="Times New Roman" w:cs="Arial"/>
          <w:sz w:val="21"/>
          <w:szCs w:val="21"/>
          <w:lang w:val="fr-FR"/>
        </w:rPr>
      </w:pPr>
    </w:p>
    <w:p w14:paraId="7ECB18A9" w14:textId="77777777" w:rsidR="006E5484" w:rsidRDefault="006E5484">
      <w:pPr>
        <w:widowControl w:val="0"/>
        <w:spacing w:after="0" w:line="240" w:lineRule="auto"/>
        <w:textAlignment w:val="baseline"/>
        <w:rPr>
          <w:rFonts w:eastAsia="Times New Roman" w:cs="Arial"/>
          <w:sz w:val="21"/>
          <w:szCs w:val="21"/>
          <w:lang w:val="fr-FR"/>
        </w:rPr>
      </w:pPr>
    </w:p>
    <w:p w14:paraId="507E1137" w14:textId="77777777" w:rsidR="006E5484" w:rsidRDefault="006E5484">
      <w:pPr>
        <w:widowControl w:val="0"/>
        <w:spacing w:after="0" w:line="240" w:lineRule="auto"/>
        <w:textAlignment w:val="baseline"/>
        <w:rPr>
          <w:rFonts w:eastAsia="Times New Roman" w:cs="Arial"/>
          <w:sz w:val="21"/>
          <w:szCs w:val="21"/>
          <w:lang w:val="fr-FR"/>
        </w:rPr>
      </w:pPr>
    </w:p>
    <w:p w14:paraId="0F6754B5" w14:textId="77777777" w:rsidR="006E5484" w:rsidRDefault="006E5484">
      <w:pPr>
        <w:widowControl w:val="0"/>
        <w:spacing w:after="0" w:line="240" w:lineRule="auto"/>
        <w:textAlignment w:val="baseline"/>
        <w:rPr>
          <w:rFonts w:eastAsia="Times New Roman" w:cs="Arial"/>
          <w:sz w:val="21"/>
          <w:szCs w:val="21"/>
          <w:lang w:val="fr-FR"/>
        </w:rPr>
      </w:pPr>
    </w:p>
    <w:p w14:paraId="0A29628C" w14:textId="77777777" w:rsidR="006E5484" w:rsidRDefault="006E5484">
      <w:pPr>
        <w:widowControl w:val="0"/>
        <w:spacing w:after="0" w:line="240" w:lineRule="auto"/>
        <w:textAlignment w:val="baseline"/>
        <w:rPr>
          <w:rFonts w:eastAsia="Times New Roman" w:cs="Arial"/>
          <w:sz w:val="21"/>
          <w:szCs w:val="21"/>
          <w:lang w:val="fr-FR"/>
        </w:rPr>
      </w:pPr>
    </w:p>
    <w:p w14:paraId="70B65093" w14:textId="77777777" w:rsidR="006E5484" w:rsidRDefault="006E5484">
      <w:pPr>
        <w:widowControl w:val="0"/>
        <w:spacing w:after="0" w:line="240" w:lineRule="auto"/>
        <w:textAlignment w:val="baseline"/>
        <w:rPr>
          <w:rFonts w:eastAsia="Times New Roman" w:cs="Arial"/>
          <w:sz w:val="21"/>
          <w:szCs w:val="21"/>
          <w:lang w:val="fr-FR"/>
        </w:rPr>
      </w:pPr>
    </w:p>
    <w:p w14:paraId="1D3E0EB1" w14:textId="77777777" w:rsidR="006E5484" w:rsidRDefault="006E5484">
      <w:pPr>
        <w:widowControl w:val="0"/>
        <w:spacing w:after="0" w:line="240" w:lineRule="auto"/>
        <w:textAlignment w:val="baseline"/>
        <w:rPr>
          <w:rFonts w:eastAsia="Times New Roman" w:cs="Arial"/>
          <w:sz w:val="21"/>
          <w:szCs w:val="21"/>
          <w:lang w:val="fr-FR"/>
        </w:rPr>
      </w:pPr>
    </w:p>
    <w:p w14:paraId="70C6565E" w14:textId="77777777" w:rsidR="006E5484" w:rsidRDefault="006E5484">
      <w:pPr>
        <w:widowControl w:val="0"/>
        <w:spacing w:after="0" w:line="240" w:lineRule="auto"/>
        <w:textAlignment w:val="baseline"/>
        <w:rPr>
          <w:rFonts w:eastAsia="Times New Roman" w:cs="Arial"/>
          <w:sz w:val="21"/>
          <w:szCs w:val="21"/>
          <w:lang w:val="fr-FR"/>
        </w:rPr>
      </w:pPr>
    </w:p>
    <w:p w14:paraId="03EC4B97" w14:textId="77777777" w:rsidR="006E5484" w:rsidRDefault="006E5484">
      <w:pPr>
        <w:widowControl w:val="0"/>
        <w:spacing w:after="0" w:line="240" w:lineRule="auto"/>
        <w:textAlignment w:val="baseline"/>
        <w:rPr>
          <w:rFonts w:eastAsia="Times New Roman" w:cs="Arial"/>
          <w:sz w:val="21"/>
          <w:szCs w:val="21"/>
          <w:lang w:val="fr-FR"/>
        </w:rPr>
      </w:pPr>
    </w:p>
    <w:p w14:paraId="1B1C81A7" w14:textId="77777777" w:rsidR="006E5484" w:rsidRDefault="006E5484">
      <w:pPr>
        <w:widowControl w:val="0"/>
        <w:spacing w:after="0" w:line="240" w:lineRule="auto"/>
        <w:textAlignment w:val="baseline"/>
        <w:rPr>
          <w:rFonts w:eastAsia="Times New Roman" w:cs="Arial"/>
          <w:sz w:val="21"/>
          <w:szCs w:val="21"/>
          <w:lang w:val="fr-FR"/>
        </w:rPr>
      </w:pPr>
    </w:p>
    <w:p w14:paraId="118B9469" w14:textId="77777777" w:rsidR="006E5484" w:rsidRDefault="006E5484">
      <w:pPr>
        <w:widowControl w:val="0"/>
        <w:spacing w:after="0" w:line="240" w:lineRule="auto"/>
        <w:textAlignment w:val="baseline"/>
        <w:rPr>
          <w:rFonts w:eastAsia="Times New Roman" w:cs="Arial"/>
          <w:sz w:val="21"/>
          <w:szCs w:val="21"/>
          <w:lang w:val="fr-FR"/>
        </w:rPr>
      </w:pPr>
    </w:p>
    <w:p w14:paraId="32C93F03" w14:textId="77777777" w:rsidR="006E5484" w:rsidRDefault="006E5484">
      <w:pPr>
        <w:widowControl w:val="0"/>
        <w:spacing w:after="0" w:line="240" w:lineRule="auto"/>
        <w:textAlignment w:val="baseline"/>
        <w:rPr>
          <w:rFonts w:eastAsia="Times New Roman" w:cs="Arial"/>
          <w:sz w:val="21"/>
          <w:szCs w:val="21"/>
          <w:lang w:val="fr-FR"/>
        </w:rPr>
      </w:pPr>
    </w:p>
    <w:p w14:paraId="6D8318C6" w14:textId="77777777" w:rsidR="006E5484" w:rsidRDefault="006E5484">
      <w:pPr>
        <w:widowControl w:val="0"/>
        <w:spacing w:after="0" w:line="240" w:lineRule="auto"/>
        <w:textAlignment w:val="baseline"/>
        <w:rPr>
          <w:rFonts w:eastAsia="Times New Roman" w:cs="Arial"/>
          <w:sz w:val="21"/>
          <w:szCs w:val="21"/>
          <w:lang w:val="fr-FR"/>
        </w:rPr>
      </w:pPr>
    </w:p>
    <w:p w14:paraId="595A5718" w14:textId="77777777" w:rsidR="006E5484" w:rsidRDefault="006E5484">
      <w:pPr>
        <w:widowControl w:val="0"/>
        <w:spacing w:after="0" w:line="240" w:lineRule="auto"/>
        <w:textAlignment w:val="baseline"/>
        <w:rPr>
          <w:rFonts w:eastAsia="Times New Roman" w:cs="Arial"/>
          <w:sz w:val="21"/>
          <w:szCs w:val="21"/>
          <w:lang w:val="fr-FR"/>
        </w:rPr>
      </w:pPr>
    </w:p>
    <w:p w14:paraId="79CC1499" w14:textId="77777777" w:rsidR="006E5484" w:rsidRDefault="006E5484">
      <w:pPr>
        <w:widowControl w:val="0"/>
        <w:spacing w:after="0" w:line="240" w:lineRule="auto"/>
        <w:textAlignment w:val="baseline"/>
        <w:rPr>
          <w:rFonts w:eastAsia="Times New Roman" w:cs="Arial"/>
          <w:sz w:val="21"/>
          <w:szCs w:val="21"/>
          <w:lang w:val="fr-FR"/>
        </w:rPr>
      </w:pPr>
    </w:p>
    <w:p w14:paraId="253F2C77" w14:textId="77777777" w:rsidR="006E5484" w:rsidRDefault="006E5484">
      <w:pPr>
        <w:widowControl w:val="0"/>
        <w:tabs>
          <w:tab w:val="left" w:pos="7245"/>
        </w:tabs>
        <w:spacing w:after="0" w:line="240" w:lineRule="auto"/>
        <w:textAlignment w:val="baseline"/>
        <w:rPr>
          <w:rFonts w:eastAsia="Times New Roman" w:cs="Arial"/>
          <w:sz w:val="21"/>
          <w:szCs w:val="21"/>
          <w:lang w:val="fr-FR"/>
        </w:rPr>
      </w:pPr>
    </w:p>
    <w:p w14:paraId="0399A6E1" w14:textId="77777777" w:rsidR="006E5484" w:rsidRDefault="006E5484">
      <w:pPr>
        <w:widowControl w:val="0"/>
        <w:spacing w:after="0" w:line="240" w:lineRule="auto"/>
        <w:textAlignment w:val="baseline"/>
        <w:rPr>
          <w:rFonts w:eastAsia="Times New Roman" w:cs="Arial"/>
          <w:lang w:val="fr-FR"/>
        </w:rPr>
      </w:pPr>
    </w:p>
    <w:p w14:paraId="38A3AA74" w14:textId="77777777" w:rsidR="006E5484" w:rsidRDefault="006E5484">
      <w:pPr>
        <w:widowControl w:val="0"/>
        <w:spacing w:after="0" w:line="240" w:lineRule="auto"/>
        <w:textAlignment w:val="baseline"/>
        <w:rPr>
          <w:rFonts w:eastAsia="Times New Roman" w:cs="Arial"/>
          <w:lang w:val="fr-FR"/>
        </w:rPr>
      </w:pPr>
    </w:p>
    <w:p w14:paraId="79CEFE20" w14:textId="77777777" w:rsidR="006E5484" w:rsidRDefault="006E5484">
      <w:pPr>
        <w:spacing w:after="0" w:line="240" w:lineRule="auto"/>
        <w:rPr>
          <w:lang w:val="fr-FR"/>
        </w:rPr>
      </w:pPr>
    </w:p>
    <w:p w14:paraId="14F8179A" w14:textId="77777777" w:rsidR="006E5484" w:rsidRDefault="006E5484">
      <w:pPr>
        <w:spacing w:after="0" w:line="240" w:lineRule="auto"/>
        <w:rPr>
          <w:lang w:val="fr-FR"/>
        </w:rPr>
      </w:pPr>
    </w:p>
    <w:p w14:paraId="0CAE19BC" w14:textId="77777777" w:rsidR="006E5484" w:rsidRDefault="006E5484">
      <w:pPr>
        <w:spacing w:after="0" w:line="240" w:lineRule="auto"/>
        <w:rPr>
          <w:lang w:val="fr-FR"/>
        </w:rPr>
      </w:pPr>
    </w:p>
    <w:p w14:paraId="2CA3545B" w14:textId="77777777" w:rsidR="006E5484" w:rsidRDefault="006E5484">
      <w:pPr>
        <w:spacing w:after="0" w:line="240" w:lineRule="auto"/>
        <w:rPr>
          <w:lang w:val="fr-FR"/>
        </w:rPr>
        <w:sectPr w:rsidR="006E5484">
          <w:headerReference w:type="default" r:id="rId12"/>
          <w:pgSz w:w="11906" w:h="16838"/>
          <w:pgMar w:top="1440" w:right="1440" w:bottom="1440" w:left="1440" w:header="720" w:footer="0" w:gutter="0"/>
          <w:cols w:space="720"/>
          <w:formProt w:val="0"/>
          <w:docGrid w:linePitch="360" w:charSpace="4096"/>
        </w:sectPr>
      </w:pPr>
    </w:p>
    <w:p w14:paraId="2CF64611" w14:textId="77777777" w:rsidR="006E5484" w:rsidRDefault="00FB2FEF">
      <w:pPr>
        <w:pStyle w:val="Title1"/>
        <w:rPr>
          <w:lang w:val="fr-FR"/>
        </w:rPr>
      </w:pPr>
      <w:r>
        <w:rPr>
          <w:lang w:val="fr-FR"/>
        </w:rPr>
        <w:lastRenderedPageBreak/>
        <w:t>PRIORITÉS DE CONSERVATION POUR LES CÉTACÉS</w:t>
      </w:r>
    </w:p>
    <w:p w14:paraId="7EEAD1D7" w14:textId="77777777" w:rsidR="006E5484" w:rsidRDefault="006E5484">
      <w:pPr>
        <w:spacing w:after="0" w:line="240" w:lineRule="auto"/>
        <w:textAlignment w:val="baseline"/>
        <w:rPr>
          <w:rFonts w:eastAsia="Calibri" w:cs="Arial"/>
          <w:lang w:val="fr-FR"/>
        </w:rPr>
      </w:pPr>
    </w:p>
    <w:p w14:paraId="118112E1" w14:textId="77777777" w:rsidR="006E5484" w:rsidRDefault="006E5484">
      <w:pPr>
        <w:spacing w:after="0" w:line="240" w:lineRule="auto"/>
        <w:textAlignment w:val="baseline"/>
        <w:rPr>
          <w:rFonts w:eastAsia="Calibri" w:cs="Arial"/>
          <w:lang w:val="fr-FR"/>
        </w:rPr>
      </w:pPr>
    </w:p>
    <w:p w14:paraId="1FBDF943" w14:textId="77777777" w:rsidR="006E5484" w:rsidRDefault="00FB2FEF">
      <w:pPr>
        <w:spacing w:after="0" w:line="240" w:lineRule="auto"/>
        <w:textAlignment w:val="baseline"/>
        <w:rPr>
          <w:lang w:val="fr-FR"/>
        </w:rPr>
      </w:pPr>
      <w:r>
        <w:rPr>
          <w:rFonts w:eastAsia="Calibri" w:cs="Arial"/>
          <w:u w:val="single"/>
          <w:lang w:val="fr-FR"/>
        </w:rPr>
        <w:t>Contexte</w:t>
      </w:r>
    </w:p>
    <w:p w14:paraId="561049AB" w14:textId="77777777" w:rsidR="006E5484" w:rsidRDefault="006E5484">
      <w:pPr>
        <w:spacing w:after="0" w:line="240" w:lineRule="auto"/>
        <w:rPr>
          <w:lang w:val="fr-FR"/>
        </w:rPr>
      </w:pPr>
    </w:p>
    <w:p w14:paraId="49E70627" w14:textId="45814DB7" w:rsidR="006E5484" w:rsidRDefault="00FB2FEF">
      <w:pPr>
        <w:widowControl w:val="0"/>
        <w:numPr>
          <w:ilvl w:val="0"/>
          <w:numId w:val="26"/>
        </w:numPr>
        <w:spacing w:after="0" w:line="240" w:lineRule="auto"/>
        <w:ind w:left="567" w:hanging="567"/>
        <w:contextualSpacing/>
        <w:jc w:val="both"/>
        <w:rPr>
          <w:lang w:val="fr-FR"/>
        </w:rPr>
      </w:pPr>
      <w:r>
        <w:rPr>
          <w:rFonts w:cs="Arial"/>
          <w:lang w:val="fr-FR"/>
        </w:rPr>
        <w:t xml:space="preserve">La Résolution 10.15 (Rev.COP13) </w:t>
      </w:r>
      <w:r>
        <w:rPr>
          <w:rFonts w:cs="Arial"/>
          <w:i/>
          <w:iCs/>
          <w:lang w:val="fr-FR"/>
        </w:rPr>
        <w:t>Programme de travail mondial pour les cétacés</w:t>
      </w:r>
      <w:r>
        <w:rPr>
          <w:rFonts w:cs="Arial"/>
          <w:lang w:val="fr-FR"/>
        </w:rPr>
        <w:t xml:space="preserve"> a recueilli de nombreux engagements individuels de la résolution négociés au cours des années précédentes. En mettant l'accent sur différentes régions océaniques, il a été conçu pour aider les Parties à mieux comprendre les engagements de la résolution qui sont les plus urgents dans leurs régions respectives, tout en fournissant une plus grande clarté sur les priorités des rapports nationaux. Il a indiqué les partenaires clés pour les collaborations dans chaque sous-région, et a formellement établi un groupe de travail sous l'égide du Conseil scientifique qui peut faire appel à une expertise externe pour compléter l'expertise disponible au sein du Conseil. Les priorités par région pour la période 2012-2017 et 2017-2024 y sont détaillées.</w:t>
      </w:r>
    </w:p>
    <w:p w14:paraId="3EE3E8A0" w14:textId="77777777" w:rsidR="006E5484" w:rsidRDefault="006E5484">
      <w:pPr>
        <w:widowControl w:val="0"/>
        <w:spacing w:after="0" w:line="240" w:lineRule="auto"/>
        <w:ind w:left="567"/>
        <w:contextualSpacing/>
        <w:jc w:val="both"/>
        <w:rPr>
          <w:rFonts w:cs="Arial"/>
          <w:lang w:val="fr-FR"/>
        </w:rPr>
      </w:pPr>
    </w:p>
    <w:p w14:paraId="48600F87" w14:textId="424F30E4" w:rsidR="006E5484" w:rsidRDefault="00FB2FEF">
      <w:pPr>
        <w:widowControl w:val="0"/>
        <w:numPr>
          <w:ilvl w:val="0"/>
          <w:numId w:val="6"/>
        </w:numPr>
        <w:spacing w:after="0" w:line="240" w:lineRule="auto"/>
        <w:ind w:left="567" w:hanging="567"/>
        <w:contextualSpacing/>
        <w:jc w:val="both"/>
        <w:rPr>
          <w:lang w:val="fr-FR"/>
        </w:rPr>
      </w:pPr>
      <w:r>
        <w:rPr>
          <w:rFonts w:cs="Arial"/>
          <w:lang w:val="fr-FR"/>
        </w:rPr>
        <w:t>Cette résolution a donné lieu à un certain nombre de travaux distincts dans le cadre de la CMS, notamment en ce qui concerne le bruit marin (</w:t>
      </w:r>
      <w:hyperlink r:id="rId13" w:history="1">
        <w:r>
          <w:rPr>
            <w:rStyle w:val="Hyperlink"/>
            <w:rFonts w:cs="Arial"/>
            <w:lang w:val="fr-FR"/>
          </w:rPr>
          <w:t>UNEP/CMS/COP14/Doc.27.2.2</w:t>
        </w:r>
      </w:hyperlink>
      <w:r>
        <w:rPr>
          <w:rFonts w:cs="Arial"/>
          <w:lang w:val="fr-FR"/>
        </w:rPr>
        <w:t>), la culture animale (</w:t>
      </w:r>
      <w:hyperlink r:id="rId14" w:history="1">
        <w:r>
          <w:rPr>
            <w:rStyle w:val="Hyperlink"/>
            <w:rFonts w:cs="Arial"/>
            <w:lang w:val="fr-FR"/>
          </w:rPr>
          <w:t>UNEP/CMS/COP14/Doc.30.5</w:t>
        </w:r>
      </w:hyperlink>
      <w:r>
        <w:rPr>
          <w:rFonts w:cs="Arial"/>
          <w:lang w:val="fr-FR"/>
        </w:rPr>
        <w:t>), l'observation de la faune marine (</w:t>
      </w:r>
      <w:hyperlink r:id="rId15" w:history="1">
        <w:r>
          <w:rPr>
            <w:rStyle w:val="Hyperlink"/>
            <w:rFonts w:cs="Arial"/>
            <w:lang w:val="fr-FR"/>
          </w:rPr>
          <w:t>UNEP/CMS/COP14/Doc.27.3.1</w:t>
        </w:r>
      </w:hyperlink>
      <w:r>
        <w:rPr>
          <w:rFonts w:cs="Arial"/>
          <w:lang w:val="fr-FR"/>
        </w:rPr>
        <w:t>), la viande d'animaux sauvages aquatiques (</w:t>
      </w:r>
      <w:hyperlink r:id="rId16" w:history="1">
        <w:r>
          <w:rPr>
            <w:rStyle w:val="Hyperlink"/>
            <w:rFonts w:cs="Arial"/>
            <w:lang w:val="fr-FR"/>
          </w:rPr>
          <w:t>UNEP/CMS/COP14/Doc.30.1.2</w:t>
        </w:r>
      </w:hyperlink>
      <w:r>
        <w:rPr>
          <w:rFonts w:cs="Arial"/>
          <w:lang w:val="fr-FR"/>
        </w:rPr>
        <w:t>) et la capture de cétacés vivants (</w:t>
      </w:r>
      <w:hyperlink r:id="rId17">
        <w:r>
          <w:rPr>
            <w:rStyle w:val="Hyperlink"/>
            <w:rFonts w:cs="Arial"/>
            <w:lang w:val="fr-FR"/>
          </w:rPr>
          <w:t>Résolution 11.22 (Rev.COP12)</w:t>
        </w:r>
      </w:hyperlink>
      <w:r>
        <w:rPr>
          <w:rFonts w:cs="Arial"/>
          <w:lang w:val="fr-FR"/>
        </w:rPr>
        <w:t>).</w:t>
      </w:r>
    </w:p>
    <w:p w14:paraId="284079DF" w14:textId="77777777" w:rsidR="006E5484" w:rsidRDefault="006E5484">
      <w:pPr>
        <w:pStyle w:val="Firstnumbering"/>
        <w:numPr>
          <w:ilvl w:val="0"/>
          <w:numId w:val="0"/>
        </w:numPr>
        <w:rPr>
          <w:lang w:val="fr-FR"/>
        </w:rPr>
      </w:pPr>
    </w:p>
    <w:p w14:paraId="4C9032F5" w14:textId="4CBDA43E" w:rsidR="006E5484" w:rsidRDefault="00FB2FEF">
      <w:pPr>
        <w:widowControl w:val="0"/>
        <w:numPr>
          <w:ilvl w:val="0"/>
          <w:numId w:val="6"/>
        </w:numPr>
        <w:spacing w:after="0" w:line="240" w:lineRule="auto"/>
        <w:ind w:left="567" w:hanging="567"/>
        <w:contextualSpacing/>
        <w:jc w:val="both"/>
        <w:rPr>
          <w:lang w:val="fr-FR"/>
        </w:rPr>
      </w:pPr>
      <w:r>
        <w:rPr>
          <w:rFonts w:cs="Arial"/>
          <w:lang w:val="fr-FR"/>
        </w:rPr>
        <w:t xml:space="preserve">La COP13 a adopté un certain nombre de décisions relatives au </w:t>
      </w:r>
      <w:r>
        <w:rPr>
          <w:rFonts w:cs="Arial"/>
          <w:i/>
          <w:iCs/>
          <w:lang w:val="fr-FR"/>
        </w:rPr>
        <w:t>Programme de travail mondial pour les cétacés</w:t>
      </w:r>
      <w:r>
        <w:rPr>
          <w:rFonts w:cs="Arial"/>
          <w:lang w:val="fr-FR"/>
        </w:rPr>
        <w:t xml:space="preserve"> :</w:t>
      </w:r>
    </w:p>
    <w:p w14:paraId="52FFBDC4" w14:textId="77777777" w:rsidR="006E5484" w:rsidRDefault="006E5484">
      <w:pPr>
        <w:spacing w:after="0" w:line="240" w:lineRule="auto"/>
        <w:rPr>
          <w:lang w:val="fr-FR"/>
        </w:rPr>
      </w:pPr>
    </w:p>
    <w:p w14:paraId="381FDD19" w14:textId="2D9B930A" w:rsidR="006E5484" w:rsidRPr="00924885" w:rsidRDefault="00FB2FEF" w:rsidP="00924885">
      <w:pPr>
        <w:widowControl w:val="0"/>
        <w:spacing w:after="0" w:line="240" w:lineRule="auto"/>
        <w:ind w:left="851"/>
        <w:jc w:val="both"/>
        <w:rPr>
          <w:sz w:val="20"/>
          <w:szCs w:val="20"/>
          <w:lang w:val="fr-FR"/>
        </w:rPr>
      </w:pPr>
      <w:r w:rsidRPr="00924885">
        <w:rPr>
          <w:rFonts w:cs="Arial"/>
          <w:b/>
          <w:bCs/>
          <w:i/>
          <w:iCs/>
          <w:sz w:val="20"/>
          <w:szCs w:val="20"/>
          <w:lang w:val="fr-FR"/>
        </w:rPr>
        <w:t xml:space="preserve">13.80 </w:t>
      </w:r>
      <w:r w:rsidR="00924885" w:rsidRPr="00924885">
        <w:rPr>
          <w:rFonts w:cs="Arial"/>
          <w:b/>
          <w:bCs/>
          <w:i/>
          <w:iCs/>
          <w:sz w:val="20"/>
          <w:szCs w:val="20"/>
          <w:lang w:val="fr-FR"/>
        </w:rPr>
        <w:t>Adressée aux Parties</w:t>
      </w:r>
    </w:p>
    <w:p w14:paraId="3971DA34" w14:textId="77777777" w:rsidR="006E5484" w:rsidRPr="00924885" w:rsidRDefault="006E5484">
      <w:pPr>
        <w:widowControl w:val="0"/>
        <w:spacing w:after="0" w:line="240" w:lineRule="auto"/>
        <w:ind w:left="567"/>
        <w:jc w:val="both"/>
        <w:rPr>
          <w:rFonts w:cs="Arial"/>
          <w:i/>
          <w:iCs/>
          <w:sz w:val="20"/>
          <w:szCs w:val="20"/>
          <w:lang w:val="fr-FR"/>
        </w:rPr>
      </w:pPr>
    </w:p>
    <w:p w14:paraId="53F121D1" w14:textId="77777777" w:rsidR="00924885" w:rsidRPr="00924885" w:rsidRDefault="00924885" w:rsidP="00924885">
      <w:pPr>
        <w:widowControl w:val="0"/>
        <w:spacing w:after="0" w:line="240" w:lineRule="auto"/>
        <w:ind w:left="851"/>
        <w:jc w:val="both"/>
        <w:rPr>
          <w:rFonts w:cs="Arial"/>
          <w:i/>
          <w:sz w:val="20"/>
          <w:szCs w:val="20"/>
          <w:lang w:val="fr-FR"/>
        </w:rPr>
      </w:pPr>
      <w:r w:rsidRPr="00924885">
        <w:rPr>
          <w:rFonts w:cs="Arial"/>
          <w:i/>
          <w:sz w:val="20"/>
          <w:szCs w:val="20"/>
          <w:lang w:val="fr-FR"/>
        </w:rPr>
        <w:t>Les Parties sont invitées à :</w:t>
      </w:r>
    </w:p>
    <w:p w14:paraId="64AB4370" w14:textId="77777777" w:rsidR="00924885" w:rsidRPr="00924885" w:rsidRDefault="00924885" w:rsidP="00924885">
      <w:pPr>
        <w:widowControl w:val="0"/>
        <w:spacing w:after="0" w:line="240" w:lineRule="auto"/>
        <w:ind w:left="851"/>
        <w:jc w:val="both"/>
        <w:rPr>
          <w:rFonts w:cs="Arial"/>
          <w:i/>
          <w:sz w:val="20"/>
          <w:szCs w:val="20"/>
          <w:lang w:val="fr-FR"/>
        </w:rPr>
      </w:pPr>
    </w:p>
    <w:p w14:paraId="19470AD6" w14:textId="77777777" w:rsidR="00924885" w:rsidRPr="00924885" w:rsidRDefault="00924885" w:rsidP="00924885">
      <w:pPr>
        <w:widowControl w:val="0"/>
        <w:spacing w:after="0" w:line="240" w:lineRule="auto"/>
        <w:ind w:left="851"/>
        <w:jc w:val="both"/>
        <w:rPr>
          <w:rFonts w:cs="Arial"/>
          <w:i/>
          <w:sz w:val="20"/>
          <w:szCs w:val="20"/>
          <w:lang w:val="fr-FR"/>
        </w:rPr>
      </w:pPr>
      <w:r w:rsidRPr="00924885">
        <w:rPr>
          <w:rFonts w:cs="Arial"/>
          <w:i/>
          <w:sz w:val="20"/>
          <w:szCs w:val="20"/>
          <w:lang w:val="fr-FR"/>
        </w:rPr>
        <w:t>a) prendre contact avec le Secrétariat pour échanger au sujet du potentiel de développement d’un plan d’action pour les cétacés de la région de la mer Rouge ;</w:t>
      </w:r>
    </w:p>
    <w:p w14:paraId="557783D7" w14:textId="77777777" w:rsidR="00924885" w:rsidRPr="00924885" w:rsidRDefault="00924885" w:rsidP="00924885">
      <w:pPr>
        <w:widowControl w:val="0"/>
        <w:spacing w:after="0" w:line="240" w:lineRule="auto"/>
        <w:ind w:left="851"/>
        <w:jc w:val="both"/>
        <w:rPr>
          <w:rFonts w:cs="Arial"/>
          <w:i/>
          <w:sz w:val="20"/>
          <w:szCs w:val="20"/>
          <w:lang w:val="fr-FR"/>
        </w:rPr>
      </w:pPr>
    </w:p>
    <w:p w14:paraId="39C48863" w14:textId="6509AF9C" w:rsidR="006E5484" w:rsidRDefault="00924885" w:rsidP="00924885">
      <w:pPr>
        <w:widowControl w:val="0"/>
        <w:spacing w:after="0" w:line="240" w:lineRule="auto"/>
        <w:ind w:left="851"/>
        <w:jc w:val="both"/>
        <w:rPr>
          <w:rFonts w:cs="Arial"/>
          <w:i/>
          <w:sz w:val="20"/>
          <w:szCs w:val="20"/>
          <w:lang w:val="fr-FR"/>
        </w:rPr>
      </w:pPr>
      <w:r w:rsidRPr="00924885">
        <w:rPr>
          <w:rFonts w:cs="Arial"/>
          <w:i/>
          <w:sz w:val="20"/>
          <w:szCs w:val="20"/>
          <w:lang w:val="fr-FR"/>
        </w:rPr>
        <w:t>b) fournir des contributions volontaires pour soutenir la mise en œuvre de ces Décisions.</w:t>
      </w:r>
    </w:p>
    <w:p w14:paraId="692DAD26" w14:textId="77777777" w:rsidR="00924885" w:rsidRPr="00924885" w:rsidRDefault="00924885" w:rsidP="00924885">
      <w:pPr>
        <w:widowControl w:val="0"/>
        <w:spacing w:after="0" w:line="240" w:lineRule="auto"/>
        <w:ind w:left="567"/>
        <w:jc w:val="both"/>
        <w:rPr>
          <w:rFonts w:cs="Arial"/>
          <w:i/>
          <w:iCs/>
          <w:sz w:val="20"/>
          <w:szCs w:val="20"/>
          <w:highlight w:val="yellow"/>
          <w:lang w:val="fr-FR"/>
        </w:rPr>
      </w:pPr>
    </w:p>
    <w:p w14:paraId="43B10230" w14:textId="0FA5BCB3" w:rsidR="006E5484" w:rsidRPr="00924885" w:rsidRDefault="00FB2FEF" w:rsidP="00924885">
      <w:pPr>
        <w:widowControl w:val="0"/>
        <w:spacing w:after="0" w:line="240" w:lineRule="auto"/>
        <w:ind w:left="851"/>
        <w:jc w:val="both"/>
        <w:rPr>
          <w:rFonts w:cs="Arial"/>
          <w:b/>
          <w:bCs/>
          <w:i/>
          <w:iCs/>
          <w:sz w:val="20"/>
          <w:szCs w:val="20"/>
          <w:lang w:val="fr-FR"/>
        </w:rPr>
      </w:pPr>
      <w:r w:rsidRPr="00924885">
        <w:rPr>
          <w:rFonts w:cs="Arial"/>
          <w:b/>
          <w:bCs/>
          <w:i/>
          <w:iCs/>
          <w:sz w:val="20"/>
          <w:szCs w:val="20"/>
          <w:lang w:val="fr-FR"/>
        </w:rPr>
        <w:t xml:space="preserve">13.81 </w:t>
      </w:r>
      <w:r w:rsidR="00924885" w:rsidRPr="00924885">
        <w:rPr>
          <w:rFonts w:cs="Arial"/>
          <w:b/>
          <w:bCs/>
          <w:i/>
          <w:iCs/>
          <w:sz w:val="20"/>
          <w:szCs w:val="20"/>
          <w:lang w:val="fr-FR"/>
        </w:rPr>
        <w:t xml:space="preserve">Adressée au </w:t>
      </w:r>
      <w:r w:rsidR="00924885" w:rsidRPr="00924885">
        <w:rPr>
          <w:rFonts w:cs="Arial"/>
          <w:b/>
          <w:bCs/>
          <w:i/>
          <w:iCs/>
          <w:color w:val="333333"/>
          <w:sz w:val="20"/>
          <w:szCs w:val="20"/>
          <w:shd w:val="clear" w:color="auto" w:fill="FFFFFF"/>
          <w:lang w:val="fr-FR"/>
        </w:rPr>
        <w:t>groupe de travail sur les mammifères aquatiques du Conseil scientifique</w:t>
      </w:r>
      <w:r w:rsidRPr="00924885">
        <w:rPr>
          <w:rFonts w:cs="Arial"/>
          <w:b/>
          <w:bCs/>
          <w:i/>
          <w:iCs/>
          <w:sz w:val="20"/>
          <w:szCs w:val="20"/>
          <w:lang w:val="fr-FR"/>
        </w:rPr>
        <w:t xml:space="preserve"> </w:t>
      </w:r>
    </w:p>
    <w:p w14:paraId="78ADC0DA" w14:textId="77777777" w:rsidR="006E5484" w:rsidRPr="00924885" w:rsidRDefault="006E5484" w:rsidP="00924885">
      <w:pPr>
        <w:widowControl w:val="0"/>
        <w:spacing w:after="0" w:line="240" w:lineRule="auto"/>
        <w:ind w:left="851"/>
        <w:jc w:val="both"/>
        <w:rPr>
          <w:rFonts w:cs="Arial"/>
          <w:i/>
          <w:iCs/>
          <w:sz w:val="20"/>
          <w:szCs w:val="20"/>
          <w:lang w:val="fr-FR"/>
        </w:rPr>
      </w:pPr>
    </w:p>
    <w:p w14:paraId="5CB9CAFE" w14:textId="77777777" w:rsidR="00924885" w:rsidRPr="00924885" w:rsidRDefault="00924885" w:rsidP="00924885">
      <w:pPr>
        <w:pStyle w:val="ListParagraph"/>
        <w:widowControl w:val="0"/>
        <w:spacing w:after="0" w:line="240" w:lineRule="auto"/>
        <w:ind w:left="851"/>
        <w:jc w:val="both"/>
        <w:rPr>
          <w:rFonts w:cs="Arial"/>
          <w:i/>
          <w:iCs/>
          <w:sz w:val="20"/>
          <w:szCs w:val="20"/>
          <w:lang w:val="fr-FR"/>
        </w:rPr>
      </w:pPr>
      <w:r w:rsidRPr="00924885">
        <w:rPr>
          <w:rFonts w:cs="Arial"/>
          <w:i/>
          <w:iCs/>
          <w:sz w:val="20"/>
          <w:szCs w:val="20"/>
          <w:lang w:val="fr-FR"/>
        </w:rPr>
        <w:t>Le groupe de travail sur les mammifères aquatiques, est prié, sous réserve de la disponibilité des ressources nécessaires, de :</w:t>
      </w:r>
    </w:p>
    <w:p w14:paraId="5EAD5793" w14:textId="77777777" w:rsidR="00924885" w:rsidRPr="00924885" w:rsidRDefault="00924885" w:rsidP="00924885">
      <w:pPr>
        <w:pStyle w:val="ListParagraph"/>
        <w:widowControl w:val="0"/>
        <w:spacing w:after="0" w:line="240" w:lineRule="auto"/>
        <w:ind w:left="1551"/>
        <w:jc w:val="both"/>
        <w:rPr>
          <w:rFonts w:cs="Arial"/>
          <w:i/>
          <w:iCs/>
          <w:sz w:val="20"/>
          <w:szCs w:val="20"/>
          <w:lang w:val="fr-FR"/>
        </w:rPr>
      </w:pPr>
    </w:p>
    <w:p w14:paraId="3B05926C" w14:textId="74324898" w:rsidR="00924885" w:rsidRPr="00924885" w:rsidRDefault="00924885" w:rsidP="00924885">
      <w:pPr>
        <w:pStyle w:val="ListParagraph"/>
        <w:widowControl w:val="0"/>
        <w:spacing w:after="0" w:line="240" w:lineRule="auto"/>
        <w:ind w:left="1134" w:hanging="283"/>
        <w:jc w:val="both"/>
        <w:rPr>
          <w:rFonts w:cs="Arial"/>
          <w:i/>
          <w:iCs/>
          <w:sz w:val="20"/>
          <w:szCs w:val="20"/>
          <w:lang w:val="fr-FR"/>
        </w:rPr>
      </w:pPr>
      <w:r w:rsidRPr="00924885">
        <w:rPr>
          <w:rFonts w:cs="Arial"/>
          <w:i/>
          <w:iCs/>
          <w:sz w:val="20"/>
          <w:szCs w:val="20"/>
          <w:lang w:val="fr-FR"/>
        </w:rPr>
        <w:t>a)</w:t>
      </w:r>
      <w:r>
        <w:rPr>
          <w:rFonts w:cs="Arial"/>
          <w:i/>
          <w:iCs/>
          <w:sz w:val="20"/>
          <w:szCs w:val="20"/>
          <w:lang w:val="fr-FR"/>
        </w:rPr>
        <w:tab/>
      </w:r>
      <w:r w:rsidRPr="00924885">
        <w:rPr>
          <w:rFonts w:cs="Arial"/>
          <w:i/>
          <w:iCs/>
          <w:sz w:val="20"/>
          <w:szCs w:val="20"/>
          <w:lang w:val="fr-FR"/>
        </w:rPr>
        <w:t xml:space="preserve"> examiner les menaces pesant au niveau régional sur les mammifères marins inscrits aux Annexes de la CMS non inclus dans le Programme de travail mondial pour les cétacés et d’entreprendre une révision du Programme de travail en préparation à la 14e réunion de la Conférence des Parties (COP14), faisant le point sur la mise en œuvre du Programme de travail à ce jour, comprenant une analyse des lacunes et identifiant les priorités pour </w:t>
      </w:r>
      <w:proofErr w:type="gramStart"/>
      <w:r w:rsidRPr="00924885">
        <w:rPr>
          <w:rFonts w:cs="Arial"/>
          <w:i/>
          <w:iCs/>
          <w:sz w:val="20"/>
          <w:szCs w:val="20"/>
          <w:lang w:val="fr-FR"/>
        </w:rPr>
        <w:t>l’avenir;</w:t>
      </w:r>
      <w:proofErr w:type="gramEnd"/>
    </w:p>
    <w:p w14:paraId="5FCF01EA" w14:textId="77777777" w:rsidR="00924885" w:rsidRPr="00924885" w:rsidRDefault="00924885" w:rsidP="00924885">
      <w:pPr>
        <w:pStyle w:val="ListParagraph"/>
        <w:widowControl w:val="0"/>
        <w:spacing w:after="0" w:line="240" w:lineRule="auto"/>
        <w:ind w:left="1134" w:hanging="283"/>
        <w:jc w:val="both"/>
        <w:rPr>
          <w:rFonts w:cs="Arial"/>
          <w:i/>
          <w:iCs/>
          <w:sz w:val="20"/>
          <w:szCs w:val="20"/>
          <w:lang w:val="fr-FR"/>
        </w:rPr>
      </w:pPr>
    </w:p>
    <w:p w14:paraId="23894F31" w14:textId="4817F591" w:rsidR="00924885" w:rsidRPr="00924885" w:rsidRDefault="00924885" w:rsidP="00924885">
      <w:pPr>
        <w:pStyle w:val="ListParagraph"/>
        <w:widowControl w:val="0"/>
        <w:spacing w:after="0" w:line="240" w:lineRule="auto"/>
        <w:ind w:left="1134" w:hanging="283"/>
        <w:jc w:val="both"/>
        <w:rPr>
          <w:rFonts w:cs="Arial"/>
          <w:i/>
          <w:iCs/>
          <w:sz w:val="20"/>
          <w:szCs w:val="20"/>
          <w:lang w:val="fr-FR"/>
        </w:rPr>
      </w:pPr>
      <w:r w:rsidRPr="00924885">
        <w:rPr>
          <w:rFonts w:cs="Arial"/>
          <w:i/>
          <w:iCs/>
          <w:sz w:val="20"/>
          <w:szCs w:val="20"/>
          <w:lang w:val="fr-FR"/>
        </w:rPr>
        <w:t xml:space="preserve">b) </w:t>
      </w:r>
      <w:r>
        <w:rPr>
          <w:rFonts w:cs="Arial"/>
          <w:i/>
          <w:iCs/>
          <w:sz w:val="20"/>
          <w:szCs w:val="20"/>
          <w:lang w:val="fr-FR"/>
        </w:rPr>
        <w:tab/>
      </w:r>
      <w:r w:rsidRPr="00924885">
        <w:rPr>
          <w:rFonts w:cs="Arial"/>
          <w:i/>
          <w:iCs/>
          <w:sz w:val="20"/>
          <w:szCs w:val="20"/>
          <w:lang w:val="fr-FR"/>
        </w:rPr>
        <w:t xml:space="preserve">sur la base de cette évaluation des menaces et des priorités régionales, préparer des programmes de travail pour ces autres espèces de mammifères aquatiques, pour examen par le Conseil scientifique lors de la 5e ou de la 6e réunion de son Comité de </w:t>
      </w:r>
      <w:proofErr w:type="gramStart"/>
      <w:r w:rsidRPr="00924885">
        <w:rPr>
          <w:rFonts w:cs="Arial"/>
          <w:i/>
          <w:iCs/>
          <w:sz w:val="20"/>
          <w:szCs w:val="20"/>
          <w:lang w:val="fr-FR"/>
        </w:rPr>
        <w:t>session;</w:t>
      </w:r>
      <w:proofErr w:type="gramEnd"/>
    </w:p>
    <w:p w14:paraId="65AFD4D4" w14:textId="77777777" w:rsidR="00924885" w:rsidRPr="00924885" w:rsidRDefault="00924885" w:rsidP="00924885">
      <w:pPr>
        <w:pStyle w:val="ListParagraph"/>
        <w:widowControl w:val="0"/>
        <w:spacing w:after="0" w:line="240" w:lineRule="auto"/>
        <w:ind w:left="1134" w:hanging="283"/>
        <w:jc w:val="both"/>
        <w:rPr>
          <w:rFonts w:cs="Arial"/>
          <w:i/>
          <w:iCs/>
          <w:sz w:val="20"/>
          <w:szCs w:val="20"/>
          <w:lang w:val="fr-FR"/>
        </w:rPr>
      </w:pPr>
    </w:p>
    <w:p w14:paraId="5E5BADAC" w14:textId="4EAAD786" w:rsidR="006E5484" w:rsidRPr="00924885" w:rsidRDefault="00924885" w:rsidP="00924885">
      <w:pPr>
        <w:pStyle w:val="ListParagraph"/>
        <w:widowControl w:val="0"/>
        <w:spacing w:after="0" w:line="240" w:lineRule="auto"/>
        <w:ind w:left="1134" w:hanging="283"/>
        <w:contextualSpacing w:val="0"/>
        <w:jc w:val="both"/>
        <w:rPr>
          <w:sz w:val="20"/>
          <w:szCs w:val="20"/>
          <w:lang w:val="fr-FR"/>
        </w:rPr>
      </w:pPr>
      <w:r w:rsidRPr="00924885">
        <w:rPr>
          <w:rFonts w:cs="Arial"/>
          <w:i/>
          <w:iCs/>
          <w:sz w:val="20"/>
          <w:szCs w:val="20"/>
          <w:lang w:val="fr-FR"/>
        </w:rPr>
        <w:t xml:space="preserve">c) </w:t>
      </w:r>
      <w:r>
        <w:rPr>
          <w:rFonts w:cs="Arial"/>
          <w:i/>
          <w:iCs/>
          <w:sz w:val="20"/>
          <w:szCs w:val="20"/>
          <w:lang w:val="fr-FR"/>
        </w:rPr>
        <w:tab/>
      </w:r>
      <w:r w:rsidRPr="00924885">
        <w:rPr>
          <w:rFonts w:cs="Arial"/>
          <w:i/>
          <w:iCs/>
          <w:sz w:val="20"/>
          <w:szCs w:val="20"/>
          <w:lang w:val="fr-FR"/>
        </w:rPr>
        <w:t>s’il y a lieu, fournir des conseils et apporter sa contribution à l’élaboration d’un plan d’action pour les cétacés de la région de la mer Rouge.</w:t>
      </w:r>
    </w:p>
    <w:p w14:paraId="7E228828" w14:textId="284BB95A" w:rsidR="00924885" w:rsidRDefault="00924885">
      <w:pPr>
        <w:widowControl w:val="0"/>
        <w:spacing w:after="0" w:line="240" w:lineRule="auto"/>
        <w:jc w:val="both"/>
        <w:rPr>
          <w:rFonts w:cs="Arial"/>
          <w:i/>
          <w:iCs/>
          <w:sz w:val="20"/>
          <w:szCs w:val="20"/>
          <w:highlight w:val="yellow"/>
          <w:lang w:val="fr-FR"/>
        </w:rPr>
      </w:pPr>
      <w:r>
        <w:rPr>
          <w:rFonts w:cs="Arial"/>
          <w:i/>
          <w:iCs/>
          <w:sz w:val="20"/>
          <w:szCs w:val="20"/>
          <w:highlight w:val="yellow"/>
          <w:lang w:val="fr-FR"/>
        </w:rPr>
        <w:br w:type="page"/>
      </w:r>
    </w:p>
    <w:p w14:paraId="7C127175" w14:textId="77777777" w:rsidR="006E5484" w:rsidRPr="00924885" w:rsidRDefault="006E5484">
      <w:pPr>
        <w:widowControl w:val="0"/>
        <w:spacing w:after="0" w:line="240" w:lineRule="auto"/>
        <w:jc w:val="both"/>
        <w:rPr>
          <w:rFonts w:cs="Arial"/>
          <w:i/>
          <w:iCs/>
          <w:sz w:val="20"/>
          <w:szCs w:val="20"/>
          <w:highlight w:val="yellow"/>
          <w:lang w:val="fr-FR"/>
        </w:rPr>
      </w:pPr>
    </w:p>
    <w:p w14:paraId="0DCE5D39" w14:textId="006CFF37" w:rsidR="006E5484" w:rsidRPr="005F3AF5" w:rsidRDefault="00FB2FEF" w:rsidP="00924885">
      <w:pPr>
        <w:widowControl w:val="0"/>
        <w:spacing w:after="0" w:line="240" w:lineRule="auto"/>
        <w:ind w:left="851"/>
        <w:jc w:val="both"/>
        <w:rPr>
          <w:sz w:val="20"/>
          <w:szCs w:val="20"/>
          <w:lang w:val="fr-FR"/>
        </w:rPr>
      </w:pPr>
      <w:r w:rsidRPr="005F3AF5">
        <w:rPr>
          <w:rFonts w:cs="Arial"/>
          <w:b/>
          <w:bCs/>
          <w:i/>
          <w:iCs/>
          <w:sz w:val="20"/>
          <w:szCs w:val="20"/>
          <w:lang w:val="fr-FR"/>
        </w:rPr>
        <w:t xml:space="preserve">13.82 </w:t>
      </w:r>
      <w:r w:rsidR="00924885" w:rsidRPr="005F3AF5">
        <w:rPr>
          <w:rFonts w:cs="Arial"/>
          <w:b/>
          <w:bCs/>
          <w:i/>
          <w:iCs/>
          <w:sz w:val="20"/>
          <w:szCs w:val="20"/>
          <w:lang w:val="fr-FR"/>
        </w:rPr>
        <w:t xml:space="preserve">Adressée au Conseil </w:t>
      </w:r>
      <w:proofErr w:type="spellStart"/>
      <w:r w:rsidR="00924885" w:rsidRPr="005F3AF5">
        <w:rPr>
          <w:rFonts w:cs="Arial"/>
          <w:b/>
          <w:bCs/>
          <w:i/>
          <w:iCs/>
          <w:sz w:val="20"/>
          <w:szCs w:val="20"/>
          <w:lang w:val="fr-FR"/>
        </w:rPr>
        <w:t>scientifique</w:t>
      </w:r>
      <w:r w:rsidRPr="005F3AF5">
        <w:rPr>
          <w:rFonts w:cs="Arial"/>
          <w:b/>
          <w:bCs/>
          <w:i/>
          <w:iCs/>
          <w:sz w:val="20"/>
          <w:szCs w:val="20"/>
          <w:lang w:val="fr-FR"/>
        </w:rPr>
        <w:t>l</w:t>
      </w:r>
      <w:proofErr w:type="spellEnd"/>
    </w:p>
    <w:p w14:paraId="40DAFC65" w14:textId="77777777" w:rsidR="006E5484" w:rsidRPr="005F3AF5" w:rsidRDefault="006E5484" w:rsidP="00924885">
      <w:pPr>
        <w:widowControl w:val="0"/>
        <w:spacing w:after="0" w:line="240" w:lineRule="auto"/>
        <w:ind w:left="851"/>
        <w:jc w:val="both"/>
        <w:rPr>
          <w:rFonts w:cs="Arial"/>
          <w:i/>
          <w:iCs/>
          <w:sz w:val="20"/>
          <w:szCs w:val="20"/>
          <w:lang w:val="fr-FR"/>
        </w:rPr>
      </w:pPr>
    </w:p>
    <w:p w14:paraId="585FAE8E" w14:textId="77777777" w:rsidR="00924885" w:rsidRPr="00924885" w:rsidRDefault="00924885" w:rsidP="00924885">
      <w:pPr>
        <w:widowControl w:val="0"/>
        <w:spacing w:after="0" w:line="240" w:lineRule="auto"/>
        <w:ind w:left="851"/>
        <w:jc w:val="both"/>
        <w:rPr>
          <w:rFonts w:cs="Arial"/>
          <w:i/>
          <w:iCs/>
          <w:sz w:val="20"/>
          <w:szCs w:val="20"/>
          <w:lang w:val="fr-FR"/>
        </w:rPr>
      </w:pPr>
      <w:r w:rsidRPr="00924885">
        <w:rPr>
          <w:rFonts w:cs="Arial"/>
          <w:i/>
          <w:iCs/>
          <w:sz w:val="20"/>
          <w:szCs w:val="20"/>
          <w:lang w:val="fr-FR"/>
        </w:rPr>
        <w:t>Le conseil scientifique, est prié, sous réserve de la disponibilité des ressources nécessaires, de :</w:t>
      </w:r>
    </w:p>
    <w:p w14:paraId="69B86FA0" w14:textId="77777777" w:rsidR="00924885" w:rsidRPr="00924885" w:rsidRDefault="00924885" w:rsidP="00924885">
      <w:pPr>
        <w:pStyle w:val="ListParagraph"/>
        <w:widowControl w:val="0"/>
        <w:spacing w:after="0" w:line="240" w:lineRule="auto"/>
        <w:ind w:left="1551"/>
        <w:jc w:val="both"/>
        <w:rPr>
          <w:rFonts w:cs="Arial"/>
          <w:i/>
          <w:iCs/>
          <w:sz w:val="20"/>
          <w:szCs w:val="20"/>
          <w:lang w:val="fr-FR"/>
        </w:rPr>
      </w:pPr>
    </w:p>
    <w:p w14:paraId="639F387F" w14:textId="59062EDE" w:rsidR="00924885" w:rsidRPr="00924885" w:rsidRDefault="00924885" w:rsidP="00924885">
      <w:pPr>
        <w:pStyle w:val="ListParagraph"/>
        <w:widowControl w:val="0"/>
        <w:numPr>
          <w:ilvl w:val="0"/>
          <w:numId w:val="12"/>
        </w:numPr>
        <w:spacing w:after="0" w:line="240" w:lineRule="auto"/>
        <w:ind w:left="1134" w:hanging="283"/>
        <w:jc w:val="both"/>
        <w:rPr>
          <w:rFonts w:cs="Arial"/>
          <w:i/>
          <w:iCs/>
          <w:sz w:val="20"/>
          <w:szCs w:val="20"/>
          <w:lang w:val="fr-FR"/>
        </w:rPr>
      </w:pPr>
      <w:proofErr w:type="gramStart"/>
      <w:r w:rsidRPr="00924885">
        <w:rPr>
          <w:rFonts w:cs="Arial"/>
          <w:i/>
          <w:iCs/>
          <w:sz w:val="20"/>
          <w:szCs w:val="20"/>
          <w:lang w:val="fr-FR"/>
        </w:rPr>
        <w:t>examiner</w:t>
      </w:r>
      <w:proofErr w:type="gramEnd"/>
      <w:r w:rsidRPr="00924885">
        <w:rPr>
          <w:rFonts w:cs="Arial"/>
          <w:i/>
          <w:iCs/>
          <w:sz w:val="20"/>
          <w:szCs w:val="20"/>
          <w:lang w:val="fr-FR"/>
        </w:rPr>
        <w:t xml:space="preserve"> les évaluations des menaces régionales et les programmes de travail résultants élaborés par le groupe de travail sur les mammifères aquatiques et formuler des recommandations à la COP14;</w:t>
      </w:r>
    </w:p>
    <w:p w14:paraId="6E474523" w14:textId="77777777" w:rsidR="00924885" w:rsidRPr="00924885" w:rsidRDefault="00924885" w:rsidP="00924885">
      <w:pPr>
        <w:pStyle w:val="ListParagraph"/>
        <w:widowControl w:val="0"/>
        <w:spacing w:after="0" w:line="240" w:lineRule="auto"/>
        <w:ind w:left="1134" w:hanging="283"/>
        <w:jc w:val="both"/>
        <w:rPr>
          <w:rFonts w:cs="Arial"/>
          <w:i/>
          <w:iCs/>
          <w:sz w:val="20"/>
          <w:szCs w:val="20"/>
          <w:lang w:val="fr-FR"/>
        </w:rPr>
      </w:pPr>
    </w:p>
    <w:p w14:paraId="3F344A39" w14:textId="33225A80" w:rsidR="00924885" w:rsidRPr="00924885" w:rsidRDefault="00924885" w:rsidP="00924885">
      <w:pPr>
        <w:pStyle w:val="ListParagraph"/>
        <w:widowControl w:val="0"/>
        <w:numPr>
          <w:ilvl w:val="0"/>
          <w:numId w:val="12"/>
        </w:numPr>
        <w:spacing w:after="0" w:line="240" w:lineRule="auto"/>
        <w:ind w:left="1134" w:hanging="283"/>
        <w:jc w:val="both"/>
        <w:rPr>
          <w:rFonts w:cs="Arial"/>
          <w:i/>
          <w:iCs/>
          <w:sz w:val="20"/>
          <w:szCs w:val="20"/>
          <w:lang w:val="fr-FR"/>
        </w:rPr>
      </w:pPr>
      <w:proofErr w:type="gramStart"/>
      <w:r w:rsidRPr="00924885">
        <w:rPr>
          <w:rFonts w:cs="Arial"/>
          <w:i/>
          <w:iCs/>
          <w:sz w:val="20"/>
          <w:szCs w:val="20"/>
          <w:lang w:val="fr-FR"/>
        </w:rPr>
        <w:t>le</w:t>
      </w:r>
      <w:proofErr w:type="gramEnd"/>
      <w:r w:rsidRPr="00924885">
        <w:rPr>
          <w:rFonts w:cs="Arial"/>
          <w:i/>
          <w:iCs/>
          <w:sz w:val="20"/>
          <w:szCs w:val="20"/>
          <w:lang w:val="fr-FR"/>
        </w:rPr>
        <w:t xml:space="preserve"> cas échéant, examiner le projet de plan d’action pour les cétacés de la région de la mer Rouge et transmettre ses recommandations à la COP15;</w:t>
      </w:r>
    </w:p>
    <w:p w14:paraId="541045F2" w14:textId="77777777" w:rsidR="00924885" w:rsidRPr="00924885" w:rsidRDefault="00924885" w:rsidP="00924885">
      <w:pPr>
        <w:pStyle w:val="ListParagraph"/>
        <w:widowControl w:val="0"/>
        <w:spacing w:after="0" w:line="240" w:lineRule="auto"/>
        <w:ind w:left="1134" w:hanging="283"/>
        <w:jc w:val="both"/>
        <w:rPr>
          <w:rFonts w:cs="Arial"/>
          <w:i/>
          <w:iCs/>
          <w:sz w:val="20"/>
          <w:szCs w:val="20"/>
          <w:lang w:val="fr-FR"/>
        </w:rPr>
      </w:pPr>
    </w:p>
    <w:p w14:paraId="17146A3A" w14:textId="543D0977" w:rsidR="006E5484" w:rsidRPr="00924885" w:rsidRDefault="00924885" w:rsidP="00924885">
      <w:pPr>
        <w:pStyle w:val="ListParagraph"/>
        <w:widowControl w:val="0"/>
        <w:numPr>
          <w:ilvl w:val="0"/>
          <w:numId w:val="12"/>
        </w:numPr>
        <w:spacing w:after="0" w:line="240" w:lineRule="auto"/>
        <w:ind w:left="1134" w:hanging="283"/>
        <w:contextualSpacing w:val="0"/>
        <w:jc w:val="both"/>
        <w:rPr>
          <w:sz w:val="20"/>
          <w:szCs w:val="20"/>
          <w:lang w:val="fr-FR"/>
        </w:rPr>
      </w:pPr>
      <w:proofErr w:type="gramStart"/>
      <w:r w:rsidRPr="00924885">
        <w:rPr>
          <w:rFonts w:cs="Arial"/>
          <w:i/>
          <w:iCs/>
          <w:sz w:val="20"/>
          <w:szCs w:val="20"/>
          <w:lang w:val="fr-FR"/>
        </w:rPr>
        <w:t>promouvoir</w:t>
      </w:r>
      <w:proofErr w:type="gramEnd"/>
      <w:r w:rsidRPr="00924885">
        <w:rPr>
          <w:rFonts w:cs="Arial"/>
          <w:i/>
          <w:iCs/>
          <w:sz w:val="20"/>
          <w:szCs w:val="20"/>
          <w:lang w:val="fr-FR"/>
        </w:rPr>
        <w:t xml:space="preserve"> une collaboration avec la Commission baleinière internationale (CBI) pour combler les principales lacunes en termes de connaissances et d’orientation des recherches visant à soutenir la mise en œuvre du plan d’action et d’autres mesures de conservation dans la zone de l’Atlantique Sud</w:t>
      </w:r>
      <w:r w:rsidR="00FB2FEF" w:rsidRPr="00924885">
        <w:rPr>
          <w:rFonts w:cs="Arial"/>
          <w:i/>
          <w:iCs/>
          <w:sz w:val="20"/>
          <w:szCs w:val="20"/>
          <w:lang w:val="fr-FR"/>
        </w:rPr>
        <w:t xml:space="preserve">. </w:t>
      </w:r>
    </w:p>
    <w:p w14:paraId="053BFE61" w14:textId="77777777" w:rsidR="006E5484" w:rsidRPr="00924885" w:rsidRDefault="006E5484" w:rsidP="00924885">
      <w:pPr>
        <w:pStyle w:val="ListParagraph"/>
        <w:spacing w:after="0" w:line="240" w:lineRule="auto"/>
        <w:ind w:left="851"/>
        <w:contextualSpacing w:val="0"/>
        <w:rPr>
          <w:rFonts w:cs="Arial"/>
          <w:i/>
          <w:iCs/>
          <w:sz w:val="20"/>
          <w:szCs w:val="20"/>
          <w:lang w:val="fr-FR"/>
        </w:rPr>
      </w:pPr>
    </w:p>
    <w:p w14:paraId="699A7167" w14:textId="2DBFBCE3" w:rsidR="006E5484" w:rsidRPr="005F3AF5" w:rsidRDefault="00FB2FEF" w:rsidP="00924885">
      <w:pPr>
        <w:widowControl w:val="0"/>
        <w:spacing w:after="0" w:line="240" w:lineRule="auto"/>
        <w:ind w:left="851"/>
        <w:jc w:val="both"/>
        <w:rPr>
          <w:sz w:val="20"/>
          <w:szCs w:val="20"/>
          <w:lang w:val="fr-FR"/>
        </w:rPr>
      </w:pPr>
      <w:r w:rsidRPr="005F3AF5">
        <w:rPr>
          <w:rFonts w:cs="Arial"/>
          <w:b/>
          <w:bCs/>
          <w:i/>
          <w:iCs/>
          <w:sz w:val="20"/>
          <w:szCs w:val="20"/>
          <w:lang w:val="fr-FR"/>
        </w:rPr>
        <w:t xml:space="preserve">13.83 </w:t>
      </w:r>
      <w:r w:rsidR="00924885" w:rsidRPr="005F3AF5">
        <w:rPr>
          <w:rFonts w:cs="Arial"/>
          <w:b/>
          <w:bCs/>
          <w:i/>
          <w:iCs/>
          <w:sz w:val="20"/>
          <w:szCs w:val="20"/>
          <w:lang w:val="fr-FR"/>
        </w:rPr>
        <w:t>Adressée au Secrétariat</w:t>
      </w:r>
    </w:p>
    <w:p w14:paraId="64FD7606" w14:textId="77777777" w:rsidR="006E5484" w:rsidRPr="005F3AF5" w:rsidRDefault="006E5484" w:rsidP="00924885">
      <w:pPr>
        <w:widowControl w:val="0"/>
        <w:spacing w:after="0" w:line="240" w:lineRule="auto"/>
        <w:ind w:left="851"/>
        <w:jc w:val="both"/>
        <w:rPr>
          <w:rFonts w:cs="Arial"/>
          <w:i/>
          <w:iCs/>
          <w:sz w:val="20"/>
          <w:szCs w:val="20"/>
          <w:lang w:val="fr-FR"/>
        </w:rPr>
      </w:pPr>
    </w:p>
    <w:p w14:paraId="578DEAA2" w14:textId="77777777" w:rsidR="00924885" w:rsidRPr="00924885" w:rsidRDefault="00924885" w:rsidP="00924885">
      <w:pPr>
        <w:spacing w:after="0" w:line="240" w:lineRule="auto"/>
        <w:ind w:left="851"/>
        <w:rPr>
          <w:rFonts w:cs="Arial"/>
          <w:i/>
          <w:iCs/>
          <w:sz w:val="20"/>
          <w:szCs w:val="20"/>
          <w:lang w:val="fr-FR"/>
        </w:rPr>
      </w:pPr>
      <w:r w:rsidRPr="00924885">
        <w:rPr>
          <w:rFonts w:cs="Arial"/>
          <w:i/>
          <w:iCs/>
          <w:sz w:val="20"/>
          <w:szCs w:val="20"/>
          <w:lang w:val="fr-FR"/>
        </w:rPr>
        <w:t>Le Secrétariat, sous réserve de la disponibilité des ressources nécessaires :</w:t>
      </w:r>
    </w:p>
    <w:p w14:paraId="7A6F2B9B" w14:textId="77777777" w:rsidR="00924885" w:rsidRPr="00924885" w:rsidRDefault="00924885" w:rsidP="00924885">
      <w:pPr>
        <w:spacing w:after="0" w:line="240" w:lineRule="auto"/>
        <w:ind w:left="851"/>
        <w:rPr>
          <w:rFonts w:cs="Arial"/>
          <w:i/>
          <w:iCs/>
          <w:sz w:val="20"/>
          <w:szCs w:val="20"/>
          <w:lang w:val="fr-FR"/>
        </w:rPr>
      </w:pPr>
    </w:p>
    <w:p w14:paraId="15E8C296" w14:textId="25CD1B66" w:rsidR="00924885" w:rsidRPr="00924885" w:rsidRDefault="00924885" w:rsidP="00924885">
      <w:pPr>
        <w:spacing w:after="0" w:line="240" w:lineRule="auto"/>
        <w:ind w:left="1134" w:hanging="283"/>
        <w:jc w:val="both"/>
        <w:rPr>
          <w:rFonts w:cs="Arial"/>
          <w:i/>
          <w:iCs/>
          <w:sz w:val="20"/>
          <w:szCs w:val="20"/>
          <w:lang w:val="fr-FR"/>
        </w:rPr>
      </w:pPr>
      <w:r w:rsidRPr="00924885">
        <w:rPr>
          <w:rFonts w:cs="Arial"/>
          <w:i/>
          <w:iCs/>
          <w:sz w:val="20"/>
          <w:szCs w:val="20"/>
          <w:lang w:val="fr-FR"/>
        </w:rPr>
        <w:t>a)</w:t>
      </w:r>
      <w:r>
        <w:rPr>
          <w:rFonts w:cs="Arial"/>
          <w:i/>
          <w:iCs/>
          <w:sz w:val="20"/>
          <w:szCs w:val="20"/>
          <w:lang w:val="fr-FR"/>
        </w:rPr>
        <w:tab/>
      </w:r>
      <w:r w:rsidRPr="00924885">
        <w:rPr>
          <w:rFonts w:cs="Arial"/>
          <w:i/>
          <w:iCs/>
          <w:sz w:val="20"/>
          <w:szCs w:val="20"/>
          <w:lang w:val="fr-FR"/>
        </w:rPr>
        <w:t xml:space="preserve"> consulte les États de l’aire de répartition de la mer Rouge afin d’étudier la possibilité d’élaborer un plan d’action pour les cétacés de la région de la mer </w:t>
      </w:r>
      <w:proofErr w:type="gramStart"/>
      <w:r w:rsidRPr="00924885">
        <w:rPr>
          <w:rFonts w:cs="Arial"/>
          <w:i/>
          <w:iCs/>
          <w:sz w:val="20"/>
          <w:szCs w:val="20"/>
          <w:lang w:val="fr-FR"/>
        </w:rPr>
        <w:t>Rouge;</w:t>
      </w:r>
      <w:proofErr w:type="gramEnd"/>
    </w:p>
    <w:p w14:paraId="1D7DAFEA" w14:textId="77777777" w:rsidR="00924885" w:rsidRPr="00924885" w:rsidRDefault="00924885" w:rsidP="00924885">
      <w:pPr>
        <w:spacing w:after="0" w:line="240" w:lineRule="auto"/>
        <w:ind w:left="1134" w:hanging="283"/>
        <w:jc w:val="both"/>
        <w:rPr>
          <w:rFonts w:cs="Arial"/>
          <w:i/>
          <w:iCs/>
          <w:sz w:val="20"/>
          <w:szCs w:val="20"/>
          <w:lang w:val="fr-FR"/>
        </w:rPr>
      </w:pPr>
    </w:p>
    <w:p w14:paraId="79D2590E" w14:textId="48A0E741" w:rsidR="00924885" w:rsidRPr="00924885" w:rsidRDefault="00924885" w:rsidP="00924885">
      <w:pPr>
        <w:spacing w:after="0" w:line="240" w:lineRule="auto"/>
        <w:ind w:left="1134" w:hanging="283"/>
        <w:jc w:val="both"/>
        <w:rPr>
          <w:rFonts w:cs="Arial"/>
          <w:i/>
          <w:iCs/>
          <w:sz w:val="20"/>
          <w:szCs w:val="20"/>
          <w:lang w:val="fr-FR"/>
        </w:rPr>
      </w:pPr>
      <w:r w:rsidRPr="00924885">
        <w:rPr>
          <w:rFonts w:cs="Arial"/>
          <w:i/>
          <w:iCs/>
          <w:sz w:val="20"/>
          <w:szCs w:val="20"/>
          <w:lang w:val="fr-FR"/>
        </w:rPr>
        <w:t xml:space="preserve">b) </w:t>
      </w:r>
      <w:r>
        <w:rPr>
          <w:rFonts w:cs="Arial"/>
          <w:i/>
          <w:iCs/>
          <w:sz w:val="20"/>
          <w:szCs w:val="20"/>
          <w:lang w:val="fr-FR"/>
        </w:rPr>
        <w:tab/>
      </w:r>
      <w:r w:rsidRPr="00924885">
        <w:rPr>
          <w:rFonts w:cs="Arial"/>
          <w:i/>
          <w:iCs/>
          <w:sz w:val="20"/>
          <w:szCs w:val="20"/>
          <w:lang w:val="fr-FR"/>
        </w:rPr>
        <w:t xml:space="preserve">organise un atelier réunissant les parties intéressées, des scientifiques et des organisations de conservation travaillant dans la région de la mer Rouge afin de déterminer le meilleur moyen de faire progresser la conservation des cétacés et, si les parties le souhaitent, d’aider à la mise au point d’un plan </w:t>
      </w:r>
      <w:proofErr w:type="gramStart"/>
      <w:r w:rsidRPr="00924885">
        <w:rPr>
          <w:rFonts w:cs="Arial"/>
          <w:i/>
          <w:iCs/>
          <w:sz w:val="20"/>
          <w:szCs w:val="20"/>
          <w:lang w:val="fr-FR"/>
        </w:rPr>
        <w:t>d’action;</w:t>
      </w:r>
      <w:proofErr w:type="gramEnd"/>
    </w:p>
    <w:p w14:paraId="15AF5F01" w14:textId="77777777" w:rsidR="00924885" w:rsidRPr="00924885" w:rsidRDefault="00924885" w:rsidP="00924885">
      <w:pPr>
        <w:spacing w:after="0" w:line="240" w:lineRule="auto"/>
        <w:ind w:left="1134" w:hanging="283"/>
        <w:jc w:val="both"/>
        <w:rPr>
          <w:rFonts w:cs="Arial"/>
          <w:i/>
          <w:iCs/>
          <w:sz w:val="20"/>
          <w:szCs w:val="20"/>
          <w:lang w:val="fr-FR"/>
        </w:rPr>
      </w:pPr>
    </w:p>
    <w:p w14:paraId="03DC7904" w14:textId="5FD4823A" w:rsidR="00924885" w:rsidRPr="00924885" w:rsidRDefault="00924885" w:rsidP="00924885">
      <w:pPr>
        <w:spacing w:after="0" w:line="240" w:lineRule="auto"/>
        <w:ind w:left="1134" w:hanging="283"/>
        <w:jc w:val="both"/>
        <w:rPr>
          <w:rFonts w:cs="Arial"/>
          <w:i/>
          <w:iCs/>
          <w:sz w:val="20"/>
          <w:szCs w:val="20"/>
          <w:lang w:val="fr-FR"/>
        </w:rPr>
      </w:pPr>
      <w:r w:rsidRPr="00924885">
        <w:rPr>
          <w:rFonts w:cs="Arial"/>
          <w:i/>
          <w:iCs/>
          <w:sz w:val="20"/>
          <w:szCs w:val="20"/>
          <w:lang w:val="fr-FR"/>
        </w:rPr>
        <w:t xml:space="preserve">c) </w:t>
      </w:r>
      <w:r>
        <w:rPr>
          <w:rFonts w:cs="Arial"/>
          <w:i/>
          <w:iCs/>
          <w:sz w:val="20"/>
          <w:szCs w:val="20"/>
          <w:lang w:val="fr-FR"/>
        </w:rPr>
        <w:tab/>
      </w:r>
      <w:r w:rsidRPr="00924885">
        <w:rPr>
          <w:rFonts w:cs="Arial"/>
          <w:i/>
          <w:iCs/>
          <w:sz w:val="20"/>
          <w:szCs w:val="20"/>
          <w:lang w:val="fr-FR"/>
        </w:rPr>
        <w:t xml:space="preserve">consulte des organismes régionaux compétents, notamment le Secrétariat de l’Organisation régionale pour la conservation de l’environnement dans la mer Rouge et le golfe d’Aden (PERSGA), afin d’obtenir son soutien pour faire progresser la conservation des cétacés dans la mer Rouge, comme recommandé par l’atelier </w:t>
      </w:r>
      <w:proofErr w:type="gramStart"/>
      <w:r w:rsidRPr="00924885">
        <w:rPr>
          <w:rFonts w:cs="Arial"/>
          <w:i/>
          <w:iCs/>
          <w:sz w:val="20"/>
          <w:szCs w:val="20"/>
          <w:lang w:val="fr-FR"/>
        </w:rPr>
        <w:t>susmentionné;</w:t>
      </w:r>
      <w:proofErr w:type="gramEnd"/>
    </w:p>
    <w:p w14:paraId="3C1B4527" w14:textId="77777777" w:rsidR="00924885" w:rsidRPr="00924885" w:rsidRDefault="00924885" w:rsidP="00924885">
      <w:pPr>
        <w:spacing w:after="0" w:line="240" w:lineRule="auto"/>
        <w:ind w:left="1134" w:hanging="283"/>
        <w:jc w:val="both"/>
        <w:rPr>
          <w:rFonts w:cs="Arial"/>
          <w:i/>
          <w:iCs/>
          <w:sz w:val="20"/>
          <w:szCs w:val="20"/>
          <w:lang w:val="fr-FR"/>
        </w:rPr>
      </w:pPr>
    </w:p>
    <w:p w14:paraId="7D38B391" w14:textId="7694CE33" w:rsidR="00924885" w:rsidRPr="00924885" w:rsidRDefault="00924885" w:rsidP="00924885">
      <w:pPr>
        <w:spacing w:after="0" w:line="240" w:lineRule="auto"/>
        <w:ind w:left="1134" w:hanging="283"/>
        <w:jc w:val="both"/>
        <w:rPr>
          <w:rFonts w:cs="Arial"/>
          <w:i/>
          <w:iCs/>
          <w:sz w:val="20"/>
          <w:szCs w:val="20"/>
          <w:lang w:val="fr-FR"/>
        </w:rPr>
      </w:pPr>
      <w:r w:rsidRPr="00924885">
        <w:rPr>
          <w:rFonts w:cs="Arial"/>
          <w:i/>
          <w:iCs/>
          <w:sz w:val="20"/>
          <w:szCs w:val="20"/>
          <w:lang w:val="fr-FR"/>
        </w:rPr>
        <w:t xml:space="preserve">d) </w:t>
      </w:r>
      <w:r>
        <w:rPr>
          <w:rFonts w:cs="Arial"/>
          <w:i/>
          <w:iCs/>
          <w:sz w:val="20"/>
          <w:szCs w:val="20"/>
          <w:lang w:val="fr-FR"/>
        </w:rPr>
        <w:tab/>
      </w:r>
      <w:r w:rsidRPr="00924885">
        <w:rPr>
          <w:rFonts w:cs="Arial"/>
          <w:i/>
          <w:iCs/>
          <w:sz w:val="20"/>
          <w:szCs w:val="20"/>
          <w:lang w:val="fr-FR"/>
        </w:rPr>
        <w:t xml:space="preserve">assure la liaison avec le secrétariat de la CBI en vue d'organiser conjointement un atelier sur le rôle des cétacés dans le fonctionnement des écosystèmes pour examiner les données et les recherches existantes et identifier les possibilités d'étendre ces </w:t>
      </w:r>
      <w:proofErr w:type="gramStart"/>
      <w:r w:rsidRPr="00924885">
        <w:rPr>
          <w:rFonts w:cs="Arial"/>
          <w:i/>
          <w:iCs/>
          <w:sz w:val="20"/>
          <w:szCs w:val="20"/>
          <w:lang w:val="fr-FR"/>
        </w:rPr>
        <w:t>travaux;</w:t>
      </w:r>
      <w:proofErr w:type="gramEnd"/>
    </w:p>
    <w:p w14:paraId="034DD00B" w14:textId="77777777" w:rsidR="00924885" w:rsidRPr="00924885" w:rsidRDefault="00924885" w:rsidP="00924885">
      <w:pPr>
        <w:spacing w:after="0" w:line="240" w:lineRule="auto"/>
        <w:ind w:left="1134" w:hanging="283"/>
        <w:jc w:val="both"/>
        <w:rPr>
          <w:rFonts w:cs="Arial"/>
          <w:i/>
          <w:iCs/>
          <w:sz w:val="20"/>
          <w:szCs w:val="20"/>
          <w:lang w:val="fr-FR"/>
        </w:rPr>
      </w:pPr>
    </w:p>
    <w:p w14:paraId="4F770678" w14:textId="45B76048" w:rsidR="006E5484" w:rsidRDefault="00924885" w:rsidP="00924885">
      <w:pPr>
        <w:spacing w:after="0" w:line="240" w:lineRule="auto"/>
        <w:ind w:left="1134" w:hanging="283"/>
        <w:jc w:val="both"/>
        <w:rPr>
          <w:rFonts w:cs="Arial"/>
          <w:i/>
          <w:iCs/>
          <w:sz w:val="20"/>
          <w:szCs w:val="20"/>
          <w:lang w:val="fr-FR"/>
        </w:rPr>
      </w:pPr>
      <w:r w:rsidRPr="00924885">
        <w:rPr>
          <w:rFonts w:cs="Arial"/>
          <w:i/>
          <w:iCs/>
          <w:sz w:val="20"/>
          <w:szCs w:val="20"/>
          <w:lang w:val="fr-FR"/>
        </w:rPr>
        <w:t xml:space="preserve">e) </w:t>
      </w:r>
      <w:r>
        <w:rPr>
          <w:rFonts w:cs="Arial"/>
          <w:i/>
          <w:iCs/>
          <w:sz w:val="20"/>
          <w:szCs w:val="20"/>
          <w:lang w:val="fr-FR"/>
        </w:rPr>
        <w:tab/>
      </w:r>
      <w:r w:rsidRPr="00924885">
        <w:rPr>
          <w:rFonts w:cs="Arial"/>
          <w:i/>
          <w:iCs/>
          <w:sz w:val="20"/>
          <w:szCs w:val="20"/>
          <w:lang w:val="fr-FR"/>
        </w:rPr>
        <w:t>rend compte des résultats de l'atelier à la prochaine réunion du Comité de session du Conseil scientifique.</w:t>
      </w:r>
    </w:p>
    <w:p w14:paraId="31F2B509" w14:textId="77777777" w:rsidR="00924885" w:rsidRPr="00924885" w:rsidRDefault="00924885" w:rsidP="00924885">
      <w:pPr>
        <w:spacing w:after="0" w:line="240" w:lineRule="auto"/>
        <w:ind w:left="1134" w:hanging="283"/>
        <w:jc w:val="both"/>
        <w:rPr>
          <w:lang w:val="fr-FR"/>
        </w:rPr>
      </w:pPr>
    </w:p>
    <w:p w14:paraId="244015F1" w14:textId="77777777" w:rsidR="006E5484" w:rsidRDefault="00FB2FEF">
      <w:pPr>
        <w:widowControl w:val="0"/>
        <w:numPr>
          <w:ilvl w:val="0"/>
          <w:numId w:val="6"/>
        </w:numPr>
        <w:spacing w:after="0" w:line="240" w:lineRule="auto"/>
        <w:ind w:left="567" w:hanging="567"/>
        <w:contextualSpacing/>
        <w:jc w:val="both"/>
        <w:rPr>
          <w:lang w:val="fr-FR"/>
        </w:rPr>
      </w:pPr>
      <w:r>
        <w:rPr>
          <w:rFonts w:cs="Arial"/>
          <w:lang w:val="fr-FR"/>
        </w:rPr>
        <w:t xml:space="preserve">En outre, les décisions relatives à la </w:t>
      </w:r>
      <w:r>
        <w:rPr>
          <w:rFonts w:cs="Arial"/>
          <w:iCs/>
          <w:lang w:val="fr-FR"/>
        </w:rPr>
        <w:t xml:space="preserve">Résolution 12.17 </w:t>
      </w:r>
      <w:r>
        <w:rPr>
          <w:rFonts w:cs="Arial"/>
          <w:i/>
          <w:lang w:val="fr-FR"/>
        </w:rPr>
        <w:t>Conservation et gestion des baleines et de leurs habitats dans la région de l'Atlantique sud</w:t>
      </w:r>
      <w:r>
        <w:rPr>
          <w:rFonts w:cs="Arial"/>
          <w:iCs/>
          <w:lang w:val="fr-FR"/>
        </w:rPr>
        <w:t>, ont été renouvelées lors de la COP13 :</w:t>
      </w:r>
    </w:p>
    <w:p w14:paraId="49968B0D" w14:textId="1AA977D2" w:rsidR="006E5484" w:rsidRDefault="006E5484">
      <w:pPr>
        <w:spacing w:after="0" w:line="240" w:lineRule="auto"/>
        <w:rPr>
          <w:rFonts w:cs="Arial"/>
          <w:lang w:val="fr-FR"/>
        </w:rPr>
      </w:pPr>
    </w:p>
    <w:p w14:paraId="2F615D05" w14:textId="6DC7E99F" w:rsidR="006E5484" w:rsidRPr="005F3AF5" w:rsidRDefault="00FB2FEF" w:rsidP="00924885">
      <w:pPr>
        <w:widowControl w:val="0"/>
        <w:spacing w:after="0" w:line="240" w:lineRule="auto"/>
        <w:ind w:left="851"/>
        <w:jc w:val="both"/>
        <w:rPr>
          <w:lang w:val="fr-FR"/>
        </w:rPr>
      </w:pPr>
      <w:r w:rsidRPr="005F3AF5">
        <w:rPr>
          <w:rFonts w:cs="Arial"/>
          <w:b/>
          <w:bCs/>
          <w:i/>
          <w:iCs/>
          <w:sz w:val="20"/>
          <w:szCs w:val="20"/>
          <w:lang w:val="fr-FR"/>
        </w:rPr>
        <w:t xml:space="preserve">13.84 </w:t>
      </w:r>
      <w:r w:rsidR="00924885" w:rsidRPr="005F3AF5">
        <w:rPr>
          <w:rFonts w:cs="Arial"/>
          <w:b/>
          <w:bCs/>
          <w:i/>
          <w:iCs/>
          <w:sz w:val="20"/>
          <w:szCs w:val="20"/>
          <w:lang w:val="fr-FR"/>
        </w:rPr>
        <w:t xml:space="preserve">Adressée au </w:t>
      </w:r>
      <w:r w:rsidRPr="005F3AF5">
        <w:rPr>
          <w:rFonts w:cs="Arial"/>
          <w:b/>
          <w:i/>
          <w:sz w:val="20"/>
          <w:szCs w:val="20"/>
          <w:lang w:val="fr-FR"/>
        </w:rPr>
        <w:t>Secr</w:t>
      </w:r>
      <w:r w:rsidR="00924885" w:rsidRPr="005F3AF5">
        <w:rPr>
          <w:rFonts w:cs="Arial"/>
          <w:b/>
          <w:i/>
          <w:sz w:val="20"/>
          <w:szCs w:val="20"/>
          <w:lang w:val="fr-FR"/>
        </w:rPr>
        <w:t>é</w:t>
      </w:r>
      <w:r w:rsidRPr="005F3AF5">
        <w:rPr>
          <w:rFonts w:cs="Arial"/>
          <w:b/>
          <w:i/>
          <w:sz w:val="20"/>
          <w:szCs w:val="20"/>
          <w:lang w:val="fr-FR"/>
        </w:rPr>
        <w:t>tariat</w:t>
      </w:r>
    </w:p>
    <w:p w14:paraId="453A66DA" w14:textId="77777777" w:rsidR="006E5484" w:rsidRPr="005F3AF5" w:rsidRDefault="006E5484" w:rsidP="00924885">
      <w:pPr>
        <w:widowControl w:val="0"/>
        <w:spacing w:after="0" w:line="240" w:lineRule="auto"/>
        <w:ind w:left="851"/>
        <w:jc w:val="both"/>
        <w:rPr>
          <w:rFonts w:cs="Arial"/>
          <w:i/>
          <w:sz w:val="20"/>
          <w:szCs w:val="20"/>
          <w:lang w:val="fr-FR"/>
        </w:rPr>
      </w:pPr>
    </w:p>
    <w:p w14:paraId="36C80788" w14:textId="77777777" w:rsidR="0047612F" w:rsidRPr="0047612F" w:rsidRDefault="0047612F" w:rsidP="0047612F">
      <w:pPr>
        <w:widowControl w:val="0"/>
        <w:spacing w:after="0" w:line="240" w:lineRule="auto"/>
        <w:ind w:left="851"/>
        <w:jc w:val="both"/>
        <w:rPr>
          <w:rFonts w:cs="Arial"/>
          <w:i/>
          <w:sz w:val="20"/>
          <w:szCs w:val="20"/>
          <w:lang w:val="fr-FR"/>
        </w:rPr>
      </w:pPr>
      <w:r w:rsidRPr="0047612F">
        <w:rPr>
          <w:rFonts w:cs="Arial"/>
          <w:i/>
          <w:sz w:val="20"/>
          <w:szCs w:val="20"/>
          <w:lang w:val="fr-FR"/>
        </w:rPr>
        <w:t xml:space="preserve">En collaboration avec les Parties et les organisations internationales compétentes, et sous réserve de la disponibilité de ressources externes, le </w:t>
      </w:r>
      <w:proofErr w:type="gramStart"/>
      <w:r w:rsidRPr="0047612F">
        <w:rPr>
          <w:rFonts w:cs="Arial"/>
          <w:i/>
          <w:sz w:val="20"/>
          <w:szCs w:val="20"/>
          <w:lang w:val="fr-FR"/>
        </w:rPr>
        <w:t>Secrétariat:</w:t>
      </w:r>
      <w:proofErr w:type="gramEnd"/>
    </w:p>
    <w:p w14:paraId="32D5C652" w14:textId="77777777" w:rsidR="0047612F" w:rsidRPr="0047612F" w:rsidRDefault="0047612F" w:rsidP="0047612F">
      <w:pPr>
        <w:widowControl w:val="0"/>
        <w:spacing w:after="0" w:line="240" w:lineRule="auto"/>
        <w:jc w:val="both"/>
        <w:rPr>
          <w:rFonts w:cs="Arial"/>
          <w:i/>
          <w:sz w:val="20"/>
          <w:szCs w:val="20"/>
          <w:lang w:val="fr-FR"/>
        </w:rPr>
      </w:pPr>
    </w:p>
    <w:p w14:paraId="4E26106E" w14:textId="536C00A2" w:rsidR="0047612F" w:rsidRPr="0047612F" w:rsidRDefault="0047612F" w:rsidP="0047612F">
      <w:pPr>
        <w:pStyle w:val="ListParagraph"/>
        <w:widowControl w:val="0"/>
        <w:numPr>
          <w:ilvl w:val="0"/>
          <w:numId w:val="23"/>
        </w:numPr>
        <w:spacing w:after="0" w:line="240" w:lineRule="auto"/>
        <w:jc w:val="both"/>
        <w:rPr>
          <w:rFonts w:cs="Arial"/>
          <w:i/>
          <w:sz w:val="20"/>
          <w:szCs w:val="20"/>
          <w:lang w:val="fr-FR"/>
        </w:rPr>
      </w:pPr>
      <w:proofErr w:type="gramStart"/>
      <w:r w:rsidRPr="0047612F">
        <w:rPr>
          <w:rFonts w:cs="Arial"/>
          <w:i/>
          <w:sz w:val="20"/>
          <w:szCs w:val="20"/>
          <w:lang w:val="fr-FR"/>
        </w:rPr>
        <w:t>apporte</w:t>
      </w:r>
      <w:proofErr w:type="gramEnd"/>
      <w:r w:rsidRPr="0047612F">
        <w:rPr>
          <w:rFonts w:cs="Arial"/>
          <w:i/>
          <w:sz w:val="20"/>
          <w:szCs w:val="20"/>
          <w:lang w:val="fr-FR"/>
        </w:rPr>
        <w:t xml:space="preserve"> son appui aux activités de renforcement des capacités liées à la conservation des cétacés;</w:t>
      </w:r>
    </w:p>
    <w:p w14:paraId="2551213B" w14:textId="77777777" w:rsidR="0047612F" w:rsidRPr="0047612F" w:rsidRDefault="0047612F" w:rsidP="0047612F">
      <w:pPr>
        <w:pStyle w:val="ListParagraph"/>
        <w:widowControl w:val="0"/>
        <w:spacing w:after="0" w:line="240" w:lineRule="auto"/>
        <w:ind w:left="1287"/>
        <w:jc w:val="both"/>
        <w:rPr>
          <w:rFonts w:cs="Arial"/>
          <w:i/>
          <w:sz w:val="20"/>
          <w:szCs w:val="20"/>
          <w:lang w:val="fr-FR"/>
        </w:rPr>
      </w:pPr>
    </w:p>
    <w:p w14:paraId="4FB1B730" w14:textId="577031A1" w:rsidR="006E5484" w:rsidRPr="0047612F" w:rsidRDefault="0047612F" w:rsidP="0047612F">
      <w:pPr>
        <w:pStyle w:val="ListParagraph"/>
        <w:widowControl w:val="0"/>
        <w:numPr>
          <w:ilvl w:val="0"/>
          <w:numId w:val="23"/>
        </w:numPr>
        <w:spacing w:after="0" w:line="240" w:lineRule="auto"/>
        <w:contextualSpacing w:val="0"/>
        <w:jc w:val="both"/>
        <w:rPr>
          <w:lang w:val="fr-FR"/>
        </w:rPr>
      </w:pPr>
      <w:proofErr w:type="gramStart"/>
      <w:r w:rsidRPr="0047612F">
        <w:rPr>
          <w:rFonts w:cs="Arial"/>
          <w:i/>
          <w:sz w:val="20"/>
          <w:szCs w:val="20"/>
          <w:lang w:val="fr-FR"/>
        </w:rPr>
        <w:t>organise</w:t>
      </w:r>
      <w:proofErr w:type="gramEnd"/>
      <w:r w:rsidRPr="0047612F">
        <w:rPr>
          <w:rFonts w:cs="Arial"/>
          <w:i/>
          <w:sz w:val="20"/>
          <w:szCs w:val="20"/>
          <w:lang w:val="fr-FR"/>
        </w:rPr>
        <w:t xml:space="preserve"> un atelier régional destiné à améliorer les capacités pour la mise en œuvre du Plan d'action pour la protection et la conservation des baleines de l’Atlantique sud (Annexe 1 à la Résolution UNEP/CMS/Résolution 12.17 Conservation et gestion des baleines et de leurs habitats dans la région de l’Atlantique sud).</w:t>
      </w:r>
      <w:r w:rsidR="00FB2FEF" w:rsidRPr="0047612F">
        <w:rPr>
          <w:rFonts w:cs="Arial"/>
          <w:i/>
          <w:sz w:val="20"/>
          <w:szCs w:val="20"/>
          <w:lang w:val="fr-FR"/>
        </w:rPr>
        <w:t>.</w:t>
      </w:r>
    </w:p>
    <w:p w14:paraId="6FCD8394" w14:textId="10A13100" w:rsidR="0047612F" w:rsidRDefault="0047612F" w:rsidP="00924885">
      <w:pPr>
        <w:widowControl w:val="0"/>
        <w:spacing w:after="0" w:line="240" w:lineRule="auto"/>
        <w:ind w:left="851"/>
        <w:jc w:val="both"/>
        <w:rPr>
          <w:rFonts w:cs="Arial"/>
          <w:i/>
          <w:sz w:val="20"/>
          <w:szCs w:val="20"/>
          <w:lang w:val="fr-FR"/>
        </w:rPr>
      </w:pPr>
      <w:r>
        <w:rPr>
          <w:rFonts w:cs="Arial"/>
          <w:i/>
          <w:sz w:val="20"/>
          <w:szCs w:val="20"/>
          <w:lang w:val="fr-FR"/>
        </w:rPr>
        <w:br w:type="page"/>
      </w:r>
    </w:p>
    <w:p w14:paraId="3A3DA81F" w14:textId="61B05592" w:rsidR="006E5484" w:rsidRPr="0047612F" w:rsidRDefault="00FB2FEF" w:rsidP="00924885">
      <w:pPr>
        <w:widowControl w:val="0"/>
        <w:spacing w:after="0" w:line="240" w:lineRule="auto"/>
        <w:ind w:left="851"/>
        <w:jc w:val="both"/>
        <w:rPr>
          <w:lang w:val="fr-FR"/>
        </w:rPr>
      </w:pPr>
      <w:r w:rsidRPr="0047612F">
        <w:rPr>
          <w:rFonts w:cs="Arial"/>
          <w:b/>
          <w:i/>
          <w:sz w:val="20"/>
          <w:szCs w:val="20"/>
          <w:lang w:val="fr-FR"/>
        </w:rPr>
        <w:lastRenderedPageBreak/>
        <w:t xml:space="preserve">13.85 </w:t>
      </w:r>
      <w:r w:rsidR="0047612F" w:rsidRPr="0047612F">
        <w:rPr>
          <w:rFonts w:cs="Arial"/>
          <w:b/>
          <w:i/>
          <w:sz w:val="20"/>
          <w:szCs w:val="20"/>
          <w:lang w:val="fr-FR"/>
        </w:rPr>
        <w:t>Adressée aux</w:t>
      </w:r>
      <w:r w:rsidRPr="0047612F">
        <w:rPr>
          <w:rFonts w:cs="Arial"/>
          <w:b/>
          <w:i/>
          <w:iCs/>
          <w:sz w:val="20"/>
          <w:szCs w:val="20"/>
          <w:lang w:val="fr-FR"/>
        </w:rPr>
        <w:t xml:space="preserve"> </w:t>
      </w:r>
      <w:r w:rsidRPr="0047612F">
        <w:rPr>
          <w:rFonts w:cs="Arial"/>
          <w:b/>
          <w:i/>
          <w:sz w:val="20"/>
          <w:szCs w:val="20"/>
          <w:lang w:val="fr-FR"/>
        </w:rPr>
        <w:t>Parties</w:t>
      </w:r>
    </w:p>
    <w:p w14:paraId="6A6781B4" w14:textId="77777777" w:rsidR="006E5484" w:rsidRPr="0047612F" w:rsidRDefault="006E5484" w:rsidP="00924885">
      <w:pPr>
        <w:widowControl w:val="0"/>
        <w:spacing w:after="0" w:line="240" w:lineRule="auto"/>
        <w:ind w:left="851"/>
        <w:jc w:val="both"/>
        <w:rPr>
          <w:rFonts w:cs="Arial"/>
          <w:i/>
          <w:sz w:val="20"/>
          <w:szCs w:val="20"/>
          <w:lang w:val="fr-FR"/>
        </w:rPr>
      </w:pPr>
    </w:p>
    <w:p w14:paraId="1FE7CB6E" w14:textId="3D5DFFBB" w:rsidR="006E5484" w:rsidRPr="0047612F" w:rsidRDefault="0047612F" w:rsidP="00924885">
      <w:pPr>
        <w:widowControl w:val="0"/>
        <w:spacing w:after="0" w:line="240" w:lineRule="auto"/>
        <w:ind w:left="851"/>
        <w:jc w:val="both"/>
        <w:rPr>
          <w:lang w:val="fr-FR"/>
        </w:rPr>
      </w:pPr>
      <w:r w:rsidRPr="0047612F">
        <w:rPr>
          <w:rFonts w:cs="Arial"/>
          <w:i/>
          <w:sz w:val="20"/>
          <w:szCs w:val="20"/>
          <w:lang w:val="fr-FR"/>
        </w:rPr>
        <w:t xml:space="preserve">Les Parties sont invitées à soumettre des rapports d'activité sur la mise en œuvre du Plan d'action pour la protection et la conservation des baleines de l’Atlantique sud (Annexe 1 à la Résolution UNEP/CMS/Résolution 12.17 Conservation et gestion des baleines et de leurs habitats dans la région de l’Atlantique sud), y compris le suivi et l'efficacité des mesures prises, à la Conférence des Parties lors de chacune de ses </w:t>
      </w:r>
      <w:proofErr w:type="gramStart"/>
      <w:r w:rsidRPr="0047612F">
        <w:rPr>
          <w:rFonts w:cs="Arial"/>
          <w:i/>
          <w:sz w:val="20"/>
          <w:szCs w:val="20"/>
          <w:lang w:val="fr-FR"/>
        </w:rPr>
        <w:t>Réunions.</w:t>
      </w:r>
      <w:r w:rsidR="00FB2FEF" w:rsidRPr="0047612F">
        <w:rPr>
          <w:rFonts w:cs="Arial"/>
          <w:i/>
          <w:sz w:val="20"/>
          <w:szCs w:val="20"/>
          <w:lang w:val="fr-FR"/>
        </w:rPr>
        <w:t>.</w:t>
      </w:r>
      <w:proofErr w:type="gramEnd"/>
    </w:p>
    <w:p w14:paraId="70B6A082" w14:textId="77777777" w:rsidR="006E5484" w:rsidRPr="0047612F" w:rsidRDefault="006E5484">
      <w:pPr>
        <w:spacing w:after="0" w:line="240" w:lineRule="auto"/>
        <w:rPr>
          <w:lang w:val="fr-FR"/>
        </w:rPr>
      </w:pPr>
    </w:p>
    <w:p w14:paraId="29387E5C" w14:textId="77777777" w:rsidR="006E5484" w:rsidRDefault="00FB2FEF">
      <w:pPr>
        <w:spacing w:after="0" w:line="240" w:lineRule="auto"/>
        <w:rPr>
          <w:lang w:val="fr-FR"/>
        </w:rPr>
      </w:pPr>
      <w:r>
        <w:rPr>
          <w:rFonts w:cs="Arial"/>
          <w:u w:val="single"/>
          <w:lang w:val="fr-FR"/>
        </w:rPr>
        <w:t>Mise en œuvre des activités relatives au Plan d'action pour les cétacés dans la région de la mer Rouge</w:t>
      </w:r>
    </w:p>
    <w:p w14:paraId="77544EE2" w14:textId="77777777" w:rsidR="006E5484" w:rsidRDefault="006E5484">
      <w:pPr>
        <w:spacing w:after="0" w:line="240" w:lineRule="auto"/>
        <w:rPr>
          <w:rFonts w:cs="Arial"/>
          <w:u w:val="single"/>
          <w:lang w:val="fr-FR"/>
        </w:rPr>
      </w:pPr>
    </w:p>
    <w:p w14:paraId="78632E88" w14:textId="3331774E" w:rsidR="006E5484" w:rsidRDefault="00FB2FEF">
      <w:pPr>
        <w:widowControl w:val="0"/>
        <w:numPr>
          <w:ilvl w:val="0"/>
          <w:numId w:val="6"/>
        </w:numPr>
        <w:spacing w:after="0" w:line="240" w:lineRule="auto"/>
        <w:ind w:left="567" w:hanging="567"/>
        <w:jc w:val="both"/>
        <w:rPr>
          <w:lang w:val="fr-FR"/>
        </w:rPr>
      </w:pPr>
      <w:r>
        <w:rPr>
          <w:rFonts w:cs="Arial"/>
          <w:lang w:val="fr-FR"/>
        </w:rPr>
        <w:t xml:space="preserve">Le lancement de la Collection technique CMS Nº 33 « Les cétacés de la mer Rouge » en 2017 a permis d'identifier des préoccupations concernant l'état de conservation des cétacés de la mer Rouge, et a conduit à l'adoption des Décisions 13.80 a), 13.81 c), 13.82 b) et 13.83 </w:t>
      </w:r>
      <w:proofErr w:type="gramStart"/>
      <w:r>
        <w:rPr>
          <w:rFonts w:cs="Arial"/>
          <w:lang w:val="fr-FR"/>
        </w:rPr>
        <w:t>a)-</w:t>
      </w:r>
      <w:proofErr w:type="gramEnd"/>
      <w:r>
        <w:rPr>
          <w:rFonts w:cs="Arial"/>
          <w:lang w:val="fr-FR"/>
        </w:rPr>
        <w:t xml:space="preserve">c). </w:t>
      </w:r>
    </w:p>
    <w:p w14:paraId="0FFD101E" w14:textId="77777777" w:rsidR="006E5484" w:rsidRDefault="006E5484">
      <w:pPr>
        <w:spacing w:after="0" w:line="240" w:lineRule="auto"/>
        <w:ind w:left="360"/>
        <w:jc w:val="both"/>
        <w:rPr>
          <w:rFonts w:cs="Arial"/>
          <w:i/>
          <w:lang w:val="fr-FR"/>
        </w:rPr>
      </w:pPr>
    </w:p>
    <w:p w14:paraId="7A601A59" w14:textId="6C6156CD" w:rsidR="006E5484" w:rsidRDefault="00FB2FEF">
      <w:pPr>
        <w:widowControl w:val="0"/>
        <w:numPr>
          <w:ilvl w:val="0"/>
          <w:numId w:val="6"/>
        </w:numPr>
        <w:spacing w:after="0" w:line="240" w:lineRule="auto"/>
        <w:ind w:left="567" w:hanging="567"/>
        <w:jc w:val="both"/>
        <w:rPr>
          <w:lang w:val="fr-FR"/>
        </w:rPr>
      </w:pPr>
      <w:r>
        <w:rPr>
          <w:rFonts w:cs="Arial"/>
          <w:lang w:val="fr-FR"/>
        </w:rPr>
        <w:t>Conformément aux instructions de la Décision 13.83 a), en décembre 2022, le Secrétariat a contacté les points focaux de tous les États riverains de la mer Rouge, ainsi que l'Organisation régionale pour la conservation de l'environnement de la mer Rouge et du golfe d'Aden (PERSGA), pour évaluer l'intérêt des parties prenantes à collaborer avec la CMS dans l'élaboration d'un Plan d'action pour les cétacés de la région de la mer Rouge, et pour organiser un atelier des Parties intéressées, des scientifiques et des organisations de conservation travaillant dans la région afin d'identifier la meilleure démarche pour faire avancer la conservation des cétacés. Un certain nombre de points focaux ont manifesté leur intérêt pour la poursuite de cette action.</w:t>
      </w:r>
    </w:p>
    <w:p w14:paraId="53DFC529" w14:textId="77777777" w:rsidR="006E5484" w:rsidRDefault="006E5484">
      <w:pPr>
        <w:widowControl w:val="0"/>
        <w:spacing w:after="0" w:line="240" w:lineRule="auto"/>
        <w:jc w:val="both"/>
        <w:rPr>
          <w:rFonts w:cs="Arial"/>
          <w:lang w:val="fr-FR"/>
        </w:rPr>
      </w:pPr>
    </w:p>
    <w:p w14:paraId="4A9BA769" w14:textId="77777777" w:rsidR="006E5484" w:rsidRDefault="00FB2FEF">
      <w:pPr>
        <w:widowControl w:val="0"/>
        <w:numPr>
          <w:ilvl w:val="0"/>
          <w:numId w:val="6"/>
        </w:numPr>
        <w:spacing w:after="0" w:line="240" w:lineRule="auto"/>
        <w:ind w:left="567" w:hanging="567"/>
        <w:jc w:val="both"/>
        <w:rPr>
          <w:lang w:val="fr-FR"/>
        </w:rPr>
      </w:pPr>
      <w:r>
        <w:rPr>
          <w:rFonts w:cs="Arial"/>
          <w:lang w:val="fr-FR"/>
        </w:rPr>
        <w:t>Dans une prochaine étape, les sources de financement dans la région peuvent être explorées et mobilisées pour un atelier sur un Plan d'action pour les cétacés pour les États de l'aire de répartition de la mer Rouge. Il est recommandé de renouveler la Décision 13.83 afin de permettre l'organisation de cet atelier régional en 2024.</w:t>
      </w:r>
    </w:p>
    <w:p w14:paraId="4B44E8EF" w14:textId="77777777" w:rsidR="006E5484" w:rsidRDefault="006E5484">
      <w:pPr>
        <w:spacing w:after="0" w:line="240" w:lineRule="auto"/>
        <w:jc w:val="both"/>
        <w:rPr>
          <w:rFonts w:cs="Arial"/>
          <w:lang w:val="fr-FR"/>
        </w:rPr>
      </w:pPr>
    </w:p>
    <w:p w14:paraId="2DA8EA59" w14:textId="5EC92F12" w:rsidR="006E5484" w:rsidRDefault="00FB2FEF">
      <w:pPr>
        <w:spacing w:after="0" w:line="240" w:lineRule="auto"/>
        <w:jc w:val="both"/>
        <w:rPr>
          <w:lang w:val="fr-FR"/>
        </w:rPr>
      </w:pPr>
      <w:r>
        <w:rPr>
          <w:rFonts w:cs="Arial"/>
          <w:u w:val="single"/>
          <w:lang w:val="fr-FR"/>
        </w:rPr>
        <w:t>Mise en œuvre des activités relatives aux mammifères aquatiques autres que les cétacés</w:t>
      </w:r>
    </w:p>
    <w:p w14:paraId="443323C9" w14:textId="77777777" w:rsidR="006E5484" w:rsidRDefault="006E5484">
      <w:pPr>
        <w:spacing w:after="0" w:line="240" w:lineRule="auto"/>
        <w:rPr>
          <w:rFonts w:cs="Arial"/>
          <w:lang w:val="fr-FR"/>
        </w:rPr>
      </w:pPr>
    </w:p>
    <w:p w14:paraId="78F0AC7C" w14:textId="198244CB" w:rsidR="006E5484" w:rsidRDefault="003B4BA1">
      <w:pPr>
        <w:widowControl w:val="0"/>
        <w:numPr>
          <w:ilvl w:val="0"/>
          <w:numId w:val="6"/>
        </w:numPr>
        <w:spacing w:after="0" w:line="240" w:lineRule="auto"/>
        <w:ind w:left="567" w:hanging="567"/>
        <w:jc w:val="both"/>
        <w:rPr>
          <w:lang w:val="fr-FR"/>
        </w:rPr>
      </w:pPr>
      <w:r>
        <w:rPr>
          <w:rFonts w:cs="Arial"/>
          <w:lang w:val="fr-FR"/>
        </w:rPr>
        <w:t xml:space="preserve">Le document </w:t>
      </w:r>
      <w:hyperlink r:id="rId18" w:history="1">
        <w:r>
          <w:rPr>
            <w:rStyle w:val="Hyperlink"/>
            <w:rFonts w:cs="Arial"/>
            <w:lang w:val="fr-FR"/>
          </w:rPr>
          <w:t>UNEP/CMS/COP14/Doc.27.5.3</w:t>
        </w:r>
      </w:hyperlink>
      <w:r>
        <w:rPr>
          <w:rFonts w:cs="Arial"/>
          <w:lang w:val="fr-FR"/>
        </w:rPr>
        <w:t xml:space="preserve"> </w:t>
      </w:r>
      <w:r>
        <w:rPr>
          <w:rFonts w:cs="Arial"/>
          <w:i/>
          <w:iCs/>
          <w:lang w:val="fr-FR"/>
        </w:rPr>
        <w:t>Siréniens, pinnipèdes et loutres</w:t>
      </w:r>
      <w:r>
        <w:rPr>
          <w:rFonts w:cs="Arial"/>
          <w:lang w:val="fr-FR"/>
        </w:rPr>
        <w:t xml:space="preserve"> traite de la Décision 13.81 a) (en partie) et b), ainsi que de la Décision 13.82 a).</w:t>
      </w:r>
    </w:p>
    <w:p w14:paraId="1B676F9B" w14:textId="77777777" w:rsidR="006E5484" w:rsidRDefault="006E5484" w:rsidP="0047612F">
      <w:pPr>
        <w:spacing w:after="0" w:line="240" w:lineRule="auto"/>
        <w:jc w:val="both"/>
        <w:rPr>
          <w:rFonts w:cs="Arial"/>
          <w:lang w:val="fr-FR"/>
        </w:rPr>
      </w:pPr>
    </w:p>
    <w:p w14:paraId="6A3151A4" w14:textId="3421AB28" w:rsidR="006E5484" w:rsidRDefault="00FB2FEF">
      <w:pPr>
        <w:spacing w:after="0" w:line="240" w:lineRule="auto"/>
        <w:jc w:val="both"/>
        <w:rPr>
          <w:lang w:val="fr-FR"/>
        </w:rPr>
      </w:pPr>
      <w:r>
        <w:rPr>
          <w:rFonts w:cs="Arial"/>
          <w:u w:val="single"/>
          <w:lang w:val="fr-FR"/>
        </w:rPr>
        <w:t>Mise en œuvre des activités relatives au Plan d'action pour la protection et la conservation des baleines de l'Atlantique Sud</w:t>
      </w:r>
    </w:p>
    <w:p w14:paraId="0115F399" w14:textId="77777777" w:rsidR="006E5484" w:rsidRDefault="006E5484">
      <w:pPr>
        <w:spacing w:after="0" w:line="240" w:lineRule="auto"/>
        <w:rPr>
          <w:rFonts w:cs="Arial"/>
          <w:lang w:val="fr-FR"/>
        </w:rPr>
      </w:pPr>
    </w:p>
    <w:p w14:paraId="422EE117" w14:textId="28FF75EA" w:rsidR="006E5484" w:rsidRDefault="004F0CEB" w:rsidP="004F0CEB">
      <w:pPr>
        <w:widowControl w:val="0"/>
        <w:numPr>
          <w:ilvl w:val="0"/>
          <w:numId w:val="6"/>
        </w:numPr>
        <w:spacing w:after="0" w:line="240" w:lineRule="auto"/>
        <w:ind w:left="567" w:hanging="567"/>
        <w:jc w:val="both"/>
        <w:rPr>
          <w:lang w:val="fr-FR"/>
        </w:rPr>
      </w:pPr>
      <w:r>
        <w:rPr>
          <w:rFonts w:cs="Arial"/>
          <w:lang w:val="fr-FR"/>
        </w:rPr>
        <w:t xml:space="preserve">En ce qui concerne la Décision 13.82 c), le Secrétariat a poursuivi les travaux en étroite collaboration avec la CBI sur cette question et d'autres questions connexes. Une proposition de création d'un sanctuaire pour les baleines dans l'Atlantique Sud a été discutée pour la première fois lors de la CBI en 1998, et évaluée pour la première fois en 2001. Depuis, il a été examiné par la Commission à plusieurs reprises, la dernière fois en 2022, mais n'a pas encore été adopté. </w:t>
      </w:r>
    </w:p>
    <w:p w14:paraId="1B7E0527" w14:textId="77777777" w:rsidR="006E5484" w:rsidRDefault="006E5484">
      <w:pPr>
        <w:widowControl w:val="0"/>
        <w:spacing w:after="0" w:line="240" w:lineRule="auto"/>
        <w:ind w:left="567"/>
        <w:jc w:val="both"/>
        <w:rPr>
          <w:rFonts w:cs="Arial"/>
          <w:lang w:val="fr-FR"/>
        </w:rPr>
      </w:pPr>
    </w:p>
    <w:p w14:paraId="4C986748" w14:textId="57A88A9B" w:rsidR="006E5484" w:rsidRDefault="005F11D1">
      <w:pPr>
        <w:widowControl w:val="0"/>
        <w:numPr>
          <w:ilvl w:val="0"/>
          <w:numId w:val="6"/>
        </w:numPr>
        <w:spacing w:after="0" w:line="240" w:lineRule="auto"/>
        <w:ind w:left="567" w:hanging="567"/>
        <w:jc w:val="both"/>
        <w:rPr>
          <w:lang w:val="fr-FR"/>
        </w:rPr>
      </w:pPr>
      <w:r>
        <w:rPr>
          <w:rFonts w:cs="Arial"/>
          <w:lang w:val="fr-FR"/>
        </w:rPr>
        <w:t xml:space="preserve">En ce qui concerne la Décision 13.84, le Secrétariat n'a pas encore été en mesure d'organiser un atelier régional pour améliorer la capacité de mise en œuvre du Plan d'action, en raison d'un manque de ressources. </w:t>
      </w:r>
    </w:p>
    <w:p w14:paraId="0DBF2541" w14:textId="77777777" w:rsidR="006E5484" w:rsidRDefault="006E5484">
      <w:pPr>
        <w:widowControl w:val="0"/>
        <w:spacing w:after="0" w:line="240" w:lineRule="auto"/>
        <w:jc w:val="both"/>
        <w:rPr>
          <w:rFonts w:cs="Arial"/>
          <w:lang w:val="fr-FR"/>
        </w:rPr>
      </w:pPr>
    </w:p>
    <w:p w14:paraId="7904D7E5" w14:textId="6E5FC538" w:rsidR="006E5484" w:rsidRDefault="00FB2FEF">
      <w:pPr>
        <w:widowControl w:val="0"/>
        <w:numPr>
          <w:ilvl w:val="0"/>
          <w:numId w:val="6"/>
        </w:numPr>
        <w:spacing w:after="0" w:line="240" w:lineRule="auto"/>
        <w:ind w:left="567" w:hanging="567"/>
        <w:jc w:val="both"/>
        <w:rPr>
          <w:rFonts w:cs="Arial"/>
          <w:lang w:val="fr-FR"/>
        </w:rPr>
      </w:pPr>
      <w:r>
        <w:rPr>
          <w:rFonts w:cs="Arial"/>
          <w:lang w:val="fr-FR"/>
        </w:rPr>
        <w:t xml:space="preserve">En outre, et comme l'indique également le document </w:t>
      </w:r>
      <w:hyperlink r:id="rId19">
        <w:r>
          <w:rPr>
            <w:rStyle w:val="Hyperlink"/>
            <w:rFonts w:cs="Arial"/>
            <w:lang w:val="fr-FR"/>
          </w:rPr>
          <w:t>UNEP/CMS/COP14/Doc.27.4.1</w:t>
        </w:r>
      </w:hyperlink>
      <w:r>
        <w:rPr>
          <w:rFonts w:cs="Arial"/>
          <w:lang w:val="fr-FR"/>
        </w:rPr>
        <w:t xml:space="preserve"> </w:t>
      </w:r>
      <w:r>
        <w:rPr>
          <w:rFonts w:cs="Arial"/>
          <w:i/>
          <w:iCs/>
          <w:lang w:val="fr-FR"/>
        </w:rPr>
        <w:t>Aires importantes pour les mammifères marins (AIMM)</w:t>
      </w:r>
      <w:r>
        <w:rPr>
          <w:rFonts w:cs="Arial"/>
          <w:lang w:val="fr-FR"/>
        </w:rPr>
        <w:t xml:space="preserve">, l'atelier régional de l'AIMM dans l'océan Atlantique Sud-Ouest s'est tenu à Praia do Forte au Brésil, en décembre 2022, sous la direction de l'ancien conseiller pour les mammifères aquatiques nommé par la </w:t>
      </w:r>
      <w:r>
        <w:rPr>
          <w:rFonts w:cs="Arial"/>
          <w:lang w:val="fr-FR"/>
        </w:rPr>
        <w:lastRenderedPageBreak/>
        <w:t xml:space="preserve">COP, qui est également coprésident du Groupe de travail de l'UICN sur les aires protégées pour les mammifères marins. L'atelier a permis d'identifier 36 nouvelles zones importantes pour les mammifères marins, ou </w:t>
      </w:r>
      <w:proofErr w:type="spellStart"/>
      <w:r>
        <w:rPr>
          <w:rFonts w:cs="Arial"/>
          <w:lang w:val="fr-FR"/>
        </w:rPr>
        <w:t>cIMMA</w:t>
      </w:r>
      <w:proofErr w:type="spellEnd"/>
      <w:r>
        <w:rPr>
          <w:rFonts w:cs="Arial"/>
          <w:lang w:val="fr-FR"/>
        </w:rPr>
        <w:t xml:space="preserve">. Parmi les participants figuraient 31 scientifiques spécialistes des grandes baleines, des dauphins et des marsouins, des pinnipèdes et des siréniens de la région. L'océan Atlantique Sud-Ouest, qui représente près d'un quart de l'océan Atlantique, abrite d'importantes populations de baleines franches australes, de baleines à bosse et d'autres espèces de cétacés qui se déplacent depuis l'Antarctique. On y trouve des espèces endémiques à la région, notamment le Dauphin de </w:t>
      </w:r>
      <w:proofErr w:type="spellStart"/>
      <w:r>
        <w:rPr>
          <w:rFonts w:cs="Arial"/>
          <w:lang w:val="fr-FR"/>
        </w:rPr>
        <w:t>Commerson</w:t>
      </w:r>
      <w:proofErr w:type="spellEnd"/>
      <w:r>
        <w:rPr>
          <w:rFonts w:cs="Arial"/>
          <w:lang w:val="fr-FR"/>
        </w:rPr>
        <w:t xml:space="preserve">, le Dauphin de La </w:t>
      </w:r>
      <w:proofErr w:type="spellStart"/>
      <w:r>
        <w:rPr>
          <w:rFonts w:cs="Arial"/>
          <w:lang w:val="fr-FR"/>
        </w:rPr>
        <w:t>Plata</w:t>
      </w:r>
      <w:proofErr w:type="spellEnd"/>
      <w:r>
        <w:rPr>
          <w:rFonts w:cs="Arial"/>
          <w:lang w:val="fr-FR"/>
        </w:rPr>
        <w:t xml:space="preserve"> et le Dauphin de Guyane. L'examen des AIMM candidates résultant de l'atelier sur les AIMM dans l'océan Atlantique Sud-Ouest est toujours en cours. Un rapport final d'atelier fera l'objet d'une large diffusion vers la fin de l'année 2023.</w:t>
      </w:r>
    </w:p>
    <w:p w14:paraId="5992D8F0" w14:textId="77777777" w:rsidR="00537384" w:rsidRDefault="00537384">
      <w:pPr>
        <w:spacing w:after="0" w:line="240" w:lineRule="auto"/>
        <w:rPr>
          <w:rFonts w:cs="Arial"/>
          <w:u w:val="single"/>
          <w:lang w:val="fr-FR"/>
        </w:rPr>
      </w:pPr>
    </w:p>
    <w:p w14:paraId="0255CAF5" w14:textId="3FBD8503" w:rsidR="006E5484" w:rsidRDefault="00FB2FEF">
      <w:pPr>
        <w:spacing w:after="0" w:line="240" w:lineRule="auto"/>
        <w:jc w:val="both"/>
        <w:rPr>
          <w:lang w:val="fr-FR"/>
        </w:rPr>
      </w:pPr>
      <w:r>
        <w:rPr>
          <w:rFonts w:cs="Arial"/>
          <w:u w:val="single"/>
          <w:lang w:val="fr-FR"/>
        </w:rPr>
        <w:t>Mise en œuvre des activités relatives au rôle des cétacés dans le fonctionnement des écosystèmes</w:t>
      </w:r>
    </w:p>
    <w:p w14:paraId="3057C237" w14:textId="77777777" w:rsidR="006E5484" w:rsidRDefault="006E5484">
      <w:pPr>
        <w:spacing w:after="0" w:line="240" w:lineRule="auto"/>
        <w:rPr>
          <w:rFonts w:cs="Arial"/>
          <w:lang w:val="fr-FR"/>
        </w:rPr>
      </w:pPr>
    </w:p>
    <w:p w14:paraId="31C28E14" w14:textId="0BEC33D0" w:rsidR="006E5484" w:rsidRPr="00FF579D" w:rsidRDefault="00FB2FEF">
      <w:pPr>
        <w:widowControl w:val="0"/>
        <w:numPr>
          <w:ilvl w:val="0"/>
          <w:numId w:val="6"/>
        </w:numPr>
        <w:spacing w:after="0" w:line="240" w:lineRule="auto"/>
        <w:ind w:left="567" w:hanging="567"/>
        <w:jc w:val="both"/>
        <w:rPr>
          <w:lang w:val="fr-FR"/>
        </w:rPr>
      </w:pPr>
      <w:r>
        <w:rPr>
          <w:rFonts w:cs="Arial"/>
          <w:lang w:val="fr-FR"/>
        </w:rPr>
        <w:t xml:space="preserve">Concernant la Décision 13.83 d) et e), le Secrétariat a </w:t>
      </w:r>
      <w:proofErr w:type="spellStart"/>
      <w:r>
        <w:rPr>
          <w:rFonts w:cs="Arial"/>
          <w:lang w:val="fr-FR"/>
        </w:rPr>
        <w:t>co-organisé</w:t>
      </w:r>
      <w:proofErr w:type="spellEnd"/>
      <w:r>
        <w:rPr>
          <w:rFonts w:cs="Arial"/>
          <w:lang w:val="fr-FR"/>
        </w:rPr>
        <w:t xml:space="preserve"> un atelier virtuel avec la CBI sur le rôle des cétacés dans le fonctionnement des écosystèmes</w:t>
      </w:r>
      <w:r>
        <w:rPr>
          <w:rStyle w:val="FootnoteReference"/>
          <w:rFonts w:cs="Arial"/>
          <w:lang w:val="fr-FR"/>
        </w:rPr>
        <w:footnoteReference w:id="2"/>
      </w:r>
      <w:r>
        <w:rPr>
          <w:rFonts w:cs="Arial"/>
          <w:lang w:val="fr-FR"/>
        </w:rPr>
        <w:t xml:space="preserve"> en avril 2021. L'atelier a passé en revue les concepts relatifs à la circulation des nutriments, à la fertilisation des océans, aux restes de baleines et aux cétacés en tant que prédateurs. Il a été convenu que, souvent, la question n'est pas de savoir si les baleines jouent un rôle dans le fonctionnement de l'écosystème, mais plutôt quel rôle elles jouent, ce qui dépend largement de l'échelle considérée, qu'elle soit locale ou mondiale. L'atelier a identifié trois grandes catégories, dans lesquelles une liste de fonctions écosystémiques assurées par les cétacés a été élaborée : 1) le transfert et la circulation des nutriments ; 2) les caractéristiques liées à l'alimentation ; et 3) la fourniture d'habitats, la contribution à la biodiversité et le carbone bleu.</w:t>
      </w:r>
      <w:r>
        <w:rPr>
          <w:rStyle w:val="FootnoteReference"/>
          <w:rFonts w:cs="Arial"/>
          <w:lang w:val="fr-FR"/>
        </w:rPr>
        <w:footnoteReference w:id="3"/>
      </w:r>
      <w:r>
        <w:rPr>
          <w:rFonts w:cs="Arial"/>
          <w:lang w:val="fr-FR"/>
        </w:rPr>
        <w:t xml:space="preserve"> L'atelier a également permis d'identifier les lacunes en matière de connaissances dans les trois domaines et de constater la nécessité de mener davantage d'études sur les fonctions écosystémiques des petits cétacés, notamment sur leur rôle dans la liaison entre les habitats côtiers et les habitats marins. Par conséquent, une liste de questions générales, d'hypothèses et de tâches a été </w:t>
      </w:r>
      <w:r>
        <w:rPr>
          <w:lang w:val="fr-FR"/>
        </w:rPr>
        <w:t>proposée</w:t>
      </w:r>
      <w:r>
        <w:rPr>
          <w:rFonts w:cs="Arial"/>
          <w:color w:val="000000" w:themeColor="text1"/>
          <w:lang w:val="fr-FR"/>
        </w:rPr>
        <w:t>,</w:t>
      </w:r>
      <w:r>
        <w:rPr>
          <w:lang w:val="fr-FR"/>
        </w:rPr>
        <w:t xml:space="preserve"> à réaliser ou à envisager </w:t>
      </w:r>
      <w:r>
        <w:rPr>
          <w:rFonts w:cs="Arial"/>
          <w:lang w:val="fr-FR"/>
        </w:rPr>
        <w:t>pour le deuxième atelier. Il a été convenu que l'étude des changements induits par l'homme, notamment le changement climatique, et de leur impact sur le fonctionnement de l'écosystème des cétacés</w:t>
      </w:r>
      <w:r>
        <w:rPr>
          <w:rStyle w:val="CommentReference"/>
          <w:sz w:val="22"/>
          <w:szCs w:val="22"/>
          <w:lang w:val="fr-FR"/>
        </w:rPr>
        <w:t xml:space="preserve">, revêt </w:t>
      </w:r>
      <w:r>
        <w:rPr>
          <w:rFonts w:cs="Arial"/>
          <w:lang w:val="fr-FR"/>
        </w:rPr>
        <w:t xml:space="preserve">de l'importance. Le rapport de l'atelier est disponible </w:t>
      </w:r>
      <w:hyperlink r:id="rId20">
        <w:r>
          <w:rPr>
            <w:rStyle w:val="Hyperlink"/>
            <w:color w:val="0563C1"/>
            <w:lang w:val="fr-FR"/>
          </w:rPr>
          <w:t>ici</w:t>
        </w:r>
      </w:hyperlink>
      <w:r>
        <w:rPr>
          <w:rFonts w:cs="Arial"/>
          <w:lang w:val="fr-FR"/>
        </w:rPr>
        <w:t>.</w:t>
      </w:r>
    </w:p>
    <w:p w14:paraId="0FD1546F" w14:textId="77777777" w:rsidR="006E5484" w:rsidRDefault="006E5484">
      <w:pPr>
        <w:widowControl w:val="0"/>
        <w:spacing w:after="0" w:line="240" w:lineRule="auto"/>
        <w:ind w:left="567"/>
        <w:jc w:val="both"/>
        <w:rPr>
          <w:rFonts w:cs="Arial"/>
          <w:lang w:val="fr-FR"/>
        </w:rPr>
      </w:pPr>
    </w:p>
    <w:p w14:paraId="6CA0DE85" w14:textId="5BB151DF" w:rsidR="006E5484" w:rsidRDefault="00FB2FEF">
      <w:pPr>
        <w:widowControl w:val="0"/>
        <w:numPr>
          <w:ilvl w:val="0"/>
          <w:numId w:val="6"/>
        </w:numPr>
        <w:spacing w:after="0" w:line="240" w:lineRule="auto"/>
        <w:ind w:left="567" w:hanging="567"/>
        <w:jc w:val="both"/>
        <w:rPr>
          <w:lang w:val="fr-FR"/>
        </w:rPr>
      </w:pPr>
      <w:r>
        <w:rPr>
          <w:rFonts w:cs="Arial"/>
          <w:lang w:val="fr-FR"/>
        </w:rPr>
        <w:t xml:space="preserve">Le deuxième atelier conjoint sur le rôle des cétacés </w:t>
      </w:r>
      <w:r>
        <w:rPr>
          <w:lang w:val="fr-FR"/>
        </w:rPr>
        <w:t xml:space="preserve">dans le fonctionnement des écosystèmes </w:t>
      </w:r>
      <w:r>
        <w:rPr>
          <w:rFonts w:cs="Arial"/>
          <w:lang w:val="fr-FR"/>
        </w:rPr>
        <w:t>sera organisé par la CMS à Bonn en Allemagne au mois de novembre 2023. Il y sera principalement question de quantifier les différences spatiales dans le fonctionnement de l'écosystème des cétacés, en examinant les liens avec les environnements et les caractéristiques de l'écosystème régional (c'est-à-dire les tendances historiques dans différents endroits) ; et la quantification des changements temporels dans le fonctionnement de l'écosystème des cétacés, en mettant l'accent sur la différence entre les populations antérieures à la chasse à la baleine et les populations actuelles, ainsi que l'identification des informations et des connaissances.</w:t>
      </w:r>
    </w:p>
    <w:p w14:paraId="728576FF" w14:textId="77777777" w:rsidR="006E5484" w:rsidRDefault="006E5484">
      <w:pPr>
        <w:widowControl w:val="0"/>
        <w:spacing w:after="0" w:line="240" w:lineRule="auto"/>
        <w:ind w:left="567"/>
        <w:jc w:val="both"/>
        <w:rPr>
          <w:rFonts w:cs="Arial"/>
          <w:lang w:val="fr-FR"/>
        </w:rPr>
      </w:pPr>
    </w:p>
    <w:p w14:paraId="0532F706" w14:textId="08A9537E" w:rsidR="006E5484" w:rsidRDefault="00FB2FEF">
      <w:pPr>
        <w:widowControl w:val="0"/>
        <w:numPr>
          <w:ilvl w:val="0"/>
          <w:numId w:val="6"/>
        </w:numPr>
        <w:spacing w:after="0" w:line="240" w:lineRule="auto"/>
        <w:ind w:left="567" w:hanging="567"/>
        <w:jc w:val="both"/>
        <w:rPr>
          <w:lang w:val="fr-FR"/>
        </w:rPr>
      </w:pPr>
      <w:r>
        <w:rPr>
          <w:rFonts w:cs="Arial"/>
          <w:lang w:val="fr-FR"/>
        </w:rPr>
        <w:t xml:space="preserve">Un autre atelier de la CBI sur les valeurs socioéconomiques de la contribution des cétacés au fonctionnement des écosystèmes a été organisé en ligne en avril 2022. Cet atelier a passé en revue les techniques d'évaluation marchande et non marchande et a </w:t>
      </w:r>
      <w:r>
        <w:rPr>
          <w:rFonts w:cs="Arial"/>
          <w:lang w:val="fr-FR"/>
        </w:rPr>
        <w:lastRenderedPageBreak/>
        <w:t>examiné les cétacés par rapport aux caractéristiques d'autres mégafaunes marines. Les participants ont également pris connaissance des cadres permettant de comprendre la valeur sociale et économique de la contribution des cétacés au fonctionnement des écosystèmes.</w:t>
      </w:r>
      <w:r>
        <w:rPr>
          <w:lang w:val="fr-FR"/>
        </w:rPr>
        <w:t xml:space="preserve"> </w:t>
      </w:r>
      <w:r>
        <w:rPr>
          <w:rFonts w:cs="Arial"/>
          <w:lang w:val="fr-FR"/>
        </w:rPr>
        <w:t>L'atelier a proposé, à court terme, la conception d'un projet pilote pour évaluer les valeurs socioéconomiques d'une seule espèce afin de simplifier le nombre de services à évaluer</w:t>
      </w:r>
      <w:r>
        <w:rPr>
          <w:lang w:val="fr-FR"/>
        </w:rPr>
        <w:t xml:space="preserve">. Le rapport de l'atelier est disponible </w:t>
      </w:r>
      <w:hyperlink r:id="rId21">
        <w:r>
          <w:rPr>
            <w:rStyle w:val="Hyperlink"/>
            <w:color w:val="0563C1"/>
            <w:lang w:val="fr-FR"/>
          </w:rPr>
          <w:t>ici</w:t>
        </w:r>
      </w:hyperlink>
      <w:r>
        <w:rPr>
          <w:lang w:val="fr-FR"/>
        </w:rPr>
        <w:t>.</w:t>
      </w:r>
    </w:p>
    <w:p w14:paraId="0F3B4154" w14:textId="77777777" w:rsidR="006E5484" w:rsidRDefault="006E5484">
      <w:pPr>
        <w:widowControl w:val="0"/>
        <w:spacing w:after="0" w:line="240" w:lineRule="auto"/>
        <w:ind w:left="567"/>
        <w:jc w:val="both"/>
        <w:rPr>
          <w:rFonts w:cs="Arial"/>
          <w:lang w:val="fr-FR"/>
        </w:rPr>
      </w:pPr>
    </w:p>
    <w:p w14:paraId="6F45E411" w14:textId="3B7233D2" w:rsidR="006E5484" w:rsidRDefault="00FB2FEF">
      <w:pPr>
        <w:widowControl w:val="0"/>
        <w:numPr>
          <w:ilvl w:val="0"/>
          <w:numId w:val="6"/>
        </w:numPr>
        <w:spacing w:after="0" w:line="240" w:lineRule="auto"/>
        <w:ind w:left="567" w:hanging="567"/>
        <w:jc w:val="both"/>
        <w:rPr>
          <w:lang w:val="fr-FR"/>
        </w:rPr>
      </w:pPr>
      <w:r>
        <w:rPr>
          <w:rFonts w:cs="Arial"/>
          <w:lang w:val="fr-FR"/>
        </w:rPr>
        <w:t>Sur la base de ce qui précède, il est proposé que la CMS poursuive sa collaboration avec la CBI sur le rôle des cétacés dans le fonctionnement des écosystèmes.</w:t>
      </w:r>
    </w:p>
    <w:p w14:paraId="5A61D1B4" w14:textId="77777777" w:rsidR="0047612F" w:rsidRDefault="0047612F">
      <w:pPr>
        <w:spacing w:after="0" w:line="240" w:lineRule="auto"/>
        <w:jc w:val="both"/>
        <w:rPr>
          <w:rFonts w:cs="Arial"/>
          <w:u w:val="single"/>
          <w:lang w:val="fr-FR"/>
        </w:rPr>
      </w:pPr>
    </w:p>
    <w:p w14:paraId="69BDD686" w14:textId="70D5EFEA" w:rsidR="006E5484" w:rsidRDefault="00FB2FEF">
      <w:pPr>
        <w:spacing w:after="0" w:line="240" w:lineRule="auto"/>
        <w:jc w:val="both"/>
        <w:rPr>
          <w:lang w:val="fr-FR"/>
        </w:rPr>
      </w:pPr>
      <w:r>
        <w:rPr>
          <w:rFonts w:cs="Arial"/>
          <w:u w:val="single"/>
          <w:lang w:val="fr-FR"/>
        </w:rPr>
        <w:t>Mise en œuvre des activités relatives au Programme de travail pour les cétacés</w:t>
      </w:r>
    </w:p>
    <w:p w14:paraId="32DBB091" w14:textId="77777777" w:rsidR="006E5484" w:rsidRDefault="006E5484">
      <w:pPr>
        <w:spacing w:after="0" w:line="240" w:lineRule="auto"/>
        <w:rPr>
          <w:rFonts w:cs="Arial"/>
          <w:lang w:val="fr-FR"/>
        </w:rPr>
      </w:pPr>
    </w:p>
    <w:p w14:paraId="31117502" w14:textId="55F7DD1C" w:rsidR="006E5484" w:rsidRDefault="00FB2FEF">
      <w:pPr>
        <w:widowControl w:val="0"/>
        <w:numPr>
          <w:ilvl w:val="0"/>
          <w:numId w:val="6"/>
        </w:numPr>
        <w:spacing w:after="0" w:line="240" w:lineRule="auto"/>
        <w:ind w:left="567" w:hanging="567"/>
        <w:jc w:val="both"/>
        <w:rPr>
          <w:lang w:val="fr-FR"/>
        </w:rPr>
      </w:pPr>
      <w:r>
        <w:rPr>
          <w:rFonts w:cs="Arial"/>
          <w:lang w:val="fr-FR"/>
        </w:rPr>
        <w:t>La Décision 13.81 a) prie le Groupe de travail sur les mammifères aquatiques (AMWG) de faire le point sur la mise en œuvre du Programme de travail mondial pour les cétacés à ce jour, comprenant une analyse des lacunes et identifiant les priorités pour l’avenir, afin d'en informer une révision. Dans la Décision 13.82 a), il a été demandé au Conseil scientifique d'examiner les résultats de l'AMWG et de formuler des recommandations à la COP14.</w:t>
      </w:r>
    </w:p>
    <w:p w14:paraId="05C28866" w14:textId="77777777" w:rsidR="006E5484" w:rsidRDefault="006E5484">
      <w:pPr>
        <w:widowControl w:val="0"/>
        <w:spacing w:after="0" w:line="240" w:lineRule="auto"/>
        <w:ind w:left="567"/>
        <w:jc w:val="both"/>
        <w:rPr>
          <w:rFonts w:cs="Arial"/>
          <w:lang w:val="fr-FR"/>
        </w:rPr>
      </w:pPr>
    </w:p>
    <w:p w14:paraId="63D59B0B" w14:textId="1860897F" w:rsidR="00C328B4" w:rsidRDefault="00FB2FEF" w:rsidP="00C328B4">
      <w:pPr>
        <w:widowControl w:val="0"/>
        <w:numPr>
          <w:ilvl w:val="0"/>
          <w:numId w:val="6"/>
        </w:numPr>
        <w:spacing w:after="0" w:line="240" w:lineRule="auto"/>
        <w:ind w:left="567" w:hanging="567"/>
        <w:jc w:val="both"/>
        <w:rPr>
          <w:lang w:val="fr-FR"/>
        </w:rPr>
      </w:pPr>
      <w:r>
        <w:rPr>
          <w:rFonts w:cs="Arial"/>
          <w:lang w:val="fr-FR"/>
        </w:rPr>
        <w:t xml:space="preserve">Afin de faciliter la tâche affectée à l'AMWG, qui est un groupe composé en grande partie d'experts externes volontaires, le Secrétariat a engagé l'organisation partenaire de la CMS, </w:t>
      </w:r>
      <w:proofErr w:type="spellStart"/>
      <w:r>
        <w:rPr>
          <w:rFonts w:cs="Arial"/>
          <w:lang w:val="fr-FR"/>
        </w:rPr>
        <w:t>OceanCare</w:t>
      </w:r>
      <w:proofErr w:type="spellEnd"/>
      <w:r>
        <w:rPr>
          <w:rFonts w:cs="Arial"/>
          <w:lang w:val="fr-FR"/>
        </w:rPr>
        <w:t xml:space="preserve">, pour concevoir l'étude demandée, l'analyse des lacunes et les recommandations, en partenariat avec les conseillers concernés nommés par la COP. L'identification des priorités pour la conservation des cétacés, en général et par sous-région, s'est appuyée sur des consultations approfondies avec des experts du monde entier. L'étude qui en résulte, qui a été mise à la disposition de l'AMWG pour observations, et qui a ensuite été révisée de manière substantielle, est consignée dans le document </w:t>
      </w:r>
      <w:hyperlink r:id="rId22" w:history="1">
        <w:r>
          <w:rPr>
            <w:rStyle w:val="Hyperlink"/>
            <w:rFonts w:cs="Arial"/>
            <w:lang w:val="fr-FR"/>
          </w:rPr>
          <w:t>UNEP/CMS/COP14/Inf.27.5.1a.</w:t>
        </w:r>
      </w:hyperlink>
      <w:r>
        <w:rPr>
          <w:rFonts w:cs="Arial"/>
          <w:i/>
          <w:iCs/>
          <w:lang w:val="fr-FR"/>
        </w:rPr>
        <w:t xml:space="preserve"> Un examen pour soutenir l'élaboration d'un deuxième Programme de travail pour les cétacés de la CMS (2024-2035)</w:t>
      </w:r>
      <w:r>
        <w:rPr>
          <w:rFonts w:cs="Arial"/>
          <w:lang w:val="fr-FR"/>
        </w:rPr>
        <w:t>.</w:t>
      </w:r>
    </w:p>
    <w:p w14:paraId="132FB453" w14:textId="77777777" w:rsidR="006E5484" w:rsidRPr="00C328B4" w:rsidRDefault="006E5484">
      <w:pPr>
        <w:widowControl w:val="0"/>
        <w:spacing w:after="0" w:line="240" w:lineRule="auto"/>
        <w:ind w:left="567"/>
        <w:jc w:val="both"/>
        <w:rPr>
          <w:lang w:val="fr-FR"/>
        </w:rPr>
      </w:pPr>
    </w:p>
    <w:p w14:paraId="5EE69C5C" w14:textId="38179729" w:rsidR="006E5484" w:rsidRDefault="00FB2FEF" w:rsidP="00C328B4">
      <w:pPr>
        <w:widowControl w:val="0"/>
        <w:numPr>
          <w:ilvl w:val="0"/>
          <w:numId w:val="6"/>
        </w:numPr>
        <w:spacing w:after="0" w:line="240" w:lineRule="auto"/>
        <w:ind w:left="567" w:hanging="567"/>
        <w:jc w:val="both"/>
        <w:rPr>
          <w:lang w:val="fr-FR"/>
        </w:rPr>
      </w:pPr>
      <w:r>
        <w:rPr>
          <w:rFonts w:cs="Arial"/>
          <w:lang w:val="fr-FR"/>
        </w:rPr>
        <w:t>L'étude contient des chapitres résumant les menaces suivantes : interactions avec la pêche (enchevêtrement, prises accessoires et diminution des proies) ; chasse ; changement climatique ; pollution (débris marins, chimique et sonore) ; collisions avec les navires ; captures vivantes ; perturbations et harcèlement ; maladies ; cétacés « hors habitat » et migrants climatiques ; exploitation minière des fonds marins et dégradation de l'habitat.</w:t>
      </w:r>
    </w:p>
    <w:p w14:paraId="50096C08" w14:textId="77777777" w:rsidR="006E5484" w:rsidRDefault="006E5484">
      <w:pPr>
        <w:widowControl w:val="0"/>
        <w:spacing w:after="0" w:line="240" w:lineRule="auto"/>
        <w:ind w:left="567"/>
        <w:jc w:val="both"/>
        <w:rPr>
          <w:rFonts w:cs="Arial"/>
          <w:lang w:val="fr-FR"/>
        </w:rPr>
      </w:pPr>
    </w:p>
    <w:p w14:paraId="14825D5B" w14:textId="77777777" w:rsidR="006E5484" w:rsidRDefault="00FB2FEF">
      <w:pPr>
        <w:widowControl w:val="0"/>
        <w:numPr>
          <w:ilvl w:val="0"/>
          <w:numId w:val="6"/>
        </w:numPr>
        <w:spacing w:after="0" w:line="240" w:lineRule="auto"/>
        <w:ind w:left="567" w:hanging="567"/>
        <w:jc w:val="both"/>
        <w:rPr>
          <w:lang w:val="fr-FR"/>
        </w:rPr>
      </w:pPr>
      <w:r>
        <w:rPr>
          <w:rFonts w:cs="Arial"/>
          <w:lang w:val="fr-FR"/>
        </w:rPr>
        <w:t xml:space="preserve">Chaque sous-section comprend un bref résumé des paragraphes pertinents du dispositif de chaque résolution connexe en vigueur, faisant référence aux engagements existants des Parties. Des recommandations d'experts scientifiques suivent. Dans la mesure du possible, elles ont été intégrées dans le projet de résolution et les projets de décision contenus dans le présent document. L'étude poursuit en identifiant les ressources clés pour les Parties et autres, notamment les documents de la CMS, les AIMM pertinentes, et une sélection récente de documents publiés. </w:t>
      </w:r>
    </w:p>
    <w:p w14:paraId="6844157E" w14:textId="77777777" w:rsidR="006E5484" w:rsidRDefault="006E5484">
      <w:pPr>
        <w:widowControl w:val="0"/>
        <w:spacing w:after="0" w:line="240" w:lineRule="auto"/>
        <w:ind w:left="567"/>
        <w:jc w:val="both"/>
        <w:rPr>
          <w:rFonts w:cs="Arial"/>
          <w:lang w:val="fr-FR"/>
        </w:rPr>
      </w:pPr>
    </w:p>
    <w:p w14:paraId="16F96DC6" w14:textId="23FFE4E6" w:rsidR="006E5484" w:rsidRDefault="00FB2FEF">
      <w:pPr>
        <w:widowControl w:val="0"/>
        <w:numPr>
          <w:ilvl w:val="0"/>
          <w:numId w:val="6"/>
        </w:numPr>
        <w:spacing w:after="0" w:line="240" w:lineRule="auto"/>
        <w:ind w:left="567" w:hanging="567"/>
        <w:jc w:val="both"/>
        <w:rPr>
          <w:lang w:val="fr-FR"/>
        </w:rPr>
      </w:pPr>
      <w:r>
        <w:rPr>
          <w:rFonts w:cs="Arial"/>
          <w:lang w:val="fr-FR"/>
        </w:rPr>
        <w:t xml:space="preserve">L'étude contient également des détails sur chacune des résolutions connexes dans son </w:t>
      </w:r>
      <w:hyperlink r:id="rId23" w:history="1">
        <w:r>
          <w:rPr>
            <w:rStyle w:val="Hyperlink"/>
            <w:rFonts w:cs="Arial"/>
            <w:lang w:val="fr-FR"/>
          </w:rPr>
          <w:t>annexe 1</w:t>
        </w:r>
      </w:hyperlink>
      <w:r>
        <w:rPr>
          <w:rFonts w:cs="Arial"/>
          <w:lang w:val="fr-FR"/>
        </w:rPr>
        <w:t xml:space="preserve">, ainsi qu'une liste de menaces classées par ordre de priorité pour chaque grande région océanique, accompagnée d'une liste d'espèces dans son </w:t>
      </w:r>
      <w:hyperlink r:id="rId24" w:history="1">
        <w:r>
          <w:rPr>
            <w:rStyle w:val="Hyperlink"/>
            <w:rFonts w:cs="Arial"/>
            <w:lang w:val="fr-FR"/>
          </w:rPr>
          <w:t>annexe 2</w:t>
        </w:r>
      </w:hyperlink>
      <w:r>
        <w:rPr>
          <w:rFonts w:cs="Arial"/>
          <w:lang w:val="fr-FR"/>
        </w:rPr>
        <w:t>.</w:t>
      </w:r>
    </w:p>
    <w:p w14:paraId="79F50717" w14:textId="77777777" w:rsidR="006E5484" w:rsidRDefault="006E5484">
      <w:pPr>
        <w:widowControl w:val="0"/>
        <w:spacing w:after="0" w:line="240" w:lineRule="auto"/>
        <w:ind w:left="567"/>
        <w:jc w:val="both"/>
        <w:rPr>
          <w:rFonts w:cs="Arial"/>
          <w:lang w:val="fr-FR"/>
        </w:rPr>
      </w:pPr>
    </w:p>
    <w:p w14:paraId="481DE61B" w14:textId="1CFC6C8F" w:rsidR="006E5484" w:rsidRDefault="00FB2FEF">
      <w:pPr>
        <w:widowControl w:val="0"/>
        <w:numPr>
          <w:ilvl w:val="0"/>
          <w:numId w:val="6"/>
        </w:numPr>
        <w:spacing w:after="0" w:line="240" w:lineRule="auto"/>
        <w:ind w:left="567" w:hanging="567"/>
        <w:jc w:val="both"/>
        <w:rPr>
          <w:lang w:val="fr-FR"/>
        </w:rPr>
      </w:pPr>
      <w:r>
        <w:rPr>
          <w:rFonts w:cs="Arial"/>
          <w:lang w:val="fr-FR"/>
        </w:rPr>
        <w:t>Les recommandations à l'endroit des États de l'aire de répartition des espèces spécifiques identifiées dans l'étude ont été reproduites à l'annexe 1 du présent document pour en faciliter l'accès par les Parties concernées.</w:t>
      </w:r>
    </w:p>
    <w:p w14:paraId="3E117140" w14:textId="77777777" w:rsidR="006E5484" w:rsidRDefault="006E5484">
      <w:pPr>
        <w:widowControl w:val="0"/>
        <w:spacing w:after="0" w:line="240" w:lineRule="auto"/>
        <w:ind w:left="567"/>
        <w:jc w:val="both"/>
        <w:rPr>
          <w:rFonts w:cs="Arial"/>
          <w:lang w:val="fr-FR"/>
        </w:rPr>
      </w:pPr>
    </w:p>
    <w:p w14:paraId="3E327D1E" w14:textId="48DBB44F" w:rsidR="006E5484" w:rsidRPr="00AF3CAF" w:rsidRDefault="00FB2FEF">
      <w:pPr>
        <w:widowControl w:val="0"/>
        <w:numPr>
          <w:ilvl w:val="0"/>
          <w:numId w:val="6"/>
        </w:numPr>
        <w:spacing w:after="0" w:line="240" w:lineRule="auto"/>
        <w:ind w:left="567" w:hanging="567"/>
        <w:jc w:val="both"/>
        <w:rPr>
          <w:lang w:val="fr-FR"/>
        </w:rPr>
      </w:pPr>
      <w:r>
        <w:rPr>
          <w:rFonts w:cs="Arial"/>
          <w:lang w:val="fr-FR"/>
        </w:rPr>
        <w:t>Sur la base des informations contenues dans l'examen, le Secrétariat a élaboré un projet de résolution (</w:t>
      </w:r>
      <w:r w:rsidR="0047612F">
        <w:rPr>
          <w:rFonts w:cs="Arial"/>
          <w:lang w:val="fr-FR"/>
        </w:rPr>
        <w:t>A</w:t>
      </w:r>
      <w:r>
        <w:rPr>
          <w:rFonts w:cs="Arial"/>
          <w:lang w:val="fr-FR"/>
        </w:rPr>
        <w:t xml:space="preserve">nnexe 2 du présent document) et </w:t>
      </w:r>
      <w:r w:rsidR="0047612F">
        <w:rPr>
          <w:rFonts w:cs="Arial"/>
          <w:lang w:val="fr-FR"/>
        </w:rPr>
        <w:t>un</w:t>
      </w:r>
      <w:r>
        <w:rPr>
          <w:rFonts w:cs="Arial"/>
          <w:lang w:val="fr-FR"/>
        </w:rPr>
        <w:t xml:space="preserve"> projet de décision</w:t>
      </w:r>
      <w:r w:rsidR="0047612F">
        <w:rPr>
          <w:rFonts w:cs="Arial"/>
          <w:lang w:val="fr-FR"/>
        </w:rPr>
        <w:t>s</w:t>
      </w:r>
      <w:r>
        <w:rPr>
          <w:rFonts w:cs="Arial"/>
          <w:lang w:val="fr-FR"/>
        </w:rPr>
        <w:t xml:space="preserve"> (</w:t>
      </w:r>
      <w:r w:rsidR="0047612F">
        <w:rPr>
          <w:rFonts w:cs="Arial"/>
          <w:lang w:val="fr-FR"/>
        </w:rPr>
        <w:t>A</w:t>
      </w:r>
      <w:r>
        <w:rPr>
          <w:rFonts w:cs="Arial"/>
          <w:lang w:val="fr-FR"/>
        </w:rPr>
        <w:t xml:space="preserve">nnexe 3 du </w:t>
      </w:r>
      <w:r>
        <w:rPr>
          <w:rFonts w:cs="Arial"/>
          <w:lang w:val="fr-FR"/>
        </w:rPr>
        <w:lastRenderedPageBreak/>
        <w:t>présent document). Il convient de noter que la majorité des actions recommandées sont liées à des engagements déjà pris dans le cadre de résolutions adoptées.</w:t>
      </w:r>
    </w:p>
    <w:p w14:paraId="31F6ABB6" w14:textId="77777777" w:rsidR="006E5484" w:rsidRDefault="006E5484">
      <w:pPr>
        <w:pStyle w:val="ListParagraph"/>
        <w:spacing w:after="0" w:line="240" w:lineRule="auto"/>
        <w:contextualSpacing w:val="0"/>
        <w:rPr>
          <w:rFonts w:cs="Arial"/>
          <w:lang w:val="fr-FR"/>
        </w:rPr>
      </w:pPr>
    </w:p>
    <w:p w14:paraId="5F26275A" w14:textId="538780F1" w:rsidR="006E5484" w:rsidRPr="0092640D" w:rsidRDefault="00FB2FEF">
      <w:pPr>
        <w:widowControl w:val="0"/>
        <w:numPr>
          <w:ilvl w:val="0"/>
          <w:numId w:val="6"/>
        </w:numPr>
        <w:spacing w:after="0" w:line="240" w:lineRule="auto"/>
        <w:ind w:left="567" w:hanging="567"/>
        <w:jc w:val="both"/>
        <w:rPr>
          <w:lang w:val="fr-FR"/>
        </w:rPr>
      </w:pPr>
      <w:r>
        <w:rPr>
          <w:rFonts w:cs="Arial"/>
          <w:lang w:val="fr-FR"/>
        </w:rPr>
        <w:t xml:space="preserve">L'examen contenait beaucoup plus d'activités potentielles pour le Conseil scientifique qu'il n'est possible d'en traiter de manière réaliste au cours d'une période triennale. En conséquence, il est proposé que le Conseil scientifique relise l'examen afin de déterminer les actions qui devraient être portées à l'attention des futures COP pour la période triennale à venir. Pour ce faire, le Secrétariat a dressé une liste des futures décisions potentielles dans le document </w:t>
      </w:r>
      <w:hyperlink r:id="rId25" w:history="1">
        <w:r>
          <w:rPr>
            <w:rStyle w:val="Hyperlink"/>
            <w:rFonts w:cs="Arial"/>
            <w:lang w:val="fr-FR"/>
          </w:rPr>
          <w:t>UNEP/CMS/COP14/Inf.27.5.1b</w:t>
        </w:r>
      </w:hyperlink>
      <w:r>
        <w:rPr>
          <w:rFonts w:cs="Arial"/>
          <w:lang w:val="fr-FR"/>
        </w:rPr>
        <w:t xml:space="preserve"> </w:t>
      </w:r>
      <w:r>
        <w:rPr>
          <w:rFonts w:cs="Arial"/>
          <w:i/>
          <w:iCs/>
          <w:lang w:val="fr-FR"/>
        </w:rPr>
        <w:t>Compilation des recommandations qui pourraient être adressées au Conseil scientifique lors de la COP14 et des COP futures</w:t>
      </w:r>
      <w:r>
        <w:rPr>
          <w:rFonts w:cs="Arial"/>
          <w:lang w:val="fr-FR"/>
        </w:rPr>
        <w:t>.</w:t>
      </w:r>
    </w:p>
    <w:p w14:paraId="0FFD86D9" w14:textId="77777777" w:rsidR="0092640D" w:rsidRPr="0092640D" w:rsidRDefault="0092640D" w:rsidP="0092640D">
      <w:pPr>
        <w:widowControl w:val="0"/>
        <w:spacing w:after="0" w:line="240" w:lineRule="auto"/>
        <w:ind w:left="567"/>
        <w:jc w:val="both"/>
        <w:rPr>
          <w:lang w:val="fr-FR"/>
        </w:rPr>
      </w:pPr>
    </w:p>
    <w:p w14:paraId="7B48C962" w14:textId="0BE73434" w:rsidR="0092640D" w:rsidRDefault="0092640D">
      <w:pPr>
        <w:widowControl w:val="0"/>
        <w:numPr>
          <w:ilvl w:val="0"/>
          <w:numId w:val="6"/>
        </w:numPr>
        <w:spacing w:after="0" w:line="240" w:lineRule="auto"/>
        <w:ind w:left="567" w:hanging="567"/>
        <w:jc w:val="both"/>
        <w:rPr>
          <w:lang w:val="fr-FR"/>
        </w:rPr>
      </w:pPr>
      <w:r>
        <w:rPr>
          <w:rFonts w:cs="Arial"/>
          <w:lang w:val="fr-FR"/>
        </w:rPr>
        <w:t xml:space="preserve">En outre, les recommandations relatives à des sujets couverts par d'autres documents ont été incluses dans ces documents, dans la mesure du possible. Il s'agit des documents </w:t>
      </w:r>
      <w:hyperlink r:id="rId26" w:history="1">
        <w:r>
          <w:rPr>
            <w:rStyle w:val="Hyperlink"/>
            <w:lang w:val="fr-FR"/>
          </w:rPr>
          <w:t>UNEP/CMS/COP14/Doc.27.2.2</w:t>
        </w:r>
      </w:hyperlink>
      <w:r>
        <w:rPr>
          <w:lang w:val="fr-FR"/>
        </w:rPr>
        <w:t xml:space="preserve"> </w:t>
      </w:r>
      <w:r>
        <w:rPr>
          <w:rFonts w:cs="Arial"/>
          <w:i/>
          <w:iCs/>
          <w:lang w:val="fr-FR"/>
        </w:rPr>
        <w:t>Bruit marin</w:t>
      </w:r>
      <w:r>
        <w:rPr>
          <w:rFonts w:cs="Arial"/>
          <w:lang w:val="fr-FR"/>
        </w:rPr>
        <w:t xml:space="preserve">, </w:t>
      </w:r>
      <w:hyperlink r:id="rId27" w:history="1">
        <w:r>
          <w:rPr>
            <w:rStyle w:val="Hyperlink"/>
            <w:rFonts w:cs="Arial"/>
            <w:lang w:val="fr-FR"/>
          </w:rPr>
          <w:t>UNEP/CMS/COP14/</w:t>
        </w:r>
        <w:r>
          <w:rPr>
            <w:rStyle w:val="Hyperlink"/>
            <w:lang w:val="fr-FR"/>
          </w:rPr>
          <w:t>Doc.27.2.3</w:t>
        </w:r>
      </w:hyperlink>
      <w:r>
        <w:rPr>
          <w:lang w:val="fr-FR"/>
        </w:rPr>
        <w:t xml:space="preserve"> </w:t>
      </w:r>
      <w:r>
        <w:rPr>
          <w:i/>
          <w:iCs/>
          <w:lang w:val="fr-FR"/>
        </w:rPr>
        <w:t>Collisions avec des navires</w:t>
      </w:r>
      <w:r>
        <w:rPr>
          <w:lang w:val="fr-FR"/>
        </w:rPr>
        <w:t xml:space="preserve">, </w:t>
      </w:r>
      <w:hyperlink r:id="rId28" w:history="1">
        <w:r>
          <w:rPr>
            <w:rStyle w:val="Hyperlink"/>
            <w:lang w:val="fr-FR"/>
          </w:rPr>
          <w:t>UNEP/CMS/COP14/Doc.27.3.1</w:t>
        </w:r>
      </w:hyperlink>
      <w:r>
        <w:rPr>
          <w:lang w:val="fr-FR"/>
        </w:rPr>
        <w:t xml:space="preserve"> </w:t>
      </w:r>
      <w:r>
        <w:rPr>
          <w:i/>
          <w:iCs/>
          <w:lang w:val="fr-FR"/>
        </w:rPr>
        <w:t>Interactions récréatives dans l'eau,</w:t>
      </w:r>
      <w:r>
        <w:rPr>
          <w:lang w:val="fr-FR"/>
        </w:rPr>
        <w:t xml:space="preserve"> et </w:t>
      </w:r>
      <w:hyperlink r:id="rId29" w:history="1">
        <w:r>
          <w:rPr>
            <w:rStyle w:val="Hyperlink"/>
            <w:lang w:val="fr-FR"/>
          </w:rPr>
          <w:t>UNEP/CMS/COP14/Doc.27.2.4</w:t>
        </w:r>
      </w:hyperlink>
      <w:r>
        <w:rPr>
          <w:lang w:val="fr-FR"/>
        </w:rPr>
        <w:t xml:space="preserve"> </w:t>
      </w:r>
      <w:r>
        <w:rPr>
          <w:i/>
          <w:iCs/>
          <w:lang w:val="fr-FR"/>
        </w:rPr>
        <w:t>Exploitation minière des fonds marins</w:t>
      </w:r>
      <w:r>
        <w:rPr>
          <w:lang w:val="fr-FR"/>
        </w:rPr>
        <w:t>.</w:t>
      </w:r>
    </w:p>
    <w:p w14:paraId="64242E83" w14:textId="77777777" w:rsidR="006E5484" w:rsidRDefault="006E5484">
      <w:pPr>
        <w:widowControl w:val="0"/>
        <w:spacing w:after="0" w:line="240" w:lineRule="auto"/>
        <w:ind w:left="567"/>
        <w:jc w:val="both"/>
        <w:rPr>
          <w:rFonts w:cs="Arial"/>
          <w:lang w:val="fr-FR"/>
        </w:rPr>
      </w:pPr>
    </w:p>
    <w:p w14:paraId="7A45C6A5" w14:textId="76446F44" w:rsidR="00941220" w:rsidRPr="005217A3" w:rsidRDefault="00682563" w:rsidP="00941220">
      <w:pPr>
        <w:pStyle w:val="ListParagraph"/>
        <w:numPr>
          <w:ilvl w:val="0"/>
          <w:numId w:val="6"/>
        </w:numPr>
        <w:spacing w:after="0" w:line="240" w:lineRule="auto"/>
        <w:ind w:left="567" w:hanging="567"/>
        <w:jc w:val="both"/>
        <w:rPr>
          <w:lang w:val="fr-FR"/>
        </w:rPr>
      </w:pPr>
      <w:r>
        <w:rPr>
          <w:rFonts w:cs="Arial"/>
          <w:lang w:val="fr-FR"/>
        </w:rPr>
        <w:t xml:space="preserve">Plusieurs des recommandations de </w:t>
      </w:r>
      <w:hyperlink r:id="rId30" w:history="1">
        <w:r>
          <w:rPr>
            <w:rStyle w:val="Hyperlink"/>
            <w:rFonts w:cs="Arial"/>
            <w:lang w:val="fr-FR"/>
          </w:rPr>
          <w:t>l'étude</w:t>
        </w:r>
      </w:hyperlink>
      <w:r>
        <w:rPr>
          <w:rFonts w:cs="Arial"/>
          <w:lang w:val="fr-FR"/>
        </w:rPr>
        <w:t xml:space="preserve"> concernent la science du bien-être animal, une discipline scientifique en évolution rapide qui incite à modifier la manière dont le bien-être est pris en compte dans un contexte de conservation. La science du bien-être animal établit un lien entre la focalisation traditionnelle des stratégies de conservation sur les effets au niveau de la population et le fait que les populations comprennent des animaux dont le potentiel de conservation est d'abord influencé par le bien-être des individus au sein de la population. La compréhension croissante de la manière dont la science du bien-être animal aide à la conservation et dont les principes de bien-être animal et de conservation sont intrinsèquement liés est la raison pour laquelle un examen plus général de ce sujet par le Conseil scientifique, en plus des recommandations spécifiques faites dans les projets de décisions, est recommandé ci-dessous.</w:t>
      </w:r>
    </w:p>
    <w:p w14:paraId="5B19467B" w14:textId="77777777" w:rsidR="006E5484" w:rsidRDefault="006E5484">
      <w:pPr>
        <w:spacing w:after="0" w:line="240" w:lineRule="auto"/>
        <w:rPr>
          <w:rFonts w:cs="Arial"/>
          <w:u w:val="single"/>
          <w:lang w:val="fr-FR"/>
        </w:rPr>
      </w:pPr>
    </w:p>
    <w:p w14:paraId="73B1D64A" w14:textId="77777777" w:rsidR="006E5484" w:rsidRDefault="00FB2FEF">
      <w:pPr>
        <w:spacing w:after="0" w:line="240" w:lineRule="auto"/>
        <w:rPr>
          <w:lang w:val="fr-FR"/>
        </w:rPr>
      </w:pPr>
      <w:r>
        <w:rPr>
          <w:rFonts w:cs="Arial"/>
          <w:u w:val="single"/>
          <w:lang w:val="fr-FR"/>
        </w:rPr>
        <w:t>Discussion et analyse</w:t>
      </w:r>
    </w:p>
    <w:p w14:paraId="0876CD85" w14:textId="77777777" w:rsidR="006E5484" w:rsidRDefault="006E5484">
      <w:pPr>
        <w:spacing w:after="0" w:line="240" w:lineRule="auto"/>
        <w:rPr>
          <w:rFonts w:cs="Arial"/>
          <w:lang w:val="fr-FR"/>
        </w:rPr>
      </w:pPr>
    </w:p>
    <w:p w14:paraId="50B72BE0" w14:textId="36400A99" w:rsidR="006E5484" w:rsidRDefault="00FB2FEF">
      <w:pPr>
        <w:pStyle w:val="ListParagraph"/>
        <w:numPr>
          <w:ilvl w:val="0"/>
          <w:numId w:val="6"/>
        </w:numPr>
        <w:spacing w:after="0" w:line="240" w:lineRule="auto"/>
        <w:ind w:left="567" w:hanging="567"/>
        <w:jc w:val="both"/>
        <w:rPr>
          <w:lang w:val="fr-FR"/>
        </w:rPr>
      </w:pPr>
      <w:r>
        <w:rPr>
          <w:rFonts w:cs="Arial"/>
          <w:lang w:val="fr-FR"/>
        </w:rPr>
        <w:t xml:space="preserve">Compte tenu de l'état de conservation très préoccupant de nombreuses espèces et populations de cétacés, comme le montre clairement </w:t>
      </w:r>
      <w:hyperlink r:id="rId31" w:history="1">
        <w:r>
          <w:rPr>
            <w:rStyle w:val="Hyperlink"/>
            <w:rFonts w:cs="Arial"/>
            <w:lang w:val="fr-FR"/>
          </w:rPr>
          <w:t>l'étude</w:t>
        </w:r>
      </w:hyperlink>
      <w:r>
        <w:rPr>
          <w:rFonts w:cs="Arial"/>
          <w:lang w:val="fr-FR"/>
        </w:rPr>
        <w:t>, il est manifestement nécessaire de se concentrer sur les mesures de conservation requises pour ce groupe taxonomique. Les projets de résolution et de décision contenus dans ce document cherchent à maintenir cet objectif.</w:t>
      </w:r>
    </w:p>
    <w:p w14:paraId="1E1B11EF" w14:textId="77777777" w:rsidR="006E5484" w:rsidRDefault="006E5484">
      <w:pPr>
        <w:pStyle w:val="ListParagraph"/>
        <w:spacing w:after="0" w:line="240" w:lineRule="auto"/>
        <w:ind w:left="567"/>
        <w:jc w:val="both"/>
        <w:rPr>
          <w:rFonts w:cs="Arial"/>
          <w:lang w:val="fr-FR"/>
        </w:rPr>
      </w:pPr>
    </w:p>
    <w:p w14:paraId="4A9A6DAE" w14:textId="0643957E" w:rsidR="006E5484" w:rsidRDefault="00FB2FEF">
      <w:pPr>
        <w:pStyle w:val="ListParagraph"/>
        <w:numPr>
          <w:ilvl w:val="0"/>
          <w:numId w:val="6"/>
        </w:numPr>
        <w:spacing w:after="0" w:line="240" w:lineRule="auto"/>
        <w:ind w:left="567" w:hanging="567"/>
        <w:jc w:val="both"/>
        <w:rPr>
          <w:lang w:val="fr-FR"/>
        </w:rPr>
      </w:pPr>
      <w:r>
        <w:rPr>
          <w:rFonts w:cs="Arial"/>
          <w:lang w:val="fr-FR"/>
        </w:rPr>
        <w:t>Compte tenu de la diversité des décisions adoptées lors de la COP13 sur les cétacés, des projets de décision distincts ont été préparés pour chaque groupe, notamment le fonctionnement des écosystèmes et deux initiatives régionales relatives aux cétacés : le Plan d'action potentiel pour les cétacés de la région de la mer Rouge et le Plan d'action pour la protection et la conservation des baleines de l'Atlantique Sud.</w:t>
      </w:r>
    </w:p>
    <w:p w14:paraId="2AF6716B" w14:textId="51F9BFAA" w:rsidR="0047612F" w:rsidRDefault="0047612F">
      <w:pPr>
        <w:spacing w:after="0" w:line="240" w:lineRule="auto"/>
        <w:jc w:val="both"/>
        <w:rPr>
          <w:rFonts w:cs="Arial"/>
          <w:lang w:val="fr-FR"/>
        </w:rPr>
      </w:pPr>
      <w:r>
        <w:rPr>
          <w:rFonts w:cs="Arial"/>
          <w:lang w:val="fr-FR"/>
        </w:rPr>
        <w:br w:type="page"/>
      </w:r>
    </w:p>
    <w:p w14:paraId="4B69E033" w14:textId="23383586" w:rsidR="006E5484" w:rsidRDefault="00FB2FEF">
      <w:pPr>
        <w:spacing w:after="0" w:line="240" w:lineRule="auto"/>
        <w:rPr>
          <w:lang w:val="fr-FR"/>
        </w:rPr>
      </w:pPr>
      <w:r>
        <w:rPr>
          <w:rFonts w:cs="Arial"/>
          <w:u w:val="single"/>
          <w:lang w:val="fr-FR"/>
        </w:rPr>
        <w:lastRenderedPageBreak/>
        <w:t>Actions recommandées</w:t>
      </w:r>
    </w:p>
    <w:p w14:paraId="37CAE58F" w14:textId="77777777" w:rsidR="006E5484" w:rsidRDefault="006E5484">
      <w:pPr>
        <w:spacing w:after="0" w:line="240" w:lineRule="auto"/>
        <w:rPr>
          <w:rFonts w:cs="Arial"/>
          <w:lang w:val="fr-FR"/>
        </w:rPr>
      </w:pPr>
    </w:p>
    <w:p w14:paraId="7DD58167" w14:textId="77777777" w:rsidR="006E5484" w:rsidRDefault="00FB2FEF">
      <w:pPr>
        <w:widowControl w:val="0"/>
        <w:numPr>
          <w:ilvl w:val="0"/>
          <w:numId w:val="6"/>
        </w:numPr>
        <w:spacing w:after="0" w:line="240" w:lineRule="auto"/>
        <w:ind w:left="567" w:hanging="567"/>
        <w:jc w:val="both"/>
        <w:rPr>
          <w:lang w:val="fr-FR"/>
        </w:rPr>
      </w:pPr>
      <w:r>
        <w:rPr>
          <w:rFonts w:cs="Arial"/>
          <w:lang w:val="fr-FR" w:eastAsia="en-GB"/>
        </w:rPr>
        <w:t>Il est recommandé à la Conférence des Parties de</w:t>
      </w:r>
      <w:r>
        <w:rPr>
          <w:rFonts w:cs="Arial"/>
          <w:lang w:val="fr-FR"/>
        </w:rPr>
        <w:t xml:space="preserve"> :</w:t>
      </w:r>
    </w:p>
    <w:p w14:paraId="02D24030" w14:textId="77777777" w:rsidR="006E5484" w:rsidRDefault="006E5484">
      <w:pPr>
        <w:spacing w:after="0" w:line="240" w:lineRule="auto"/>
        <w:jc w:val="both"/>
        <w:rPr>
          <w:rFonts w:cs="Arial"/>
          <w:lang w:val="fr-FR"/>
        </w:rPr>
      </w:pPr>
    </w:p>
    <w:p w14:paraId="56F516FA" w14:textId="01510F23" w:rsidR="006E5484" w:rsidRDefault="00FB2FEF" w:rsidP="0047612F">
      <w:pPr>
        <w:pStyle w:val="Secondnumbering"/>
        <w:ind w:left="1134" w:hanging="567"/>
        <w:rPr>
          <w:lang w:val="fr-FR"/>
        </w:rPr>
      </w:pPr>
      <w:proofErr w:type="gramStart"/>
      <w:r>
        <w:rPr>
          <w:rFonts w:cs="Arial"/>
          <w:lang w:val="fr-FR"/>
        </w:rPr>
        <w:t>prendre</w:t>
      </w:r>
      <w:proofErr w:type="gramEnd"/>
      <w:r>
        <w:rPr>
          <w:rFonts w:cs="Arial"/>
          <w:lang w:val="fr-FR"/>
        </w:rPr>
        <w:t xml:space="preserve"> note des rapports et des recommandations contenus dans les documents </w:t>
      </w:r>
      <w:hyperlink r:id="rId32" w:history="1">
        <w:r>
          <w:rPr>
            <w:rStyle w:val="Hyperlink"/>
            <w:rFonts w:cs="Arial"/>
            <w:lang w:val="fr-FR"/>
          </w:rPr>
          <w:t>UNEP/CMS/COP14/Inf.27.5.1a</w:t>
        </w:r>
      </w:hyperlink>
      <w:r>
        <w:rPr>
          <w:rFonts w:cs="Arial"/>
          <w:lang w:val="fr-FR"/>
        </w:rPr>
        <w:t xml:space="preserve"> et </w:t>
      </w:r>
      <w:hyperlink r:id="rId33" w:history="1">
        <w:r>
          <w:rPr>
            <w:rStyle w:val="Hyperlink"/>
            <w:rFonts w:cs="Arial"/>
            <w:lang w:val="fr-FR"/>
          </w:rPr>
          <w:t>UNEP/CMS/COP14/Inf.27.5.1b</w:t>
        </w:r>
      </w:hyperlink>
      <w:r>
        <w:rPr>
          <w:rFonts w:cs="Arial"/>
          <w:lang w:val="fr-FR"/>
        </w:rPr>
        <w:t xml:space="preserve"> ;</w:t>
      </w:r>
    </w:p>
    <w:p w14:paraId="137F4EBD" w14:textId="77777777" w:rsidR="006E5484" w:rsidRDefault="006E5484" w:rsidP="0047612F">
      <w:pPr>
        <w:pStyle w:val="ListParagraph"/>
        <w:spacing w:after="0" w:line="240" w:lineRule="auto"/>
        <w:ind w:left="1134" w:hanging="360"/>
        <w:contextualSpacing w:val="0"/>
        <w:rPr>
          <w:lang w:val="fr-FR"/>
        </w:rPr>
      </w:pPr>
    </w:p>
    <w:p w14:paraId="15FC71F1" w14:textId="72550AE0" w:rsidR="006E5484" w:rsidRDefault="00FB2FEF" w:rsidP="0047612F">
      <w:pPr>
        <w:pStyle w:val="Secondnumbering"/>
        <w:ind w:left="1134" w:hanging="567"/>
        <w:rPr>
          <w:lang w:val="fr-FR"/>
        </w:rPr>
      </w:pPr>
      <w:proofErr w:type="gramStart"/>
      <w:r>
        <w:rPr>
          <w:lang w:val="fr-FR"/>
        </w:rPr>
        <w:t>prendre</w:t>
      </w:r>
      <w:proofErr w:type="gramEnd"/>
      <w:r>
        <w:rPr>
          <w:lang w:val="fr-FR"/>
        </w:rPr>
        <w:t xml:space="preserve"> note des recommandations de conservation pour les États de l'aire de répartition de certaines espèces de cétacés, énoncées à l'</w:t>
      </w:r>
      <w:r w:rsidR="005F3AF5">
        <w:rPr>
          <w:lang w:val="fr-FR"/>
        </w:rPr>
        <w:t>A</w:t>
      </w:r>
      <w:r>
        <w:rPr>
          <w:lang w:val="fr-FR"/>
        </w:rPr>
        <w:t>nnexe 1 du présent document ;</w:t>
      </w:r>
    </w:p>
    <w:p w14:paraId="10ABF6C2" w14:textId="77777777" w:rsidR="006E5484" w:rsidRDefault="006E5484" w:rsidP="0047612F">
      <w:pPr>
        <w:pStyle w:val="Secondnumbering"/>
        <w:numPr>
          <w:ilvl w:val="0"/>
          <w:numId w:val="0"/>
        </w:numPr>
        <w:ind w:left="1134"/>
        <w:rPr>
          <w:lang w:val="fr-FR"/>
        </w:rPr>
      </w:pPr>
    </w:p>
    <w:p w14:paraId="3026198A" w14:textId="6478EC04" w:rsidR="006E5484" w:rsidRDefault="00FB2FEF" w:rsidP="0047612F">
      <w:pPr>
        <w:pStyle w:val="Secondnumbering"/>
        <w:ind w:left="1134" w:hanging="567"/>
        <w:rPr>
          <w:lang w:val="fr-FR"/>
        </w:rPr>
      </w:pPr>
      <w:proofErr w:type="gramStart"/>
      <w:r>
        <w:rPr>
          <w:rFonts w:cs="Arial"/>
          <w:lang w:val="fr-FR"/>
        </w:rPr>
        <w:t>adopter</w:t>
      </w:r>
      <w:proofErr w:type="gramEnd"/>
      <w:r>
        <w:rPr>
          <w:rFonts w:cs="Arial"/>
          <w:lang w:val="fr-FR"/>
        </w:rPr>
        <w:t xml:space="preserve"> le projet de résolution figurant à l'</w:t>
      </w:r>
      <w:r w:rsidR="005F3AF5">
        <w:rPr>
          <w:rFonts w:cs="Arial"/>
          <w:lang w:val="fr-FR"/>
        </w:rPr>
        <w:t>A</w:t>
      </w:r>
      <w:r>
        <w:rPr>
          <w:rFonts w:cs="Arial"/>
          <w:lang w:val="fr-FR"/>
        </w:rPr>
        <w:t xml:space="preserve">nnexe 2 du présent document ; </w:t>
      </w:r>
    </w:p>
    <w:p w14:paraId="40AE8B4A" w14:textId="77777777" w:rsidR="006E5484" w:rsidRDefault="006E5484" w:rsidP="0047612F">
      <w:pPr>
        <w:pStyle w:val="Secondnumbering"/>
        <w:numPr>
          <w:ilvl w:val="0"/>
          <w:numId w:val="0"/>
        </w:numPr>
        <w:ind w:left="1134" w:hanging="360"/>
        <w:rPr>
          <w:lang w:val="fr-FR"/>
        </w:rPr>
      </w:pPr>
    </w:p>
    <w:p w14:paraId="03226CA7" w14:textId="2D146C95" w:rsidR="006E5484" w:rsidRDefault="00FB2FEF" w:rsidP="0047612F">
      <w:pPr>
        <w:pStyle w:val="Secondnumbering"/>
        <w:ind w:left="1134" w:hanging="567"/>
        <w:rPr>
          <w:lang w:val="fr-FR"/>
        </w:rPr>
      </w:pPr>
      <w:proofErr w:type="gramStart"/>
      <w:r>
        <w:rPr>
          <w:rFonts w:cs="Arial"/>
          <w:lang w:val="fr-FR"/>
        </w:rPr>
        <w:t>adopter</w:t>
      </w:r>
      <w:proofErr w:type="gramEnd"/>
      <w:r>
        <w:rPr>
          <w:rFonts w:cs="Arial"/>
          <w:lang w:val="fr-FR"/>
        </w:rPr>
        <w:t xml:space="preserve"> les projets de décision figurant à l'</w:t>
      </w:r>
      <w:r w:rsidR="005F3AF5">
        <w:rPr>
          <w:rFonts w:cs="Arial"/>
          <w:lang w:val="fr-FR"/>
        </w:rPr>
        <w:t>A</w:t>
      </w:r>
      <w:r>
        <w:rPr>
          <w:rFonts w:cs="Arial"/>
          <w:lang w:val="fr-FR"/>
        </w:rPr>
        <w:t>nnexe 3 du présent document ;</w:t>
      </w:r>
    </w:p>
    <w:p w14:paraId="5AAF032E" w14:textId="77777777" w:rsidR="006E5484" w:rsidRDefault="006E5484" w:rsidP="0047612F">
      <w:pPr>
        <w:pStyle w:val="Secondnumbering"/>
        <w:numPr>
          <w:ilvl w:val="0"/>
          <w:numId w:val="0"/>
        </w:numPr>
        <w:ind w:left="1134" w:hanging="360"/>
        <w:rPr>
          <w:lang w:val="fr-FR"/>
        </w:rPr>
      </w:pPr>
    </w:p>
    <w:p w14:paraId="0719E49E" w14:textId="1EAD3F48" w:rsidR="006E5484" w:rsidRDefault="00FB2FEF" w:rsidP="0047612F">
      <w:pPr>
        <w:pStyle w:val="Secondnumbering"/>
        <w:ind w:left="1134" w:hanging="567"/>
        <w:rPr>
          <w:lang w:val="fr-FR"/>
        </w:rPr>
      </w:pPr>
      <w:proofErr w:type="gramStart"/>
      <w:r>
        <w:rPr>
          <w:rFonts w:cs="Arial"/>
          <w:lang w:val="fr-FR"/>
        </w:rPr>
        <w:t>supprimer</w:t>
      </w:r>
      <w:proofErr w:type="gramEnd"/>
      <w:r>
        <w:rPr>
          <w:rFonts w:cs="Arial"/>
          <w:lang w:val="fr-FR"/>
        </w:rPr>
        <w:t xml:space="preserve"> les Décisions 13.80 à 13.85 ;</w:t>
      </w:r>
    </w:p>
    <w:p w14:paraId="076430E8" w14:textId="77777777" w:rsidR="006E5484" w:rsidRDefault="006E5484" w:rsidP="0047612F">
      <w:pPr>
        <w:pStyle w:val="Secondnumbering"/>
        <w:numPr>
          <w:ilvl w:val="0"/>
          <w:numId w:val="0"/>
        </w:numPr>
        <w:ind w:left="1134" w:hanging="360"/>
        <w:rPr>
          <w:lang w:val="fr-FR"/>
        </w:rPr>
      </w:pPr>
    </w:p>
    <w:p w14:paraId="29B4EDE7" w14:textId="77777777" w:rsidR="006E5484" w:rsidRDefault="00FB2FEF" w:rsidP="0047612F">
      <w:pPr>
        <w:pStyle w:val="Secondnumbering"/>
        <w:ind w:left="1134" w:hanging="567"/>
        <w:rPr>
          <w:lang w:val="fr-FR"/>
        </w:rPr>
      </w:pPr>
      <w:bookmarkStart w:id="0" w:name="_Hlk135389050"/>
      <w:proofErr w:type="gramStart"/>
      <w:r>
        <w:rPr>
          <w:lang w:val="fr-FR"/>
        </w:rPr>
        <w:t>abroger</w:t>
      </w:r>
      <w:proofErr w:type="gramEnd"/>
      <w:r>
        <w:rPr>
          <w:lang w:val="fr-FR"/>
        </w:rPr>
        <w:t xml:space="preserve"> la Résolution 10.15 (Rev.COP12) </w:t>
      </w:r>
      <w:r>
        <w:rPr>
          <w:i/>
          <w:iCs/>
          <w:lang w:val="fr-FR"/>
        </w:rPr>
        <w:t>Programme de travail mondial pour les cétacés</w:t>
      </w:r>
      <w:bookmarkEnd w:id="0"/>
      <w:r>
        <w:rPr>
          <w:lang w:val="fr-FR"/>
        </w:rPr>
        <w:t>.</w:t>
      </w:r>
    </w:p>
    <w:p w14:paraId="271D0305" w14:textId="77777777" w:rsidR="006E5484" w:rsidRDefault="006E5484" w:rsidP="0047612F">
      <w:pPr>
        <w:spacing w:after="0" w:line="240" w:lineRule="auto"/>
        <w:ind w:left="1134"/>
        <w:rPr>
          <w:rFonts w:cs="Arial"/>
          <w:caps/>
          <w:lang w:val="fr-FR"/>
        </w:rPr>
        <w:sectPr w:rsidR="006E5484" w:rsidSect="002D3F84">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20" w:footer="720" w:gutter="0"/>
          <w:cols w:space="720"/>
          <w:formProt w:val="0"/>
          <w:titlePg/>
          <w:docGrid w:linePitch="360" w:charSpace="4096"/>
        </w:sectPr>
      </w:pPr>
    </w:p>
    <w:p w14:paraId="1F098E57" w14:textId="77777777" w:rsidR="006E5484" w:rsidRDefault="00FB2FEF">
      <w:pPr>
        <w:pStyle w:val="Secondnumbering"/>
        <w:numPr>
          <w:ilvl w:val="0"/>
          <w:numId w:val="0"/>
        </w:numPr>
        <w:jc w:val="right"/>
        <w:rPr>
          <w:lang w:val="fr-FR"/>
        </w:rPr>
      </w:pPr>
      <w:r>
        <w:rPr>
          <w:rFonts w:cs="Arial"/>
          <w:b/>
          <w:caps/>
          <w:lang w:val="fr-FR"/>
        </w:rPr>
        <w:lastRenderedPageBreak/>
        <w:t>Annexe 1</w:t>
      </w:r>
    </w:p>
    <w:p w14:paraId="341871F4" w14:textId="77777777" w:rsidR="002D3F84" w:rsidRDefault="002D3F84" w:rsidP="002D3F84">
      <w:pPr>
        <w:pStyle w:val="Secondnumbering"/>
        <w:numPr>
          <w:ilvl w:val="0"/>
          <w:numId w:val="0"/>
        </w:numPr>
        <w:rPr>
          <w:b/>
          <w:bCs/>
          <w:lang w:val="fr-FR"/>
        </w:rPr>
      </w:pPr>
    </w:p>
    <w:p w14:paraId="0FAC668E" w14:textId="77777777" w:rsidR="002D3F84" w:rsidRDefault="002D3F84" w:rsidP="002D3F84">
      <w:pPr>
        <w:pStyle w:val="Secondnumbering"/>
        <w:numPr>
          <w:ilvl w:val="0"/>
          <w:numId w:val="0"/>
        </w:numPr>
        <w:rPr>
          <w:b/>
          <w:bCs/>
          <w:lang w:val="fr-FR"/>
        </w:rPr>
      </w:pPr>
    </w:p>
    <w:p w14:paraId="17517204" w14:textId="357FE7D0" w:rsidR="006E5484" w:rsidRDefault="00FB2FEF" w:rsidP="005F3AF5">
      <w:pPr>
        <w:pStyle w:val="Secondnumbering"/>
        <w:numPr>
          <w:ilvl w:val="0"/>
          <w:numId w:val="0"/>
        </w:numPr>
        <w:jc w:val="center"/>
        <w:rPr>
          <w:lang w:val="fr-FR"/>
        </w:rPr>
      </w:pPr>
      <w:r>
        <w:rPr>
          <w:b/>
          <w:bCs/>
          <w:lang w:val="fr-FR"/>
        </w:rPr>
        <w:t>RECOMMANDATIONS DE CONSERVATION POUR LES ÉTATS DE L'AIRE DE RÉPARTITION D'ESPÈCES SPÉCIFIQUES DE CÉTACÉS</w:t>
      </w:r>
    </w:p>
    <w:p w14:paraId="2A8FD0DB" w14:textId="77777777" w:rsidR="006E5484" w:rsidRDefault="006E5484">
      <w:pPr>
        <w:pStyle w:val="Secondnumbering"/>
        <w:numPr>
          <w:ilvl w:val="0"/>
          <w:numId w:val="0"/>
        </w:numPr>
        <w:jc w:val="center"/>
        <w:rPr>
          <w:b/>
          <w:bCs/>
          <w:lang w:val="fr-FR"/>
        </w:rPr>
      </w:pPr>
    </w:p>
    <w:p w14:paraId="6A4C2D62" w14:textId="0A67AD2D" w:rsidR="006E5484" w:rsidRDefault="00FB2FEF">
      <w:pPr>
        <w:pStyle w:val="Secondnumbering"/>
        <w:numPr>
          <w:ilvl w:val="0"/>
          <w:numId w:val="0"/>
        </w:numPr>
        <w:jc w:val="center"/>
        <w:rPr>
          <w:lang w:val="fr-FR"/>
        </w:rPr>
      </w:pPr>
      <w:r>
        <w:rPr>
          <w:i/>
          <w:iCs/>
          <w:lang w:val="fr-FR"/>
        </w:rPr>
        <w:t>(Extrait</w:t>
      </w:r>
      <w:r w:rsidR="005F3AF5">
        <w:rPr>
          <w:i/>
          <w:iCs/>
          <w:lang w:val="fr-FR"/>
        </w:rPr>
        <w:t xml:space="preserve">, avec quelques modifications, </w:t>
      </w:r>
      <w:r>
        <w:rPr>
          <w:i/>
          <w:iCs/>
          <w:lang w:val="fr-FR"/>
        </w:rPr>
        <w:t xml:space="preserve">du document </w:t>
      </w:r>
      <w:hyperlink r:id="rId40" w:history="1">
        <w:r>
          <w:rPr>
            <w:rStyle w:val="Hyperlink"/>
            <w:rFonts w:cs="Arial"/>
            <w:lang w:val="fr-FR"/>
          </w:rPr>
          <w:t>UNEP/CMS/COP14/Inf.27.5.1a</w:t>
        </w:r>
      </w:hyperlink>
      <w:r>
        <w:rPr>
          <w:i/>
          <w:iCs/>
          <w:lang w:val="fr-FR"/>
        </w:rPr>
        <w:t>)</w:t>
      </w:r>
    </w:p>
    <w:p w14:paraId="077601EA" w14:textId="77777777" w:rsidR="006E5484" w:rsidRDefault="006E5484">
      <w:pPr>
        <w:pStyle w:val="Secondnumbering"/>
        <w:numPr>
          <w:ilvl w:val="0"/>
          <w:numId w:val="0"/>
        </w:numPr>
        <w:jc w:val="both"/>
        <w:rPr>
          <w:lang w:val="fr-FR"/>
        </w:rPr>
      </w:pPr>
    </w:p>
    <w:p w14:paraId="55342468" w14:textId="77777777" w:rsidR="006E5484" w:rsidRDefault="006E5484">
      <w:pPr>
        <w:pStyle w:val="Secondnumbering"/>
        <w:numPr>
          <w:ilvl w:val="0"/>
          <w:numId w:val="0"/>
        </w:numPr>
        <w:jc w:val="both"/>
        <w:rPr>
          <w:lang w:val="fr-FR"/>
        </w:rPr>
      </w:pPr>
    </w:p>
    <w:p w14:paraId="4C657EAD" w14:textId="459ADAB0" w:rsidR="006E5484" w:rsidRDefault="00FB2FEF">
      <w:pPr>
        <w:pStyle w:val="Secondnumbering"/>
        <w:numPr>
          <w:ilvl w:val="0"/>
          <w:numId w:val="0"/>
        </w:numPr>
        <w:jc w:val="both"/>
        <w:rPr>
          <w:lang w:val="fr-FR"/>
        </w:rPr>
      </w:pPr>
      <w:r>
        <w:rPr>
          <w:lang w:val="fr-FR"/>
        </w:rPr>
        <w:t xml:space="preserve">Les actions suivantes sont recommandées en fonction de la vulnérabilité particulière de l'espèce à la menace répertoriée ou de la gravité de l'impact sur les populations. </w:t>
      </w:r>
      <w:r w:rsidR="005F3AF5" w:rsidRPr="005F3AF5">
        <w:rPr>
          <w:lang w:val="fr-FR"/>
        </w:rPr>
        <w:t xml:space="preserve">Il comprend à la fois des espèces inscrites aux Annexes de la CMS et des espèces non inscrites, et est destiné uniquement à l'information des Parties qui sont des </w:t>
      </w:r>
      <w:proofErr w:type="spellStart"/>
      <w:r w:rsidR="005F3AF5" w:rsidRPr="005F3AF5">
        <w:rPr>
          <w:lang w:val="fr-FR"/>
        </w:rPr>
        <w:t>Etats</w:t>
      </w:r>
      <w:proofErr w:type="spellEnd"/>
      <w:r w:rsidR="005F3AF5" w:rsidRPr="005F3AF5">
        <w:rPr>
          <w:lang w:val="fr-FR"/>
        </w:rPr>
        <w:t xml:space="preserve"> de l'aire de répartition de ces espèces ou de ces populations.</w:t>
      </w:r>
    </w:p>
    <w:p w14:paraId="6CB984F7" w14:textId="77777777" w:rsidR="006E5484" w:rsidRDefault="006E5484">
      <w:pPr>
        <w:spacing w:after="0" w:line="240" w:lineRule="auto"/>
        <w:jc w:val="both"/>
        <w:rPr>
          <w:rFonts w:cs="Arial"/>
          <w:b/>
          <w:bCs/>
          <w:caps/>
          <w:lang w:val="fr-FR"/>
        </w:rPr>
      </w:pPr>
    </w:p>
    <w:p w14:paraId="242EFAEF" w14:textId="77777777" w:rsidR="006E5484" w:rsidRDefault="006E5484">
      <w:pPr>
        <w:spacing w:after="0" w:line="240" w:lineRule="auto"/>
        <w:jc w:val="both"/>
        <w:rPr>
          <w:rFonts w:cs="Arial"/>
          <w:b/>
          <w:bCs/>
          <w:caps/>
          <w:lang w:val="fr-FR"/>
        </w:rPr>
      </w:pPr>
    </w:p>
    <w:p w14:paraId="395D5866" w14:textId="166FBEF3" w:rsidR="006E5484" w:rsidRDefault="00FB2FEF">
      <w:pPr>
        <w:spacing w:after="0" w:line="240" w:lineRule="auto"/>
        <w:jc w:val="both"/>
        <w:rPr>
          <w:lang w:val="fr-FR"/>
        </w:rPr>
      </w:pPr>
      <w:bookmarkStart w:id="1" w:name="_Toc135306682"/>
      <w:r>
        <w:rPr>
          <w:rFonts w:cs="Arial"/>
          <w:b/>
          <w:bCs/>
          <w:lang w:val="fr-FR"/>
        </w:rPr>
        <w:t>Intersections avec la pêche : enchevêtrement, prise accessoire et épuisement des proies</w:t>
      </w:r>
      <w:bookmarkEnd w:id="1"/>
    </w:p>
    <w:p w14:paraId="4D151606" w14:textId="77777777" w:rsidR="006E5484" w:rsidRDefault="006E5484">
      <w:pPr>
        <w:spacing w:after="0" w:line="240" w:lineRule="auto"/>
        <w:jc w:val="both"/>
        <w:rPr>
          <w:lang w:val="fr-FR"/>
        </w:rPr>
      </w:pPr>
    </w:p>
    <w:p w14:paraId="3CFABD45" w14:textId="77777777" w:rsidR="006E5484" w:rsidRDefault="00FB2FEF" w:rsidP="00A00D39">
      <w:pPr>
        <w:pStyle w:val="ListParagraph"/>
        <w:numPr>
          <w:ilvl w:val="0"/>
          <w:numId w:val="19"/>
        </w:numPr>
        <w:spacing w:after="0" w:line="240" w:lineRule="auto"/>
        <w:ind w:left="567" w:hanging="567"/>
        <w:jc w:val="both"/>
        <w:rPr>
          <w:lang w:val="fr-FR"/>
        </w:rPr>
      </w:pPr>
      <w:r>
        <w:rPr>
          <w:lang w:val="fr-FR"/>
        </w:rPr>
        <w:t xml:space="preserve">Les États de l'aire de répartition des espèces suivantes devraient donner la priorité à la réduction des </w:t>
      </w:r>
      <w:r>
        <w:rPr>
          <w:u w:val="single"/>
          <w:lang w:val="fr-FR"/>
        </w:rPr>
        <w:t>prises accessoires</w:t>
      </w:r>
      <w:r>
        <w:rPr>
          <w:lang w:val="fr-FR"/>
        </w:rPr>
        <w:t xml:space="preserve"> :</w:t>
      </w:r>
    </w:p>
    <w:p w14:paraId="7A3BD8C7" w14:textId="77777777" w:rsidR="006E5484" w:rsidRDefault="006E5484">
      <w:pPr>
        <w:pStyle w:val="ListParagraph"/>
        <w:spacing w:after="0" w:line="240" w:lineRule="auto"/>
        <w:jc w:val="both"/>
        <w:rPr>
          <w:lang w:val="fr-FR"/>
        </w:rPr>
      </w:pPr>
    </w:p>
    <w:p w14:paraId="64F84CE4" w14:textId="77777777" w:rsidR="006E5484" w:rsidRDefault="00FB2FEF">
      <w:pPr>
        <w:pStyle w:val="ListParagraph"/>
        <w:numPr>
          <w:ilvl w:val="1"/>
          <w:numId w:val="20"/>
        </w:numPr>
        <w:spacing w:after="0" w:line="240" w:lineRule="auto"/>
        <w:ind w:left="1134"/>
        <w:jc w:val="both"/>
        <w:rPr>
          <w:lang w:val="fr-FR"/>
        </w:rPr>
      </w:pPr>
      <w:r>
        <w:rPr>
          <w:lang w:val="fr-FR"/>
        </w:rPr>
        <w:t>Le Dauphin à bosse de l'Atlantique (</w:t>
      </w:r>
      <w:r>
        <w:rPr>
          <w:i/>
          <w:iCs/>
          <w:lang w:val="fr-FR"/>
        </w:rPr>
        <w:t xml:space="preserve">Sousa </w:t>
      </w:r>
      <w:proofErr w:type="spellStart"/>
      <w:r>
        <w:rPr>
          <w:i/>
          <w:iCs/>
          <w:lang w:val="fr-FR"/>
        </w:rPr>
        <w:t>teuszii</w:t>
      </w:r>
      <w:proofErr w:type="spellEnd"/>
      <w:r>
        <w:rPr>
          <w:lang w:val="fr-FR"/>
        </w:rPr>
        <w:t>, Annexes I et II) dans l'ensemble de son aire de répartition, mais notamment dans le golfe de Guinée ;</w:t>
      </w:r>
    </w:p>
    <w:p w14:paraId="24AAB7BF" w14:textId="77777777" w:rsidR="006E5484" w:rsidRDefault="006E5484">
      <w:pPr>
        <w:pStyle w:val="ListParagraph"/>
        <w:spacing w:after="0" w:line="240" w:lineRule="auto"/>
        <w:ind w:left="1134"/>
        <w:jc w:val="both"/>
        <w:rPr>
          <w:lang w:val="fr-FR"/>
        </w:rPr>
      </w:pPr>
    </w:p>
    <w:p w14:paraId="4457E9F6" w14:textId="77777777" w:rsidR="006E5484" w:rsidRDefault="00FB2FEF">
      <w:pPr>
        <w:pStyle w:val="ListParagraph"/>
        <w:numPr>
          <w:ilvl w:val="1"/>
          <w:numId w:val="20"/>
        </w:numPr>
        <w:spacing w:after="0" w:line="240" w:lineRule="auto"/>
        <w:ind w:left="1134"/>
        <w:jc w:val="both"/>
        <w:rPr>
          <w:lang w:val="fr-FR"/>
        </w:rPr>
      </w:pPr>
      <w:r>
        <w:rPr>
          <w:lang w:val="fr-FR"/>
        </w:rPr>
        <w:t>Le Marsouin commun (</w:t>
      </w:r>
      <w:proofErr w:type="spellStart"/>
      <w:r>
        <w:rPr>
          <w:i/>
          <w:iCs/>
          <w:lang w:val="fr-FR"/>
        </w:rPr>
        <w:t>Phocoena</w:t>
      </w:r>
      <w:proofErr w:type="spellEnd"/>
      <w:r>
        <w:rPr>
          <w:i/>
          <w:iCs/>
          <w:lang w:val="fr-FR"/>
        </w:rPr>
        <w:t xml:space="preserve"> </w:t>
      </w:r>
      <w:proofErr w:type="spellStart"/>
      <w:r>
        <w:rPr>
          <w:i/>
          <w:iCs/>
          <w:lang w:val="fr-FR"/>
        </w:rPr>
        <w:t>phocoena</w:t>
      </w:r>
      <w:proofErr w:type="spellEnd"/>
      <w:r>
        <w:rPr>
          <w:lang w:val="fr-FR"/>
        </w:rPr>
        <w:t>, Annexe II, y compris les populations distinctives de la mer Baltique et de la mer Ibérique), le Dauphin commun (</w:t>
      </w:r>
      <w:proofErr w:type="spellStart"/>
      <w:r>
        <w:rPr>
          <w:i/>
          <w:lang w:val="fr-FR"/>
        </w:rPr>
        <w:t>Delphinus</w:t>
      </w:r>
      <w:proofErr w:type="spellEnd"/>
      <w:r>
        <w:rPr>
          <w:i/>
          <w:lang w:val="fr-FR"/>
        </w:rPr>
        <w:t xml:space="preserve"> </w:t>
      </w:r>
      <w:proofErr w:type="spellStart"/>
      <w:r>
        <w:rPr>
          <w:i/>
          <w:lang w:val="fr-FR"/>
        </w:rPr>
        <w:t>delphis</w:t>
      </w:r>
      <w:proofErr w:type="spellEnd"/>
      <w:r>
        <w:rPr>
          <w:lang w:val="fr-FR"/>
        </w:rPr>
        <w:t>, Annexes I et II) et le Grand dauphin (</w:t>
      </w:r>
      <w:proofErr w:type="spellStart"/>
      <w:r>
        <w:rPr>
          <w:i/>
          <w:iCs/>
          <w:lang w:val="fr-FR"/>
        </w:rPr>
        <w:t>Tursiops</w:t>
      </w:r>
      <w:proofErr w:type="spellEnd"/>
      <w:r>
        <w:rPr>
          <w:i/>
          <w:iCs/>
          <w:lang w:val="fr-FR"/>
        </w:rPr>
        <w:t xml:space="preserve"> </w:t>
      </w:r>
      <w:proofErr w:type="spellStart"/>
      <w:r>
        <w:rPr>
          <w:i/>
          <w:iCs/>
          <w:lang w:val="fr-FR"/>
        </w:rPr>
        <w:t>truncatus</w:t>
      </w:r>
      <w:proofErr w:type="spellEnd"/>
      <w:r>
        <w:rPr>
          <w:lang w:val="fr-FR"/>
        </w:rPr>
        <w:t>, Annexe II), le Dauphin rayé (</w:t>
      </w:r>
      <w:proofErr w:type="spellStart"/>
      <w:r>
        <w:rPr>
          <w:i/>
          <w:iCs/>
          <w:lang w:val="fr-FR"/>
        </w:rPr>
        <w:t>Stenella</w:t>
      </w:r>
      <w:proofErr w:type="spellEnd"/>
      <w:r>
        <w:rPr>
          <w:i/>
          <w:iCs/>
          <w:lang w:val="fr-FR"/>
        </w:rPr>
        <w:t xml:space="preserve"> </w:t>
      </w:r>
      <w:proofErr w:type="spellStart"/>
      <w:r>
        <w:rPr>
          <w:i/>
          <w:iCs/>
          <w:lang w:val="fr-FR"/>
        </w:rPr>
        <w:t>coeruleoalba</w:t>
      </w:r>
      <w:proofErr w:type="spellEnd"/>
      <w:r>
        <w:rPr>
          <w:lang w:val="fr-FR"/>
        </w:rPr>
        <w:t>, Annexe II) et le Cachalot (</w:t>
      </w:r>
      <w:proofErr w:type="spellStart"/>
      <w:r>
        <w:rPr>
          <w:i/>
          <w:iCs/>
          <w:lang w:val="fr-FR"/>
        </w:rPr>
        <w:t>Physeter</w:t>
      </w:r>
      <w:proofErr w:type="spellEnd"/>
      <w:r>
        <w:rPr>
          <w:i/>
          <w:iCs/>
          <w:lang w:val="fr-FR"/>
        </w:rPr>
        <w:t xml:space="preserve"> </w:t>
      </w:r>
      <w:proofErr w:type="spellStart"/>
      <w:r>
        <w:rPr>
          <w:i/>
          <w:iCs/>
          <w:lang w:val="fr-FR"/>
        </w:rPr>
        <w:t>macrocephalus</w:t>
      </w:r>
      <w:proofErr w:type="spellEnd"/>
      <w:r>
        <w:rPr>
          <w:lang w:val="fr-FR"/>
        </w:rPr>
        <w:t>, Annexe I) dans les eaux européennes et les eaux environnantes ;</w:t>
      </w:r>
    </w:p>
    <w:p w14:paraId="7BB75875" w14:textId="77777777" w:rsidR="006E5484" w:rsidRDefault="006E5484">
      <w:pPr>
        <w:pStyle w:val="ListParagraph"/>
        <w:spacing w:after="0" w:line="240" w:lineRule="auto"/>
        <w:ind w:left="1134"/>
        <w:jc w:val="both"/>
        <w:rPr>
          <w:lang w:val="fr-FR"/>
        </w:rPr>
      </w:pPr>
    </w:p>
    <w:p w14:paraId="43C97564" w14:textId="77777777" w:rsidR="006E5484" w:rsidRDefault="00FB2FEF">
      <w:pPr>
        <w:pStyle w:val="ListParagraph"/>
        <w:numPr>
          <w:ilvl w:val="1"/>
          <w:numId w:val="20"/>
        </w:numPr>
        <w:spacing w:after="0" w:line="240" w:lineRule="auto"/>
        <w:ind w:left="1134"/>
        <w:jc w:val="both"/>
        <w:rPr>
          <w:lang w:val="fr-FR"/>
        </w:rPr>
      </w:pPr>
      <w:r>
        <w:rPr>
          <w:lang w:val="fr-FR"/>
        </w:rPr>
        <w:t xml:space="preserve">Le Dauphin de </w:t>
      </w:r>
      <w:proofErr w:type="spellStart"/>
      <w:r>
        <w:rPr>
          <w:lang w:val="fr-FR"/>
        </w:rPr>
        <w:t>Commerson</w:t>
      </w:r>
      <w:proofErr w:type="spellEnd"/>
      <w:r>
        <w:rPr>
          <w:lang w:val="fr-FR"/>
        </w:rPr>
        <w:t xml:space="preserve"> (</w:t>
      </w:r>
      <w:proofErr w:type="spellStart"/>
      <w:r>
        <w:rPr>
          <w:i/>
          <w:iCs/>
          <w:lang w:val="fr-FR"/>
        </w:rPr>
        <w:t>Cephalorhynchus</w:t>
      </w:r>
      <w:proofErr w:type="spellEnd"/>
      <w:r>
        <w:rPr>
          <w:i/>
          <w:iCs/>
          <w:lang w:val="fr-FR"/>
        </w:rPr>
        <w:t xml:space="preserve"> </w:t>
      </w:r>
      <w:proofErr w:type="spellStart"/>
      <w:r>
        <w:rPr>
          <w:i/>
          <w:iCs/>
          <w:lang w:val="fr-FR"/>
        </w:rPr>
        <w:t>commersonii</w:t>
      </w:r>
      <w:proofErr w:type="spellEnd"/>
      <w:r>
        <w:rPr>
          <w:lang w:val="fr-FR"/>
        </w:rPr>
        <w:t xml:space="preserve">, Annexe II), le Dauphin de La </w:t>
      </w:r>
      <w:proofErr w:type="spellStart"/>
      <w:r>
        <w:rPr>
          <w:lang w:val="fr-FR"/>
        </w:rPr>
        <w:t>Plata</w:t>
      </w:r>
      <w:proofErr w:type="spellEnd"/>
      <w:r>
        <w:rPr>
          <w:lang w:val="fr-FR"/>
        </w:rPr>
        <w:t xml:space="preserve"> (</w:t>
      </w:r>
      <w:proofErr w:type="spellStart"/>
      <w:r>
        <w:rPr>
          <w:i/>
          <w:iCs/>
          <w:lang w:val="fr-FR"/>
        </w:rPr>
        <w:t>Pontoporia</w:t>
      </w:r>
      <w:proofErr w:type="spellEnd"/>
      <w:r>
        <w:rPr>
          <w:i/>
          <w:iCs/>
          <w:lang w:val="fr-FR"/>
        </w:rPr>
        <w:t xml:space="preserve"> </w:t>
      </w:r>
      <w:proofErr w:type="spellStart"/>
      <w:r>
        <w:rPr>
          <w:i/>
          <w:iCs/>
          <w:lang w:val="fr-FR"/>
        </w:rPr>
        <w:t>blainvillei</w:t>
      </w:r>
      <w:proofErr w:type="spellEnd"/>
      <w:r>
        <w:rPr>
          <w:lang w:val="fr-FR"/>
        </w:rPr>
        <w:t>, Annexes I et II) dans l'ouest de l'Atlantique Sud ;</w:t>
      </w:r>
    </w:p>
    <w:p w14:paraId="22A964F5" w14:textId="77777777" w:rsidR="006E5484" w:rsidRDefault="006E5484">
      <w:pPr>
        <w:pStyle w:val="ListParagraph"/>
        <w:spacing w:after="0" w:line="240" w:lineRule="auto"/>
        <w:ind w:left="1134"/>
        <w:jc w:val="both"/>
        <w:rPr>
          <w:lang w:val="fr-FR"/>
        </w:rPr>
      </w:pPr>
    </w:p>
    <w:p w14:paraId="5792C67F" w14:textId="77777777" w:rsidR="006E5484" w:rsidRDefault="00FB2FEF">
      <w:pPr>
        <w:pStyle w:val="ListParagraph"/>
        <w:numPr>
          <w:ilvl w:val="1"/>
          <w:numId w:val="20"/>
        </w:numPr>
        <w:spacing w:after="0" w:line="240" w:lineRule="auto"/>
        <w:ind w:left="1134"/>
        <w:jc w:val="both"/>
        <w:rPr>
          <w:lang w:val="fr-FR"/>
        </w:rPr>
      </w:pPr>
      <w:r>
        <w:rPr>
          <w:lang w:val="fr-FR"/>
        </w:rPr>
        <w:t>Le Grand dauphin (</w:t>
      </w:r>
      <w:proofErr w:type="spellStart"/>
      <w:r>
        <w:rPr>
          <w:i/>
          <w:iCs/>
          <w:lang w:val="fr-FR"/>
        </w:rPr>
        <w:t>Tursiops</w:t>
      </w:r>
      <w:proofErr w:type="spellEnd"/>
      <w:r>
        <w:rPr>
          <w:i/>
          <w:iCs/>
          <w:lang w:val="fr-FR"/>
        </w:rPr>
        <w:t xml:space="preserve"> </w:t>
      </w:r>
      <w:proofErr w:type="spellStart"/>
      <w:r>
        <w:rPr>
          <w:i/>
          <w:iCs/>
          <w:lang w:val="fr-FR"/>
        </w:rPr>
        <w:t>truncatus</w:t>
      </w:r>
      <w:proofErr w:type="spellEnd"/>
      <w:r>
        <w:rPr>
          <w:lang w:val="fr-FR"/>
        </w:rPr>
        <w:t>, Annexe II), et le Dauphin tacheté de l'Atlantique (</w:t>
      </w:r>
      <w:proofErr w:type="spellStart"/>
      <w:r>
        <w:rPr>
          <w:i/>
          <w:iCs/>
          <w:lang w:val="fr-FR"/>
        </w:rPr>
        <w:t>Stenella</w:t>
      </w:r>
      <w:proofErr w:type="spellEnd"/>
      <w:r>
        <w:rPr>
          <w:i/>
          <w:iCs/>
          <w:lang w:val="fr-FR"/>
        </w:rPr>
        <w:t xml:space="preserve"> </w:t>
      </w:r>
      <w:proofErr w:type="spellStart"/>
      <w:r>
        <w:rPr>
          <w:i/>
          <w:iCs/>
          <w:lang w:val="fr-FR"/>
        </w:rPr>
        <w:t>frontalis</w:t>
      </w:r>
      <w:proofErr w:type="spellEnd"/>
      <w:r>
        <w:rPr>
          <w:lang w:val="fr-FR"/>
        </w:rPr>
        <w:t>, non inscrit aux Annexes) dans le Golfe du Mexique ;</w:t>
      </w:r>
    </w:p>
    <w:p w14:paraId="34D5D885" w14:textId="77777777" w:rsidR="006E5484" w:rsidRDefault="006E5484">
      <w:pPr>
        <w:pStyle w:val="ListParagraph"/>
        <w:spacing w:after="0" w:line="240" w:lineRule="auto"/>
        <w:ind w:left="1134"/>
        <w:jc w:val="both"/>
        <w:rPr>
          <w:lang w:val="fr-FR"/>
        </w:rPr>
      </w:pPr>
    </w:p>
    <w:p w14:paraId="0AE02CC1" w14:textId="77777777" w:rsidR="006E5484" w:rsidRDefault="00FB2FEF">
      <w:pPr>
        <w:pStyle w:val="ListParagraph"/>
        <w:numPr>
          <w:ilvl w:val="1"/>
          <w:numId w:val="20"/>
        </w:numPr>
        <w:spacing w:after="0" w:line="240" w:lineRule="auto"/>
        <w:ind w:left="1134"/>
        <w:jc w:val="both"/>
        <w:rPr>
          <w:lang w:val="fr-FR"/>
        </w:rPr>
      </w:pPr>
      <w:r>
        <w:rPr>
          <w:lang w:val="fr-FR"/>
        </w:rPr>
        <w:t xml:space="preserve">Le Marsouin de </w:t>
      </w:r>
      <w:proofErr w:type="spellStart"/>
      <w:r>
        <w:rPr>
          <w:lang w:val="fr-FR"/>
        </w:rPr>
        <w:t>Burmeister</w:t>
      </w:r>
      <w:proofErr w:type="spellEnd"/>
      <w:r>
        <w:rPr>
          <w:lang w:val="fr-FR"/>
        </w:rPr>
        <w:t xml:space="preserve"> (</w:t>
      </w:r>
      <w:proofErr w:type="spellStart"/>
      <w:r>
        <w:rPr>
          <w:i/>
          <w:iCs/>
          <w:lang w:val="fr-FR"/>
        </w:rPr>
        <w:t>Phocoena</w:t>
      </w:r>
      <w:proofErr w:type="spellEnd"/>
      <w:r>
        <w:rPr>
          <w:i/>
          <w:iCs/>
          <w:lang w:val="fr-FR"/>
        </w:rPr>
        <w:t xml:space="preserve"> </w:t>
      </w:r>
      <w:proofErr w:type="spellStart"/>
      <w:r>
        <w:rPr>
          <w:i/>
          <w:iCs/>
          <w:lang w:val="fr-FR"/>
        </w:rPr>
        <w:t>spinipinnis</w:t>
      </w:r>
      <w:proofErr w:type="spellEnd"/>
      <w:r>
        <w:rPr>
          <w:lang w:val="fr-FR"/>
        </w:rPr>
        <w:t>, Annexe II) dans le Pacifique Sud-Est ;</w:t>
      </w:r>
    </w:p>
    <w:p w14:paraId="552191B3" w14:textId="77777777" w:rsidR="006E5484" w:rsidRDefault="006E5484">
      <w:pPr>
        <w:pStyle w:val="ListParagraph"/>
        <w:spacing w:after="0" w:line="240" w:lineRule="auto"/>
        <w:ind w:left="1134"/>
        <w:jc w:val="both"/>
        <w:rPr>
          <w:lang w:val="fr-FR"/>
        </w:rPr>
      </w:pPr>
    </w:p>
    <w:p w14:paraId="03DF529A" w14:textId="77777777" w:rsidR="006E5484" w:rsidRDefault="00FB2FEF">
      <w:pPr>
        <w:pStyle w:val="ListParagraph"/>
        <w:numPr>
          <w:ilvl w:val="1"/>
          <w:numId w:val="20"/>
        </w:numPr>
        <w:spacing w:after="0" w:line="240" w:lineRule="auto"/>
        <w:ind w:left="1134"/>
        <w:jc w:val="both"/>
        <w:rPr>
          <w:lang w:val="fr-FR"/>
        </w:rPr>
      </w:pPr>
      <w:r>
        <w:rPr>
          <w:lang w:val="fr-FR"/>
        </w:rPr>
        <w:t>Le Dauphin de l'Irrawaddy (</w:t>
      </w:r>
      <w:proofErr w:type="spellStart"/>
      <w:r>
        <w:rPr>
          <w:i/>
          <w:iCs/>
          <w:lang w:val="fr-FR"/>
        </w:rPr>
        <w:t>Orcaella</w:t>
      </w:r>
      <w:proofErr w:type="spellEnd"/>
      <w:r>
        <w:rPr>
          <w:i/>
          <w:iCs/>
          <w:lang w:val="fr-FR"/>
        </w:rPr>
        <w:t xml:space="preserve"> </w:t>
      </w:r>
      <w:proofErr w:type="spellStart"/>
      <w:r>
        <w:rPr>
          <w:i/>
          <w:iCs/>
          <w:lang w:val="fr-FR"/>
        </w:rPr>
        <w:t>brevirostris</w:t>
      </w:r>
      <w:proofErr w:type="spellEnd"/>
      <w:r>
        <w:rPr>
          <w:lang w:val="fr-FR"/>
        </w:rPr>
        <w:t>, Annexes I et II) dans toute l'Asie de l'Est et du Sud-Est, ainsi que le Dauphin à long bec (</w:t>
      </w:r>
      <w:proofErr w:type="spellStart"/>
      <w:r>
        <w:rPr>
          <w:i/>
          <w:iCs/>
          <w:lang w:val="fr-FR"/>
        </w:rPr>
        <w:t>Stenella</w:t>
      </w:r>
      <w:proofErr w:type="spellEnd"/>
      <w:r>
        <w:rPr>
          <w:i/>
          <w:iCs/>
          <w:lang w:val="fr-FR"/>
        </w:rPr>
        <w:t xml:space="preserve"> </w:t>
      </w:r>
      <w:proofErr w:type="spellStart"/>
      <w:r>
        <w:rPr>
          <w:i/>
          <w:iCs/>
          <w:lang w:val="fr-FR"/>
        </w:rPr>
        <w:t>longirostris</w:t>
      </w:r>
      <w:proofErr w:type="spellEnd"/>
      <w:r>
        <w:rPr>
          <w:lang w:val="fr-FR"/>
        </w:rPr>
        <w:t>, Annexe II) et le Dauphin de Fraser (</w:t>
      </w:r>
      <w:proofErr w:type="spellStart"/>
      <w:r>
        <w:rPr>
          <w:i/>
          <w:iCs/>
          <w:lang w:val="fr-FR"/>
        </w:rPr>
        <w:t>Lagenodelphis</w:t>
      </w:r>
      <w:proofErr w:type="spellEnd"/>
      <w:r>
        <w:rPr>
          <w:i/>
          <w:iCs/>
          <w:lang w:val="fr-FR"/>
        </w:rPr>
        <w:t xml:space="preserve"> </w:t>
      </w:r>
      <w:proofErr w:type="spellStart"/>
      <w:r>
        <w:rPr>
          <w:i/>
          <w:iCs/>
          <w:lang w:val="fr-FR"/>
        </w:rPr>
        <w:t>hosei</w:t>
      </w:r>
      <w:proofErr w:type="spellEnd"/>
      <w:r>
        <w:rPr>
          <w:lang w:val="fr-FR"/>
        </w:rPr>
        <w:t>, Annexe II) aux Philippines, le Marsouin aptère du fleuve Yangtze (</w:t>
      </w:r>
      <w:proofErr w:type="spellStart"/>
      <w:r>
        <w:rPr>
          <w:i/>
          <w:iCs/>
          <w:lang w:val="fr-FR"/>
        </w:rPr>
        <w:t>Neophocaena</w:t>
      </w:r>
      <w:proofErr w:type="spellEnd"/>
      <w:r>
        <w:rPr>
          <w:i/>
          <w:iCs/>
          <w:lang w:val="fr-FR"/>
        </w:rPr>
        <w:t xml:space="preserve"> </w:t>
      </w:r>
      <w:proofErr w:type="spellStart"/>
      <w:r>
        <w:rPr>
          <w:i/>
          <w:iCs/>
          <w:lang w:val="fr-FR"/>
        </w:rPr>
        <w:t>asiaeorientalis</w:t>
      </w:r>
      <w:proofErr w:type="spellEnd"/>
      <w:r>
        <w:rPr>
          <w:lang w:val="fr-FR"/>
        </w:rPr>
        <w:t>, Annexe II) dans le fleuve Yangtze et le Dauphin à bosse de Taïwan (</w:t>
      </w:r>
      <w:r>
        <w:rPr>
          <w:i/>
          <w:iCs/>
          <w:lang w:val="fr-FR"/>
        </w:rPr>
        <w:t xml:space="preserve">Sousa </w:t>
      </w:r>
      <w:proofErr w:type="spellStart"/>
      <w:r>
        <w:rPr>
          <w:i/>
          <w:iCs/>
          <w:lang w:val="fr-FR"/>
        </w:rPr>
        <w:t>chinensis</w:t>
      </w:r>
      <w:proofErr w:type="spellEnd"/>
      <w:r>
        <w:rPr>
          <w:i/>
          <w:iCs/>
          <w:lang w:val="fr-FR"/>
        </w:rPr>
        <w:t xml:space="preserve"> </w:t>
      </w:r>
      <w:proofErr w:type="spellStart"/>
      <w:r>
        <w:rPr>
          <w:i/>
          <w:iCs/>
          <w:lang w:val="fr-FR"/>
        </w:rPr>
        <w:t>taiwanensis</w:t>
      </w:r>
      <w:proofErr w:type="spellEnd"/>
      <w:r>
        <w:rPr>
          <w:lang w:val="fr-FR"/>
        </w:rPr>
        <w:t>, Annexe II) ;</w:t>
      </w:r>
    </w:p>
    <w:p w14:paraId="297097DE" w14:textId="77777777" w:rsidR="006E5484" w:rsidRDefault="006E5484">
      <w:pPr>
        <w:pStyle w:val="ListParagraph"/>
        <w:spacing w:after="0" w:line="240" w:lineRule="auto"/>
        <w:ind w:left="1134"/>
        <w:jc w:val="both"/>
        <w:rPr>
          <w:lang w:val="fr-FR"/>
        </w:rPr>
      </w:pPr>
    </w:p>
    <w:p w14:paraId="1EA36426" w14:textId="77777777" w:rsidR="006E5484" w:rsidRDefault="00FB2FEF">
      <w:pPr>
        <w:pStyle w:val="ListParagraph"/>
        <w:numPr>
          <w:ilvl w:val="1"/>
          <w:numId w:val="20"/>
        </w:numPr>
        <w:spacing w:after="0" w:line="240" w:lineRule="auto"/>
        <w:ind w:left="1134"/>
        <w:jc w:val="both"/>
        <w:rPr>
          <w:lang w:val="fr-FR"/>
        </w:rPr>
      </w:pPr>
      <w:r>
        <w:rPr>
          <w:lang w:val="fr-FR"/>
        </w:rPr>
        <w:t>Le Dauphin à bosse de l'</w:t>
      </w:r>
      <w:proofErr w:type="spellStart"/>
      <w:r>
        <w:rPr>
          <w:lang w:val="fr-FR"/>
        </w:rPr>
        <w:t>Indo-Pacifique</w:t>
      </w:r>
      <w:proofErr w:type="spellEnd"/>
      <w:r>
        <w:rPr>
          <w:lang w:val="fr-FR"/>
        </w:rPr>
        <w:t xml:space="preserve"> (</w:t>
      </w:r>
      <w:r>
        <w:rPr>
          <w:i/>
          <w:iCs/>
          <w:lang w:val="fr-FR"/>
        </w:rPr>
        <w:t xml:space="preserve">Sousa </w:t>
      </w:r>
      <w:proofErr w:type="spellStart"/>
      <w:r>
        <w:rPr>
          <w:i/>
          <w:iCs/>
          <w:lang w:val="fr-FR"/>
        </w:rPr>
        <w:t>chinensis</w:t>
      </w:r>
      <w:proofErr w:type="spellEnd"/>
      <w:r>
        <w:rPr>
          <w:lang w:val="fr-FR"/>
        </w:rPr>
        <w:t>, Annexe II), le Dauphin à bosse de l'océan Indien (</w:t>
      </w:r>
      <w:r>
        <w:rPr>
          <w:i/>
          <w:iCs/>
          <w:lang w:val="fr-FR"/>
        </w:rPr>
        <w:t xml:space="preserve">Sousa </w:t>
      </w:r>
      <w:proofErr w:type="spellStart"/>
      <w:r>
        <w:rPr>
          <w:i/>
          <w:iCs/>
          <w:lang w:val="fr-FR"/>
        </w:rPr>
        <w:t>plumbea</w:t>
      </w:r>
      <w:proofErr w:type="spellEnd"/>
      <w:r>
        <w:rPr>
          <w:lang w:val="fr-FR"/>
        </w:rPr>
        <w:t xml:space="preserve">, inclus dans la liste </w:t>
      </w:r>
      <w:r>
        <w:rPr>
          <w:i/>
          <w:iCs/>
          <w:lang w:val="fr-FR"/>
        </w:rPr>
        <w:t xml:space="preserve">S. </w:t>
      </w:r>
      <w:proofErr w:type="spellStart"/>
      <w:r>
        <w:rPr>
          <w:i/>
          <w:iCs/>
          <w:lang w:val="fr-FR"/>
        </w:rPr>
        <w:t>chinensis</w:t>
      </w:r>
      <w:proofErr w:type="spellEnd"/>
      <w:r>
        <w:rPr>
          <w:lang w:val="fr-FR"/>
        </w:rPr>
        <w:t xml:space="preserve"> de l'Annexe II), et le Grand dauphin de l'</w:t>
      </w:r>
      <w:proofErr w:type="spellStart"/>
      <w:r>
        <w:rPr>
          <w:lang w:val="fr-FR"/>
        </w:rPr>
        <w:t>Indo-Pacifique</w:t>
      </w:r>
      <w:proofErr w:type="spellEnd"/>
      <w:r>
        <w:rPr>
          <w:lang w:val="fr-FR"/>
        </w:rPr>
        <w:t xml:space="preserve"> (</w:t>
      </w:r>
      <w:proofErr w:type="spellStart"/>
      <w:r>
        <w:rPr>
          <w:i/>
          <w:iCs/>
          <w:lang w:val="fr-FR"/>
        </w:rPr>
        <w:t>Tursiops</w:t>
      </w:r>
      <w:proofErr w:type="spellEnd"/>
      <w:r>
        <w:rPr>
          <w:i/>
          <w:iCs/>
          <w:lang w:val="fr-FR"/>
        </w:rPr>
        <w:t xml:space="preserve"> </w:t>
      </w:r>
      <w:proofErr w:type="spellStart"/>
      <w:r>
        <w:rPr>
          <w:i/>
          <w:iCs/>
          <w:lang w:val="fr-FR"/>
        </w:rPr>
        <w:t>aduncus</w:t>
      </w:r>
      <w:proofErr w:type="spellEnd"/>
      <w:r>
        <w:rPr>
          <w:lang w:val="fr-FR"/>
        </w:rPr>
        <w:t xml:space="preserve">, Annexe II) dans l'océan Indien et la mer de Chine méridionale et le Dauphin de </w:t>
      </w:r>
      <w:proofErr w:type="spellStart"/>
      <w:r>
        <w:rPr>
          <w:lang w:val="fr-FR"/>
        </w:rPr>
        <w:t>Risso</w:t>
      </w:r>
      <w:proofErr w:type="spellEnd"/>
      <w:r>
        <w:rPr>
          <w:lang w:val="fr-FR"/>
        </w:rPr>
        <w:t xml:space="preserve"> (</w:t>
      </w:r>
      <w:proofErr w:type="spellStart"/>
      <w:r>
        <w:rPr>
          <w:i/>
          <w:lang w:val="fr-FR"/>
        </w:rPr>
        <w:t>Grampus</w:t>
      </w:r>
      <w:proofErr w:type="spellEnd"/>
      <w:r>
        <w:rPr>
          <w:i/>
          <w:lang w:val="fr-FR"/>
        </w:rPr>
        <w:t xml:space="preserve"> </w:t>
      </w:r>
      <w:proofErr w:type="spellStart"/>
      <w:r>
        <w:rPr>
          <w:i/>
          <w:lang w:val="fr-FR"/>
        </w:rPr>
        <w:t>griseus</w:t>
      </w:r>
      <w:proofErr w:type="spellEnd"/>
      <w:r>
        <w:rPr>
          <w:lang w:val="fr-FR"/>
        </w:rPr>
        <w:t>, Annexe II) dans le nord-ouest de l'océan Indien.</w:t>
      </w:r>
    </w:p>
    <w:p w14:paraId="7B205FF1" w14:textId="77777777" w:rsidR="006E5484" w:rsidRDefault="00FB2FEF" w:rsidP="00A00D39">
      <w:pPr>
        <w:pStyle w:val="ListParagraph"/>
        <w:numPr>
          <w:ilvl w:val="0"/>
          <w:numId w:val="19"/>
        </w:numPr>
        <w:spacing w:after="0" w:line="240" w:lineRule="auto"/>
        <w:ind w:left="567" w:hanging="567"/>
        <w:jc w:val="both"/>
        <w:rPr>
          <w:lang w:val="fr-FR"/>
        </w:rPr>
      </w:pPr>
      <w:r>
        <w:rPr>
          <w:lang w:val="fr-FR"/>
        </w:rPr>
        <w:lastRenderedPageBreak/>
        <w:t>Les États de l'aire de répartition des espèces suivantes devraient donner la priorité à la réduction de l'</w:t>
      </w:r>
      <w:r>
        <w:rPr>
          <w:u w:val="single"/>
          <w:lang w:val="fr-FR"/>
        </w:rPr>
        <w:t>enchevêtrement</w:t>
      </w:r>
      <w:r>
        <w:rPr>
          <w:lang w:val="fr-FR"/>
        </w:rPr>
        <w:t xml:space="preserve"> :</w:t>
      </w:r>
    </w:p>
    <w:p w14:paraId="240D8914" w14:textId="77777777" w:rsidR="006E5484" w:rsidRDefault="006E5484">
      <w:pPr>
        <w:pStyle w:val="ListParagraph"/>
        <w:spacing w:after="0" w:line="240" w:lineRule="auto"/>
        <w:jc w:val="both"/>
        <w:rPr>
          <w:lang w:val="fr-FR"/>
        </w:rPr>
      </w:pPr>
    </w:p>
    <w:p w14:paraId="365086BA" w14:textId="77777777" w:rsidR="006E5484" w:rsidRDefault="00FB2FEF">
      <w:pPr>
        <w:pStyle w:val="ListParagraph"/>
        <w:numPr>
          <w:ilvl w:val="1"/>
          <w:numId w:val="21"/>
        </w:numPr>
        <w:spacing w:after="0" w:line="240" w:lineRule="auto"/>
        <w:ind w:left="1134"/>
        <w:jc w:val="both"/>
        <w:rPr>
          <w:lang w:val="fr-FR"/>
        </w:rPr>
      </w:pPr>
      <w:proofErr w:type="gramStart"/>
      <w:r>
        <w:rPr>
          <w:lang w:val="fr-FR"/>
        </w:rPr>
        <w:t>la</w:t>
      </w:r>
      <w:proofErr w:type="gramEnd"/>
      <w:r>
        <w:rPr>
          <w:lang w:val="fr-FR"/>
        </w:rPr>
        <w:t xml:space="preserve"> Baleine à bosse (</w:t>
      </w:r>
      <w:proofErr w:type="spellStart"/>
      <w:r>
        <w:rPr>
          <w:lang w:val="fr-FR"/>
        </w:rPr>
        <w:t>Megaptera</w:t>
      </w:r>
      <w:proofErr w:type="spellEnd"/>
      <w:r>
        <w:rPr>
          <w:lang w:val="fr-FR"/>
        </w:rPr>
        <w:t xml:space="preserve"> </w:t>
      </w:r>
      <w:proofErr w:type="spellStart"/>
      <w:r>
        <w:rPr>
          <w:lang w:val="fr-FR"/>
        </w:rPr>
        <w:t>novaeangliae</w:t>
      </w:r>
      <w:proofErr w:type="spellEnd"/>
      <w:r>
        <w:rPr>
          <w:lang w:val="fr-FR"/>
        </w:rPr>
        <w:t>, Annexe I), la Baleine franche de l'Atlantique Nord (</w:t>
      </w:r>
      <w:proofErr w:type="spellStart"/>
      <w:r>
        <w:rPr>
          <w:lang w:val="fr-FR"/>
        </w:rPr>
        <w:t>Eubalaena</w:t>
      </w:r>
      <w:proofErr w:type="spellEnd"/>
      <w:r>
        <w:rPr>
          <w:lang w:val="fr-FR"/>
        </w:rPr>
        <w:t xml:space="preserve"> </w:t>
      </w:r>
      <w:proofErr w:type="spellStart"/>
      <w:r>
        <w:rPr>
          <w:lang w:val="fr-FR"/>
        </w:rPr>
        <w:t>glacialis</w:t>
      </w:r>
      <w:proofErr w:type="spellEnd"/>
      <w:r>
        <w:rPr>
          <w:lang w:val="fr-FR"/>
        </w:rPr>
        <w:t>, Annexe I), et le Petit rorqual (</w:t>
      </w:r>
      <w:proofErr w:type="spellStart"/>
      <w:r>
        <w:rPr>
          <w:lang w:val="fr-FR"/>
        </w:rPr>
        <w:t>Balaenoptera</w:t>
      </w:r>
      <w:proofErr w:type="spellEnd"/>
      <w:r>
        <w:rPr>
          <w:lang w:val="fr-FR"/>
        </w:rPr>
        <w:t xml:space="preserve"> </w:t>
      </w:r>
      <w:proofErr w:type="spellStart"/>
      <w:r>
        <w:rPr>
          <w:lang w:val="fr-FR"/>
        </w:rPr>
        <w:t>acutorostrata</w:t>
      </w:r>
      <w:proofErr w:type="spellEnd"/>
      <w:r>
        <w:rPr>
          <w:lang w:val="fr-FR"/>
        </w:rPr>
        <w:t>, non inscrit aux Annexes) dans l'Atlantique Nord, le Pacifique Nord, et la mer d'Arabie.</w:t>
      </w:r>
    </w:p>
    <w:p w14:paraId="172E9130" w14:textId="77777777" w:rsidR="006E5484" w:rsidRDefault="006E5484">
      <w:pPr>
        <w:spacing w:after="0" w:line="240" w:lineRule="auto"/>
        <w:jc w:val="both"/>
        <w:rPr>
          <w:lang w:val="fr-FR"/>
        </w:rPr>
      </w:pPr>
    </w:p>
    <w:p w14:paraId="3EB49DF4" w14:textId="77777777" w:rsidR="005F3AF5" w:rsidRDefault="005F3AF5">
      <w:pPr>
        <w:spacing w:after="0" w:line="240" w:lineRule="auto"/>
        <w:jc w:val="both"/>
        <w:rPr>
          <w:lang w:val="fr-FR"/>
        </w:rPr>
      </w:pPr>
    </w:p>
    <w:p w14:paraId="7084AADD" w14:textId="71995B15" w:rsidR="006E5484" w:rsidRDefault="00FB2FEF">
      <w:pPr>
        <w:spacing w:after="0" w:line="240" w:lineRule="auto"/>
        <w:jc w:val="both"/>
        <w:rPr>
          <w:lang w:val="fr-FR"/>
        </w:rPr>
      </w:pPr>
      <w:r>
        <w:rPr>
          <w:b/>
          <w:bCs/>
          <w:lang w:val="fr-FR"/>
        </w:rPr>
        <w:t>Changement climatique</w:t>
      </w:r>
    </w:p>
    <w:p w14:paraId="2C9BC49E" w14:textId="77777777" w:rsidR="006E5484" w:rsidRDefault="006E5484">
      <w:pPr>
        <w:spacing w:after="0" w:line="240" w:lineRule="auto"/>
        <w:jc w:val="both"/>
        <w:rPr>
          <w:lang w:val="fr-FR"/>
        </w:rPr>
      </w:pPr>
    </w:p>
    <w:p w14:paraId="6ED29D43" w14:textId="77777777" w:rsidR="006E5484" w:rsidRDefault="00FB2FEF" w:rsidP="00A00D39">
      <w:pPr>
        <w:pStyle w:val="ListParagraph"/>
        <w:numPr>
          <w:ilvl w:val="0"/>
          <w:numId w:val="19"/>
        </w:numPr>
        <w:spacing w:after="0" w:line="240" w:lineRule="auto"/>
        <w:ind w:left="567" w:hanging="567"/>
        <w:jc w:val="both"/>
        <w:rPr>
          <w:lang w:val="fr-FR"/>
        </w:rPr>
      </w:pPr>
      <w:r>
        <w:rPr>
          <w:lang w:val="fr-FR"/>
        </w:rPr>
        <w:t>Les États de l'aire de répartition des espèces suivantes devraient concevoir des activités de conservation adaptative pour :</w:t>
      </w:r>
    </w:p>
    <w:p w14:paraId="20E81891" w14:textId="77777777" w:rsidR="006E5484" w:rsidRDefault="006E5484">
      <w:pPr>
        <w:pStyle w:val="ListParagraph"/>
        <w:spacing w:after="0" w:line="240" w:lineRule="auto"/>
        <w:jc w:val="both"/>
        <w:rPr>
          <w:lang w:val="fr-FR"/>
        </w:rPr>
      </w:pPr>
    </w:p>
    <w:p w14:paraId="030324A8" w14:textId="77777777" w:rsidR="006E5484" w:rsidRDefault="00FB2FEF">
      <w:pPr>
        <w:pStyle w:val="ListParagraph"/>
        <w:numPr>
          <w:ilvl w:val="0"/>
          <w:numId w:val="22"/>
        </w:numPr>
        <w:spacing w:after="0" w:line="240" w:lineRule="auto"/>
        <w:ind w:left="1134"/>
        <w:jc w:val="both"/>
        <w:rPr>
          <w:lang w:val="fr-FR"/>
        </w:rPr>
      </w:pPr>
      <w:r>
        <w:rPr>
          <w:lang w:val="fr-FR"/>
        </w:rPr>
        <w:t>Les populations antarctiques de Baleines bleues (</w:t>
      </w:r>
      <w:proofErr w:type="spellStart"/>
      <w:r>
        <w:rPr>
          <w:i/>
          <w:iCs/>
          <w:lang w:val="fr-FR"/>
        </w:rPr>
        <w:t>Balaenoptera</w:t>
      </w:r>
      <w:proofErr w:type="spellEnd"/>
      <w:r>
        <w:rPr>
          <w:i/>
          <w:iCs/>
          <w:lang w:val="fr-FR"/>
        </w:rPr>
        <w:t xml:space="preserve"> </w:t>
      </w:r>
      <w:proofErr w:type="spellStart"/>
      <w:r>
        <w:rPr>
          <w:i/>
          <w:iCs/>
          <w:lang w:val="fr-FR"/>
        </w:rPr>
        <w:t>musculus</w:t>
      </w:r>
      <w:proofErr w:type="spellEnd"/>
      <w:r>
        <w:rPr>
          <w:lang w:val="fr-FR"/>
        </w:rPr>
        <w:t>, Annexe I), de Baleines franches australes (</w:t>
      </w:r>
      <w:proofErr w:type="spellStart"/>
      <w:r>
        <w:rPr>
          <w:i/>
          <w:iCs/>
          <w:lang w:val="fr-FR"/>
        </w:rPr>
        <w:t>Eubalaena</w:t>
      </w:r>
      <w:proofErr w:type="spellEnd"/>
      <w:r>
        <w:rPr>
          <w:i/>
          <w:iCs/>
          <w:lang w:val="fr-FR"/>
        </w:rPr>
        <w:t xml:space="preserve"> australis</w:t>
      </w:r>
      <w:r>
        <w:rPr>
          <w:lang w:val="fr-FR"/>
        </w:rPr>
        <w:t>, Annexe I), de Rorquals communs de l'océan Atlantique et de l'océan Indien (</w:t>
      </w:r>
      <w:proofErr w:type="spellStart"/>
      <w:r>
        <w:rPr>
          <w:i/>
          <w:iCs/>
          <w:lang w:val="fr-FR"/>
        </w:rPr>
        <w:t>Balaenoptera</w:t>
      </w:r>
      <w:proofErr w:type="spellEnd"/>
      <w:r>
        <w:rPr>
          <w:i/>
          <w:iCs/>
          <w:lang w:val="fr-FR"/>
        </w:rPr>
        <w:t xml:space="preserve"> </w:t>
      </w:r>
      <w:proofErr w:type="spellStart"/>
      <w:r>
        <w:rPr>
          <w:i/>
          <w:iCs/>
          <w:lang w:val="fr-FR"/>
        </w:rPr>
        <w:t>physalus</w:t>
      </w:r>
      <w:proofErr w:type="spellEnd"/>
      <w:r>
        <w:rPr>
          <w:lang w:val="fr-FR"/>
        </w:rPr>
        <w:t>, Annexes I et II), et de Baleines à bosse (</w:t>
      </w:r>
      <w:proofErr w:type="spellStart"/>
      <w:r>
        <w:rPr>
          <w:i/>
          <w:iCs/>
          <w:lang w:val="fr-FR"/>
        </w:rPr>
        <w:t>Megaptera</w:t>
      </w:r>
      <w:proofErr w:type="spellEnd"/>
      <w:r>
        <w:rPr>
          <w:i/>
          <w:iCs/>
          <w:lang w:val="fr-FR"/>
        </w:rPr>
        <w:t xml:space="preserve"> </w:t>
      </w:r>
      <w:proofErr w:type="spellStart"/>
      <w:r>
        <w:rPr>
          <w:i/>
          <w:iCs/>
          <w:lang w:val="fr-FR"/>
        </w:rPr>
        <w:t>novaeangliae</w:t>
      </w:r>
      <w:proofErr w:type="spellEnd"/>
      <w:r>
        <w:rPr>
          <w:lang w:val="fr-FR"/>
        </w:rPr>
        <w:t>, Annexe I) ;</w:t>
      </w:r>
    </w:p>
    <w:p w14:paraId="2AA1FA6E" w14:textId="77777777" w:rsidR="006E5484" w:rsidRDefault="006E5484">
      <w:pPr>
        <w:pStyle w:val="ListParagraph"/>
        <w:spacing w:after="0" w:line="240" w:lineRule="auto"/>
        <w:ind w:left="1134"/>
        <w:jc w:val="both"/>
        <w:rPr>
          <w:lang w:val="fr-FR"/>
        </w:rPr>
      </w:pPr>
    </w:p>
    <w:p w14:paraId="231106B0" w14:textId="77777777" w:rsidR="006E5484" w:rsidRDefault="00FB2FEF">
      <w:pPr>
        <w:pStyle w:val="ListParagraph"/>
        <w:numPr>
          <w:ilvl w:val="0"/>
          <w:numId w:val="22"/>
        </w:numPr>
        <w:spacing w:after="0" w:line="240" w:lineRule="auto"/>
        <w:ind w:left="1134"/>
        <w:jc w:val="both"/>
        <w:rPr>
          <w:lang w:val="fr-FR"/>
        </w:rPr>
      </w:pPr>
      <w:proofErr w:type="gramStart"/>
      <w:r>
        <w:rPr>
          <w:lang w:val="fr-FR"/>
        </w:rPr>
        <w:t>les</w:t>
      </w:r>
      <w:proofErr w:type="gramEnd"/>
      <w:r>
        <w:rPr>
          <w:lang w:val="fr-FR"/>
        </w:rPr>
        <w:t xml:space="preserve"> Baleines boréales (</w:t>
      </w:r>
      <w:proofErr w:type="spellStart"/>
      <w:r>
        <w:rPr>
          <w:i/>
          <w:iCs/>
          <w:lang w:val="fr-FR"/>
        </w:rPr>
        <w:t>Balaena</w:t>
      </w:r>
      <w:proofErr w:type="spellEnd"/>
      <w:r>
        <w:rPr>
          <w:i/>
          <w:iCs/>
          <w:lang w:val="fr-FR"/>
        </w:rPr>
        <w:t xml:space="preserve"> </w:t>
      </w:r>
      <w:proofErr w:type="spellStart"/>
      <w:r>
        <w:rPr>
          <w:i/>
          <w:iCs/>
          <w:lang w:val="fr-FR"/>
        </w:rPr>
        <w:t>mysticetus</w:t>
      </w:r>
      <w:proofErr w:type="spellEnd"/>
      <w:r>
        <w:rPr>
          <w:lang w:val="fr-FR"/>
        </w:rPr>
        <w:t>, Annexe I), les Bélugas (</w:t>
      </w:r>
      <w:proofErr w:type="spellStart"/>
      <w:r>
        <w:rPr>
          <w:i/>
          <w:iCs/>
          <w:lang w:val="fr-FR"/>
        </w:rPr>
        <w:t>Delphinapterus</w:t>
      </w:r>
      <w:proofErr w:type="spellEnd"/>
      <w:r>
        <w:rPr>
          <w:i/>
          <w:iCs/>
          <w:lang w:val="fr-FR"/>
        </w:rPr>
        <w:t xml:space="preserve"> </w:t>
      </w:r>
      <w:proofErr w:type="spellStart"/>
      <w:r>
        <w:rPr>
          <w:i/>
          <w:iCs/>
          <w:lang w:val="fr-FR"/>
        </w:rPr>
        <w:t>leucas</w:t>
      </w:r>
      <w:proofErr w:type="spellEnd"/>
      <w:r>
        <w:rPr>
          <w:lang w:val="fr-FR"/>
        </w:rPr>
        <w:t>, Annexe II), et les Narvals (</w:t>
      </w:r>
      <w:r>
        <w:rPr>
          <w:i/>
          <w:iCs/>
          <w:lang w:val="fr-FR"/>
        </w:rPr>
        <w:t xml:space="preserve">Monodon </w:t>
      </w:r>
      <w:proofErr w:type="spellStart"/>
      <w:r>
        <w:rPr>
          <w:i/>
          <w:iCs/>
          <w:lang w:val="fr-FR"/>
        </w:rPr>
        <w:t>monoceros</w:t>
      </w:r>
      <w:proofErr w:type="spellEnd"/>
      <w:r>
        <w:rPr>
          <w:lang w:val="fr-FR"/>
        </w:rPr>
        <w:t>, Annexe II) dans l'Arctique ;</w:t>
      </w:r>
    </w:p>
    <w:p w14:paraId="5F3A454F" w14:textId="77777777" w:rsidR="006E5484" w:rsidRDefault="006E5484">
      <w:pPr>
        <w:pStyle w:val="ListParagraph"/>
        <w:spacing w:after="0" w:line="240" w:lineRule="auto"/>
        <w:ind w:left="1134"/>
        <w:jc w:val="both"/>
        <w:rPr>
          <w:lang w:val="fr-FR"/>
        </w:rPr>
      </w:pPr>
    </w:p>
    <w:p w14:paraId="5981CA74" w14:textId="77777777" w:rsidR="006E5484" w:rsidRDefault="00FB2FEF">
      <w:pPr>
        <w:pStyle w:val="ListParagraph"/>
        <w:numPr>
          <w:ilvl w:val="0"/>
          <w:numId w:val="22"/>
        </w:numPr>
        <w:spacing w:after="0" w:line="240" w:lineRule="auto"/>
        <w:ind w:left="1134"/>
        <w:jc w:val="both"/>
        <w:rPr>
          <w:lang w:val="fr-FR"/>
        </w:rPr>
      </w:pPr>
      <w:proofErr w:type="gramStart"/>
      <w:r>
        <w:rPr>
          <w:lang w:val="fr-FR"/>
        </w:rPr>
        <w:t>les</w:t>
      </w:r>
      <w:proofErr w:type="gramEnd"/>
      <w:r>
        <w:rPr>
          <w:lang w:val="fr-FR"/>
        </w:rPr>
        <w:t xml:space="preserve"> Baleines à bosse subarctiques (</w:t>
      </w:r>
      <w:proofErr w:type="spellStart"/>
      <w:r>
        <w:rPr>
          <w:i/>
          <w:iCs/>
          <w:lang w:val="fr-FR"/>
        </w:rPr>
        <w:t>Megaptera</w:t>
      </w:r>
      <w:proofErr w:type="spellEnd"/>
      <w:r>
        <w:rPr>
          <w:i/>
          <w:iCs/>
          <w:lang w:val="fr-FR"/>
        </w:rPr>
        <w:t xml:space="preserve"> </w:t>
      </w:r>
      <w:proofErr w:type="spellStart"/>
      <w:r>
        <w:rPr>
          <w:i/>
          <w:iCs/>
          <w:lang w:val="fr-FR"/>
        </w:rPr>
        <w:t>novaeangliae</w:t>
      </w:r>
      <w:proofErr w:type="spellEnd"/>
      <w:r>
        <w:rPr>
          <w:lang w:val="fr-FR"/>
        </w:rPr>
        <w:t>, Annexe I), les Rorquals communs (</w:t>
      </w:r>
      <w:proofErr w:type="spellStart"/>
      <w:r>
        <w:rPr>
          <w:i/>
          <w:iCs/>
          <w:lang w:val="fr-FR"/>
        </w:rPr>
        <w:t>Balaenoptera</w:t>
      </w:r>
      <w:proofErr w:type="spellEnd"/>
      <w:r>
        <w:rPr>
          <w:i/>
          <w:iCs/>
          <w:lang w:val="fr-FR"/>
        </w:rPr>
        <w:t xml:space="preserve"> </w:t>
      </w:r>
      <w:proofErr w:type="spellStart"/>
      <w:r>
        <w:rPr>
          <w:i/>
          <w:iCs/>
          <w:lang w:val="fr-FR"/>
        </w:rPr>
        <w:t>physalus</w:t>
      </w:r>
      <w:proofErr w:type="spellEnd"/>
      <w:r>
        <w:rPr>
          <w:lang w:val="fr-FR"/>
        </w:rPr>
        <w:t>, Annexes I et II) et les petits Rorquals communs (</w:t>
      </w:r>
      <w:proofErr w:type="spellStart"/>
      <w:r>
        <w:rPr>
          <w:i/>
          <w:iCs/>
          <w:lang w:val="fr-FR"/>
        </w:rPr>
        <w:t>Balaenoptera</w:t>
      </w:r>
      <w:proofErr w:type="spellEnd"/>
      <w:r>
        <w:rPr>
          <w:i/>
          <w:iCs/>
          <w:lang w:val="fr-FR"/>
        </w:rPr>
        <w:t xml:space="preserve"> </w:t>
      </w:r>
      <w:proofErr w:type="spellStart"/>
      <w:r>
        <w:rPr>
          <w:i/>
          <w:iCs/>
          <w:lang w:val="fr-FR"/>
        </w:rPr>
        <w:t>acutorostrata</w:t>
      </w:r>
      <w:proofErr w:type="spellEnd"/>
      <w:r>
        <w:rPr>
          <w:lang w:val="fr-FR"/>
        </w:rPr>
        <w:t>, non inscrit aux Annexes), les Cachalots de l'hémisphère nord (</w:t>
      </w:r>
      <w:proofErr w:type="spellStart"/>
      <w:r>
        <w:rPr>
          <w:i/>
          <w:iCs/>
          <w:lang w:val="fr-FR"/>
        </w:rPr>
        <w:t>Physeter</w:t>
      </w:r>
      <w:proofErr w:type="spellEnd"/>
      <w:r>
        <w:rPr>
          <w:i/>
          <w:iCs/>
          <w:lang w:val="fr-FR"/>
        </w:rPr>
        <w:t xml:space="preserve"> </w:t>
      </w:r>
      <w:proofErr w:type="spellStart"/>
      <w:r>
        <w:rPr>
          <w:i/>
          <w:iCs/>
          <w:lang w:val="fr-FR"/>
        </w:rPr>
        <w:t>macrocephalus</w:t>
      </w:r>
      <w:proofErr w:type="spellEnd"/>
      <w:r>
        <w:rPr>
          <w:lang w:val="fr-FR"/>
        </w:rPr>
        <w:t>, Annexes I et II) et les Orques (</w:t>
      </w:r>
      <w:proofErr w:type="spellStart"/>
      <w:r>
        <w:rPr>
          <w:i/>
          <w:iCs/>
          <w:lang w:val="fr-FR"/>
        </w:rPr>
        <w:t>Orcinus</w:t>
      </w:r>
      <w:proofErr w:type="spellEnd"/>
      <w:r>
        <w:rPr>
          <w:i/>
          <w:iCs/>
          <w:lang w:val="fr-FR"/>
        </w:rPr>
        <w:t xml:space="preserve"> </w:t>
      </w:r>
      <w:proofErr w:type="spellStart"/>
      <w:r>
        <w:rPr>
          <w:i/>
          <w:iCs/>
          <w:lang w:val="fr-FR"/>
        </w:rPr>
        <w:t>orca</w:t>
      </w:r>
      <w:proofErr w:type="spellEnd"/>
      <w:r>
        <w:rPr>
          <w:lang w:val="fr-FR"/>
        </w:rPr>
        <w:t>, Annexe I), y compris d'autres espèces de baleines à fanons qui migrent plus tôt et prolongent leur séjour dans les latitudes plus élevées ;</w:t>
      </w:r>
    </w:p>
    <w:p w14:paraId="6340AD6A" w14:textId="77777777" w:rsidR="006E5484" w:rsidRDefault="006E5484">
      <w:pPr>
        <w:pStyle w:val="ListParagraph"/>
        <w:spacing w:after="0" w:line="240" w:lineRule="auto"/>
        <w:ind w:left="1134"/>
        <w:jc w:val="both"/>
        <w:rPr>
          <w:lang w:val="fr-FR"/>
        </w:rPr>
      </w:pPr>
    </w:p>
    <w:p w14:paraId="43499D37" w14:textId="77777777" w:rsidR="006E5484" w:rsidRDefault="00FB2FEF">
      <w:pPr>
        <w:pStyle w:val="ListParagraph"/>
        <w:numPr>
          <w:ilvl w:val="0"/>
          <w:numId w:val="22"/>
        </w:numPr>
        <w:spacing w:after="0" w:line="240" w:lineRule="auto"/>
        <w:ind w:left="1134"/>
        <w:jc w:val="both"/>
        <w:rPr>
          <w:lang w:val="fr-FR"/>
        </w:rPr>
      </w:pPr>
      <w:proofErr w:type="gramStart"/>
      <w:r>
        <w:rPr>
          <w:lang w:val="fr-FR"/>
        </w:rPr>
        <w:t>les</w:t>
      </w:r>
      <w:proofErr w:type="gramEnd"/>
      <w:r>
        <w:rPr>
          <w:lang w:val="fr-FR"/>
        </w:rPr>
        <w:t xml:space="preserve"> Dauphins rayés des latitudes moyennes (</w:t>
      </w:r>
      <w:proofErr w:type="spellStart"/>
      <w:r>
        <w:rPr>
          <w:i/>
          <w:iCs/>
          <w:lang w:val="fr-FR"/>
        </w:rPr>
        <w:t>Stenella</w:t>
      </w:r>
      <w:proofErr w:type="spellEnd"/>
      <w:r>
        <w:rPr>
          <w:i/>
          <w:iCs/>
          <w:lang w:val="fr-FR"/>
        </w:rPr>
        <w:t xml:space="preserve"> </w:t>
      </w:r>
      <w:proofErr w:type="spellStart"/>
      <w:r>
        <w:rPr>
          <w:i/>
          <w:iCs/>
          <w:lang w:val="fr-FR"/>
        </w:rPr>
        <w:t>coeruleoalba</w:t>
      </w:r>
      <w:proofErr w:type="spellEnd"/>
      <w:r>
        <w:rPr>
          <w:lang w:val="fr-FR"/>
        </w:rPr>
        <w:t>, Annexe II), les Dauphins communs (</w:t>
      </w:r>
      <w:proofErr w:type="spellStart"/>
      <w:r>
        <w:rPr>
          <w:i/>
          <w:iCs/>
          <w:lang w:val="fr-FR"/>
        </w:rPr>
        <w:t>Delphinus</w:t>
      </w:r>
      <w:proofErr w:type="spellEnd"/>
      <w:r>
        <w:rPr>
          <w:i/>
          <w:iCs/>
          <w:lang w:val="fr-FR"/>
        </w:rPr>
        <w:t xml:space="preserve"> </w:t>
      </w:r>
      <w:proofErr w:type="spellStart"/>
      <w:r>
        <w:rPr>
          <w:i/>
          <w:iCs/>
          <w:lang w:val="fr-FR"/>
        </w:rPr>
        <w:t>delphis</w:t>
      </w:r>
      <w:proofErr w:type="spellEnd"/>
      <w:r>
        <w:rPr>
          <w:lang w:val="fr-FR"/>
        </w:rPr>
        <w:t>, Annexes I et II), les Baleines à bec de Cuvier (</w:t>
      </w:r>
      <w:proofErr w:type="spellStart"/>
      <w:r>
        <w:rPr>
          <w:i/>
          <w:iCs/>
          <w:lang w:val="fr-FR"/>
        </w:rPr>
        <w:t>Ziphius</w:t>
      </w:r>
      <w:proofErr w:type="spellEnd"/>
      <w:r>
        <w:rPr>
          <w:i/>
          <w:iCs/>
          <w:lang w:val="fr-FR"/>
        </w:rPr>
        <w:t xml:space="preserve"> </w:t>
      </w:r>
      <w:proofErr w:type="spellStart"/>
      <w:r>
        <w:rPr>
          <w:i/>
          <w:iCs/>
          <w:lang w:val="fr-FR"/>
        </w:rPr>
        <w:t>cavirostris</w:t>
      </w:r>
      <w:proofErr w:type="spellEnd"/>
      <w:r>
        <w:rPr>
          <w:lang w:val="fr-FR"/>
        </w:rPr>
        <w:t>, Annexe I), les Dauphins à bec blanc (</w:t>
      </w:r>
      <w:proofErr w:type="spellStart"/>
      <w:r>
        <w:rPr>
          <w:i/>
          <w:iCs/>
          <w:lang w:val="fr-FR"/>
        </w:rPr>
        <w:t>Lagenorhynchus</w:t>
      </w:r>
      <w:proofErr w:type="spellEnd"/>
      <w:r>
        <w:rPr>
          <w:i/>
          <w:iCs/>
          <w:lang w:val="fr-FR"/>
        </w:rPr>
        <w:t xml:space="preserve"> </w:t>
      </w:r>
      <w:proofErr w:type="spellStart"/>
      <w:r>
        <w:rPr>
          <w:i/>
          <w:iCs/>
          <w:lang w:val="fr-FR"/>
        </w:rPr>
        <w:t>albirostris</w:t>
      </w:r>
      <w:proofErr w:type="spellEnd"/>
      <w:r>
        <w:rPr>
          <w:lang w:val="fr-FR"/>
        </w:rPr>
        <w:t>, Annexe II), les Marsouins communs (</w:t>
      </w:r>
      <w:proofErr w:type="spellStart"/>
      <w:r>
        <w:rPr>
          <w:i/>
          <w:iCs/>
          <w:lang w:val="fr-FR"/>
        </w:rPr>
        <w:t>Phocoena</w:t>
      </w:r>
      <w:proofErr w:type="spellEnd"/>
      <w:r>
        <w:rPr>
          <w:i/>
          <w:iCs/>
          <w:lang w:val="fr-FR"/>
        </w:rPr>
        <w:t xml:space="preserve"> </w:t>
      </w:r>
      <w:proofErr w:type="spellStart"/>
      <w:r>
        <w:rPr>
          <w:i/>
          <w:iCs/>
          <w:lang w:val="fr-FR"/>
        </w:rPr>
        <w:t>phocoena</w:t>
      </w:r>
      <w:proofErr w:type="spellEnd"/>
      <w:r>
        <w:rPr>
          <w:lang w:val="fr-FR"/>
        </w:rPr>
        <w:t>, Annexe II), les Baleines à bec communes (</w:t>
      </w:r>
      <w:r>
        <w:rPr>
          <w:i/>
          <w:iCs/>
          <w:lang w:val="fr-FR"/>
        </w:rPr>
        <w:t xml:space="preserve">Hyperoodon </w:t>
      </w:r>
      <w:proofErr w:type="spellStart"/>
      <w:r>
        <w:rPr>
          <w:i/>
          <w:iCs/>
          <w:lang w:val="fr-FR"/>
        </w:rPr>
        <w:t>ampullatus</w:t>
      </w:r>
      <w:proofErr w:type="spellEnd"/>
      <w:r>
        <w:rPr>
          <w:lang w:val="fr-FR"/>
        </w:rPr>
        <w:t>, Annexe II), les Dauphins à flancs blancs du Pacifique (</w:t>
      </w:r>
      <w:proofErr w:type="spellStart"/>
      <w:r>
        <w:rPr>
          <w:i/>
          <w:iCs/>
          <w:lang w:val="fr-FR"/>
        </w:rPr>
        <w:t>Lagenorhynchus</w:t>
      </w:r>
      <w:proofErr w:type="spellEnd"/>
      <w:r>
        <w:rPr>
          <w:i/>
          <w:iCs/>
          <w:lang w:val="fr-FR"/>
        </w:rPr>
        <w:t xml:space="preserve"> </w:t>
      </w:r>
      <w:proofErr w:type="spellStart"/>
      <w:r>
        <w:rPr>
          <w:i/>
          <w:iCs/>
          <w:lang w:val="fr-FR"/>
        </w:rPr>
        <w:t>obliquidens</w:t>
      </w:r>
      <w:proofErr w:type="spellEnd"/>
      <w:r>
        <w:rPr>
          <w:lang w:val="fr-FR"/>
        </w:rPr>
        <w:t>).</w:t>
      </w:r>
    </w:p>
    <w:p w14:paraId="7A211B6C" w14:textId="77777777" w:rsidR="006E5484" w:rsidRDefault="006E5484">
      <w:pPr>
        <w:spacing w:after="0" w:line="240" w:lineRule="auto"/>
        <w:jc w:val="both"/>
        <w:rPr>
          <w:lang w:val="fr-FR"/>
        </w:rPr>
      </w:pPr>
    </w:p>
    <w:p w14:paraId="6325F345" w14:textId="77777777" w:rsidR="006E5484" w:rsidRDefault="006E5484">
      <w:pPr>
        <w:spacing w:after="0" w:line="240" w:lineRule="auto"/>
        <w:jc w:val="both"/>
        <w:rPr>
          <w:lang w:val="fr-FR"/>
        </w:rPr>
        <w:sectPr w:rsidR="006E5484" w:rsidSect="002D3F84">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20" w:footer="720" w:gutter="0"/>
          <w:cols w:space="720"/>
          <w:formProt w:val="0"/>
          <w:titlePg/>
          <w:docGrid w:linePitch="360" w:charSpace="4096"/>
        </w:sectPr>
      </w:pPr>
    </w:p>
    <w:p w14:paraId="41F293C7" w14:textId="77777777" w:rsidR="006E5484" w:rsidRDefault="00FB2FEF">
      <w:pPr>
        <w:pStyle w:val="Secondnumbering"/>
        <w:numPr>
          <w:ilvl w:val="0"/>
          <w:numId w:val="0"/>
        </w:numPr>
        <w:jc w:val="right"/>
        <w:rPr>
          <w:lang w:val="fr-FR"/>
        </w:rPr>
      </w:pPr>
      <w:r>
        <w:rPr>
          <w:rFonts w:cs="Arial"/>
          <w:b/>
          <w:caps/>
          <w:lang w:val="fr-FR"/>
        </w:rPr>
        <w:lastRenderedPageBreak/>
        <w:t>Annexe 2</w:t>
      </w:r>
    </w:p>
    <w:p w14:paraId="121C20D9" w14:textId="77777777" w:rsidR="006E5484" w:rsidRDefault="006E5484">
      <w:pPr>
        <w:pStyle w:val="Secondnumbering"/>
        <w:numPr>
          <w:ilvl w:val="0"/>
          <w:numId w:val="0"/>
        </w:numPr>
        <w:rPr>
          <w:lang w:val="fr-FR"/>
        </w:rPr>
      </w:pPr>
    </w:p>
    <w:p w14:paraId="5C24D95B" w14:textId="77777777" w:rsidR="006E5484" w:rsidRDefault="00FB2FEF">
      <w:pPr>
        <w:widowControl w:val="0"/>
        <w:spacing w:after="0" w:line="240" w:lineRule="auto"/>
        <w:jc w:val="center"/>
        <w:rPr>
          <w:lang w:val="fr-FR"/>
        </w:rPr>
      </w:pPr>
      <w:r>
        <w:rPr>
          <w:rFonts w:eastAsia="Times New Roman" w:cs="Arial"/>
          <w:lang w:val="fr-FR"/>
        </w:rPr>
        <w:t>PROJET DE RÉSOLUTION</w:t>
      </w:r>
    </w:p>
    <w:p w14:paraId="0CB35E90" w14:textId="77777777" w:rsidR="006E5484" w:rsidRDefault="006E5484">
      <w:pPr>
        <w:widowControl w:val="0"/>
        <w:spacing w:after="0" w:line="240" w:lineRule="auto"/>
        <w:jc w:val="center"/>
        <w:rPr>
          <w:rFonts w:eastAsia="Times New Roman" w:cs="Arial"/>
          <w:lang w:val="fr-FR"/>
        </w:rPr>
      </w:pPr>
    </w:p>
    <w:p w14:paraId="583F805F" w14:textId="433EA329" w:rsidR="006E5484" w:rsidRDefault="00FB2FEF">
      <w:pPr>
        <w:widowControl w:val="0"/>
        <w:pBdr>
          <w:top w:val="single" w:sz="6" w:space="0" w:color="FFFFFF"/>
          <w:left w:val="single" w:sz="6" w:space="0" w:color="FFFFFF"/>
          <w:bottom w:val="single" w:sz="6" w:space="0" w:color="FFFFFF"/>
          <w:right w:val="single" w:sz="6" w:space="0" w:color="FFFFFF"/>
        </w:pBdr>
        <w:spacing w:after="0" w:line="240" w:lineRule="auto"/>
        <w:jc w:val="center"/>
        <w:outlineLvl w:val="1"/>
        <w:rPr>
          <w:lang w:val="fr-FR"/>
        </w:rPr>
      </w:pPr>
      <w:r>
        <w:rPr>
          <w:rFonts w:eastAsia="Times New Roman" w:cs="Arial"/>
          <w:b/>
          <w:caps/>
          <w:lang w:val="fr-FR"/>
        </w:rPr>
        <w:t>Priorit</w:t>
      </w:r>
      <w:r w:rsidR="00A00D39">
        <w:rPr>
          <w:rFonts w:eastAsia="Times New Roman" w:cs="Arial"/>
          <w:b/>
          <w:caps/>
          <w:lang w:val="fr-FR"/>
        </w:rPr>
        <w:t>É</w:t>
      </w:r>
      <w:r>
        <w:rPr>
          <w:rFonts w:eastAsia="Times New Roman" w:cs="Arial"/>
          <w:b/>
          <w:caps/>
          <w:lang w:val="fr-FR"/>
        </w:rPr>
        <w:t>s de conservation pour les c</w:t>
      </w:r>
      <w:r w:rsidR="00A00D39">
        <w:rPr>
          <w:rFonts w:eastAsia="Times New Roman" w:cs="Arial"/>
          <w:b/>
          <w:caps/>
          <w:lang w:val="fr-FR"/>
        </w:rPr>
        <w:t>É</w:t>
      </w:r>
      <w:r>
        <w:rPr>
          <w:rFonts w:eastAsia="Times New Roman" w:cs="Arial"/>
          <w:b/>
          <w:caps/>
          <w:lang w:val="fr-FR"/>
        </w:rPr>
        <w:t>tac</w:t>
      </w:r>
      <w:r w:rsidR="00A00D39">
        <w:rPr>
          <w:rFonts w:eastAsia="Times New Roman" w:cs="Arial"/>
          <w:b/>
          <w:caps/>
          <w:lang w:val="fr-FR"/>
        </w:rPr>
        <w:t>É</w:t>
      </w:r>
      <w:r>
        <w:rPr>
          <w:rFonts w:eastAsia="Times New Roman" w:cs="Arial"/>
          <w:b/>
          <w:caps/>
          <w:lang w:val="fr-FR"/>
        </w:rPr>
        <w:t>s</w:t>
      </w:r>
    </w:p>
    <w:p w14:paraId="172C8FFC" w14:textId="77777777" w:rsidR="006E5484" w:rsidRDefault="006E5484">
      <w:pPr>
        <w:widowControl w:val="0"/>
        <w:spacing w:after="0" w:line="240" w:lineRule="auto"/>
        <w:jc w:val="both"/>
        <w:rPr>
          <w:rFonts w:eastAsia="Times New Roman" w:cs="Arial"/>
          <w:lang w:val="fr-FR"/>
        </w:rPr>
      </w:pPr>
    </w:p>
    <w:p w14:paraId="239C775D" w14:textId="77777777" w:rsidR="006E5484" w:rsidRDefault="006E5484">
      <w:pPr>
        <w:widowControl w:val="0"/>
        <w:spacing w:after="0" w:line="240" w:lineRule="auto"/>
        <w:jc w:val="both"/>
        <w:rPr>
          <w:rFonts w:eastAsia="Times New Roman" w:cs="Arial"/>
          <w:i/>
          <w:lang w:val="fr-FR"/>
        </w:rPr>
      </w:pPr>
    </w:p>
    <w:p w14:paraId="449BE2D5" w14:textId="4412B2B1" w:rsidR="006E5484" w:rsidRDefault="00FB2FEF">
      <w:pPr>
        <w:widowControl w:val="0"/>
        <w:spacing w:after="0" w:line="240" w:lineRule="auto"/>
        <w:jc w:val="both"/>
        <w:rPr>
          <w:lang w:val="fr-FR"/>
        </w:rPr>
      </w:pPr>
      <w:r>
        <w:rPr>
          <w:rFonts w:eastAsia="Times New Roman" w:cs="Arial"/>
          <w:i/>
          <w:lang w:val="fr-FR"/>
        </w:rPr>
        <w:t xml:space="preserve">Rappelant </w:t>
      </w:r>
      <w:r>
        <w:rPr>
          <w:rFonts w:eastAsia="Times New Roman" w:cs="Arial"/>
          <w:iCs/>
          <w:lang w:val="fr-FR"/>
        </w:rPr>
        <w:t>l'Article 2, paragraphe 1 de la Convention, où « les Parties reconnaissent l'importance de la préservation des espèces migratrices », et</w:t>
      </w:r>
      <w:r>
        <w:rPr>
          <w:rFonts w:eastAsia="Times New Roman" w:cs="Arial"/>
          <w:i/>
          <w:lang w:val="fr-FR"/>
        </w:rPr>
        <w:t xml:space="preserve"> reconnaissant</w:t>
      </w:r>
      <w:r>
        <w:rPr>
          <w:rFonts w:eastAsia="Times New Roman" w:cs="Arial"/>
          <w:iCs/>
          <w:lang w:val="fr-FR"/>
        </w:rPr>
        <w:t xml:space="preserve"> que les espèces de cétacés migrateurs </w:t>
      </w:r>
      <w:r w:rsidR="005F3AF5">
        <w:rPr>
          <w:rFonts w:eastAsia="Times New Roman" w:cs="Arial"/>
          <w:iCs/>
          <w:lang w:val="fr-FR"/>
        </w:rPr>
        <w:t xml:space="preserve">sont </w:t>
      </w:r>
      <w:r>
        <w:rPr>
          <w:rFonts w:eastAsia="Times New Roman" w:cs="Arial"/>
          <w:iCs/>
          <w:lang w:val="fr-FR"/>
        </w:rPr>
        <w:t>confrontées à des menaces multiples et cumulatives avec des effets possibles sur de vastes zones,</w:t>
      </w:r>
    </w:p>
    <w:p w14:paraId="2B59DA20" w14:textId="77777777" w:rsidR="006E5484" w:rsidRDefault="006E5484">
      <w:pPr>
        <w:widowControl w:val="0"/>
        <w:spacing w:after="0" w:line="240" w:lineRule="auto"/>
        <w:jc w:val="both"/>
        <w:rPr>
          <w:rFonts w:eastAsia="Times New Roman" w:cs="Arial"/>
          <w:i/>
          <w:lang w:val="fr-FR"/>
        </w:rPr>
      </w:pPr>
    </w:p>
    <w:p w14:paraId="203509E8" w14:textId="47EC1EE7" w:rsidR="006E5484" w:rsidRDefault="00FB2FEF">
      <w:pPr>
        <w:widowControl w:val="0"/>
        <w:spacing w:after="0" w:line="240" w:lineRule="auto"/>
        <w:jc w:val="both"/>
        <w:rPr>
          <w:lang w:val="fr-FR"/>
        </w:rPr>
      </w:pPr>
      <w:r>
        <w:rPr>
          <w:rFonts w:eastAsia="Times New Roman" w:cs="Arial"/>
          <w:i/>
          <w:iCs/>
          <w:lang w:val="fr-FR"/>
        </w:rPr>
        <w:t>Rappelant</w:t>
      </w:r>
      <w:r>
        <w:rPr>
          <w:rFonts w:eastAsia="Times New Roman" w:cs="Arial"/>
          <w:i/>
          <w:lang w:val="fr-FR"/>
        </w:rPr>
        <w:t xml:space="preserve"> </w:t>
      </w:r>
      <w:r>
        <w:rPr>
          <w:rFonts w:eastAsia="Times New Roman" w:cs="Arial"/>
          <w:iCs/>
          <w:lang w:val="fr-FR"/>
        </w:rPr>
        <w:t xml:space="preserve">la Résolution 10.15 (Rev.COP12) </w:t>
      </w:r>
      <w:r>
        <w:rPr>
          <w:rFonts w:eastAsia="Times New Roman" w:cs="Arial"/>
          <w:i/>
          <w:lang w:val="fr-FR"/>
        </w:rPr>
        <w:t>Programme de travail mondial pour les cétacés,</w:t>
      </w:r>
    </w:p>
    <w:p w14:paraId="2DC9DE54" w14:textId="77777777" w:rsidR="006E5484" w:rsidRDefault="006E5484">
      <w:pPr>
        <w:widowControl w:val="0"/>
        <w:spacing w:after="0" w:line="240" w:lineRule="auto"/>
        <w:jc w:val="both"/>
        <w:rPr>
          <w:rFonts w:eastAsia="Times New Roman" w:cs="Arial"/>
          <w:i/>
          <w:lang w:val="fr-FR"/>
        </w:rPr>
      </w:pPr>
    </w:p>
    <w:p w14:paraId="3462F636" w14:textId="65DCDB0F" w:rsidR="006E5484" w:rsidRPr="005F3AF5" w:rsidRDefault="00FB2FEF">
      <w:pPr>
        <w:widowControl w:val="0"/>
        <w:spacing w:after="0" w:line="240" w:lineRule="auto"/>
        <w:jc w:val="both"/>
        <w:rPr>
          <w:lang w:val="fr-FR"/>
        </w:rPr>
      </w:pPr>
      <w:r w:rsidRPr="005F3AF5">
        <w:rPr>
          <w:rFonts w:eastAsia="Times New Roman" w:cs="Arial"/>
          <w:i/>
          <w:iCs/>
          <w:lang w:val="fr-FR"/>
        </w:rPr>
        <w:t>Reconnaissant</w:t>
      </w:r>
      <w:r w:rsidRPr="005F3AF5">
        <w:rPr>
          <w:rFonts w:eastAsia="Times New Roman" w:cs="Arial"/>
          <w:i/>
          <w:lang w:val="fr-FR"/>
        </w:rPr>
        <w:t xml:space="preserve"> </w:t>
      </w:r>
      <w:r w:rsidRPr="005F3AF5">
        <w:rPr>
          <w:rFonts w:eastAsia="Times New Roman" w:cs="Arial"/>
          <w:iCs/>
          <w:lang w:val="fr-FR"/>
        </w:rPr>
        <w:t>les autres résolutions connexes de la CMS, y compris</w:t>
      </w:r>
      <w:r w:rsidR="00750B32" w:rsidRPr="005F3AF5">
        <w:rPr>
          <w:rFonts w:eastAsia="Times New Roman" w:cs="Arial"/>
          <w:iCs/>
          <w:lang w:val="fr-FR"/>
        </w:rPr>
        <w:t xml:space="preserve"> Résolution 07.02 (Rev.COP12) </w:t>
      </w:r>
      <w:r w:rsidR="00137228" w:rsidRPr="005F3AF5">
        <w:rPr>
          <w:rFonts w:eastAsia="Times New Roman" w:cs="Arial"/>
          <w:i/>
          <w:iCs/>
          <w:lang w:val="fr-FR"/>
        </w:rPr>
        <w:t>Évaluation d'impact et espèces migratrices</w:t>
      </w:r>
      <w:r w:rsidR="00750B32" w:rsidRPr="005F3AF5">
        <w:rPr>
          <w:rFonts w:eastAsia="Times New Roman" w:cs="Arial"/>
          <w:iCs/>
          <w:lang w:val="fr-FR"/>
        </w:rPr>
        <w:t xml:space="preserve">, Résolution 07.03 (Rev.COP12) </w:t>
      </w:r>
      <w:r w:rsidR="00BF7EDC" w:rsidRPr="005F3AF5">
        <w:rPr>
          <w:rFonts w:eastAsia="Times New Roman" w:cs="Arial"/>
          <w:i/>
          <w:iCs/>
          <w:lang w:val="fr-FR"/>
        </w:rPr>
        <w:t>Marées noires et espèces migratrices</w:t>
      </w:r>
      <w:r w:rsidR="00750B32" w:rsidRPr="005F3AF5">
        <w:rPr>
          <w:rFonts w:eastAsia="Times New Roman" w:cs="Arial"/>
          <w:iCs/>
          <w:lang w:val="fr-FR"/>
        </w:rPr>
        <w:t xml:space="preserve">, Résolution 09.09 (Rev.COP12) </w:t>
      </w:r>
      <w:r w:rsidR="00FF3164" w:rsidRPr="005F3AF5">
        <w:rPr>
          <w:rFonts w:eastAsia="Times New Roman" w:cs="Arial"/>
          <w:i/>
          <w:iCs/>
          <w:lang w:val="fr-FR"/>
        </w:rPr>
        <w:t>Espèces marines migratrices</w:t>
      </w:r>
      <w:r w:rsidR="00750B32" w:rsidRPr="005F3AF5">
        <w:rPr>
          <w:rFonts w:eastAsia="Times New Roman" w:cs="Arial"/>
          <w:iCs/>
          <w:lang w:val="fr-FR"/>
        </w:rPr>
        <w:t xml:space="preserve">, </w:t>
      </w:r>
      <w:r w:rsidR="00FF3164" w:rsidRPr="005F3AF5">
        <w:rPr>
          <w:rFonts w:eastAsia="Times New Roman" w:cs="Arial"/>
          <w:iCs/>
          <w:lang w:val="fr-FR"/>
        </w:rPr>
        <w:t>Résolution</w:t>
      </w:r>
      <w:r w:rsidR="00750B32" w:rsidRPr="005F3AF5">
        <w:rPr>
          <w:rFonts w:eastAsia="Times New Roman" w:cs="Arial"/>
          <w:iCs/>
          <w:lang w:val="fr-FR"/>
        </w:rPr>
        <w:t xml:space="preserve"> 11.10 (Rev.COP13) </w:t>
      </w:r>
      <w:r w:rsidR="00FF3164" w:rsidRPr="005F3AF5">
        <w:rPr>
          <w:rFonts w:eastAsia="Times New Roman" w:cs="Arial"/>
          <w:i/>
          <w:iCs/>
          <w:lang w:val="fr-FR"/>
        </w:rPr>
        <w:t>Synergies et partenariats</w:t>
      </w:r>
      <w:r w:rsidR="00750B32" w:rsidRPr="005F3AF5">
        <w:rPr>
          <w:rFonts w:eastAsia="Times New Roman" w:cs="Arial"/>
          <w:iCs/>
          <w:lang w:val="fr-FR"/>
        </w:rPr>
        <w:t xml:space="preserve">, Résolution 11.22 (Rev.COP12) </w:t>
      </w:r>
      <w:r w:rsidR="00C00712" w:rsidRPr="005F3AF5">
        <w:rPr>
          <w:rFonts w:eastAsia="Times New Roman" w:cs="Arial"/>
          <w:i/>
          <w:iCs/>
          <w:lang w:val="fr-FR"/>
        </w:rPr>
        <w:t>Capture de cétacés vivants dans leur milieu naturel à des fins commerciales</w:t>
      </w:r>
      <w:r w:rsidR="00750B32" w:rsidRPr="005F3AF5">
        <w:rPr>
          <w:rFonts w:eastAsia="Times New Roman" w:cs="Arial"/>
          <w:iCs/>
          <w:lang w:val="fr-FR"/>
        </w:rPr>
        <w:t xml:space="preserve">, Résolution 11.23 (Rev.COP12) </w:t>
      </w:r>
      <w:r w:rsidR="00C00712" w:rsidRPr="005F3AF5">
        <w:rPr>
          <w:rFonts w:eastAsia="Times New Roman" w:cs="Arial"/>
          <w:i/>
          <w:iCs/>
          <w:lang w:val="fr-FR"/>
        </w:rPr>
        <w:t>Conséquences de la culture des animaux et complexité sociale</w:t>
      </w:r>
      <w:r w:rsidR="00750B32" w:rsidRPr="005F3AF5">
        <w:rPr>
          <w:rFonts w:eastAsia="Times New Roman" w:cs="Arial"/>
          <w:iCs/>
          <w:lang w:val="fr-FR"/>
        </w:rPr>
        <w:t xml:space="preserve">, Résolution 11.27 (Rev.COP13) </w:t>
      </w:r>
      <w:r w:rsidR="00016ADE" w:rsidRPr="005F3AF5">
        <w:rPr>
          <w:rFonts w:eastAsia="Times New Roman" w:cs="Arial"/>
          <w:i/>
          <w:iCs/>
          <w:lang w:val="fr-FR"/>
        </w:rPr>
        <w:t>Énergie renouvelable et espèces migratrices</w:t>
      </w:r>
      <w:r w:rsidR="00750B32" w:rsidRPr="005F3AF5">
        <w:rPr>
          <w:rFonts w:eastAsia="Times New Roman" w:cs="Arial"/>
          <w:iCs/>
          <w:lang w:val="fr-FR"/>
        </w:rPr>
        <w:t xml:space="preserve">, Résolution 11.28 </w:t>
      </w:r>
      <w:r w:rsidR="00005091" w:rsidRPr="005F3AF5">
        <w:rPr>
          <w:rFonts w:eastAsia="Times New Roman" w:cs="Arial"/>
          <w:i/>
          <w:iCs/>
          <w:lang w:val="fr-FR"/>
        </w:rPr>
        <w:t>Activités futures de la CMS concernant les espèces exotiques envahissantes</w:t>
      </w:r>
      <w:r w:rsidR="00750B32" w:rsidRPr="005F3AF5">
        <w:rPr>
          <w:rFonts w:eastAsia="Times New Roman" w:cs="Arial"/>
          <w:iCs/>
          <w:lang w:val="fr-FR"/>
        </w:rPr>
        <w:t xml:space="preserve">, Résolution 11.29 (Rev.COP12) </w:t>
      </w:r>
      <w:r w:rsidR="00005091" w:rsidRPr="005F3AF5">
        <w:rPr>
          <w:rFonts w:eastAsia="Times New Roman" w:cs="Arial"/>
          <w:i/>
          <w:iCs/>
          <w:lang w:val="fr-FR"/>
        </w:rPr>
        <w:t>Observation de la vie sauvage marine en bateau dans le cadre d'un tourisme durable</w:t>
      </w:r>
      <w:r w:rsidR="00750B32" w:rsidRPr="005F3AF5">
        <w:rPr>
          <w:rFonts w:eastAsia="Times New Roman" w:cs="Arial"/>
          <w:iCs/>
          <w:lang w:val="fr-FR"/>
        </w:rPr>
        <w:t xml:space="preserve">, Résolution 12.07 (Rev.COP13) </w:t>
      </w:r>
      <w:r w:rsidR="00F70CC7" w:rsidRPr="005F3AF5">
        <w:rPr>
          <w:rFonts w:eastAsia="Times New Roman" w:cs="Arial"/>
          <w:i/>
          <w:iCs/>
          <w:lang w:val="fr-FR"/>
        </w:rPr>
        <w:t>Le rôle des réseaux écologiques pour la conservation des espèces migratrices</w:t>
      </w:r>
      <w:r w:rsidR="00750B32" w:rsidRPr="005F3AF5">
        <w:rPr>
          <w:rFonts w:eastAsia="Times New Roman" w:cs="Arial"/>
          <w:iCs/>
          <w:lang w:val="fr-FR"/>
        </w:rPr>
        <w:t xml:space="preserve">, Résolution 12.13 </w:t>
      </w:r>
      <w:r w:rsidR="00F70CC7" w:rsidRPr="005F3AF5">
        <w:rPr>
          <w:rFonts w:eastAsia="Times New Roman" w:cs="Arial"/>
          <w:i/>
          <w:iCs/>
          <w:lang w:val="fr-FR"/>
        </w:rPr>
        <w:t>Aires importantes pour les mammifères marins (AIMM)</w:t>
      </w:r>
      <w:r w:rsidR="00750B32" w:rsidRPr="005F3AF5">
        <w:rPr>
          <w:rFonts w:eastAsia="Times New Roman" w:cs="Arial"/>
          <w:iCs/>
          <w:lang w:val="fr-FR"/>
        </w:rPr>
        <w:t xml:space="preserve">, Résolution 12.14 </w:t>
      </w:r>
      <w:r w:rsidR="00E01FB3" w:rsidRPr="005F3AF5">
        <w:rPr>
          <w:rFonts w:eastAsia="Times New Roman" w:cs="Arial"/>
          <w:i/>
          <w:iCs/>
          <w:lang w:val="fr-FR"/>
        </w:rPr>
        <w:t>Impacts négatifs des bruits anthropiques sur les cétacés et d'autres espèces migratrices</w:t>
      </w:r>
      <w:r w:rsidR="00750B32" w:rsidRPr="005F3AF5">
        <w:rPr>
          <w:rFonts w:eastAsia="Times New Roman" w:cs="Arial"/>
          <w:iCs/>
          <w:lang w:val="fr-FR"/>
        </w:rPr>
        <w:t xml:space="preserve">, Résolution 12.15 </w:t>
      </w:r>
      <w:r w:rsidR="00E9638C" w:rsidRPr="005F3AF5">
        <w:rPr>
          <w:rFonts w:eastAsia="Times New Roman" w:cs="Arial"/>
          <w:i/>
          <w:iCs/>
          <w:lang w:val="fr-FR"/>
        </w:rPr>
        <w:t>Viande d'animaux sauvages aquatiques</w:t>
      </w:r>
      <w:r w:rsidR="00750B32" w:rsidRPr="005F3AF5">
        <w:rPr>
          <w:rFonts w:eastAsia="Times New Roman" w:cs="Arial"/>
          <w:iCs/>
          <w:lang w:val="fr-FR"/>
        </w:rPr>
        <w:t xml:space="preserve">, Résolution 12.16 </w:t>
      </w:r>
      <w:r w:rsidR="00E9638C" w:rsidRPr="005F3AF5">
        <w:rPr>
          <w:rFonts w:eastAsia="Times New Roman" w:cs="Arial"/>
          <w:i/>
          <w:iCs/>
          <w:lang w:val="fr-FR"/>
        </w:rPr>
        <w:t>Interaction récréative dans l'eau avec des mammifères marins</w:t>
      </w:r>
      <w:r w:rsidR="00750B32" w:rsidRPr="005F3AF5">
        <w:rPr>
          <w:rFonts w:eastAsia="Times New Roman" w:cs="Arial"/>
          <w:iCs/>
          <w:lang w:val="fr-FR"/>
        </w:rPr>
        <w:t xml:space="preserve">, Résolution 12.17 </w:t>
      </w:r>
      <w:r w:rsidR="00AA5C80" w:rsidRPr="005F3AF5">
        <w:rPr>
          <w:rFonts w:eastAsia="Times New Roman" w:cs="Arial"/>
          <w:i/>
          <w:iCs/>
          <w:lang w:val="fr-FR"/>
        </w:rPr>
        <w:t>Conservation et gestion des baleines et de leurs habitats dans la région de l'Atlantique sud</w:t>
      </w:r>
      <w:r w:rsidR="00750B32" w:rsidRPr="005F3AF5">
        <w:rPr>
          <w:rFonts w:eastAsia="Times New Roman" w:cs="Arial"/>
          <w:iCs/>
          <w:lang w:val="fr-FR"/>
        </w:rPr>
        <w:t xml:space="preserve">, Résolution 12.20 </w:t>
      </w:r>
      <w:r w:rsidR="00AA5C80" w:rsidRPr="005F3AF5">
        <w:rPr>
          <w:rFonts w:eastAsia="Times New Roman" w:cs="Arial"/>
          <w:i/>
          <w:iCs/>
          <w:lang w:val="fr-FR"/>
        </w:rPr>
        <w:t>Gestion des débris marins</w:t>
      </w:r>
      <w:r w:rsidR="00750B32" w:rsidRPr="005F3AF5">
        <w:rPr>
          <w:rFonts w:eastAsia="Times New Roman" w:cs="Arial"/>
          <w:iCs/>
          <w:lang w:val="fr-FR"/>
        </w:rPr>
        <w:t xml:space="preserve">, Résolution 12.21 </w:t>
      </w:r>
      <w:r w:rsidR="000647A2" w:rsidRPr="005F3AF5">
        <w:rPr>
          <w:rFonts w:eastAsia="Times New Roman" w:cs="Arial"/>
          <w:i/>
          <w:iCs/>
          <w:lang w:val="fr-FR"/>
        </w:rPr>
        <w:t>Changement climatique et espèces migratrices</w:t>
      </w:r>
      <w:r w:rsidR="00750B32" w:rsidRPr="005F3AF5">
        <w:rPr>
          <w:rFonts w:eastAsia="Times New Roman" w:cs="Arial"/>
          <w:iCs/>
          <w:lang w:val="fr-FR"/>
        </w:rPr>
        <w:t xml:space="preserve">, Résolution 12.22 </w:t>
      </w:r>
      <w:r w:rsidR="000647A2" w:rsidRPr="005F3AF5">
        <w:rPr>
          <w:rFonts w:eastAsia="Times New Roman" w:cs="Arial"/>
          <w:i/>
          <w:iCs/>
          <w:lang w:val="fr-FR"/>
        </w:rPr>
        <w:t>Prises accessoires</w:t>
      </w:r>
      <w:r w:rsidR="00750B32" w:rsidRPr="005F3AF5">
        <w:rPr>
          <w:rFonts w:eastAsia="Times New Roman" w:cs="Arial"/>
          <w:iCs/>
          <w:lang w:val="fr-FR"/>
        </w:rPr>
        <w:t xml:space="preserve">, Résolution 12.23 </w:t>
      </w:r>
      <w:r w:rsidR="003E293F" w:rsidRPr="005F3AF5">
        <w:rPr>
          <w:rFonts w:eastAsia="Times New Roman" w:cs="Arial"/>
          <w:i/>
          <w:iCs/>
          <w:lang w:val="fr-FR"/>
        </w:rPr>
        <w:t>Tourisme durable et espèces migratrices</w:t>
      </w:r>
      <w:r w:rsidR="00750B32" w:rsidRPr="005F3AF5">
        <w:rPr>
          <w:rFonts w:eastAsia="Times New Roman" w:cs="Arial"/>
          <w:iCs/>
          <w:lang w:val="fr-FR"/>
        </w:rPr>
        <w:t xml:space="preserve">, Résolution 12.24 </w:t>
      </w:r>
      <w:r w:rsidR="003E293F" w:rsidRPr="005F3AF5">
        <w:rPr>
          <w:rFonts w:eastAsia="Times New Roman" w:cs="Arial"/>
          <w:i/>
          <w:iCs/>
          <w:lang w:val="fr-FR"/>
        </w:rPr>
        <w:t>Promouvoir les réseaux d'aires marines protégées dans la région de l'ASEAN</w:t>
      </w:r>
      <w:r w:rsidR="00750B32" w:rsidRPr="005F3AF5">
        <w:rPr>
          <w:rFonts w:eastAsia="Times New Roman" w:cs="Arial"/>
          <w:iCs/>
          <w:lang w:val="fr-FR"/>
        </w:rPr>
        <w:t xml:space="preserve">, Résolution 12.25 </w:t>
      </w:r>
      <w:r w:rsidR="007875F9" w:rsidRPr="005F3AF5">
        <w:rPr>
          <w:rFonts w:eastAsia="Times New Roman" w:cs="Arial"/>
          <w:i/>
          <w:iCs/>
          <w:lang w:val="fr-FR"/>
        </w:rPr>
        <w:t>Promouvoir la conservation des habitats intertidaux et autres habitats côtiers pour les espèces migratrices</w:t>
      </w:r>
      <w:r w:rsidR="00750B32" w:rsidRPr="005F3AF5">
        <w:rPr>
          <w:rFonts w:eastAsia="Times New Roman" w:cs="Arial"/>
          <w:iCs/>
          <w:lang w:val="fr-FR"/>
        </w:rPr>
        <w:t xml:space="preserve">, Résolution 12.26 (Rev.COP13) </w:t>
      </w:r>
      <w:r w:rsidR="007875F9" w:rsidRPr="005F3AF5">
        <w:rPr>
          <w:rFonts w:eastAsia="Times New Roman" w:cs="Arial"/>
          <w:i/>
          <w:iCs/>
          <w:lang w:val="fr-FR"/>
        </w:rPr>
        <w:t>Améliorer les approches à la connectivité dans la conservation des espèces migratrices</w:t>
      </w:r>
      <w:r w:rsidR="00750B32" w:rsidRPr="005F3AF5">
        <w:rPr>
          <w:rFonts w:eastAsia="Times New Roman" w:cs="Arial"/>
          <w:iCs/>
          <w:lang w:val="fr-FR"/>
        </w:rPr>
        <w:t xml:space="preserve">, </w:t>
      </w:r>
      <w:r w:rsidR="00DB55CE" w:rsidRPr="005F3AF5">
        <w:rPr>
          <w:rFonts w:eastAsia="Times New Roman" w:cs="Arial"/>
          <w:iCs/>
          <w:lang w:val="fr-FR"/>
        </w:rPr>
        <w:t xml:space="preserve">et </w:t>
      </w:r>
      <w:r w:rsidR="00750B32" w:rsidRPr="005F3AF5">
        <w:rPr>
          <w:rFonts w:eastAsia="Times New Roman" w:cs="Arial"/>
          <w:iCs/>
          <w:lang w:val="fr-FR"/>
        </w:rPr>
        <w:t xml:space="preserve">Résolution 13.5 </w:t>
      </w:r>
      <w:r w:rsidR="001940D3" w:rsidRPr="005F3AF5">
        <w:rPr>
          <w:rFonts w:eastAsia="Times New Roman" w:cs="Arial"/>
          <w:i/>
          <w:lang w:val="fr-FR"/>
        </w:rPr>
        <w:t>Lignes directrices relatives à la pollution lumineuse dont est victime la faune sauvage</w:t>
      </w:r>
      <w:r w:rsidRPr="005F3AF5">
        <w:rPr>
          <w:rFonts w:eastAsia="Times New Roman" w:cs="Arial"/>
          <w:i/>
          <w:lang w:val="fr-FR"/>
        </w:rPr>
        <w:t>,</w:t>
      </w:r>
    </w:p>
    <w:p w14:paraId="538C4A36" w14:textId="77777777" w:rsidR="006E5484" w:rsidRDefault="006E5484">
      <w:pPr>
        <w:widowControl w:val="0"/>
        <w:spacing w:after="0" w:line="240" w:lineRule="auto"/>
        <w:jc w:val="both"/>
        <w:rPr>
          <w:rFonts w:eastAsia="Times New Roman" w:cs="Arial"/>
          <w:i/>
          <w:lang w:val="fr-FR"/>
        </w:rPr>
      </w:pPr>
    </w:p>
    <w:p w14:paraId="4D9293A7" w14:textId="7AEB9268" w:rsidR="00C10D12" w:rsidRPr="00C10D12" w:rsidRDefault="00C10D12">
      <w:pPr>
        <w:widowControl w:val="0"/>
        <w:spacing w:after="0" w:line="240" w:lineRule="auto"/>
        <w:jc w:val="both"/>
        <w:rPr>
          <w:rFonts w:eastAsia="Times New Roman" w:cs="Arial"/>
          <w:iCs/>
          <w:lang w:val="fr-FR"/>
        </w:rPr>
      </w:pPr>
      <w:r w:rsidRPr="00C10D12">
        <w:rPr>
          <w:rFonts w:eastAsia="Times New Roman" w:cs="Arial"/>
          <w:i/>
          <w:lang w:val="fr-FR"/>
        </w:rPr>
        <w:t xml:space="preserve">Répondant </w:t>
      </w:r>
      <w:r w:rsidRPr="00C10D12">
        <w:rPr>
          <w:rFonts w:eastAsia="Times New Roman" w:cs="Arial"/>
          <w:iCs/>
          <w:lang w:val="fr-FR"/>
        </w:rPr>
        <w:t>aux préoccupations largement répandues selon lesquelles les cétacés, un groupe taxonomique vaste et diversifié de plus de 90 espèces avec de nombreuses populations distinctes que l'on trouve dans tous les océans et mers du monde et dans certains grands systèmes fluviaux, et qui jouent un rôle crucial dans les écosystèmes marins et dans l'atténuation du changement climatique, sont affectés par des menaces de plus en plus nombreuses et diverses, y compris des impacts de plus en plus importants causés par l'homme,</w:t>
      </w:r>
    </w:p>
    <w:p w14:paraId="622C957F" w14:textId="77777777" w:rsidR="00C10D12" w:rsidRDefault="00C10D12">
      <w:pPr>
        <w:widowControl w:val="0"/>
        <w:spacing w:after="0" w:line="240" w:lineRule="auto"/>
        <w:jc w:val="both"/>
        <w:rPr>
          <w:rFonts w:eastAsia="Times New Roman" w:cs="Arial"/>
          <w:i/>
          <w:lang w:val="fr-FR"/>
        </w:rPr>
      </w:pPr>
    </w:p>
    <w:p w14:paraId="15A188AD" w14:textId="77777777" w:rsidR="00F25F82" w:rsidRPr="00F25F82" w:rsidRDefault="00F25F82" w:rsidP="00F25F82">
      <w:pPr>
        <w:widowControl w:val="0"/>
        <w:spacing w:after="0" w:line="240" w:lineRule="auto"/>
        <w:jc w:val="both"/>
        <w:rPr>
          <w:rFonts w:eastAsia="Times New Roman" w:cs="Arial"/>
          <w:iCs/>
          <w:lang w:val="fr-FR"/>
        </w:rPr>
      </w:pPr>
      <w:r w:rsidRPr="00F25F82">
        <w:rPr>
          <w:rFonts w:eastAsia="Times New Roman" w:cs="Arial"/>
          <w:i/>
          <w:lang w:val="fr-FR"/>
        </w:rPr>
        <w:t xml:space="preserve">Rappelant </w:t>
      </w:r>
      <w:r w:rsidRPr="00F25F82">
        <w:rPr>
          <w:rFonts w:eastAsia="Times New Roman" w:cs="Arial"/>
          <w:iCs/>
          <w:lang w:val="fr-FR"/>
        </w:rPr>
        <w:t>que plus de 50 espèces de cétacés sont actuellement inscrites aux Annexes de la CMS,</w:t>
      </w:r>
    </w:p>
    <w:p w14:paraId="71050925" w14:textId="1C1EBB1F" w:rsidR="00F25F82" w:rsidRDefault="00F25F82" w:rsidP="00F25F82">
      <w:pPr>
        <w:widowControl w:val="0"/>
        <w:spacing w:after="0" w:line="240" w:lineRule="auto"/>
        <w:jc w:val="both"/>
        <w:rPr>
          <w:rFonts w:eastAsia="Times New Roman" w:cs="Arial"/>
          <w:i/>
          <w:lang w:val="fr-FR"/>
        </w:rPr>
      </w:pPr>
      <w:r>
        <w:rPr>
          <w:rFonts w:eastAsia="Times New Roman" w:cs="Arial"/>
          <w:i/>
          <w:lang w:val="fr-FR"/>
        </w:rPr>
        <w:br w:type="page"/>
      </w:r>
    </w:p>
    <w:p w14:paraId="73A58982" w14:textId="4511CE9E" w:rsidR="00F25F82" w:rsidRPr="00F25F82" w:rsidRDefault="00F25F82" w:rsidP="00F25F82">
      <w:pPr>
        <w:widowControl w:val="0"/>
        <w:spacing w:after="0" w:line="240" w:lineRule="auto"/>
        <w:jc w:val="both"/>
        <w:rPr>
          <w:rFonts w:eastAsia="Times New Roman" w:cs="Arial"/>
          <w:iCs/>
          <w:lang w:val="fr-FR"/>
        </w:rPr>
      </w:pPr>
      <w:r w:rsidRPr="00F25F82">
        <w:rPr>
          <w:rFonts w:eastAsia="Times New Roman" w:cs="Arial"/>
          <w:i/>
          <w:lang w:val="fr-FR"/>
        </w:rPr>
        <w:lastRenderedPageBreak/>
        <w:t xml:space="preserve">Reconnaissant </w:t>
      </w:r>
      <w:r w:rsidRPr="00F25F82">
        <w:rPr>
          <w:rFonts w:eastAsia="Times New Roman" w:cs="Arial"/>
          <w:iCs/>
          <w:lang w:val="fr-FR"/>
        </w:rPr>
        <w:t>la valeur des connaissances et de l'expertise au sein de la famille élargie de la CMS, en particulier en ce qui concerne la collaboration étroite de la CMS avec ses Accords régionaux spécialisés sur les cétacés, ACCOBAMS</w:t>
      </w:r>
      <w:r w:rsidR="00751D2F">
        <w:rPr>
          <w:rStyle w:val="FootnoteReference"/>
          <w:iCs/>
        </w:rPr>
        <w:footnoteReference w:id="4"/>
      </w:r>
      <w:r w:rsidR="00751D2F" w:rsidRPr="00751D2F">
        <w:rPr>
          <w:iCs/>
          <w:lang w:val="fr-FR"/>
        </w:rPr>
        <w:t xml:space="preserve"> </w:t>
      </w:r>
      <w:r w:rsidRPr="00F25F82">
        <w:rPr>
          <w:rFonts w:eastAsia="Times New Roman" w:cs="Arial"/>
          <w:iCs/>
          <w:lang w:val="fr-FR"/>
        </w:rPr>
        <w:t xml:space="preserve"> et ASCOBANS</w:t>
      </w:r>
      <w:r>
        <w:rPr>
          <w:rStyle w:val="FootnoteReference"/>
          <w:iCs/>
        </w:rPr>
        <w:footnoteReference w:id="5"/>
      </w:r>
      <w:r w:rsidRPr="00F25F82">
        <w:rPr>
          <w:rFonts w:eastAsia="Times New Roman" w:cs="Arial"/>
          <w:iCs/>
          <w:lang w:val="fr-FR"/>
        </w:rPr>
        <w:t>, le Mémorandum d'Accord concernant la conservation du lamantin et des petits cétacés d'Afrique de l'Ouest et de Macaronésie, le Mémorandum d'Accord pour la Conservation des Cétacés et de leurs Habitats dans la Région des Iles du Pacifique, et les chantiers connexes, afin de générer les meilleurs conseils et orientations possibles pour les actions de conservation à l'échelle mondiale et régionale, le cas échéant,</w:t>
      </w:r>
    </w:p>
    <w:p w14:paraId="7E0AFE97" w14:textId="77777777" w:rsidR="00F25F82" w:rsidRPr="005F3AF5" w:rsidRDefault="00F25F82">
      <w:pPr>
        <w:widowControl w:val="0"/>
        <w:spacing w:after="0" w:line="240" w:lineRule="auto"/>
        <w:jc w:val="both"/>
        <w:rPr>
          <w:rFonts w:eastAsia="Times New Roman" w:cs="Arial"/>
          <w:i/>
          <w:lang w:val="fr-FR"/>
        </w:rPr>
      </w:pPr>
    </w:p>
    <w:p w14:paraId="5249EFCD" w14:textId="4A387B58" w:rsidR="0033563D" w:rsidRDefault="0033563D" w:rsidP="0033563D">
      <w:pPr>
        <w:widowControl w:val="0"/>
        <w:spacing w:after="0" w:line="240" w:lineRule="auto"/>
        <w:jc w:val="both"/>
        <w:rPr>
          <w:lang w:val="fr-FR"/>
        </w:rPr>
      </w:pPr>
      <w:r w:rsidRPr="005F3AF5">
        <w:rPr>
          <w:rFonts w:eastAsia="Times New Roman" w:cs="Arial"/>
          <w:i/>
          <w:iCs/>
          <w:lang w:val="fr-FR"/>
        </w:rPr>
        <w:t>Consciente</w:t>
      </w:r>
      <w:r w:rsidRPr="005F3AF5">
        <w:rPr>
          <w:rFonts w:eastAsia="Times New Roman" w:cs="Arial"/>
          <w:i/>
          <w:lang w:val="fr-FR"/>
        </w:rPr>
        <w:t xml:space="preserve"> </w:t>
      </w:r>
      <w:r w:rsidRPr="005F3AF5">
        <w:rPr>
          <w:rFonts w:eastAsia="Times New Roman" w:cs="Arial"/>
          <w:iCs/>
          <w:lang w:val="fr-FR"/>
        </w:rPr>
        <w:t>q</w:t>
      </w:r>
      <w:r>
        <w:rPr>
          <w:rFonts w:eastAsia="Times New Roman" w:cs="Arial"/>
          <w:iCs/>
          <w:lang w:val="fr-FR"/>
        </w:rPr>
        <w:t xml:space="preserve">ue de nombreux accords multilatéraux sur l'environnement traitent de </w:t>
      </w:r>
      <w:proofErr w:type="gramStart"/>
      <w:r>
        <w:rPr>
          <w:rFonts w:eastAsia="Times New Roman" w:cs="Arial"/>
          <w:iCs/>
          <w:lang w:val="fr-FR"/>
        </w:rPr>
        <w:t>questions affectant</w:t>
      </w:r>
      <w:proofErr w:type="gramEnd"/>
      <w:r>
        <w:rPr>
          <w:rFonts w:eastAsia="Times New Roman" w:cs="Arial"/>
          <w:iCs/>
          <w:lang w:val="fr-FR"/>
        </w:rPr>
        <w:t xml:space="preserve"> directement ou indirectement la conservation des cétacés et qu'une collaboration étroite avec ces</w:t>
      </w:r>
      <w:r w:rsidR="00F25F82">
        <w:rPr>
          <w:rFonts w:eastAsia="Times New Roman" w:cs="Arial"/>
          <w:iCs/>
          <w:lang w:val="fr-FR"/>
        </w:rPr>
        <w:t xml:space="preserve"> </w:t>
      </w:r>
      <w:r>
        <w:rPr>
          <w:rFonts w:eastAsia="Times New Roman" w:cs="Arial"/>
          <w:iCs/>
          <w:lang w:val="fr-FR"/>
        </w:rPr>
        <w:t>accords est essentielle pour parvenir à l'état de conservation souhaité pour les cétacés</w:t>
      </w:r>
      <w:r>
        <w:rPr>
          <w:rFonts w:eastAsia="Times New Roman" w:cs="Arial"/>
          <w:i/>
          <w:lang w:val="fr-FR"/>
        </w:rPr>
        <w:t>,</w:t>
      </w:r>
    </w:p>
    <w:p w14:paraId="79816622" w14:textId="77777777" w:rsidR="0033563D" w:rsidRDefault="0033563D" w:rsidP="0033563D">
      <w:pPr>
        <w:widowControl w:val="0"/>
        <w:spacing w:after="0" w:line="240" w:lineRule="auto"/>
        <w:jc w:val="both"/>
        <w:rPr>
          <w:rFonts w:eastAsia="Times New Roman" w:cs="Arial"/>
          <w:i/>
          <w:lang w:val="fr-FR"/>
        </w:rPr>
      </w:pPr>
    </w:p>
    <w:p w14:paraId="2B30E49D" w14:textId="00CFA668" w:rsidR="006E5484" w:rsidRDefault="00FB2FEF">
      <w:pPr>
        <w:widowControl w:val="0"/>
        <w:spacing w:after="0" w:line="240" w:lineRule="auto"/>
        <w:jc w:val="both"/>
        <w:rPr>
          <w:lang w:val="fr-FR"/>
        </w:rPr>
      </w:pPr>
      <w:r>
        <w:rPr>
          <w:rFonts w:eastAsia="Times New Roman" w:cs="Arial"/>
          <w:i/>
          <w:lang w:val="fr-FR"/>
        </w:rPr>
        <w:t>Reconnaissant</w:t>
      </w:r>
      <w:r>
        <w:rPr>
          <w:rFonts w:eastAsia="Times New Roman" w:cs="Arial"/>
          <w:iCs/>
          <w:lang w:val="fr-FR"/>
        </w:rPr>
        <w:t xml:space="preserve"> le soutien </w:t>
      </w:r>
      <w:r w:rsidR="00F25F82">
        <w:rPr>
          <w:rFonts w:eastAsia="Times New Roman" w:cs="Arial"/>
          <w:iCs/>
          <w:lang w:val="fr-FR"/>
        </w:rPr>
        <w:t xml:space="preserve">des organisations partenaires </w:t>
      </w:r>
      <w:proofErr w:type="spellStart"/>
      <w:r>
        <w:rPr>
          <w:rFonts w:eastAsia="Times New Roman" w:cs="Arial"/>
          <w:iCs/>
          <w:lang w:val="fr-FR"/>
        </w:rPr>
        <w:t>OceanCare</w:t>
      </w:r>
      <w:proofErr w:type="spellEnd"/>
      <w:r>
        <w:rPr>
          <w:rFonts w:eastAsia="Times New Roman" w:cs="Arial"/>
          <w:iCs/>
          <w:lang w:val="fr-FR"/>
        </w:rPr>
        <w:t xml:space="preserve"> </w:t>
      </w:r>
      <w:r w:rsidR="00F25F82">
        <w:rPr>
          <w:rFonts w:eastAsia="Times New Roman" w:cs="Arial"/>
          <w:iCs/>
          <w:lang w:val="fr-FR"/>
        </w:rPr>
        <w:t xml:space="preserve">et </w:t>
      </w:r>
      <w:proofErr w:type="spellStart"/>
      <w:r w:rsidR="00F25F82" w:rsidRPr="00F25F82">
        <w:rPr>
          <w:rFonts w:eastAsia="Times New Roman" w:cs="Arial"/>
          <w:iCs/>
          <w:lang w:val="fr-FR"/>
        </w:rPr>
        <w:t>Whale</w:t>
      </w:r>
      <w:proofErr w:type="spellEnd"/>
      <w:r w:rsidR="00F25F82" w:rsidRPr="00F25F82">
        <w:rPr>
          <w:rFonts w:eastAsia="Times New Roman" w:cs="Arial"/>
          <w:iCs/>
          <w:lang w:val="fr-FR"/>
        </w:rPr>
        <w:t xml:space="preserve"> and </w:t>
      </w:r>
      <w:proofErr w:type="spellStart"/>
      <w:r w:rsidR="00F25F82" w:rsidRPr="00F25F82">
        <w:rPr>
          <w:rFonts w:eastAsia="Times New Roman" w:cs="Arial"/>
          <w:iCs/>
          <w:lang w:val="fr-FR"/>
        </w:rPr>
        <w:t>Dolphin</w:t>
      </w:r>
      <w:proofErr w:type="spellEnd"/>
      <w:r w:rsidR="00F25F82" w:rsidRPr="00F25F82">
        <w:rPr>
          <w:rFonts w:eastAsia="Times New Roman" w:cs="Arial"/>
          <w:iCs/>
          <w:lang w:val="fr-FR"/>
        </w:rPr>
        <w:t xml:space="preserve"> Conservation </w:t>
      </w:r>
      <w:r w:rsidR="00F25F82">
        <w:rPr>
          <w:rFonts w:eastAsia="Times New Roman" w:cs="Arial"/>
          <w:iCs/>
          <w:lang w:val="fr-FR"/>
        </w:rPr>
        <w:t xml:space="preserve">(Conservation des baleines et des dauphins) </w:t>
      </w:r>
      <w:r>
        <w:rPr>
          <w:rFonts w:eastAsia="Times New Roman" w:cs="Arial"/>
          <w:iCs/>
          <w:lang w:val="fr-FR"/>
        </w:rPr>
        <w:t>dans la mise en œuvre des mandats liés à l'examen et à la mise à jour du programme de travail de la Convention sur les cétacés,</w:t>
      </w:r>
    </w:p>
    <w:p w14:paraId="0DBF23A5" w14:textId="77777777" w:rsidR="006E5484" w:rsidRDefault="006E5484">
      <w:pPr>
        <w:widowControl w:val="0"/>
        <w:spacing w:after="0" w:line="240" w:lineRule="auto"/>
        <w:jc w:val="both"/>
        <w:rPr>
          <w:rFonts w:eastAsia="Times New Roman" w:cs="Arial"/>
          <w:i/>
          <w:lang w:val="fr-FR"/>
        </w:rPr>
      </w:pPr>
    </w:p>
    <w:p w14:paraId="78C724CA" w14:textId="77777777" w:rsidR="006E5484" w:rsidRDefault="00FB2FEF">
      <w:pPr>
        <w:widowControl w:val="0"/>
        <w:spacing w:after="0" w:line="240" w:lineRule="auto"/>
        <w:jc w:val="both"/>
        <w:rPr>
          <w:lang w:val="fr-FR"/>
        </w:rPr>
      </w:pPr>
      <w:r>
        <w:rPr>
          <w:rFonts w:eastAsia="Times New Roman" w:cs="Arial"/>
          <w:i/>
          <w:iCs/>
          <w:lang w:val="fr-FR"/>
        </w:rPr>
        <w:t>Notant</w:t>
      </w:r>
      <w:r>
        <w:rPr>
          <w:rFonts w:eastAsia="Times New Roman" w:cs="Arial"/>
          <w:lang w:val="fr-FR"/>
        </w:rPr>
        <w:t xml:space="preserve"> le manque de données sur la distribution et les schémas de migration de certaines populations de cétacés,</w:t>
      </w:r>
    </w:p>
    <w:p w14:paraId="0ADB4DE6" w14:textId="77777777" w:rsidR="006E5484" w:rsidRDefault="006E5484">
      <w:pPr>
        <w:widowControl w:val="0"/>
        <w:spacing w:after="0" w:line="240" w:lineRule="auto"/>
        <w:jc w:val="both"/>
        <w:rPr>
          <w:rFonts w:eastAsia="Times New Roman" w:cs="Arial"/>
          <w:lang w:val="fr-FR"/>
        </w:rPr>
      </w:pPr>
    </w:p>
    <w:p w14:paraId="2E59DF40" w14:textId="77777777" w:rsidR="0033563D" w:rsidRDefault="0033563D" w:rsidP="0033563D">
      <w:pPr>
        <w:widowControl w:val="0"/>
        <w:spacing w:after="0" w:line="240" w:lineRule="auto"/>
        <w:jc w:val="both"/>
        <w:rPr>
          <w:lang w:val="fr-FR"/>
        </w:rPr>
      </w:pPr>
      <w:r>
        <w:rPr>
          <w:rFonts w:eastAsia="Times New Roman" w:cs="Arial"/>
          <w:i/>
          <w:lang w:val="fr-FR"/>
        </w:rPr>
        <w:t>Notant</w:t>
      </w:r>
      <w:r>
        <w:rPr>
          <w:rFonts w:eastAsia="Times New Roman" w:cs="Arial"/>
          <w:iCs/>
          <w:lang w:val="fr-FR"/>
        </w:rPr>
        <w:t xml:space="preserve"> l'examen de la mise en œuvre du Programme de travail mondial 2012-2024 et l'analyse des menaces les plus importantes pesant sur les cétacés, ainsi que les recommandations, présentées dans le document </w:t>
      </w:r>
      <w:r>
        <w:rPr>
          <w:rFonts w:cs="Arial"/>
          <w:lang w:val="fr-FR"/>
        </w:rPr>
        <w:t>UNEP/CMS/COP14/Inf.27.5.1a</w:t>
      </w:r>
      <w:r>
        <w:rPr>
          <w:rFonts w:eastAsia="Times New Roman" w:cs="Arial"/>
          <w:i/>
          <w:lang w:val="fr-FR"/>
        </w:rPr>
        <w:t>,</w:t>
      </w:r>
    </w:p>
    <w:p w14:paraId="48D67237" w14:textId="77777777" w:rsidR="0033563D" w:rsidRDefault="0033563D" w:rsidP="0033563D">
      <w:pPr>
        <w:widowControl w:val="0"/>
        <w:spacing w:after="0" w:line="240" w:lineRule="auto"/>
        <w:jc w:val="both"/>
        <w:rPr>
          <w:rFonts w:eastAsia="Times New Roman" w:cs="Arial"/>
          <w:i/>
          <w:lang w:val="fr-FR"/>
        </w:rPr>
      </w:pPr>
    </w:p>
    <w:p w14:paraId="7DBF4F6A" w14:textId="77777777" w:rsidR="001F7059" w:rsidRDefault="001F7059">
      <w:pPr>
        <w:widowControl w:val="0"/>
        <w:spacing w:after="0" w:line="240" w:lineRule="auto"/>
        <w:jc w:val="both"/>
        <w:rPr>
          <w:rFonts w:eastAsia="Times New Roman" w:cs="Arial"/>
          <w:i/>
          <w:lang w:val="fr-FR"/>
        </w:rPr>
      </w:pPr>
    </w:p>
    <w:p w14:paraId="34DAB5CA" w14:textId="77777777" w:rsidR="006E5484" w:rsidRDefault="00FB2FEF">
      <w:pPr>
        <w:widowControl w:val="0"/>
        <w:spacing w:after="0" w:line="240" w:lineRule="auto"/>
        <w:jc w:val="center"/>
        <w:rPr>
          <w:lang w:val="fr-FR"/>
        </w:rPr>
      </w:pPr>
      <w:r>
        <w:rPr>
          <w:rFonts w:eastAsia="Times New Roman" w:cs="Arial"/>
          <w:i/>
          <w:lang w:val="fr-FR"/>
        </w:rPr>
        <w:t>La Conférence des Parties à la</w:t>
      </w:r>
    </w:p>
    <w:p w14:paraId="457CDECC" w14:textId="77777777" w:rsidR="006E5484" w:rsidRDefault="00FB2FEF">
      <w:pPr>
        <w:widowControl w:val="0"/>
        <w:spacing w:after="0" w:line="240" w:lineRule="auto"/>
        <w:jc w:val="center"/>
        <w:rPr>
          <w:lang w:val="fr-FR"/>
        </w:rPr>
      </w:pPr>
      <w:r>
        <w:rPr>
          <w:rFonts w:eastAsia="Times New Roman" w:cs="Arial"/>
          <w:i/>
          <w:lang w:val="fr-FR"/>
        </w:rPr>
        <w:t>Convention sur la conservation des espèces migratrices appartenant à la faune sauvage</w:t>
      </w:r>
    </w:p>
    <w:p w14:paraId="627C1ED6" w14:textId="77777777" w:rsidR="006E5484" w:rsidRDefault="006E5484">
      <w:pPr>
        <w:widowControl w:val="0"/>
        <w:spacing w:after="0" w:line="240" w:lineRule="auto"/>
        <w:jc w:val="both"/>
        <w:rPr>
          <w:rFonts w:eastAsia="Times New Roman" w:cs="Arial"/>
          <w:lang w:val="fr-FR"/>
        </w:rPr>
      </w:pPr>
    </w:p>
    <w:p w14:paraId="4EB7D2B4" w14:textId="77777777" w:rsidR="006E5484" w:rsidRDefault="006E5484">
      <w:pPr>
        <w:widowControl w:val="0"/>
        <w:spacing w:after="0" w:line="240" w:lineRule="auto"/>
        <w:jc w:val="both"/>
        <w:rPr>
          <w:rFonts w:eastAsia="Times New Roman" w:cs="Arial"/>
          <w:lang w:val="fr-FR"/>
        </w:rPr>
      </w:pPr>
    </w:p>
    <w:p w14:paraId="7D1B30DC" w14:textId="23EBFFB7" w:rsidR="006E5484" w:rsidRDefault="00F25F82">
      <w:pPr>
        <w:widowControl w:val="0"/>
        <w:numPr>
          <w:ilvl w:val="0"/>
          <w:numId w:val="27"/>
        </w:numPr>
        <w:spacing w:after="0" w:line="240" w:lineRule="auto"/>
        <w:ind w:left="567" w:hanging="567"/>
        <w:jc w:val="both"/>
        <w:rPr>
          <w:lang w:val="fr-FR"/>
        </w:rPr>
      </w:pPr>
      <w:r>
        <w:rPr>
          <w:rFonts w:eastAsia="Times New Roman" w:cs="Arial"/>
          <w:i/>
          <w:lang w:val="fr-FR"/>
        </w:rPr>
        <w:t>Prend note</w:t>
      </w:r>
      <w:r w:rsidR="00FB2FEF">
        <w:rPr>
          <w:rFonts w:eastAsia="Times New Roman" w:cs="Arial"/>
          <w:lang w:val="fr-FR"/>
        </w:rPr>
        <w:t xml:space="preserve"> des recommandations à l'attention des Parties décrites dans le document </w:t>
      </w:r>
      <w:r w:rsidR="00FB2FEF">
        <w:rPr>
          <w:rFonts w:cs="Arial"/>
          <w:lang w:val="fr-FR"/>
        </w:rPr>
        <w:t xml:space="preserve">UNEP/CMS/COP14/Inf.27.5.1a </w:t>
      </w:r>
      <w:r w:rsidR="00FB2FEF">
        <w:rPr>
          <w:rFonts w:eastAsia="Times New Roman" w:cs="Arial"/>
          <w:iCs/>
          <w:lang w:val="fr-FR"/>
        </w:rPr>
        <w:t xml:space="preserve">et </w:t>
      </w:r>
      <w:r w:rsidR="00FB2FEF">
        <w:rPr>
          <w:rFonts w:eastAsia="Times New Roman" w:cs="Arial"/>
          <w:i/>
          <w:lang w:val="fr-FR"/>
        </w:rPr>
        <w:t>encourage</w:t>
      </w:r>
      <w:r w:rsidR="00FB2FEF">
        <w:rPr>
          <w:rFonts w:eastAsia="Times New Roman" w:cs="Arial"/>
          <w:iCs/>
          <w:lang w:val="fr-FR"/>
        </w:rPr>
        <w:t xml:space="preserve"> les Parties qui exercent leur juridiction sur toute partie de l'aire de répartition des espèces de cétacés inscrites aux Annexes de la CMS, </w:t>
      </w:r>
      <w:r w:rsidR="00FB2FEF">
        <w:rPr>
          <w:lang w:val="fr-FR"/>
        </w:rPr>
        <w:t>ou sur des navires battant leur pavillon qui sont engagés en dehors des limites de la juridiction nationale,</w:t>
      </w:r>
      <w:r w:rsidR="00FB2FEF">
        <w:rPr>
          <w:rFonts w:eastAsia="Times New Roman" w:cs="Arial"/>
          <w:iCs/>
          <w:lang w:val="fr-FR"/>
        </w:rPr>
        <w:t xml:space="preserve"> à prendre en considération les recommandations faites et à traiter les menaces identifiées</w:t>
      </w:r>
      <w:r w:rsidR="00FB2FEF">
        <w:rPr>
          <w:rFonts w:eastAsia="Times New Roman" w:cs="Arial"/>
          <w:lang w:val="fr-FR"/>
        </w:rPr>
        <w:t xml:space="preserve"> ;</w:t>
      </w:r>
    </w:p>
    <w:p w14:paraId="172E503A" w14:textId="77777777" w:rsidR="006E5484" w:rsidRDefault="006E5484">
      <w:pPr>
        <w:widowControl w:val="0"/>
        <w:spacing w:after="0" w:line="240" w:lineRule="auto"/>
        <w:ind w:left="567"/>
        <w:jc w:val="both"/>
        <w:rPr>
          <w:rFonts w:eastAsia="Times New Roman" w:cs="Arial"/>
          <w:lang w:val="fr-FR"/>
        </w:rPr>
      </w:pPr>
    </w:p>
    <w:p w14:paraId="38ED2CB2" w14:textId="77777777" w:rsidR="00BC4963" w:rsidRDefault="00BC4963" w:rsidP="00BC4963">
      <w:pPr>
        <w:widowControl w:val="0"/>
        <w:numPr>
          <w:ilvl w:val="0"/>
          <w:numId w:val="7"/>
        </w:numPr>
        <w:spacing w:after="0" w:line="240" w:lineRule="auto"/>
        <w:ind w:left="567" w:hanging="567"/>
        <w:jc w:val="both"/>
        <w:rPr>
          <w:lang w:val="fr-FR"/>
        </w:rPr>
      </w:pPr>
      <w:r>
        <w:rPr>
          <w:rFonts w:eastAsia="Times New Roman" w:cs="Arial"/>
          <w:i/>
          <w:iCs/>
          <w:lang w:val="fr-FR"/>
        </w:rPr>
        <w:t>Appelle</w:t>
      </w:r>
      <w:r>
        <w:rPr>
          <w:rFonts w:eastAsia="Times New Roman" w:cs="Arial"/>
          <w:i/>
          <w:lang w:val="fr-FR"/>
        </w:rPr>
        <w:t xml:space="preserve"> </w:t>
      </w:r>
      <w:r>
        <w:rPr>
          <w:rFonts w:eastAsia="Times New Roman" w:cs="Arial"/>
          <w:iCs/>
          <w:lang w:val="fr-FR"/>
        </w:rPr>
        <w:t>les Parties et les non-Parties à promouvoir l'intégration de la conservation des cétacés dans tous les secteurs pertinents en coordonnant leurs positions nationales parmi les diverses conventions, les divers accords et autres forums internationaux</w:t>
      </w:r>
      <w:r>
        <w:rPr>
          <w:rFonts w:eastAsia="Times New Roman" w:cs="Arial"/>
          <w:lang w:val="fr-FR"/>
        </w:rPr>
        <w:t xml:space="preserve"> ;</w:t>
      </w:r>
    </w:p>
    <w:p w14:paraId="7DD883A0" w14:textId="77777777" w:rsidR="00BC4963" w:rsidRDefault="00BC4963" w:rsidP="00BC4963">
      <w:pPr>
        <w:widowControl w:val="0"/>
        <w:spacing w:after="0" w:line="240" w:lineRule="auto"/>
        <w:ind w:left="567" w:hanging="567"/>
        <w:rPr>
          <w:rFonts w:eastAsia="Times New Roman" w:cs="Arial"/>
          <w:lang w:val="fr-FR"/>
        </w:rPr>
      </w:pPr>
    </w:p>
    <w:p w14:paraId="763E7E98" w14:textId="77777777" w:rsidR="00BC4963" w:rsidRDefault="00BC4963" w:rsidP="00BC4963">
      <w:pPr>
        <w:widowControl w:val="0"/>
        <w:numPr>
          <w:ilvl w:val="0"/>
          <w:numId w:val="7"/>
        </w:numPr>
        <w:spacing w:after="0" w:line="240" w:lineRule="auto"/>
        <w:ind w:left="567" w:hanging="567"/>
        <w:jc w:val="both"/>
        <w:rPr>
          <w:lang w:val="fr-FR"/>
        </w:rPr>
      </w:pPr>
      <w:r>
        <w:rPr>
          <w:rFonts w:eastAsia="Times New Roman" w:cs="Arial"/>
          <w:i/>
          <w:iCs/>
          <w:lang w:val="fr-FR"/>
        </w:rPr>
        <w:t>Encourage</w:t>
      </w:r>
      <w:r>
        <w:rPr>
          <w:rFonts w:eastAsia="Times New Roman" w:cs="Arial"/>
          <w:i/>
          <w:lang w:val="fr-FR"/>
        </w:rPr>
        <w:t xml:space="preserve"> </w:t>
      </w:r>
      <w:r>
        <w:rPr>
          <w:rFonts w:eastAsia="Times New Roman" w:cs="Arial"/>
          <w:iCs/>
          <w:lang w:val="fr-FR"/>
        </w:rPr>
        <w:t xml:space="preserve">les Parties et </w:t>
      </w:r>
      <w:r>
        <w:rPr>
          <w:rFonts w:eastAsia="Times New Roman" w:cs="Arial"/>
          <w:i/>
          <w:lang w:val="fr-FR"/>
        </w:rPr>
        <w:t>invite</w:t>
      </w:r>
      <w:r>
        <w:rPr>
          <w:rFonts w:eastAsia="Times New Roman" w:cs="Arial"/>
          <w:iCs/>
          <w:lang w:val="fr-FR"/>
        </w:rPr>
        <w:t xml:space="preserve"> les Parties aux Accords relatifs aux cétacés, les Signataires des Mémorandums d'Entente relatifs aux cétacés, les organisations partenaires et le secteur privé à faciliter la mise en œuvre des actions prioritaires pour les cétacés par des contributions volontaires et un soutien en nature</w:t>
      </w:r>
      <w:r>
        <w:rPr>
          <w:rFonts w:eastAsia="Times New Roman" w:cs="Arial"/>
          <w:lang w:val="fr-FR"/>
        </w:rPr>
        <w:t xml:space="preserve"> ;</w:t>
      </w:r>
    </w:p>
    <w:p w14:paraId="568B7598" w14:textId="263ABBD3" w:rsidR="00751D2F" w:rsidRDefault="00751D2F" w:rsidP="00BC4963">
      <w:pPr>
        <w:widowControl w:val="0"/>
        <w:spacing w:after="0" w:line="240" w:lineRule="auto"/>
        <w:ind w:left="567" w:hanging="567"/>
        <w:rPr>
          <w:rFonts w:eastAsia="Times New Roman" w:cs="Arial"/>
          <w:lang w:val="fr-FR"/>
        </w:rPr>
      </w:pPr>
      <w:r>
        <w:rPr>
          <w:rFonts w:eastAsia="Times New Roman" w:cs="Arial"/>
          <w:lang w:val="fr-FR"/>
        </w:rPr>
        <w:br w:type="page"/>
      </w:r>
    </w:p>
    <w:p w14:paraId="66C86E8D" w14:textId="77777777" w:rsidR="006E5484" w:rsidRDefault="00FB2FEF">
      <w:pPr>
        <w:widowControl w:val="0"/>
        <w:numPr>
          <w:ilvl w:val="0"/>
          <w:numId w:val="7"/>
        </w:numPr>
        <w:spacing w:after="0" w:line="240" w:lineRule="auto"/>
        <w:ind w:left="567" w:hanging="567"/>
        <w:jc w:val="both"/>
        <w:rPr>
          <w:lang w:val="fr-FR"/>
        </w:rPr>
      </w:pPr>
      <w:r>
        <w:rPr>
          <w:rFonts w:eastAsia="Times New Roman" w:cs="Arial"/>
          <w:i/>
          <w:iCs/>
          <w:lang w:val="fr-FR"/>
        </w:rPr>
        <w:lastRenderedPageBreak/>
        <w:t>Prie instamment</w:t>
      </w:r>
      <w:r>
        <w:rPr>
          <w:rFonts w:eastAsia="Times New Roman" w:cs="Arial"/>
          <w:lang w:val="fr-FR"/>
        </w:rPr>
        <w:t xml:space="preserve"> les Parties à :</w:t>
      </w:r>
    </w:p>
    <w:p w14:paraId="3245FAE1" w14:textId="77777777" w:rsidR="006E5484" w:rsidRDefault="006E5484">
      <w:pPr>
        <w:widowControl w:val="0"/>
        <w:spacing w:after="0" w:line="240" w:lineRule="auto"/>
        <w:jc w:val="both"/>
        <w:rPr>
          <w:rFonts w:eastAsia="Times New Roman" w:cs="Arial"/>
          <w:lang w:val="fr-FR"/>
        </w:rPr>
      </w:pPr>
    </w:p>
    <w:p w14:paraId="41B6538B" w14:textId="5CFD260A" w:rsidR="006E5484" w:rsidRPr="007C598F" w:rsidRDefault="00751D2F" w:rsidP="00E160CE">
      <w:pPr>
        <w:pStyle w:val="ListParagraph"/>
        <w:widowControl w:val="0"/>
        <w:numPr>
          <w:ilvl w:val="0"/>
          <w:numId w:val="17"/>
        </w:numPr>
        <w:spacing w:after="0" w:line="240" w:lineRule="auto"/>
        <w:ind w:left="993"/>
        <w:contextualSpacing w:val="0"/>
        <w:jc w:val="both"/>
        <w:rPr>
          <w:lang w:val="fr-FR"/>
        </w:rPr>
      </w:pPr>
      <w:r>
        <w:rPr>
          <w:rFonts w:eastAsia="Times New Roman" w:cs="Arial"/>
          <w:lang w:val="fr-FR"/>
        </w:rPr>
        <w:t>réduire les</w:t>
      </w:r>
      <w:r w:rsidR="00FB2FEF">
        <w:rPr>
          <w:rFonts w:eastAsia="Times New Roman" w:cs="Arial"/>
          <w:lang w:val="fr-FR"/>
        </w:rPr>
        <w:t xml:space="preserve"> menaces liées à la pêche, telles que les prises accessoires, les enchevêtrements et l'épuisement des proies, conformément aux dispositions de la Résolution 12.22 </w:t>
      </w:r>
      <w:r w:rsidR="00FB2FEF">
        <w:rPr>
          <w:rFonts w:eastAsia="Times New Roman" w:cs="Arial"/>
          <w:i/>
          <w:iCs/>
          <w:lang w:val="fr-FR"/>
        </w:rPr>
        <w:t>Prises accessoires</w:t>
      </w:r>
      <w:r w:rsidR="00FB2FEF">
        <w:rPr>
          <w:rFonts w:eastAsia="Times New Roman" w:cs="Arial"/>
          <w:lang w:val="fr-FR"/>
        </w:rPr>
        <w:t xml:space="preserve">, </w:t>
      </w:r>
      <w:r w:rsidRPr="00751D2F">
        <w:rPr>
          <w:rFonts w:eastAsia="Times New Roman" w:cs="Arial"/>
          <w:lang w:val="fr-FR"/>
        </w:rPr>
        <w:t>en accordant une attention particulière à la collaboration avec les organisations régionales de gestion des pêches (ORGP) et d'autres organisations compétentes, au développement et à l'utilisation d'engins de pêche plus sélectifs et aux efforts déployés pour lutter contre la pêche illicite, non déclarée et non réglementée (INN)</w:t>
      </w:r>
      <w:r w:rsidR="00E160CE">
        <w:rPr>
          <w:rFonts w:eastAsia="Times New Roman" w:cs="Arial"/>
          <w:lang w:val="fr-FR"/>
        </w:rPr>
        <w:t> ;</w:t>
      </w:r>
    </w:p>
    <w:p w14:paraId="3A581D90" w14:textId="77777777" w:rsidR="006E5484" w:rsidRPr="00751D2F" w:rsidRDefault="006E5484" w:rsidP="00E160CE">
      <w:pPr>
        <w:widowControl w:val="0"/>
        <w:spacing w:after="0" w:line="240" w:lineRule="auto"/>
        <w:jc w:val="both"/>
        <w:rPr>
          <w:rFonts w:eastAsia="Times New Roman" w:cs="Arial"/>
          <w:lang w:val="fr-FR"/>
        </w:rPr>
      </w:pPr>
    </w:p>
    <w:p w14:paraId="3AABD987" w14:textId="5910CF0F" w:rsidR="00E160CE" w:rsidRDefault="00260C49" w:rsidP="00E160CE">
      <w:pPr>
        <w:pStyle w:val="ListParagraph"/>
        <w:numPr>
          <w:ilvl w:val="0"/>
          <w:numId w:val="17"/>
        </w:numPr>
        <w:spacing w:after="0" w:line="240" w:lineRule="auto"/>
        <w:ind w:left="993"/>
        <w:contextualSpacing w:val="0"/>
        <w:jc w:val="both"/>
        <w:rPr>
          <w:lang w:val="fr-FR"/>
        </w:rPr>
      </w:pPr>
      <w:r>
        <w:rPr>
          <w:rFonts w:eastAsia="Times New Roman" w:cs="Arial"/>
          <w:lang w:val="fr-FR"/>
        </w:rPr>
        <w:t>r</w:t>
      </w:r>
      <w:r w:rsidRPr="00260C49">
        <w:rPr>
          <w:rFonts w:eastAsia="Times New Roman" w:cs="Arial"/>
          <w:lang w:val="fr-FR"/>
        </w:rPr>
        <w:t>éduire les prises de cétacés en tant que viande sauvage aquatique, conformément aux dispositions de la Résolution 12.15</w:t>
      </w:r>
      <w:r>
        <w:rPr>
          <w:rFonts w:eastAsia="Times New Roman" w:cs="Arial"/>
          <w:lang w:val="fr-FR"/>
        </w:rPr>
        <w:t xml:space="preserve"> </w:t>
      </w:r>
      <w:r w:rsidR="00FB2FEF">
        <w:rPr>
          <w:rFonts w:eastAsia="Times New Roman" w:cs="Arial"/>
          <w:i/>
          <w:iCs/>
          <w:lang w:val="fr-FR"/>
        </w:rPr>
        <w:t>Viande d'animaux sauvages aquatiques</w:t>
      </w:r>
      <w:r w:rsidR="00FB2FEF">
        <w:rPr>
          <w:rFonts w:eastAsia="Times New Roman" w:cs="Arial"/>
          <w:lang w:val="fr-FR"/>
        </w:rPr>
        <w:t xml:space="preserve"> et de la Résolution 14.[ ] </w:t>
      </w:r>
      <w:r w:rsidR="00FB2FEF">
        <w:rPr>
          <w:rFonts w:eastAsia="Times New Roman" w:cs="Arial"/>
          <w:i/>
          <w:lang w:val="fr-FR"/>
        </w:rPr>
        <w:t>Plan d'action pour lutter contre les prélèvements de viande sauvage aquatique en Afrique de l'Ouest</w:t>
      </w:r>
      <w:r w:rsidR="00E160CE" w:rsidRPr="00E160CE">
        <w:rPr>
          <w:lang w:val="fr-FR"/>
        </w:rPr>
        <w:t>, en accordant une attention particulière à la réalisation d'examens réguliers des prélèvements directs de tous les cétacés inscrits à l'Annexe II, superposés aux autres menaces auxquelles ces espèces sont confrontées, à l'évaluation des mesures visant à réduire les prélèvements pour assurer la survie des populations, y compris l'inscription potentielle à l'Annexe I, et à la mise en œuvre de mesures visant à mettre fin à la chasse de tous les cétacés inscrits à l'Annexe I, conformément aux dispositions de l'Article III de la CMS</w:t>
      </w:r>
      <w:r w:rsidR="00E160CE">
        <w:rPr>
          <w:lang w:val="fr-FR"/>
        </w:rPr>
        <w:t> ;</w:t>
      </w:r>
    </w:p>
    <w:p w14:paraId="66388900" w14:textId="77777777" w:rsidR="00E160CE" w:rsidRPr="00E160CE" w:rsidRDefault="00E160CE" w:rsidP="00E160CE">
      <w:pPr>
        <w:spacing w:after="0" w:line="240" w:lineRule="auto"/>
        <w:jc w:val="both"/>
        <w:rPr>
          <w:lang w:val="fr-FR"/>
        </w:rPr>
      </w:pPr>
    </w:p>
    <w:p w14:paraId="35B279EC" w14:textId="3C41630D" w:rsidR="006E5484" w:rsidRDefault="00E160CE" w:rsidP="00E160CE">
      <w:pPr>
        <w:pStyle w:val="ListParagraph"/>
        <w:numPr>
          <w:ilvl w:val="0"/>
          <w:numId w:val="17"/>
        </w:numPr>
        <w:spacing w:after="0" w:line="240" w:lineRule="auto"/>
        <w:ind w:left="993"/>
        <w:contextualSpacing w:val="0"/>
        <w:jc w:val="both"/>
        <w:rPr>
          <w:lang w:val="fr-FR"/>
        </w:rPr>
      </w:pPr>
      <w:proofErr w:type="gramStart"/>
      <w:r>
        <w:rPr>
          <w:rFonts w:eastAsia="Times New Roman" w:cs="Arial"/>
          <w:lang w:val="fr-FR"/>
        </w:rPr>
        <w:t>s</w:t>
      </w:r>
      <w:r w:rsidR="008B5C3C">
        <w:rPr>
          <w:rFonts w:eastAsia="Times New Roman" w:cs="Arial"/>
          <w:lang w:val="fr-FR"/>
        </w:rPr>
        <w:t>ouligner</w:t>
      </w:r>
      <w:proofErr w:type="gramEnd"/>
      <w:r w:rsidR="008B5C3C">
        <w:rPr>
          <w:rFonts w:eastAsia="Times New Roman" w:cs="Arial"/>
          <w:lang w:val="fr-FR"/>
        </w:rPr>
        <w:t xml:space="preserve"> le rôle positif des cétacés dans l'atténuation du changement climatique </w:t>
      </w:r>
      <w:r>
        <w:rPr>
          <w:rFonts w:eastAsia="Times New Roman" w:cs="Arial"/>
          <w:lang w:val="fr-FR"/>
        </w:rPr>
        <w:t xml:space="preserve">et de la perte de la biodiversité </w:t>
      </w:r>
      <w:r w:rsidR="008B5C3C">
        <w:rPr>
          <w:rFonts w:eastAsia="Times New Roman" w:cs="Arial"/>
          <w:lang w:val="fr-FR"/>
        </w:rPr>
        <w:t>dans leurs stratégies de conservation, notamment en encourageant la recherche appropriée</w:t>
      </w:r>
      <w:r>
        <w:rPr>
          <w:rFonts w:eastAsia="Times New Roman" w:cs="Arial"/>
          <w:lang w:val="fr-FR"/>
        </w:rPr>
        <w:t xml:space="preserve">, </w:t>
      </w:r>
      <w:r w:rsidRPr="00E160CE">
        <w:rPr>
          <w:rFonts w:eastAsia="Times New Roman" w:cs="Arial"/>
          <w:lang w:val="fr-FR"/>
        </w:rPr>
        <w:t>comme suggéré dans le rapport de l'atelier 2021 CBI-CMS sur le fonctionnement des écosystèmes de cétacés (SC/68C/REP/03)</w:t>
      </w:r>
      <w:r w:rsidR="008B5C3C">
        <w:rPr>
          <w:rFonts w:eastAsia="Times New Roman" w:cs="Arial"/>
          <w:lang w:val="fr-FR"/>
        </w:rPr>
        <w:t xml:space="preserve"> ;</w:t>
      </w:r>
    </w:p>
    <w:p w14:paraId="1AFC2203" w14:textId="77777777" w:rsidR="006E5484" w:rsidRDefault="006E5484" w:rsidP="00E160CE">
      <w:pPr>
        <w:pStyle w:val="ListParagraph"/>
        <w:spacing w:after="0" w:line="240" w:lineRule="auto"/>
        <w:contextualSpacing w:val="0"/>
        <w:rPr>
          <w:rFonts w:eastAsia="Times New Roman" w:cs="Arial"/>
          <w:lang w:val="fr-FR"/>
        </w:rPr>
      </w:pPr>
    </w:p>
    <w:p w14:paraId="6F5C1EBC" w14:textId="2481701D" w:rsidR="00E160CE" w:rsidRPr="00E160CE" w:rsidRDefault="00E160CE" w:rsidP="00E160CE">
      <w:pPr>
        <w:pStyle w:val="ListParagraph"/>
        <w:numPr>
          <w:ilvl w:val="0"/>
          <w:numId w:val="17"/>
        </w:numPr>
        <w:spacing w:after="0" w:line="240" w:lineRule="auto"/>
        <w:ind w:left="993"/>
        <w:contextualSpacing w:val="0"/>
        <w:jc w:val="both"/>
        <w:rPr>
          <w:lang w:val="fr-FR"/>
        </w:rPr>
      </w:pPr>
      <w:r>
        <w:rPr>
          <w:rFonts w:eastAsia="Times New Roman" w:cs="Arial"/>
          <w:lang w:val="fr-FR"/>
        </w:rPr>
        <w:t>r</w:t>
      </w:r>
      <w:r w:rsidR="00FB2FEF">
        <w:rPr>
          <w:rFonts w:eastAsia="Times New Roman" w:cs="Arial"/>
          <w:lang w:val="fr-FR"/>
        </w:rPr>
        <w:t xml:space="preserve">éduire la menace posée par les débris marins conformément à et en s'appuyant sur les dispositions de la Résolution 12.20 </w:t>
      </w:r>
      <w:r w:rsidR="00FB2FEF">
        <w:rPr>
          <w:rFonts w:eastAsia="Times New Roman" w:cs="Arial"/>
          <w:i/>
          <w:iCs/>
          <w:lang w:val="fr-FR"/>
        </w:rPr>
        <w:t>Gestion des débris marins</w:t>
      </w:r>
      <w:r w:rsidR="00FB2FEF">
        <w:rPr>
          <w:rFonts w:eastAsia="Times New Roman" w:cs="Arial"/>
          <w:lang w:val="fr-FR"/>
        </w:rPr>
        <w:t xml:space="preserve">, </w:t>
      </w:r>
      <w:r w:rsidRPr="00E160CE">
        <w:rPr>
          <w:rFonts w:eastAsia="Times New Roman" w:cs="Arial"/>
          <w:lang w:val="fr-FR"/>
        </w:rPr>
        <w:t>en accordant une attention particulière à la prévention de l'immersion et de la perte d'engins de pêche et à la promotion de la récupération complète des engins de pêche, des dispositifs de concentration de poissons (DCP) et d'autres débris provenant de toutes les activités de pêche dans le respect de l'environnement, à l'enlèvement des débris marins en utilisant les meilleures techniques disponibles (MTD) et les meilleures pratiques environnementales (MPE), en appliquant les directives volontaires pour le marquage des engins de pêche élaborées par la FAO ; et à l'élaboration, à la mise en œuvre et à l'actualisation de plans d'action nationaux visant à prévenir, à réduire et à éliminer la pollution plastique, et au soutien de la coopération régionale et internationale.</w:t>
      </w:r>
    </w:p>
    <w:p w14:paraId="5F3EF44E" w14:textId="77777777" w:rsidR="006E5484" w:rsidRDefault="006E5484" w:rsidP="00E160CE">
      <w:pPr>
        <w:widowControl w:val="0"/>
        <w:spacing w:after="0" w:line="240" w:lineRule="auto"/>
        <w:jc w:val="both"/>
        <w:rPr>
          <w:rFonts w:eastAsia="Times New Roman" w:cs="Arial"/>
          <w:lang w:val="fr-FR"/>
        </w:rPr>
      </w:pPr>
    </w:p>
    <w:p w14:paraId="0D2F4362" w14:textId="54644BDE" w:rsidR="006E5484" w:rsidRDefault="00BB0440">
      <w:pPr>
        <w:pStyle w:val="ListParagraph"/>
        <w:widowControl w:val="0"/>
        <w:numPr>
          <w:ilvl w:val="0"/>
          <w:numId w:val="17"/>
        </w:numPr>
        <w:spacing w:after="0" w:line="240" w:lineRule="auto"/>
        <w:ind w:left="993"/>
        <w:jc w:val="both"/>
        <w:rPr>
          <w:lang w:val="fr-FR"/>
        </w:rPr>
      </w:pPr>
      <w:proofErr w:type="gramStart"/>
      <w:r>
        <w:rPr>
          <w:rFonts w:eastAsia="Times New Roman" w:cs="Arial"/>
          <w:lang w:val="fr-FR"/>
        </w:rPr>
        <w:t>i</w:t>
      </w:r>
      <w:r w:rsidR="00FB2FEF">
        <w:rPr>
          <w:rFonts w:eastAsia="Times New Roman" w:cs="Arial"/>
          <w:lang w:val="fr-FR"/>
        </w:rPr>
        <w:t>nclure</w:t>
      </w:r>
      <w:proofErr w:type="gramEnd"/>
      <w:r w:rsidR="00FB2FEF">
        <w:rPr>
          <w:rFonts w:eastAsia="Times New Roman" w:cs="Arial"/>
          <w:lang w:val="fr-FR"/>
        </w:rPr>
        <w:t xml:space="preserve"> l'impact de la pollution chimique sur la santé des cétacés dans les analyses de risque et les évaluations d'impact, en reconnaissant les effets cumulatifs et de synergie de multiples facteurs de stress, conformément à et en s'appuyant sur les dispositions de la Résolution 07.02 (Rev.COP12) [(Rev.COP14)] </w:t>
      </w:r>
      <w:r w:rsidR="00FB2FEF">
        <w:rPr>
          <w:rFonts w:eastAsia="Times New Roman" w:cs="Arial"/>
          <w:i/>
          <w:iCs/>
          <w:lang w:val="fr-FR"/>
        </w:rPr>
        <w:t>Étude d'impact et espèces migratrices</w:t>
      </w:r>
      <w:r w:rsidR="00FB2FEF">
        <w:rPr>
          <w:rFonts w:eastAsia="Times New Roman" w:cs="Arial"/>
          <w:lang w:val="fr-FR"/>
        </w:rPr>
        <w:t xml:space="preserve"> et de la Résolution 07.03 (Rev.COP12) </w:t>
      </w:r>
      <w:r w:rsidR="00FB2FEF">
        <w:rPr>
          <w:rFonts w:eastAsia="Times New Roman" w:cs="Arial"/>
          <w:i/>
          <w:iCs/>
          <w:lang w:val="fr-FR"/>
        </w:rPr>
        <w:t>Pollution pétrolière et espèces migratrices</w:t>
      </w:r>
      <w:r w:rsidR="00FB2FEF">
        <w:rPr>
          <w:rFonts w:eastAsia="Times New Roman" w:cs="Arial"/>
          <w:lang w:val="fr-FR"/>
        </w:rPr>
        <w:t xml:space="preserve"> ; </w:t>
      </w:r>
    </w:p>
    <w:p w14:paraId="6938C16B" w14:textId="77777777" w:rsidR="006E5484" w:rsidRDefault="006E5484">
      <w:pPr>
        <w:pStyle w:val="ListParagraph"/>
        <w:widowControl w:val="0"/>
        <w:spacing w:after="0" w:line="240" w:lineRule="auto"/>
        <w:ind w:left="993"/>
        <w:jc w:val="both"/>
        <w:rPr>
          <w:rFonts w:eastAsia="Times New Roman" w:cs="Arial"/>
          <w:lang w:val="fr-FR"/>
        </w:rPr>
      </w:pPr>
    </w:p>
    <w:p w14:paraId="2AFF99D1" w14:textId="45355022" w:rsidR="00BB0440" w:rsidRPr="00BB0440" w:rsidRDefault="00BB0440">
      <w:pPr>
        <w:pStyle w:val="ListParagraph"/>
        <w:widowControl w:val="0"/>
        <w:numPr>
          <w:ilvl w:val="0"/>
          <w:numId w:val="17"/>
        </w:numPr>
        <w:spacing w:after="0" w:line="240" w:lineRule="auto"/>
        <w:ind w:left="993"/>
        <w:jc w:val="both"/>
        <w:rPr>
          <w:lang w:val="fr-FR"/>
        </w:rPr>
      </w:pPr>
      <w:r>
        <w:rPr>
          <w:rFonts w:eastAsia="Times New Roman" w:cs="Arial"/>
          <w:lang w:val="fr-FR"/>
        </w:rPr>
        <w:t>a</w:t>
      </w:r>
      <w:r w:rsidRPr="00BB0440">
        <w:rPr>
          <w:rFonts w:eastAsia="Times New Roman" w:cs="Arial"/>
          <w:lang w:val="fr-FR"/>
        </w:rPr>
        <w:t>tténuer efficacement les effets du bruit marin,</w:t>
      </w:r>
      <w:r>
        <w:rPr>
          <w:rFonts w:eastAsia="Times New Roman" w:cs="Arial"/>
          <w:lang w:val="fr-FR"/>
        </w:rPr>
        <w:t xml:space="preserve"> c</w:t>
      </w:r>
      <w:r w:rsidR="00FB2FEF">
        <w:rPr>
          <w:rFonts w:eastAsia="Times New Roman" w:cs="Arial"/>
          <w:lang w:val="fr-FR"/>
        </w:rPr>
        <w:t xml:space="preserve">onformément aux dispositions de la Résolution 12.14 </w:t>
      </w:r>
      <w:r w:rsidR="00FB2FEF">
        <w:rPr>
          <w:rFonts w:eastAsia="Times New Roman" w:cs="Arial"/>
          <w:i/>
          <w:iCs/>
          <w:lang w:val="fr-FR"/>
        </w:rPr>
        <w:t>Impacts négatifs des bruits anthropiques sur les cétacés et d'autres espèces migratrices</w:t>
      </w:r>
      <w:r w:rsidR="00FB2FEF">
        <w:rPr>
          <w:rFonts w:eastAsia="Times New Roman" w:cs="Arial"/>
          <w:lang w:val="fr-FR"/>
        </w:rPr>
        <w:t xml:space="preserve">, </w:t>
      </w:r>
      <w:r w:rsidRPr="00BB0440">
        <w:rPr>
          <w:rFonts w:eastAsia="Times New Roman" w:cs="Arial"/>
          <w:lang w:val="fr-FR"/>
        </w:rPr>
        <w:t xml:space="preserve">en accordant une attention particulière à l'application des </w:t>
      </w:r>
      <w:r>
        <w:rPr>
          <w:rFonts w:eastAsia="Times New Roman" w:cs="Arial"/>
          <w:lang w:val="fr-FR"/>
        </w:rPr>
        <w:t>lignes directrices</w:t>
      </w:r>
      <w:r w:rsidRPr="00BB0440">
        <w:rPr>
          <w:rFonts w:eastAsia="Times New Roman" w:cs="Arial"/>
          <w:lang w:val="fr-FR"/>
        </w:rPr>
        <w:t xml:space="preserve"> de la famille CMS sur l'é</w:t>
      </w:r>
      <w:r>
        <w:rPr>
          <w:rFonts w:eastAsia="Times New Roman" w:cs="Arial"/>
          <w:lang w:val="fr-FR"/>
        </w:rPr>
        <w:t>tude de l’impact de l’</w:t>
      </w:r>
      <w:r w:rsidRPr="00BB0440">
        <w:rPr>
          <w:rFonts w:eastAsia="Times New Roman" w:cs="Arial"/>
          <w:lang w:val="fr-FR"/>
        </w:rPr>
        <w:t>environnement</w:t>
      </w:r>
      <w:r>
        <w:rPr>
          <w:rFonts w:eastAsia="Times New Roman" w:cs="Arial"/>
          <w:lang w:val="fr-FR"/>
        </w:rPr>
        <w:t xml:space="preserve"> </w:t>
      </w:r>
      <w:r w:rsidRPr="00BB0440">
        <w:rPr>
          <w:rFonts w:eastAsia="Times New Roman" w:cs="Arial"/>
          <w:lang w:val="fr-FR"/>
        </w:rPr>
        <w:t xml:space="preserve">des activités génératrices de bruit marin (Annexe 1 à la Résolution 12.14) pour toutes les activités génératrices de bruit marin, en particulier dans les zones d'habitat importantes telles que les AMP et les AIMM, et en évitant ou en minimisant l'introduction de bruits impulsifs potentiellement nuisibles dans ces zones, en </w:t>
      </w:r>
      <w:r w:rsidRPr="00BB0440">
        <w:rPr>
          <w:rFonts w:eastAsia="Times New Roman" w:cs="Arial"/>
          <w:lang w:val="fr-FR"/>
        </w:rPr>
        <w:lastRenderedPageBreak/>
        <w:t>incluant des considérations liées au bruit dans les procédures de planification de l'espace marin, en appliquant les MTD et les MPE, et en promouvant l'application de réductions de la vitesse des navires au sein de l'Organisation maritime internationale (OMI) en tant que mesure opérationnelle</w:t>
      </w:r>
      <w:r>
        <w:rPr>
          <w:rFonts w:eastAsia="Times New Roman" w:cs="Arial"/>
          <w:lang w:val="fr-FR"/>
        </w:rPr>
        <w:t> ;</w:t>
      </w:r>
    </w:p>
    <w:p w14:paraId="683CA330" w14:textId="77777777" w:rsidR="006E5484" w:rsidRDefault="006E5484">
      <w:pPr>
        <w:widowControl w:val="0"/>
        <w:spacing w:after="0" w:line="240" w:lineRule="auto"/>
        <w:jc w:val="both"/>
        <w:rPr>
          <w:rFonts w:eastAsia="Times New Roman" w:cs="Arial"/>
          <w:lang w:val="fr-FR"/>
        </w:rPr>
      </w:pPr>
    </w:p>
    <w:p w14:paraId="6D663E85" w14:textId="3A87D52D" w:rsidR="009B62A8" w:rsidRPr="00FB45FA" w:rsidRDefault="00BB0440" w:rsidP="00FB45FA">
      <w:pPr>
        <w:pStyle w:val="ListParagraph"/>
        <w:widowControl w:val="0"/>
        <w:numPr>
          <w:ilvl w:val="0"/>
          <w:numId w:val="17"/>
        </w:numPr>
        <w:spacing w:after="0" w:line="240" w:lineRule="auto"/>
        <w:ind w:left="993"/>
        <w:jc w:val="both"/>
        <w:rPr>
          <w:lang w:val="fr-FR"/>
        </w:rPr>
      </w:pPr>
      <w:r>
        <w:rPr>
          <w:rFonts w:eastAsia="Times New Roman" w:cs="Arial"/>
          <w:lang w:val="fr-FR"/>
        </w:rPr>
        <w:t>r</w:t>
      </w:r>
      <w:r w:rsidR="00FB2FEF">
        <w:rPr>
          <w:rFonts w:eastAsia="Times New Roman" w:cs="Arial"/>
          <w:lang w:val="fr-FR"/>
        </w:rPr>
        <w:t xml:space="preserve">éduire la menace posée par les collisions avec les navires </w:t>
      </w:r>
      <w:r>
        <w:rPr>
          <w:rFonts w:eastAsia="Times New Roman" w:cs="Arial"/>
          <w:lang w:val="fr-FR"/>
        </w:rPr>
        <w:t>[</w:t>
      </w:r>
      <w:r w:rsidR="00FB2FEF">
        <w:rPr>
          <w:rFonts w:eastAsia="Times New Roman" w:cs="Arial"/>
          <w:lang w:val="fr-FR"/>
        </w:rPr>
        <w:t xml:space="preserve">conformément aux dispositions de la Résolution 14.[ ] </w:t>
      </w:r>
      <w:r w:rsidR="00FB2FEF">
        <w:rPr>
          <w:rFonts w:eastAsia="Times New Roman" w:cs="Arial"/>
          <w:i/>
          <w:lang w:val="fr-FR"/>
        </w:rPr>
        <w:t>Collisions avec des navires</w:t>
      </w:r>
      <w:r>
        <w:rPr>
          <w:rFonts w:eastAsia="Times New Roman" w:cs="Arial"/>
          <w:i/>
          <w:lang w:val="fr-FR"/>
        </w:rPr>
        <w:t>]</w:t>
      </w:r>
      <w:r w:rsidR="00FB2FEF">
        <w:rPr>
          <w:rFonts w:eastAsia="Times New Roman" w:cs="Arial"/>
          <w:lang w:val="fr-FR"/>
        </w:rPr>
        <w:t xml:space="preserve"> en</w:t>
      </w:r>
      <w:r w:rsidRPr="00BB0440">
        <w:rPr>
          <w:rFonts w:eastAsia="Times New Roman" w:cs="Arial"/>
          <w:lang w:val="fr-FR"/>
        </w:rPr>
        <w:t xml:space="preserve"> accordant une attention particulière à l'examen et à la mise en œuvre, le cas échéant, des réductions de vitesse comme mesure d'atténuation dans les zones de co</w:t>
      </w:r>
      <w:r>
        <w:rPr>
          <w:rFonts w:eastAsia="Times New Roman" w:cs="Arial"/>
          <w:lang w:val="fr-FR"/>
        </w:rPr>
        <w:t>-</w:t>
      </w:r>
      <w:r w:rsidRPr="00BB0440">
        <w:rPr>
          <w:rFonts w:eastAsia="Times New Roman" w:cs="Arial"/>
          <w:lang w:val="fr-FR"/>
        </w:rPr>
        <w:t>occurrence des baleines et de la navigation, et en promouvant des solutions par l'intermédiaire de l'OMI par la modification des couloirs de navigation et/ou l'adoption de limites de vitesse, lorsque cela est justifié, en soutenant la déclaration d</w:t>
      </w:r>
      <w:r>
        <w:rPr>
          <w:rFonts w:eastAsia="Times New Roman" w:cs="Arial"/>
          <w:lang w:val="fr-FR"/>
        </w:rPr>
        <w:t>’aires</w:t>
      </w:r>
      <w:r w:rsidRPr="00BB0440">
        <w:rPr>
          <w:rFonts w:eastAsia="Times New Roman" w:cs="Arial"/>
          <w:lang w:val="fr-FR"/>
        </w:rPr>
        <w:t xml:space="preserve"> maritimes particulièrement sensibles (PSSA) dans les zones d'importance spéciale pour les cétacés, et en encourageant le secteur d</w:t>
      </w:r>
      <w:r>
        <w:rPr>
          <w:rFonts w:eastAsia="Times New Roman" w:cs="Arial"/>
          <w:lang w:val="fr-FR"/>
        </w:rPr>
        <w:t>u transport maritime</w:t>
      </w:r>
      <w:r w:rsidRPr="00BB0440">
        <w:rPr>
          <w:rFonts w:eastAsia="Times New Roman" w:cs="Arial"/>
          <w:lang w:val="fr-FR"/>
        </w:rPr>
        <w:t xml:space="preserve"> à adopter des mesures volontaires de réduction des nuisances</w:t>
      </w:r>
      <w:r>
        <w:rPr>
          <w:rFonts w:eastAsia="Times New Roman" w:cs="Arial"/>
          <w:lang w:val="fr-FR"/>
        </w:rPr>
        <w:t> ;</w:t>
      </w:r>
    </w:p>
    <w:p w14:paraId="19DB175C" w14:textId="77777777" w:rsidR="006E5484" w:rsidRDefault="006E5484">
      <w:pPr>
        <w:widowControl w:val="0"/>
        <w:spacing w:after="0" w:line="240" w:lineRule="auto"/>
        <w:jc w:val="both"/>
        <w:rPr>
          <w:rFonts w:eastAsia="Times New Roman" w:cs="Arial"/>
          <w:lang w:val="fr-FR"/>
        </w:rPr>
      </w:pPr>
    </w:p>
    <w:p w14:paraId="051BDC3F" w14:textId="12320AE5" w:rsidR="006E5484" w:rsidRDefault="00FB2FEF">
      <w:pPr>
        <w:pStyle w:val="ListParagraph"/>
        <w:widowControl w:val="0"/>
        <w:numPr>
          <w:ilvl w:val="0"/>
          <w:numId w:val="17"/>
        </w:numPr>
        <w:spacing w:after="0" w:line="240" w:lineRule="auto"/>
        <w:ind w:left="993"/>
        <w:jc w:val="both"/>
        <w:rPr>
          <w:lang w:val="fr-FR"/>
        </w:rPr>
      </w:pPr>
      <w:r>
        <w:rPr>
          <w:rFonts w:eastAsia="Times New Roman" w:cs="Arial"/>
          <w:lang w:val="fr-FR"/>
        </w:rPr>
        <w:t>élaborer et mettre en œuvre une législation nationale, le cas échéant, interdisant la capture de cétacés vivants dans la nature à des fins commerciales, et envisager de prendre des mesures plus strictes conformément à l'Article XIV de la Convention sur le commerce international des espèces de faune et de flore sauvages menacées d'extinction en ce qui concerne l'importation et le transit international de cétacés vivants à des fins commerciales qui ont été capturés dans la nature ;</w:t>
      </w:r>
      <w:r w:rsidR="00BB0440" w:rsidRPr="00BB0440">
        <w:rPr>
          <w:rFonts w:eastAsia="Times New Roman" w:cs="Arial"/>
          <w:lang w:val="fr-FR"/>
        </w:rPr>
        <w:t xml:space="preserve"> </w:t>
      </w:r>
      <w:r w:rsidR="00BB0440">
        <w:rPr>
          <w:rFonts w:eastAsia="Times New Roman" w:cs="Arial"/>
          <w:lang w:val="fr-FR"/>
        </w:rPr>
        <w:t xml:space="preserve">conformément aux dispositions de la Résolution 11.22 (Rev.COP12) </w:t>
      </w:r>
      <w:r w:rsidR="00BB0440">
        <w:rPr>
          <w:rFonts w:eastAsia="Times New Roman" w:cs="Arial"/>
          <w:i/>
          <w:iCs/>
          <w:lang w:val="fr-FR"/>
        </w:rPr>
        <w:t>Capture de cétacés vivants dans leur milieu naturel à des fins commerciales</w:t>
      </w:r>
      <w:r w:rsidR="00FB45FA">
        <w:rPr>
          <w:rFonts w:eastAsia="Times New Roman" w:cs="Arial"/>
          <w:i/>
          <w:iCs/>
          <w:lang w:val="fr-FR"/>
        </w:rPr>
        <w:t> ;</w:t>
      </w:r>
    </w:p>
    <w:p w14:paraId="18DD1CBA" w14:textId="77777777" w:rsidR="006E5484" w:rsidRDefault="006E5484">
      <w:pPr>
        <w:pStyle w:val="ListParagraph"/>
        <w:widowControl w:val="0"/>
        <w:spacing w:after="0" w:line="240" w:lineRule="auto"/>
        <w:ind w:left="993"/>
        <w:jc w:val="both"/>
        <w:rPr>
          <w:rFonts w:eastAsia="Times New Roman" w:cs="Arial"/>
          <w:lang w:val="fr-FR"/>
        </w:rPr>
      </w:pPr>
    </w:p>
    <w:p w14:paraId="66493AF8" w14:textId="5DCFF99A" w:rsidR="00FB45FA" w:rsidRPr="00FB45FA" w:rsidRDefault="00FB45FA">
      <w:pPr>
        <w:pStyle w:val="ListParagraph"/>
        <w:widowControl w:val="0"/>
        <w:numPr>
          <w:ilvl w:val="0"/>
          <w:numId w:val="17"/>
        </w:numPr>
        <w:spacing w:after="0" w:line="240" w:lineRule="auto"/>
        <w:ind w:left="993"/>
        <w:jc w:val="both"/>
        <w:rPr>
          <w:lang w:val="fr-FR"/>
        </w:rPr>
      </w:pPr>
      <w:r>
        <w:rPr>
          <w:rFonts w:eastAsia="Times New Roman" w:cs="Arial"/>
          <w:lang w:val="fr-FR"/>
        </w:rPr>
        <w:t>r</w:t>
      </w:r>
      <w:r w:rsidR="00FB2FEF">
        <w:rPr>
          <w:rFonts w:eastAsia="Times New Roman" w:cs="Arial"/>
          <w:lang w:val="fr-FR"/>
        </w:rPr>
        <w:t xml:space="preserve">éduire les perturbations et le harcèlement dus aux activités touristiques ou récréatives, conformément aux dispositions de la Résolution 11.29 (Rev.COP12) </w:t>
      </w:r>
      <w:r w:rsidR="00FB2FEF">
        <w:rPr>
          <w:rFonts w:eastAsia="Times New Roman" w:cs="Arial"/>
          <w:i/>
          <w:iCs/>
          <w:lang w:val="fr-FR"/>
        </w:rPr>
        <w:t>Observation de la vie sauvage marine en bateau dans le cadre d'un tourisme durable</w:t>
      </w:r>
      <w:r w:rsidR="00FB2FEF">
        <w:rPr>
          <w:rFonts w:eastAsia="Times New Roman" w:cs="Arial"/>
          <w:lang w:val="fr-FR"/>
        </w:rPr>
        <w:t xml:space="preserve">, de la Résolution 12.16 [Rev.COP14] </w:t>
      </w:r>
      <w:r w:rsidR="00FB2FEF">
        <w:rPr>
          <w:rFonts w:eastAsia="Times New Roman" w:cs="Arial"/>
          <w:i/>
          <w:iCs/>
          <w:lang w:val="fr-FR"/>
        </w:rPr>
        <w:t>Interaction récréative dans l'eau avec des mammifères marins</w:t>
      </w:r>
      <w:r w:rsidR="00FB2FEF">
        <w:rPr>
          <w:rFonts w:eastAsia="Times New Roman" w:cs="Arial"/>
          <w:lang w:val="fr-FR"/>
        </w:rPr>
        <w:t xml:space="preserve"> et de la Résolution 12.23 </w:t>
      </w:r>
      <w:r w:rsidR="00FB2FEF">
        <w:rPr>
          <w:rFonts w:eastAsia="Times New Roman" w:cs="Arial"/>
          <w:i/>
          <w:iCs/>
          <w:lang w:val="fr-FR"/>
        </w:rPr>
        <w:t>Tourisme durable et espèces migratrices</w:t>
      </w:r>
      <w:r w:rsidR="00FB2FEF">
        <w:rPr>
          <w:rFonts w:eastAsia="Times New Roman" w:cs="Arial"/>
          <w:lang w:val="fr-FR"/>
        </w:rPr>
        <w:t xml:space="preserve">, </w:t>
      </w:r>
      <w:r w:rsidRPr="00FB45FA">
        <w:rPr>
          <w:rFonts w:eastAsia="Times New Roman" w:cs="Arial"/>
          <w:lang w:val="fr-FR"/>
        </w:rPr>
        <w:t xml:space="preserve">ainsi que le manuel conjoint CBI-CMS sur l'observation </w:t>
      </w:r>
      <w:r>
        <w:rPr>
          <w:rFonts w:eastAsia="Times New Roman" w:cs="Arial"/>
          <w:lang w:val="fr-FR"/>
        </w:rPr>
        <w:t xml:space="preserve">en ligne </w:t>
      </w:r>
      <w:r w:rsidRPr="00FB45FA">
        <w:rPr>
          <w:rFonts w:eastAsia="Times New Roman" w:cs="Arial"/>
          <w:lang w:val="fr-FR"/>
        </w:rPr>
        <w:t>des baleines, en accordant une attention particulière au contrôle de la taille de la flotte d'observation de la faune en bateau et à la réglementation de toutes les activités en bateau et dans l'eau qui interagissent avec les cétacés, afin de s'assurer que ces activités n'ont pas d'effets négatifs sur la santé et la survie à long terme des populations et des habitats et qu'elles ont un impact minimal sur le comportement des animaux exposés</w:t>
      </w:r>
      <w:r>
        <w:rPr>
          <w:rFonts w:eastAsia="Times New Roman" w:cs="Arial"/>
          <w:lang w:val="fr-FR"/>
        </w:rPr>
        <w:t> ;</w:t>
      </w:r>
    </w:p>
    <w:p w14:paraId="1634A541" w14:textId="77777777" w:rsidR="006E5484" w:rsidRDefault="006E5484" w:rsidP="00FB45FA">
      <w:pPr>
        <w:widowControl w:val="0"/>
        <w:spacing w:after="0" w:line="240" w:lineRule="auto"/>
        <w:jc w:val="both"/>
        <w:rPr>
          <w:rFonts w:eastAsia="Times New Roman" w:cs="Arial"/>
          <w:lang w:val="fr-FR"/>
        </w:rPr>
      </w:pPr>
    </w:p>
    <w:p w14:paraId="682391BD" w14:textId="2B44B4AB" w:rsidR="006E5484" w:rsidRDefault="00FB45FA" w:rsidP="00FB45FA">
      <w:pPr>
        <w:pStyle w:val="ListParagraph"/>
        <w:widowControl w:val="0"/>
        <w:numPr>
          <w:ilvl w:val="0"/>
          <w:numId w:val="17"/>
        </w:numPr>
        <w:spacing w:after="0" w:line="240" w:lineRule="auto"/>
        <w:ind w:left="993"/>
        <w:jc w:val="both"/>
        <w:rPr>
          <w:rFonts w:eastAsia="Times New Roman" w:cs="Arial"/>
          <w:lang w:val="fr-FR"/>
        </w:rPr>
      </w:pPr>
      <w:proofErr w:type="gramStart"/>
      <w:r>
        <w:rPr>
          <w:rFonts w:eastAsia="Times New Roman" w:cs="Arial"/>
          <w:lang w:val="fr-FR"/>
        </w:rPr>
        <w:t>m</w:t>
      </w:r>
      <w:r w:rsidRPr="00FB45FA">
        <w:rPr>
          <w:rFonts w:eastAsia="Times New Roman" w:cs="Arial"/>
          <w:lang w:val="fr-FR"/>
        </w:rPr>
        <w:t>ieux</w:t>
      </w:r>
      <w:proofErr w:type="gramEnd"/>
      <w:r w:rsidRPr="00FB45FA">
        <w:rPr>
          <w:rFonts w:eastAsia="Times New Roman" w:cs="Arial"/>
          <w:lang w:val="fr-FR"/>
        </w:rPr>
        <w:t xml:space="preserve"> comprendre l'impact des maladies en se préparant à des événements de mortalité dans les populations de cétacés et en enquêtant sur ces événements, et en soutenant des réseaux d'échouage fonctionnels et entièrement financés pour répondre aux événements d'échouage et obtenir des données normalisées et harmonisées qui peuvent être utilisées à des fins de conservation</w:t>
      </w:r>
      <w:r>
        <w:rPr>
          <w:rFonts w:eastAsia="Times New Roman" w:cs="Arial"/>
          <w:lang w:val="fr-FR"/>
        </w:rPr>
        <w:t> :</w:t>
      </w:r>
    </w:p>
    <w:p w14:paraId="26F4F1B8" w14:textId="77777777" w:rsidR="00FB45FA" w:rsidRPr="00FB45FA" w:rsidRDefault="00FB45FA" w:rsidP="00FB45FA">
      <w:pPr>
        <w:widowControl w:val="0"/>
        <w:spacing w:after="0" w:line="240" w:lineRule="auto"/>
        <w:jc w:val="both"/>
        <w:rPr>
          <w:rFonts w:eastAsia="Times New Roman" w:cs="Arial"/>
          <w:lang w:val="fr-FR"/>
        </w:rPr>
      </w:pPr>
    </w:p>
    <w:p w14:paraId="379AEC15" w14:textId="3AD9C5CB" w:rsidR="006E5484" w:rsidRDefault="00FB2FEF">
      <w:pPr>
        <w:pStyle w:val="ListParagraph"/>
        <w:widowControl w:val="0"/>
        <w:numPr>
          <w:ilvl w:val="0"/>
          <w:numId w:val="17"/>
        </w:numPr>
        <w:spacing w:after="0" w:line="240" w:lineRule="auto"/>
        <w:ind w:left="851"/>
        <w:jc w:val="both"/>
        <w:rPr>
          <w:lang w:val="fr-FR"/>
        </w:rPr>
      </w:pPr>
      <w:r>
        <w:rPr>
          <w:rFonts w:eastAsia="Times New Roman" w:cs="Arial"/>
          <w:lang w:val="fr-FR"/>
        </w:rPr>
        <w:t xml:space="preserve">Appliquer le principe de précaution en ce qui concerne </w:t>
      </w:r>
      <w:proofErr w:type="gramStart"/>
      <w:r>
        <w:rPr>
          <w:rFonts w:eastAsia="Times New Roman" w:cs="Arial"/>
          <w:lang w:val="fr-FR"/>
        </w:rPr>
        <w:t>l' exploitation</w:t>
      </w:r>
      <w:proofErr w:type="gramEnd"/>
      <w:r>
        <w:rPr>
          <w:rFonts w:eastAsia="Times New Roman" w:cs="Arial"/>
          <w:lang w:val="fr-FR"/>
        </w:rPr>
        <w:t xml:space="preserve"> minière des fonds marins, en donnant la priorité à la recherche pour étudier les impacts de l'exploitation minière des fonds marins et en interrompant le passage à l'exploitatio</w:t>
      </w:r>
      <w:r w:rsidR="00FB45FA">
        <w:rPr>
          <w:rFonts w:eastAsia="Times New Roman" w:cs="Arial"/>
          <w:lang w:val="fr-FR"/>
        </w:rPr>
        <w:t xml:space="preserve">n, [conformément aux dispositions de la Résolution 14.[ ] </w:t>
      </w:r>
      <w:r w:rsidR="00FB45FA">
        <w:rPr>
          <w:rFonts w:eastAsia="Times New Roman" w:cs="Arial"/>
          <w:i/>
          <w:iCs/>
          <w:lang w:val="fr-FR"/>
        </w:rPr>
        <w:t>Exploitation minière des fonds marins] ;</w:t>
      </w:r>
    </w:p>
    <w:p w14:paraId="4D5FB519" w14:textId="77777777" w:rsidR="006E5484" w:rsidRDefault="006E5484">
      <w:pPr>
        <w:pStyle w:val="ListParagraph"/>
        <w:widowControl w:val="0"/>
        <w:spacing w:after="0" w:line="240" w:lineRule="auto"/>
        <w:ind w:left="567"/>
        <w:jc w:val="both"/>
        <w:rPr>
          <w:rFonts w:eastAsia="Times New Roman" w:cs="Arial"/>
          <w:lang w:val="fr-FR"/>
        </w:rPr>
      </w:pPr>
    </w:p>
    <w:p w14:paraId="6BB36742" w14:textId="77777777" w:rsidR="006E5484" w:rsidRDefault="00FB2FEF">
      <w:pPr>
        <w:widowControl w:val="0"/>
        <w:numPr>
          <w:ilvl w:val="0"/>
          <w:numId w:val="7"/>
        </w:numPr>
        <w:spacing w:after="0" w:line="240" w:lineRule="auto"/>
        <w:ind w:left="567" w:hanging="567"/>
        <w:jc w:val="both"/>
        <w:rPr>
          <w:lang w:val="fr-FR"/>
        </w:rPr>
      </w:pPr>
      <w:r>
        <w:rPr>
          <w:rFonts w:eastAsia="Times New Roman" w:cs="Arial"/>
          <w:i/>
          <w:iCs/>
          <w:lang w:val="fr-FR"/>
        </w:rPr>
        <w:t>En outre, prie instamment</w:t>
      </w:r>
      <w:r>
        <w:rPr>
          <w:rFonts w:eastAsia="Times New Roman" w:cs="Arial"/>
          <w:lang w:val="fr-FR"/>
        </w:rPr>
        <w:t xml:space="preserve"> les Parties à :</w:t>
      </w:r>
    </w:p>
    <w:p w14:paraId="5C8D2D63" w14:textId="77777777" w:rsidR="006E5484" w:rsidRDefault="006E5484">
      <w:pPr>
        <w:widowControl w:val="0"/>
        <w:spacing w:after="0" w:line="240" w:lineRule="auto"/>
        <w:jc w:val="both"/>
        <w:rPr>
          <w:rFonts w:eastAsia="Times New Roman" w:cs="Arial"/>
          <w:lang w:val="fr-FR"/>
        </w:rPr>
      </w:pPr>
    </w:p>
    <w:p w14:paraId="2F1303B6" w14:textId="7A069F73" w:rsidR="006E5484" w:rsidRDefault="00FB45FA">
      <w:pPr>
        <w:pStyle w:val="ListParagraph"/>
        <w:widowControl w:val="0"/>
        <w:numPr>
          <w:ilvl w:val="0"/>
          <w:numId w:val="18"/>
        </w:numPr>
        <w:spacing w:after="0" w:line="240" w:lineRule="auto"/>
        <w:ind w:left="851"/>
        <w:jc w:val="both"/>
        <w:rPr>
          <w:lang w:val="fr-FR"/>
        </w:rPr>
      </w:pPr>
      <w:bookmarkStart w:id="2" w:name="_Hlk135665669"/>
      <w:proofErr w:type="gramStart"/>
      <w:r>
        <w:rPr>
          <w:rFonts w:eastAsia="Times New Roman" w:cs="Arial"/>
          <w:lang w:val="fr-FR"/>
        </w:rPr>
        <w:t>é</w:t>
      </w:r>
      <w:r w:rsidR="00FB2FEF">
        <w:rPr>
          <w:rFonts w:eastAsia="Times New Roman" w:cs="Arial"/>
          <w:lang w:val="fr-FR"/>
        </w:rPr>
        <w:t>tablir</w:t>
      </w:r>
      <w:proofErr w:type="gramEnd"/>
      <w:r w:rsidR="00FB2FEF">
        <w:rPr>
          <w:rFonts w:eastAsia="Times New Roman" w:cs="Arial"/>
          <w:lang w:val="fr-FR"/>
        </w:rPr>
        <w:t xml:space="preserve"> des processus pour la participation </w:t>
      </w:r>
      <w:r w:rsidRPr="00FB45FA">
        <w:rPr>
          <w:rFonts w:eastAsia="Times New Roman" w:cs="Arial"/>
          <w:lang w:val="fr-FR"/>
        </w:rPr>
        <w:t>des populations autochtones et des communautés locales (IPLC)</w:t>
      </w:r>
      <w:r>
        <w:rPr>
          <w:rFonts w:eastAsia="Times New Roman" w:cs="Arial"/>
          <w:lang w:val="fr-FR"/>
        </w:rPr>
        <w:t xml:space="preserve"> </w:t>
      </w:r>
      <w:r w:rsidR="00FB2FEF">
        <w:rPr>
          <w:rFonts w:eastAsia="Times New Roman" w:cs="Arial"/>
          <w:lang w:val="fr-FR"/>
        </w:rPr>
        <w:t xml:space="preserve">aux activités et décisions relatives aux cétacés, ainsi que dans les juridictions nationales, le cas échéant, conformément aux dispositions </w:t>
      </w:r>
      <w:r w:rsidR="00FB2FEF">
        <w:rPr>
          <w:rFonts w:eastAsia="Times New Roman" w:cs="Arial"/>
          <w:lang w:val="fr-FR"/>
        </w:rPr>
        <w:lastRenderedPageBreak/>
        <w:t xml:space="preserve">de la Résolution 11.10 (Rev.COP13) </w:t>
      </w:r>
      <w:r w:rsidR="00FB2FEF">
        <w:rPr>
          <w:rFonts w:eastAsia="Times New Roman" w:cs="Arial"/>
          <w:i/>
          <w:iCs/>
          <w:lang w:val="fr-FR"/>
        </w:rPr>
        <w:t>Synergies et partenariats</w:t>
      </w:r>
      <w:r w:rsidR="00FB2FEF">
        <w:rPr>
          <w:rFonts w:eastAsia="Times New Roman" w:cs="Arial"/>
          <w:lang w:val="fr-FR"/>
        </w:rPr>
        <w:t xml:space="preserve"> ;</w:t>
      </w:r>
      <w:bookmarkEnd w:id="2"/>
    </w:p>
    <w:p w14:paraId="0782214E" w14:textId="77777777" w:rsidR="006E5484" w:rsidRDefault="006E5484">
      <w:pPr>
        <w:pStyle w:val="ListParagraph"/>
        <w:widowControl w:val="0"/>
        <w:spacing w:after="0" w:line="240" w:lineRule="auto"/>
        <w:ind w:left="851"/>
        <w:jc w:val="both"/>
        <w:rPr>
          <w:rFonts w:eastAsia="Times New Roman" w:cs="Arial"/>
          <w:lang w:val="fr-FR"/>
        </w:rPr>
      </w:pPr>
    </w:p>
    <w:p w14:paraId="26446C0E" w14:textId="426C58A0" w:rsidR="006E5484" w:rsidRPr="00FB45FA" w:rsidRDefault="00FB45FA">
      <w:pPr>
        <w:pStyle w:val="ListParagraph"/>
        <w:widowControl w:val="0"/>
        <w:numPr>
          <w:ilvl w:val="0"/>
          <w:numId w:val="18"/>
        </w:numPr>
        <w:spacing w:after="0" w:line="240" w:lineRule="auto"/>
        <w:ind w:left="851"/>
        <w:jc w:val="both"/>
        <w:rPr>
          <w:lang w:val="fr-FR"/>
        </w:rPr>
      </w:pPr>
      <w:proofErr w:type="gramStart"/>
      <w:r>
        <w:rPr>
          <w:rFonts w:eastAsia="Times New Roman" w:cs="Arial"/>
          <w:lang w:val="fr-FR"/>
        </w:rPr>
        <w:t>p</w:t>
      </w:r>
      <w:r w:rsidR="00FB2FEF">
        <w:rPr>
          <w:rFonts w:eastAsia="Times New Roman" w:cs="Arial"/>
          <w:lang w:val="fr-FR"/>
        </w:rPr>
        <w:t>rotéger</w:t>
      </w:r>
      <w:proofErr w:type="gramEnd"/>
      <w:r w:rsidR="00FB2FEF">
        <w:rPr>
          <w:rFonts w:eastAsia="Times New Roman" w:cs="Arial"/>
          <w:lang w:val="fr-FR"/>
        </w:rPr>
        <w:t xml:space="preserve"> et restaurer les habitats nécessaires aux cétacés inscrits aux Annexes de la CMS tout au long de leur cycle de vie et sur l'ensemble de leur aire de migration ;</w:t>
      </w:r>
    </w:p>
    <w:p w14:paraId="39E5204D" w14:textId="77777777" w:rsidR="00FB45FA" w:rsidRPr="00FB45FA" w:rsidRDefault="00FB45FA" w:rsidP="00FB45FA">
      <w:pPr>
        <w:widowControl w:val="0"/>
        <w:spacing w:after="0" w:line="240" w:lineRule="auto"/>
        <w:jc w:val="both"/>
        <w:rPr>
          <w:lang w:val="fr-FR"/>
        </w:rPr>
      </w:pPr>
    </w:p>
    <w:p w14:paraId="45702BC9" w14:textId="604F8BA4" w:rsidR="006E5484" w:rsidRDefault="00FB45FA">
      <w:pPr>
        <w:pStyle w:val="ListParagraph"/>
        <w:widowControl w:val="0"/>
        <w:numPr>
          <w:ilvl w:val="0"/>
          <w:numId w:val="18"/>
        </w:numPr>
        <w:spacing w:after="0" w:line="240" w:lineRule="auto"/>
        <w:ind w:left="851"/>
        <w:jc w:val="both"/>
        <w:rPr>
          <w:lang w:val="fr-FR"/>
        </w:rPr>
      </w:pPr>
      <w:proofErr w:type="gramStart"/>
      <w:r>
        <w:rPr>
          <w:rFonts w:eastAsia="Times New Roman" w:cs="Arial"/>
          <w:lang w:val="fr-FR"/>
        </w:rPr>
        <w:t>utiliser</w:t>
      </w:r>
      <w:proofErr w:type="gramEnd"/>
      <w:r w:rsidR="00FB2FEF">
        <w:rPr>
          <w:rFonts w:eastAsia="Times New Roman" w:cs="Arial"/>
          <w:lang w:val="fr-FR"/>
        </w:rPr>
        <w:t xml:space="preserve"> la base de données AIMM comme ressource clé pour examiner </w:t>
      </w:r>
      <w:r w:rsidR="002620F5">
        <w:rPr>
          <w:rFonts w:eastAsia="Times New Roman" w:cs="Arial"/>
          <w:lang w:val="fr-FR"/>
        </w:rPr>
        <w:t>la protection d</w:t>
      </w:r>
      <w:r w:rsidR="00FB2FEF">
        <w:rPr>
          <w:rFonts w:eastAsia="Times New Roman" w:cs="Arial"/>
          <w:lang w:val="fr-FR"/>
        </w:rPr>
        <w:t>es habitats d'importance critique pour les cétacés inscrits aux Annexes de la CMS</w:t>
      </w:r>
      <w:r w:rsidR="002620F5">
        <w:rPr>
          <w:rFonts w:eastAsia="Times New Roman" w:cs="Arial"/>
          <w:lang w:val="fr-FR"/>
        </w:rPr>
        <w:t>,</w:t>
      </w:r>
      <w:r w:rsidRPr="00FB45FA">
        <w:rPr>
          <w:rFonts w:eastAsia="Times New Roman" w:cs="Arial"/>
          <w:lang w:val="fr-FR"/>
        </w:rPr>
        <w:t xml:space="preserve"> </w:t>
      </w:r>
      <w:r w:rsidR="002620F5">
        <w:rPr>
          <w:rFonts w:eastAsia="Times New Roman" w:cs="Arial"/>
          <w:lang w:val="fr-FR"/>
        </w:rPr>
        <w:t>c</w:t>
      </w:r>
      <w:r>
        <w:rPr>
          <w:rFonts w:eastAsia="Times New Roman" w:cs="Arial"/>
          <w:lang w:val="fr-FR"/>
        </w:rPr>
        <w:t xml:space="preserve">onformément aux dispositions de la Résolution 12.13 </w:t>
      </w:r>
      <w:r>
        <w:rPr>
          <w:rFonts w:eastAsia="Times New Roman" w:cs="Arial"/>
          <w:i/>
          <w:iCs/>
          <w:lang w:val="fr-FR"/>
        </w:rPr>
        <w:t>Aires importantes pour les mammifères marins</w:t>
      </w:r>
      <w:r>
        <w:rPr>
          <w:rFonts w:eastAsia="Times New Roman" w:cs="Arial"/>
          <w:lang w:val="fr-FR"/>
        </w:rPr>
        <w:t xml:space="preserve"> (AIMM)</w:t>
      </w:r>
      <w:r w:rsidR="002620F5">
        <w:rPr>
          <w:rFonts w:eastAsia="Times New Roman" w:cs="Arial"/>
          <w:lang w:val="fr-FR"/>
        </w:rPr>
        <w:t xml:space="preserve"> et en s’appuyant sur celles-ci ;</w:t>
      </w:r>
    </w:p>
    <w:p w14:paraId="7B4C9E13" w14:textId="77777777" w:rsidR="006E5484" w:rsidRDefault="006E5484">
      <w:pPr>
        <w:pStyle w:val="ListParagraph"/>
        <w:rPr>
          <w:rFonts w:eastAsia="Times New Roman" w:cs="Arial"/>
          <w:lang w:val="fr-FR"/>
        </w:rPr>
      </w:pPr>
    </w:p>
    <w:p w14:paraId="455939DC" w14:textId="503E4673" w:rsidR="006E5484" w:rsidRDefault="002620F5">
      <w:pPr>
        <w:pStyle w:val="ListParagraph"/>
        <w:widowControl w:val="0"/>
        <w:numPr>
          <w:ilvl w:val="0"/>
          <w:numId w:val="18"/>
        </w:numPr>
        <w:spacing w:after="0" w:line="240" w:lineRule="auto"/>
        <w:ind w:left="851"/>
        <w:jc w:val="both"/>
        <w:rPr>
          <w:lang w:val="fr-FR"/>
        </w:rPr>
      </w:pPr>
      <w:r>
        <w:rPr>
          <w:rFonts w:eastAsia="Times New Roman" w:cs="Arial"/>
          <w:lang w:val="fr-FR"/>
        </w:rPr>
        <w:t>l</w:t>
      </w:r>
      <w:r w:rsidR="00FB2FEF">
        <w:rPr>
          <w:rFonts w:eastAsia="Times New Roman" w:cs="Arial"/>
          <w:lang w:val="fr-FR"/>
        </w:rPr>
        <w:t>ors de l'identification des zones d'importance pour les cétacés, prendre en considération la relation entre ces zones et d'autres zones qui peuvent leur être écologiquement liées, par exemple en tant que corridors de connexion, ou en tant que zones de reproduction liées à des zones de non-reproduction, à des sites d'escale, à des aires d'alimentation et à des aires de repos</w:t>
      </w:r>
      <w:r>
        <w:rPr>
          <w:rFonts w:eastAsia="Times New Roman" w:cs="Arial"/>
          <w:lang w:val="fr-FR"/>
        </w:rPr>
        <w:t xml:space="preserve">, conformément aux dispositions de la Résolution 12.07 (Rev.COP13) </w:t>
      </w:r>
      <w:r>
        <w:rPr>
          <w:rFonts w:eastAsia="Times New Roman" w:cs="Arial"/>
          <w:i/>
          <w:iCs/>
          <w:lang w:val="fr-FR"/>
        </w:rPr>
        <w:t>Le rôle des réseaux écologiques pour la conservation des espèces migratrices </w:t>
      </w:r>
      <w:r>
        <w:rPr>
          <w:rFonts w:eastAsia="Times New Roman" w:cs="Arial"/>
          <w:lang w:val="fr-FR"/>
        </w:rPr>
        <w:t>;</w:t>
      </w:r>
    </w:p>
    <w:p w14:paraId="0B0D899D" w14:textId="77777777" w:rsidR="006E5484" w:rsidRDefault="006E5484">
      <w:pPr>
        <w:pStyle w:val="ListParagraph"/>
        <w:rPr>
          <w:rFonts w:eastAsia="Times New Roman" w:cs="Arial"/>
          <w:lang w:val="fr-FR"/>
        </w:rPr>
      </w:pPr>
    </w:p>
    <w:p w14:paraId="2164F399" w14:textId="4DD7FC32" w:rsidR="006E5484" w:rsidRDefault="002620F5">
      <w:pPr>
        <w:pStyle w:val="ListParagraph"/>
        <w:widowControl w:val="0"/>
        <w:numPr>
          <w:ilvl w:val="0"/>
          <w:numId w:val="18"/>
        </w:numPr>
        <w:spacing w:after="0" w:line="240" w:lineRule="auto"/>
        <w:ind w:left="851"/>
        <w:jc w:val="both"/>
        <w:rPr>
          <w:lang w:val="fr-FR"/>
        </w:rPr>
      </w:pPr>
      <w:proofErr w:type="gramStart"/>
      <w:r>
        <w:rPr>
          <w:rFonts w:eastAsia="Times New Roman" w:cs="Arial"/>
          <w:lang w:val="fr-FR"/>
        </w:rPr>
        <w:t>u</w:t>
      </w:r>
      <w:r w:rsidR="00FB2FEF">
        <w:rPr>
          <w:rFonts w:eastAsia="Times New Roman" w:cs="Arial"/>
          <w:lang w:val="fr-FR"/>
        </w:rPr>
        <w:t>tiliser</w:t>
      </w:r>
      <w:proofErr w:type="gramEnd"/>
      <w:r w:rsidR="00FB2FEF">
        <w:rPr>
          <w:rFonts w:eastAsia="Times New Roman" w:cs="Arial"/>
          <w:lang w:val="fr-FR"/>
        </w:rPr>
        <w:t xml:space="preserve"> l'information sur la compréhension croissante des conséquences de la culture animale et de la complexité sociale pour la conservation, dans le but d'accroître les efforts de conservation existants en utilisant les connaissances sur les aspects de la socialité</w:t>
      </w:r>
      <w:r>
        <w:rPr>
          <w:rFonts w:eastAsia="Times New Roman" w:cs="Arial"/>
          <w:lang w:val="fr-FR"/>
        </w:rPr>
        <w:t xml:space="preserve">, conformément aux dispositions de la Résolution 11.23 (Rev.COP12) </w:t>
      </w:r>
      <w:r>
        <w:rPr>
          <w:rFonts w:eastAsia="Times New Roman" w:cs="Arial"/>
          <w:i/>
          <w:iCs/>
          <w:lang w:val="fr-FR"/>
        </w:rPr>
        <w:t>Conséquences de la culture animale et de la complexité sociale pour la conservation </w:t>
      </w:r>
      <w:r>
        <w:rPr>
          <w:rFonts w:eastAsia="Times New Roman" w:cs="Arial"/>
          <w:lang w:val="fr-FR"/>
        </w:rPr>
        <w:t>;</w:t>
      </w:r>
    </w:p>
    <w:p w14:paraId="38E20AD3" w14:textId="77777777" w:rsidR="006E5484" w:rsidRDefault="006E5484">
      <w:pPr>
        <w:widowControl w:val="0"/>
        <w:spacing w:after="0" w:line="240" w:lineRule="auto"/>
        <w:jc w:val="both"/>
        <w:rPr>
          <w:rFonts w:eastAsia="Times New Roman" w:cs="Arial"/>
          <w:lang w:val="fr-FR"/>
        </w:rPr>
      </w:pPr>
    </w:p>
    <w:p w14:paraId="2F76137B" w14:textId="152F0D7A" w:rsidR="006E5484" w:rsidRDefault="00FB2FEF">
      <w:pPr>
        <w:widowControl w:val="0"/>
        <w:numPr>
          <w:ilvl w:val="0"/>
          <w:numId w:val="7"/>
        </w:numPr>
        <w:spacing w:after="0" w:line="240" w:lineRule="auto"/>
        <w:ind w:left="567" w:hanging="567"/>
        <w:jc w:val="both"/>
        <w:rPr>
          <w:lang w:val="fr-FR"/>
        </w:rPr>
      </w:pPr>
      <w:r>
        <w:rPr>
          <w:rFonts w:eastAsia="Times New Roman" w:cs="Arial"/>
          <w:i/>
          <w:iCs/>
          <w:lang w:val="fr-FR"/>
        </w:rPr>
        <w:t>Prie</w:t>
      </w:r>
      <w:r>
        <w:rPr>
          <w:rFonts w:eastAsia="Times New Roman" w:cs="Arial"/>
          <w:i/>
          <w:lang w:val="fr-FR"/>
        </w:rPr>
        <w:t xml:space="preserve"> </w:t>
      </w:r>
      <w:r>
        <w:rPr>
          <w:rFonts w:eastAsia="Times New Roman" w:cs="Arial"/>
          <w:iCs/>
          <w:lang w:val="fr-FR"/>
        </w:rPr>
        <w:t xml:space="preserve">le Conseil scientifique et le Secrétariat de poursuivre et d'accroître les efforts de collaboration avec d'autres forums internationaux pertinents, </w:t>
      </w:r>
      <w:r w:rsidR="002620F5" w:rsidRPr="002620F5">
        <w:rPr>
          <w:rFonts w:eastAsia="Times New Roman" w:cs="Arial"/>
          <w:iCs/>
          <w:lang w:val="fr-FR"/>
        </w:rPr>
        <w:t>notamment la Commission baleinière internationale et ses comités scientifiques et de conservation, ainsi que le groupe de spécialistes des cétacés de la Commission de la sauvegarde des espèces de l'UICN,</w:t>
      </w:r>
      <w:r w:rsidR="002620F5">
        <w:rPr>
          <w:rFonts w:eastAsia="Times New Roman" w:cs="Arial"/>
          <w:iCs/>
          <w:lang w:val="fr-FR"/>
        </w:rPr>
        <w:t xml:space="preserve"> </w:t>
      </w:r>
      <w:r>
        <w:rPr>
          <w:rFonts w:eastAsia="Times New Roman" w:cs="Arial"/>
          <w:iCs/>
          <w:lang w:val="fr-FR"/>
        </w:rPr>
        <w:t>en vue d'éviter les doubles emplois, d'accroître les synergies et de rehausser le profil de la CMS et ses accords relatifs aux cétacés dans ces forums</w:t>
      </w:r>
      <w:r>
        <w:rPr>
          <w:rFonts w:eastAsia="Times New Roman" w:cs="Arial"/>
          <w:lang w:val="fr-FR"/>
        </w:rPr>
        <w:t xml:space="preserve"> ; </w:t>
      </w:r>
    </w:p>
    <w:p w14:paraId="7681E00C" w14:textId="77777777" w:rsidR="006E5484" w:rsidRDefault="006E5484" w:rsidP="002620F5">
      <w:pPr>
        <w:widowControl w:val="0"/>
        <w:spacing w:after="0" w:line="240" w:lineRule="auto"/>
        <w:contextualSpacing/>
        <w:rPr>
          <w:rFonts w:eastAsia="Times New Roman" w:cs="Arial"/>
          <w:lang w:val="fr-FR"/>
        </w:rPr>
      </w:pPr>
    </w:p>
    <w:p w14:paraId="6F7D2897" w14:textId="1EA5A07C" w:rsidR="006E5484" w:rsidRDefault="00FB2FEF">
      <w:pPr>
        <w:pStyle w:val="ListParagraph"/>
        <w:widowControl w:val="0"/>
        <w:numPr>
          <w:ilvl w:val="0"/>
          <w:numId w:val="7"/>
        </w:numPr>
        <w:spacing w:after="0" w:line="240" w:lineRule="auto"/>
        <w:ind w:left="567" w:hanging="567"/>
        <w:jc w:val="both"/>
        <w:rPr>
          <w:lang w:val="fr-FR"/>
        </w:rPr>
      </w:pPr>
      <w:r>
        <w:rPr>
          <w:rFonts w:eastAsia="MS Mincho" w:cs="Arial"/>
          <w:i/>
          <w:iCs/>
          <w:color w:val="000000"/>
          <w:szCs w:val="24"/>
          <w:lang w:val="fr-FR"/>
        </w:rPr>
        <w:t>Prie</w:t>
      </w:r>
      <w:r>
        <w:rPr>
          <w:rFonts w:eastAsia="MS Mincho" w:cs="Arial"/>
          <w:color w:val="000000"/>
          <w:szCs w:val="24"/>
          <w:lang w:val="fr-FR"/>
        </w:rPr>
        <w:t xml:space="preserve"> le Conseil scientifique de continuer à soutenir </w:t>
      </w:r>
      <w:r w:rsidR="002620F5">
        <w:rPr>
          <w:rFonts w:eastAsia="MS Mincho" w:cs="Arial"/>
          <w:color w:val="000000"/>
          <w:szCs w:val="24"/>
          <w:lang w:val="fr-FR"/>
        </w:rPr>
        <w:t>son</w:t>
      </w:r>
      <w:r>
        <w:rPr>
          <w:rFonts w:eastAsia="MS Mincho" w:cs="Arial"/>
          <w:color w:val="000000"/>
          <w:szCs w:val="24"/>
          <w:lang w:val="fr-FR"/>
        </w:rPr>
        <w:t xml:space="preserve"> Groupe de travail sur les mammifères aquatiques présidé par le conseiller pour les mammifères aquatiques nommé par la COP, et </w:t>
      </w:r>
      <w:r>
        <w:rPr>
          <w:rFonts w:eastAsia="MS Mincho" w:cs="Arial"/>
          <w:i/>
          <w:iCs/>
          <w:color w:val="000000"/>
          <w:szCs w:val="24"/>
          <w:lang w:val="fr-FR"/>
        </w:rPr>
        <w:t>encourage</w:t>
      </w:r>
      <w:r>
        <w:rPr>
          <w:rFonts w:eastAsia="MS Mincho" w:cs="Arial"/>
          <w:color w:val="000000"/>
          <w:szCs w:val="24"/>
          <w:lang w:val="fr-FR"/>
        </w:rPr>
        <w:t xml:space="preserve"> la participation d'autres conseillers scientifiques, de représentants des organes scientifiques ou consultatifs d'autres accords sur les mammifères aquatiques de la CMS, et d'autres experts compétents ;</w:t>
      </w:r>
    </w:p>
    <w:p w14:paraId="2F8B08FD" w14:textId="77777777" w:rsidR="006E5484" w:rsidRDefault="006E5484">
      <w:pPr>
        <w:pStyle w:val="ListParagraph"/>
        <w:rPr>
          <w:rFonts w:eastAsia="MS Mincho" w:cs="Arial"/>
          <w:color w:val="000000"/>
          <w:szCs w:val="24"/>
          <w:lang w:val="fr-FR"/>
        </w:rPr>
      </w:pPr>
    </w:p>
    <w:p w14:paraId="03E4AD8D" w14:textId="77777777" w:rsidR="006E5484" w:rsidRDefault="00FB2FEF">
      <w:pPr>
        <w:pStyle w:val="ListParagraph"/>
        <w:widowControl w:val="0"/>
        <w:numPr>
          <w:ilvl w:val="0"/>
          <w:numId w:val="7"/>
        </w:numPr>
        <w:spacing w:after="0" w:line="240" w:lineRule="auto"/>
        <w:ind w:left="567" w:hanging="567"/>
        <w:jc w:val="both"/>
        <w:rPr>
          <w:lang w:val="fr-FR"/>
        </w:rPr>
      </w:pPr>
      <w:r>
        <w:rPr>
          <w:rFonts w:eastAsia="MS Mincho" w:cs="Arial"/>
          <w:i/>
          <w:iCs/>
          <w:color w:val="000000"/>
          <w:szCs w:val="24"/>
          <w:lang w:val="fr-FR"/>
        </w:rPr>
        <w:t>Abroge</w:t>
      </w:r>
      <w:r>
        <w:rPr>
          <w:rFonts w:eastAsia="MS Mincho" w:cs="Arial"/>
          <w:color w:val="000000"/>
          <w:szCs w:val="24"/>
          <w:lang w:val="fr-FR"/>
        </w:rPr>
        <w:t xml:space="preserve"> la Résolution 10.15 (Rev.COP12) </w:t>
      </w:r>
      <w:r>
        <w:rPr>
          <w:rFonts w:eastAsia="MS Mincho" w:cs="Arial"/>
          <w:i/>
          <w:iCs/>
          <w:color w:val="000000"/>
          <w:szCs w:val="24"/>
          <w:lang w:val="fr-FR"/>
        </w:rPr>
        <w:t>Programme de travail mondial pour les cétacés</w:t>
      </w:r>
      <w:r>
        <w:rPr>
          <w:rFonts w:eastAsia="MS Mincho" w:cs="Arial"/>
          <w:color w:val="000000"/>
          <w:szCs w:val="24"/>
          <w:lang w:val="fr-FR"/>
        </w:rPr>
        <w:t>.</w:t>
      </w:r>
    </w:p>
    <w:p w14:paraId="76E2B351" w14:textId="77777777" w:rsidR="006E5484" w:rsidRDefault="006E5484">
      <w:pPr>
        <w:pStyle w:val="ListParagraph"/>
        <w:rPr>
          <w:rFonts w:eastAsia="MS Mincho" w:cs="Arial"/>
          <w:color w:val="000000"/>
          <w:szCs w:val="24"/>
          <w:lang w:val="fr-FR"/>
        </w:rPr>
      </w:pPr>
    </w:p>
    <w:p w14:paraId="720613FF" w14:textId="77777777" w:rsidR="006E5484" w:rsidRDefault="006E5484">
      <w:pPr>
        <w:pStyle w:val="Secondnumbering"/>
        <w:numPr>
          <w:ilvl w:val="0"/>
          <w:numId w:val="0"/>
        </w:numPr>
        <w:ind w:left="360" w:hanging="360"/>
        <w:rPr>
          <w:lang w:val="fr-FR"/>
        </w:rPr>
        <w:sectPr w:rsidR="006E5484" w:rsidSect="00C62B01">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20" w:footer="720" w:gutter="0"/>
          <w:cols w:space="720"/>
          <w:formProt w:val="0"/>
          <w:titlePg/>
          <w:docGrid w:linePitch="360" w:charSpace="4096"/>
        </w:sectPr>
      </w:pPr>
    </w:p>
    <w:p w14:paraId="6E3A1B4A" w14:textId="77777777" w:rsidR="006E5484" w:rsidRDefault="00FB2FEF">
      <w:pPr>
        <w:spacing w:after="0" w:line="240" w:lineRule="auto"/>
        <w:jc w:val="right"/>
        <w:rPr>
          <w:lang w:val="fr-FR"/>
        </w:rPr>
      </w:pPr>
      <w:r>
        <w:rPr>
          <w:rFonts w:cs="Arial"/>
          <w:b/>
          <w:caps/>
          <w:lang w:val="fr-FR"/>
        </w:rPr>
        <w:lastRenderedPageBreak/>
        <w:t>Annexe 3</w:t>
      </w:r>
    </w:p>
    <w:p w14:paraId="4635D740" w14:textId="77777777" w:rsidR="006E5484" w:rsidRDefault="006E5484">
      <w:pPr>
        <w:spacing w:after="0" w:line="240" w:lineRule="auto"/>
        <w:rPr>
          <w:rFonts w:cs="Arial"/>
          <w:lang w:val="fr-FR"/>
        </w:rPr>
      </w:pPr>
    </w:p>
    <w:p w14:paraId="1A8F8559" w14:textId="44BA2CAE" w:rsidR="006E5484" w:rsidRDefault="00FB2FEF">
      <w:pPr>
        <w:spacing w:after="0" w:line="240" w:lineRule="auto"/>
        <w:jc w:val="center"/>
        <w:rPr>
          <w:lang w:val="fr-FR"/>
        </w:rPr>
      </w:pPr>
      <w:r>
        <w:rPr>
          <w:rFonts w:cs="Arial"/>
          <w:lang w:val="fr-FR"/>
        </w:rPr>
        <w:t>PROJET DE DÉCISION</w:t>
      </w:r>
      <w:r w:rsidR="00A00D39">
        <w:rPr>
          <w:rFonts w:cs="Arial"/>
          <w:lang w:val="fr-FR"/>
        </w:rPr>
        <w:t>(S)</w:t>
      </w:r>
    </w:p>
    <w:p w14:paraId="0EFB6BAC" w14:textId="77777777" w:rsidR="006E5484" w:rsidRDefault="006E5484">
      <w:pPr>
        <w:spacing w:after="0" w:line="240" w:lineRule="auto"/>
        <w:jc w:val="center"/>
        <w:rPr>
          <w:rFonts w:cs="Arial"/>
          <w:lang w:val="fr-FR"/>
        </w:rPr>
      </w:pPr>
    </w:p>
    <w:p w14:paraId="5E5E4BC5" w14:textId="77777777" w:rsidR="006E5484" w:rsidRDefault="00FB2FEF">
      <w:pPr>
        <w:pBdr>
          <w:top w:val="single" w:sz="6" w:space="0" w:color="FFFFFF"/>
          <w:left w:val="single" w:sz="6" w:space="0" w:color="FFFFFF"/>
          <w:bottom w:val="single" w:sz="6" w:space="0" w:color="FFFFFF"/>
          <w:right w:val="single" w:sz="6" w:space="0" w:color="FFFFFF"/>
        </w:pBdr>
        <w:spacing w:after="0" w:line="240" w:lineRule="auto"/>
        <w:jc w:val="center"/>
        <w:outlineLvl w:val="1"/>
        <w:rPr>
          <w:lang w:val="fr-FR"/>
        </w:rPr>
      </w:pPr>
      <w:r>
        <w:rPr>
          <w:rFonts w:cs="Arial"/>
          <w:b/>
          <w:caps/>
          <w:lang w:val="fr-FR"/>
        </w:rPr>
        <w:t>Priorités de conservation pour les cétacés</w:t>
      </w:r>
    </w:p>
    <w:p w14:paraId="628DBDCC" w14:textId="77777777" w:rsidR="006E5484" w:rsidRDefault="006E5484">
      <w:pPr>
        <w:spacing w:after="0" w:line="240" w:lineRule="auto"/>
        <w:jc w:val="both"/>
        <w:rPr>
          <w:rFonts w:cs="Arial"/>
          <w:i/>
          <w:lang w:val="fr-FR"/>
        </w:rPr>
      </w:pPr>
    </w:p>
    <w:p w14:paraId="72B73743" w14:textId="77777777" w:rsidR="006E5484" w:rsidRDefault="006E5484">
      <w:pPr>
        <w:spacing w:after="0" w:line="240" w:lineRule="auto"/>
        <w:jc w:val="both"/>
        <w:rPr>
          <w:rFonts w:cs="Arial"/>
          <w:lang w:val="fr-FR"/>
        </w:rPr>
      </w:pPr>
    </w:p>
    <w:p w14:paraId="79D004B7" w14:textId="5459E69C" w:rsidR="006E5484" w:rsidRDefault="004B50A4">
      <w:pPr>
        <w:spacing w:after="0" w:line="240" w:lineRule="auto"/>
        <w:jc w:val="both"/>
        <w:rPr>
          <w:lang w:val="fr-FR"/>
        </w:rPr>
      </w:pPr>
      <w:r>
        <w:rPr>
          <w:rFonts w:cs="Arial"/>
          <w:b/>
          <w:i/>
          <w:lang w:val="fr-FR"/>
        </w:rPr>
        <w:t>A</w:t>
      </w:r>
      <w:r w:rsidR="00FB2FEF">
        <w:rPr>
          <w:rFonts w:cs="Arial"/>
          <w:b/>
          <w:i/>
          <w:lang w:val="fr-FR"/>
        </w:rPr>
        <w:t xml:space="preserve">dressée aux Parties </w:t>
      </w:r>
    </w:p>
    <w:p w14:paraId="3C51D897" w14:textId="77777777" w:rsidR="006E5484" w:rsidRDefault="006E5484">
      <w:pPr>
        <w:spacing w:after="0" w:line="240" w:lineRule="auto"/>
        <w:jc w:val="both"/>
        <w:rPr>
          <w:rFonts w:cs="Arial"/>
          <w:lang w:val="fr-FR"/>
        </w:rPr>
      </w:pPr>
    </w:p>
    <w:p w14:paraId="2AEEF94A" w14:textId="77777777" w:rsidR="006E5484" w:rsidRDefault="00FB2FEF">
      <w:pPr>
        <w:spacing w:after="0" w:line="240" w:lineRule="auto"/>
        <w:ind w:left="851" w:hanging="851"/>
        <w:jc w:val="both"/>
        <w:rPr>
          <w:lang w:val="fr-FR"/>
        </w:rPr>
      </w:pPr>
      <w:r>
        <w:rPr>
          <w:rFonts w:cs="Arial"/>
          <w:lang w:val="fr-FR"/>
        </w:rPr>
        <w:t>14.AA</w:t>
      </w:r>
      <w:r>
        <w:rPr>
          <w:rFonts w:cs="Arial"/>
          <w:lang w:val="fr-FR"/>
        </w:rPr>
        <w:tab/>
      </w:r>
      <w:r>
        <w:rPr>
          <w:rFonts w:cs="Arial"/>
          <w:iCs/>
          <w:lang w:val="fr-FR"/>
        </w:rPr>
        <w:t>Les Parties sont invitées à :</w:t>
      </w:r>
    </w:p>
    <w:p w14:paraId="2CDE5CF5" w14:textId="77777777" w:rsidR="006E5484" w:rsidRDefault="006E5484">
      <w:pPr>
        <w:spacing w:after="0" w:line="240" w:lineRule="auto"/>
        <w:ind w:left="720" w:hanging="720"/>
        <w:jc w:val="both"/>
        <w:rPr>
          <w:rFonts w:cs="Arial"/>
          <w:iCs/>
          <w:lang w:val="fr-FR"/>
        </w:rPr>
      </w:pPr>
    </w:p>
    <w:p w14:paraId="69A0EB02" w14:textId="45D44DAC" w:rsidR="006E5484" w:rsidRDefault="00414BBB">
      <w:pPr>
        <w:widowControl w:val="0"/>
        <w:numPr>
          <w:ilvl w:val="0"/>
          <w:numId w:val="28"/>
        </w:numPr>
        <w:spacing w:after="0" w:line="240" w:lineRule="auto"/>
        <w:ind w:left="1418" w:hanging="567"/>
        <w:jc w:val="both"/>
        <w:rPr>
          <w:lang w:val="fr-FR"/>
        </w:rPr>
      </w:pPr>
      <w:proofErr w:type="gramStart"/>
      <w:r>
        <w:rPr>
          <w:rFonts w:cs="Arial"/>
          <w:iCs/>
          <w:lang w:val="fr-FR"/>
        </w:rPr>
        <w:t>r</w:t>
      </w:r>
      <w:r w:rsidR="00FB2FEF">
        <w:rPr>
          <w:rFonts w:cs="Arial"/>
          <w:iCs/>
          <w:lang w:val="fr-FR"/>
        </w:rPr>
        <w:t>evoir</w:t>
      </w:r>
      <w:proofErr w:type="gramEnd"/>
      <w:r w:rsidR="00FB2FEF">
        <w:rPr>
          <w:rFonts w:cs="Arial"/>
          <w:iCs/>
          <w:lang w:val="fr-FR"/>
        </w:rPr>
        <w:t xml:space="preserve"> les priorités régionales pour la conservation des cétacés identifiées à l'annexe 2 du document UNEP/CMS/COP14/Inf.</w:t>
      </w:r>
      <w:r w:rsidR="00FB2FEF">
        <w:rPr>
          <w:rFonts w:cs="Arial"/>
          <w:lang w:val="fr-FR"/>
        </w:rPr>
        <w:t xml:space="preserve">27.5.1a </w:t>
      </w:r>
      <w:r w:rsidR="00FB2FEF">
        <w:rPr>
          <w:rFonts w:cs="Arial"/>
          <w:iCs/>
          <w:lang w:val="fr-FR"/>
        </w:rPr>
        <w:t xml:space="preserve">pour leur région ainsi que les recommandations détaillées décrites pour chacune des menaces prioritaires dans la Résolution 14.[ ] </w:t>
      </w:r>
      <w:r w:rsidR="00FB2FEF">
        <w:rPr>
          <w:rFonts w:cs="Arial"/>
          <w:i/>
          <w:lang w:val="fr-FR"/>
        </w:rPr>
        <w:t>Priorités de conservation pour les cétacés</w:t>
      </w:r>
      <w:r w:rsidR="00FB2FEF">
        <w:rPr>
          <w:rFonts w:cs="Arial"/>
          <w:iCs/>
          <w:lang w:val="fr-FR"/>
        </w:rPr>
        <w:t xml:space="preserve"> et s'attaquer à celles qui sont les plus urgentes, le cas échéant en coordination avec d'autres pays de la région ;</w:t>
      </w:r>
    </w:p>
    <w:p w14:paraId="5D649AEB" w14:textId="77777777" w:rsidR="006E5484" w:rsidRDefault="006E5484">
      <w:pPr>
        <w:widowControl w:val="0"/>
        <w:spacing w:after="0" w:line="240" w:lineRule="auto"/>
        <w:ind w:left="1418" w:hanging="567"/>
        <w:jc w:val="both"/>
        <w:rPr>
          <w:rFonts w:cs="Arial"/>
          <w:iCs/>
          <w:lang w:val="fr-FR"/>
        </w:rPr>
      </w:pPr>
    </w:p>
    <w:p w14:paraId="7798187D" w14:textId="37C6D2B0" w:rsidR="006E5484" w:rsidRDefault="00414BBB">
      <w:pPr>
        <w:widowControl w:val="0"/>
        <w:numPr>
          <w:ilvl w:val="0"/>
          <w:numId w:val="8"/>
        </w:numPr>
        <w:spacing w:after="0" w:line="240" w:lineRule="auto"/>
        <w:ind w:left="1418" w:hanging="567"/>
        <w:jc w:val="both"/>
        <w:rPr>
          <w:lang w:val="fr-FR"/>
        </w:rPr>
      </w:pPr>
      <w:proofErr w:type="gramStart"/>
      <w:r>
        <w:rPr>
          <w:rFonts w:cs="Arial"/>
          <w:iCs/>
          <w:lang w:val="fr-FR"/>
        </w:rPr>
        <w:t>r</w:t>
      </w:r>
      <w:r w:rsidR="00FB2FEF">
        <w:rPr>
          <w:rFonts w:cs="Arial"/>
          <w:iCs/>
          <w:lang w:val="fr-FR"/>
        </w:rPr>
        <w:t>endre</w:t>
      </w:r>
      <w:proofErr w:type="gramEnd"/>
      <w:r w:rsidR="00FB2FEF">
        <w:rPr>
          <w:rFonts w:cs="Arial"/>
          <w:iCs/>
          <w:lang w:val="fr-FR"/>
        </w:rPr>
        <w:t xml:space="preserve"> compte des progrès réalisés grâce </w:t>
      </w:r>
      <w:r>
        <w:rPr>
          <w:rFonts w:cs="Arial"/>
          <w:iCs/>
          <w:lang w:val="fr-FR"/>
        </w:rPr>
        <w:t>à leur</w:t>
      </w:r>
      <w:r w:rsidR="00FB2FEF">
        <w:rPr>
          <w:rFonts w:cs="Arial"/>
          <w:iCs/>
          <w:lang w:val="fr-FR"/>
        </w:rPr>
        <w:t xml:space="preserve"> rapports nationaux ;</w:t>
      </w:r>
    </w:p>
    <w:p w14:paraId="20F05B90" w14:textId="77777777" w:rsidR="006E5484" w:rsidRDefault="006E5484">
      <w:pPr>
        <w:spacing w:after="0" w:line="240" w:lineRule="auto"/>
        <w:ind w:left="1418" w:hanging="567"/>
        <w:jc w:val="both"/>
        <w:rPr>
          <w:rFonts w:cs="Arial"/>
          <w:iCs/>
          <w:lang w:val="fr-FR"/>
        </w:rPr>
      </w:pPr>
    </w:p>
    <w:p w14:paraId="3FF5695F" w14:textId="60047D46" w:rsidR="006E5484" w:rsidRDefault="00414BBB">
      <w:pPr>
        <w:widowControl w:val="0"/>
        <w:numPr>
          <w:ilvl w:val="0"/>
          <w:numId w:val="8"/>
        </w:numPr>
        <w:spacing w:after="0" w:line="240" w:lineRule="auto"/>
        <w:ind w:left="1418" w:hanging="567"/>
        <w:jc w:val="both"/>
        <w:rPr>
          <w:lang w:val="fr-FR"/>
        </w:rPr>
      </w:pPr>
      <w:proofErr w:type="gramStart"/>
      <w:r>
        <w:rPr>
          <w:rFonts w:cs="Arial"/>
          <w:iCs/>
          <w:lang w:val="fr-FR"/>
        </w:rPr>
        <w:t>dans</w:t>
      </w:r>
      <w:proofErr w:type="gramEnd"/>
      <w:r>
        <w:rPr>
          <w:rFonts w:cs="Arial"/>
          <w:iCs/>
          <w:lang w:val="fr-FR"/>
        </w:rPr>
        <w:t xml:space="preserve"> la mesure du possible, f</w:t>
      </w:r>
      <w:r w:rsidR="00FB2FEF">
        <w:rPr>
          <w:rFonts w:cs="Arial"/>
          <w:iCs/>
          <w:lang w:val="fr-FR"/>
        </w:rPr>
        <w:t>ournir un appui technique et en matière de renforcement des capacités aux autres Parties, le cas échéant, afin de faciliter le partage des connaissances et une collaboration efficace</w:t>
      </w:r>
      <w:r w:rsidR="004B50A4">
        <w:rPr>
          <w:rFonts w:cs="Arial"/>
          <w:iCs/>
          <w:lang w:val="fr-FR"/>
        </w:rPr>
        <w:t>.</w:t>
      </w:r>
    </w:p>
    <w:p w14:paraId="44D834FB" w14:textId="77777777" w:rsidR="006E5484" w:rsidRDefault="006E5484">
      <w:pPr>
        <w:widowControl w:val="0"/>
        <w:spacing w:after="0" w:line="240" w:lineRule="auto"/>
        <w:ind w:left="1418" w:hanging="567"/>
        <w:jc w:val="both"/>
        <w:rPr>
          <w:rFonts w:cs="Arial"/>
          <w:iCs/>
          <w:lang w:val="fr-FR"/>
        </w:rPr>
      </w:pPr>
    </w:p>
    <w:p w14:paraId="2EF92857" w14:textId="798D55C5" w:rsidR="00414BBB" w:rsidRDefault="00414BBB" w:rsidP="00414BBB">
      <w:pPr>
        <w:widowControl w:val="0"/>
        <w:spacing w:after="0" w:line="240" w:lineRule="auto"/>
        <w:ind w:left="851" w:hanging="851"/>
        <w:jc w:val="both"/>
        <w:rPr>
          <w:rFonts w:cs="Arial"/>
          <w:iCs/>
          <w:lang w:val="fr-FR"/>
        </w:rPr>
      </w:pPr>
      <w:r>
        <w:rPr>
          <w:rFonts w:cs="Arial"/>
          <w:iCs/>
          <w:lang w:val="fr-FR"/>
        </w:rPr>
        <w:t>14.BB</w:t>
      </w:r>
      <w:r>
        <w:rPr>
          <w:rFonts w:cs="Arial"/>
          <w:iCs/>
          <w:lang w:val="fr-FR"/>
        </w:rPr>
        <w:tab/>
        <w:t>Les Parties sont encouragées à :</w:t>
      </w:r>
    </w:p>
    <w:p w14:paraId="7AAC158D" w14:textId="77777777" w:rsidR="00414BBB" w:rsidRDefault="00414BBB" w:rsidP="00414BBB">
      <w:pPr>
        <w:widowControl w:val="0"/>
        <w:spacing w:after="0" w:line="240" w:lineRule="auto"/>
        <w:ind w:left="851" w:hanging="851"/>
        <w:jc w:val="both"/>
        <w:rPr>
          <w:rFonts w:cs="Arial"/>
          <w:iCs/>
          <w:lang w:val="fr-FR"/>
        </w:rPr>
      </w:pPr>
    </w:p>
    <w:p w14:paraId="74316FD4" w14:textId="1CF8FC70" w:rsidR="006E5484" w:rsidRPr="004B50A4" w:rsidRDefault="00414BBB" w:rsidP="00BF68BA">
      <w:pPr>
        <w:pStyle w:val="ListParagraph"/>
        <w:widowControl w:val="0"/>
        <w:numPr>
          <w:ilvl w:val="0"/>
          <w:numId w:val="31"/>
        </w:numPr>
        <w:spacing w:after="0" w:line="240" w:lineRule="auto"/>
        <w:ind w:left="1418" w:hanging="567"/>
        <w:jc w:val="both"/>
        <w:rPr>
          <w:rFonts w:cs="Arial"/>
          <w:lang w:val="fr-FR"/>
        </w:rPr>
      </w:pPr>
      <w:proofErr w:type="gramStart"/>
      <w:r w:rsidRPr="004B50A4">
        <w:rPr>
          <w:rFonts w:cs="Arial"/>
          <w:iCs/>
          <w:lang w:val="fr-FR"/>
        </w:rPr>
        <w:t>s’engager</w:t>
      </w:r>
      <w:proofErr w:type="gramEnd"/>
      <w:r w:rsidRPr="004B50A4">
        <w:rPr>
          <w:rFonts w:cs="Arial"/>
          <w:iCs/>
          <w:lang w:val="fr-FR"/>
        </w:rPr>
        <w:t xml:space="preserve"> dans le processus de négociation en vue d’élaborer </w:t>
      </w:r>
      <w:r w:rsidR="00FB2FEF" w:rsidRPr="004B50A4">
        <w:rPr>
          <w:rFonts w:cs="Arial"/>
          <w:iCs/>
          <w:lang w:val="fr-FR"/>
        </w:rPr>
        <w:t>un instrument international juridiquement contraignant pour mettre fin à la pollution plastique</w:t>
      </w:r>
      <w:r w:rsidR="004B50A4">
        <w:rPr>
          <w:rFonts w:cs="Arial"/>
          <w:iCs/>
          <w:lang w:val="fr-FR"/>
        </w:rPr>
        <w:t> ;</w:t>
      </w:r>
    </w:p>
    <w:p w14:paraId="7055D4AA" w14:textId="77777777" w:rsidR="004B50A4" w:rsidRPr="004B50A4" w:rsidRDefault="004B50A4" w:rsidP="004B50A4">
      <w:pPr>
        <w:widowControl w:val="0"/>
        <w:spacing w:after="0" w:line="240" w:lineRule="auto"/>
        <w:jc w:val="both"/>
        <w:rPr>
          <w:rFonts w:cs="Arial"/>
          <w:lang w:val="fr-FR"/>
        </w:rPr>
      </w:pPr>
    </w:p>
    <w:p w14:paraId="0AE39B5E" w14:textId="6A310B23" w:rsidR="004B50A4" w:rsidRPr="004B50A4" w:rsidRDefault="004B50A4" w:rsidP="004B50A4">
      <w:pPr>
        <w:pStyle w:val="ListParagraph"/>
        <w:widowControl w:val="0"/>
        <w:numPr>
          <w:ilvl w:val="0"/>
          <w:numId w:val="31"/>
        </w:numPr>
        <w:spacing w:after="0" w:line="240" w:lineRule="auto"/>
        <w:ind w:left="1418" w:hanging="567"/>
        <w:jc w:val="both"/>
        <w:rPr>
          <w:rFonts w:cs="Arial"/>
          <w:lang w:val="fr-FR"/>
        </w:rPr>
      </w:pPr>
      <w:proofErr w:type="gramStart"/>
      <w:r>
        <w:rPr>
          <w:rFonts w:cs="Arial"/>
          <w:lang w:val="fr-FR"/>
        </w:rPr>
        <w:t>s</w:t>
      </w:r>
      <w:r w:rsidRPr="004B50A4">
        <w:rPr>
          <w:rFonts w:cs="Arial"/>
          <w:lang w:val="fr-FR"/>
        </w:rPr>
        <w:t>outenir</w:t>
      </w:r>
      <w:proofErr w:type="gramEnd"/>
      <w:r w:rsidRPr="004B50A4">
        <w:rPr>
          <w:rFonts w:cs="Arial"/>
          <w:lang w:val="fr-FR"/>
        </w:rPr>
        <w:t xml:space="preserve"> la mise en œuvre de l'instrument international juridiquement contraignant sur la conservation et l'utilisation durable de la diversité biologique marine dans les zones situées au-delà de la juridiction nationale, en particulier le développement d'une étude d'impact environnemental solide, moderne et uniforme pour toutes les activités ayant un impact potentiel sur les cétacés dans les zones situées à l'intérieur et au-delà des juridictions nationales</w:t>
      </w:r>
      <w:r>
        <w:rPr>
          <w:rFonts w:cs="Arial"/>
          <w:lang w:val="fr-FR"/>
        </w:rPr>
        <w:t> ;</w:t>
      </w:r>
    </w:p>
    <w:p w14:paraId="58CC1327" w14:textId="77777777" w:rsidR="004B50A4" w:rsidRPr="004B50A4" w:rsidRDefault="004B50A4" w:rsidP="004B50A4">
      <w:pPr>
        <w:pStyle w:val="ListParagraph"/>
        <w:widowControl w:val="0"/>
        <w:spacing w:after="0" w:line="240" w:lineRule="auto"/>
        <w:ind w:left="1418" w:hanging="567"/>
        <w:jc w:val="both"/>
        <w:rPr>
          <w:rFonts w:cs="Arial"/>
          <w:lang w:val="fr-FR"/>
        </w:rPr>
      </w:pPr>
    </w:p>
    <w:p w14:paraId="79A0B163" w14:textId="4038CC6F" w:rsidR="004B50A4" w:rsidRPr="004B50A4" w:rsidRDefault="004B50A4" w:rsidP="004B50A4">
      <w:pPr>
        <w:pStyle w:val="ListParagraph"/>
        <w:widowControl w:val="0"/>
        <w:numPr>
          <w:ilvl w:val="0"/>
          <w:numId w:val="31"/>
        </w:numPr>
        <w:spacing w:after="0" w:line="240" w:lineRule="auto"/>
        <w:ind w:left="1418" w:hanging="567"/>
        <w:jc w:val="both"/>
        <w:rPr>
          <w:rFonts w:cs="Arial"/>
          <w:lang w:val="fr-FR"/>
        </w:rPr>
      </w:pPr>
      <w:proofErr w:type="gramStart"/>
      <w:r>
        <w:rPr>
          <w:rFonts w:cs="Arial"/>
          <w:lang w:val="fr-FR"/>
        </w:rPr>
        <w:t>i</w:t>
      </w:r>
      <w:r w:rsidRPr="004B50A4">
        <w:rPr>
          <w:rFonts w:cs="Arial"/>
          <w:lang w:val="fr-FR"/>
        </w:rPr>
        <w:t>nclure</w:t>
      </w:r>
      <w:proofErr w:type="gramEnd"/>
      <w:r w:rsidRPr="004B50A4">
        <w:rPr>
          <w:rFonts w:cs="Arial"/>
          <w:lang w:val="fr-FR"/>
        </w:rPr>
        <w:t xml:space="preserve"> les cétacés dans leurs stratégies et plans d'action nationaux respectifs en matière de biodiversité et veiller à ce que les objectifs et les cibles du cadre mondial pour la biodiversité </w:t>
      </w:r>
      <w:r>
        <w:rPr>
          <w:rFonts w:cs="Arial"/>
          <w:lang w:val="fr-FR"/>
        </w:rPr>
        <w:t xml:space="preserve">de </w:t>
      </w:r>
      <w:r w:rsidRPr="004B50A4">
        <w:rPr>
          <w:rFonts w:cs="Arial"/>
          <w:lang w:val="fr-FR"/>
        </w:rPr>
        <w:t>Kunming-Montréal soient appliqués de manière à s'aligner positivement sur les priorités en matière de conservation des cétacés.</w:t>
      </w:r>
    </w:p>
    <w:p w14:paraId="279C1320" w14:textId="77777777" w:rsidR="006E5484" w:rsidRDefault="006E5484">
      <w:pPr>
        <w:spacing w:after="0" w:line="240" w:lineRule="auto"/>
        <w:jc w:val="both"/>
        <w:rPr>
          <w:rFonts w:cs="Arial"/>
          <w:lang w:val="fr-FR"/>
        </w:rPr>
      </w:pPr>
    </w:p>
    <w:p w14:paraId="60684F69" w14:textId="77777777" w:rsidR="00036331" w:rsidRDefault="00036331">
      <w:pPr>
        <w:spacing w:after="0" w:line="240" w:lineRule="auto"/>
        <w:jc w:val="both"/>
        <w:rPr>
          <w:rFonts w:cs="Arial"/>
          <w:lang w:val="fr-FR"/>
        </w:rPr>
      </w:pPr>
    </w:p>
    <w:p w14:paraId="299676E3" w14:textId="58573C6D" w:rsidR="006E5484" w:rsidRDefault="004B50A4">
      <w:pPr>
        <w:spacing w:after="0" w:line="240" w:lineRule="auto"/>
        <w:jc w:val="both"/>
        <w:rPr>
          <w:lang w:val="fr-FR"/>
        </w:rPr>
      </w:pPr>
      <w:r>
        <w:rPr>
          <w:rFonts w:cs="Arial"/>
          <w:b/>
          <w:i/>
          <w:lang w:val="fr-FR"/>
        </w:rPr>
        <w:t>A</w:t>
      </w:r>
      <w:r w:rsidR="00FB2FEF">
        <w:rPr>
          <w:rFonts w:cs="Arial"/>
          <w:b/>
          <w:i/>
          <w:lang w:val="fr-FR"/>
        </w:rPr>
        <w:t>dressée aux organisations intergouvernementales et non gouvernementales</w:t>
      </w:r>
    </w:p>
    <w:p w14:paraId="0C5BA827" w14:textId="77777777" w:rsidR="006E5484" w:rsidRDefault="006E5484">
      <w:pPr>
        <w:spacing w:after="0" w:line="240" w:lineRule="auto"/>
        <w:jc w:val="both"/>
        <w:rPr>
          <w:rFonts w:cs="Arial"/>
          <w:lang w:val="fr-FR"/>
        </w:rPr>
      </w:pPr>
    </w:p>
    <w:p w14:paraId="334E90CC" w14:textId="3E7E32F9" w:rsidR="006E5484" w:rsidRDefault="00FB2FEF">
      <w:pPr>
        <w:spacing w:after="0" w:line="240" w:lineRule="auto"/>
        <w:ind w:left="851" w:hanging="851"/>
        <w:jc w:val="both"/>
        <w:rPr>
          <w:lang w:val="fr-FR"/>
        </w:rPr>
      </w:pPr>
      <w:r>
        <w:rPr>
          <w:rFonts w:cs="Arial"/>
          <w:lang w:val="fr-FR"/>
        </w:rPr>
        <w:t>14.</w:t>
      </w:r>
      <w:r w:rsidR="004B50A4">
        <w:rPr>
          <w:rFonts w:cs="Arial"/>
          <w:lang w:val="fr-FR"/>
        </w:rPr>
        <w:t>CC.</w:t>
      </w:r>
      <w:r>
        <w:rPr>
          <w:rFonts w:cs="Arial"/>
          <w:lang w:val="fr-FR"/>
        </w:rPr>
        <w:tab/>
        <w:t xml:space="preserve">Les organisations intergouvernementales et non gouvernementales sont encouragées à soutenir les Parties dans l'atténuation des menaces prioritaires identifiées pour leur région à </w:t>
      </w:r>
      <w:r>
        <w:rPr>
          <w:rFonts w:cs="Arial"/>
          <w:iCs/>
          <w:lang w:val="fr-FR"/>
        </w:rPr>
        <w:t>l'annexe 2 du document UNEP/CMS/COP14/Inf.</w:t>
      </w:r>
      <w:r>
        <w:rPr>
          <w:rFonts w:cs="Arial"/>
          <w:lang w:val="fr-FR"/>
        </w:rPr>
        <w:t>27.5.1a, y compris par la fourniture d'un appui technique et d'une expertise.</w:t>
      </w:r>
      <w:r>
        <w:rPr>
          <w:rFonts w:cs="Arial"/>
          <w:iCs/>
          <w:lang w:val="fr-FR"/>
        </w:rPr>
        <w:t xml:space="preserve"> </w:t>
      </w:r>
    </w:p>
    <w:p w14:paraId="6815B787" w14:textId="77777777" w:rsidR="006E5484" w:rsidRDefault="006E5484">
      <w:pPr>
        <w:spacing w:after="0" w:line="240" w:lineRule="auto"/>
        <w:jc w:val="both"/>
        <w:rPr>
          <w:rFonts w:cs="Arial"/>
          <w:bCs/>
          <w:iCs/>
          <w:lang w:val="fr-FR"/>
        </w:rPr>
      </w:pPr>
    </w:p>
    <w:p w14:paraId="242E9295" w14:textId="7A24E6EA" w:rsidR="004B50A4" w:rsidRDefault="004B50A4">
      <w:pPr>
        <w:spacing w:after="0" w:line="240" w:lineRule="auto"/>
        <w:jc w:val="both"/>
        <w:rPr>
          <w:rFonts w:cs="Arial"/>
          <w:bCs/>
          <w:iCs/>
          <w:lang w:val="fr-FR"/>
        </w:rPr>
      </w:pPr>
      <w:r>
        <w:rPr>
          <w:rFonts w:cs="Arial"/>
          <w:bCs/>
          <w:iCs/>
          <w:lang w:val="fr-FR"/>
        </w:rPr>
        <w:br w:type="page"/>
      </w:r>
    </w:p>
    <w:p w14:paraId="29BA1E1F" w14:textId="1CB2F39A" w:rsidR="006E5484" w:rsidRDefault="004B50A4">
      <w:pPr>
        <w:spacing w:after="0" w:line="240" w:lineRule="auto"/>
        <w:jc w:val="both"/>
        <w:rPr>
          <w:lang w:val="fr-FR"/>
        </w:rPr>
      </w:pPr>
      <w:r>
        <w:rPr>
          <w:rFonts w:cs="Arial"/>
          <w:b/>
          <w:iCs/>
          <w:lang w:val="fr-FR"/>
        </w:rPr>
        <w:lastRenderedPageBreak/>
        <w:t>A</w:t>
      </w:r>
      <w:r w:rsidR="00FB2FEF">
        <w:rPr>
          <w:rFonts w:cs="Arial"/>
          <w:b/>
          <w:i/>
          <w:lang w:val="fr-FR"/>
        </w:rPr>
        <w:t xml:space="preserve">dressée au Conseil scientifique </w:t>
      </w:r>
    </w:p>
    <w:p w14:paraId="64224362" w14:textId="77777777" w:rsidR="006E5484" w:rsidRDefault="006E5484">
      <w:pPr>
        <w:spacing w:after="0" w:line="240" w:lineRule="auto"/>
        <w:jc w:val="both"/>
        <w:rPr>
          <w:rFonts w:cs="Arial"/>
          <w:lang w:val="fr-FR"/>
        </w:rPr>
      </w:pPr>
    </w:p>
    <w:p w14:paraId="117FE251" w14:textId="4428263E" w:rsidR="006E5484" w:rsidRDefault="00FB2FEF">
      <w:pPr>
        <w:spacing w:after="0" w:line="240" w:lineRule="auto"/>
        <w:ind w:left="851" w:hanging="851"/>
        <w:jc w:val="both"/>
        <w:rPr>
          <w:lang w:val="fr-FR"/>
        </w:rPr>
      </w:pPr>
      <w:r>
        <w:rPr>
          <w:rFonts w:cs="Arial"/>
          <w:lang w:val="fr-FR"/>
        </w:rPr>
        <w:t>14.</w:t>
      </w:r>
      <w:r w:rsidR="004B50A4">
        <w:rPr>
          <w:rFonts w:cs="Arial"/>
          <w:lang w:val="fr-FR"/>
        </w:rPr>
        <w:t>DD</w:t>
      </w:r>
      <w:r>
        <w:rPr>
          <w:lang w:val="fr-FR"/>
        </w:rPr>
        <w:tab/>
      </w:r>
      <w:r>
        <w:rPr>
          <w:rFonts w:cs="Arial"/>
          <w:lang w:val="fr-FR"/>
        </w:rPr>
        <w:t xml:space="preserve">Le Conseil scientifique, sous réserve de la disponibilité de ressources externes et, le cas échéant, avec le soutien du Groupe de travail sur les mammifères aquatiques, est </w:t>
      </w:r>
      <w:r w:rsidR="004B50A4">
        <w:rPr>
          <w:rFonts w:cs="Arial"/>
          <w:lang w:val="fr-FR"/>
        </w:rPr>
        <w:t>prié</w:t>
      </w:r>
      <w:r>
        <w:rPr>
          <w:rFonts w:cs="Arial"/>
          <w:lang w:val="fr-FR"/>
        </w:rPr>
        <w:t xml:space="preserve"> :</w:t>
      </w:r>
    </w:p>
    <w:p w14:paraId="7219FD7D" w14:textId="77777777" w:rsidR="006E5484" w:rsidRDefault="006E5484">
      <w:pPr>
        <w:spacing w:after="0" w:line="240" w:lineRule="auto"/>
        <w:ind w:left="720" w:hanging="720"/>
        <w:jc w:val="both"/>
        <w:rPr>
          <w:rFonts w:cs="Arial"/>
          <w:lang w:val="fr-FR"/>
        </w:rPr>
      </w:pPr>
    </w:p>
    <w:p w14:paraId="6A1E89DC" w14:textId="1000BB84" w:rsidR="006E5484" w:rsidRDefault="004B50A4">
      <w:pPr>
        <w:widowControl w:val="0"/>
        <w:numPr>
          <w:ilvl w:val="0"/>
          <w:numId w:val="29"/>
        </w:numPr>
        <w:spacing w:after="0" w:line="240" w:lineRule="auto"/>
        <w:ind w:left="1418" w:hanging="567"/>
        <w:jc w:val="both"/>
        <w:rPr>
          <w:lang w:val="fr-FR"/>
        </w:rPr>
      </w:pPr>
      <w:proofErr w:type="gramStart"/>
      <w:r>
        <w:rPr>
          <w:rFonts w:cs="Arial"/>
          <w:lang w:val="fr-FR"/>
        </w:rPr>
        <w:t>en</w:t>
      </w:r>
      <w:proofErr w:type="gramEnd"/>
      <w:r>
        <w:rPr>
          <w:rFonts w:cs="Arial"/>
          <w:lang w:val="fr-FR"/>
        </w:rPr>
        <w:t xml:space="preserve"> coopération avec</w:t>
      </w:r>
      <w:r w:rsidR="00FB2FEF">
        <w:rPr>
          <w:rFonts w:cs="Arial"/>
          <w:lang w:val="fr-FR"/>
        </w:rPr>
        <w:t xml:space="preserve"> le Groupe de travail sur la viande d'animaux sauvages aquatiques, </w:t>
      </w:r>
      <w:r>
        <w:rPr>
          <w:rFonts w:cs="Arial"/>
          <w:lang w:val="fr-FR"/>
        </w:rPr>
        <w:t xml:space="preserve">de </w:t>
      </w:r>
      <w:r w:rsidR="00FB2FEF">
        <w:rPr>
          <w:rFonts w:cs="Arial"/>
          <w:lang w:val="fr-FR"/>
        </w:rPr>
        <w:t xml:space="preserve">quantifier la chasse à la baleine contemporaine et les prélèvements de viande d'animaux sauvages aquatiques de tous les cétacés inscrits à l'Annexe I de la CMS dans toutes les régions, et </w:t>
      </w:r>
      <w:r>
        <w:rPr>
          <w:rFonts w:cs="Arial"/>
          <w:lang w:val="fr-FR"/>
        </w:rPr>
        <w:t xml:space="preserve">de </w:t>
      </w:r>
      <w:r w:rsidR="00FB2FEF">
        <w:rPr>
          <w:rFonts w:cs="Arial"/>
          <w:lang w:val="fr-FR"/>
        </w:rPr>
        <w:t>faire des recommandations aux Parties ;</w:t>
      </w:r>
    </w:p>
    <w:p w14:paraId="309BBB07" w14:textId="77777777" w:rsidR="006E5484" w:rsidRDefault="006E5484">
      <w:pPr>
        <w:widowControl w:val="0"/>
        <w:spacing w:after="0" w:line="240" w:lineRule="auto"/>
        <w:ind w:left="1418" w:hanging="567"/>
        <w:jc w:val="both"/>
        <w:rPr>
          <w:rFonts w:cs="Arial"/>
          <w:lang w:val="fr-FR"/>
        </w:rPr>
      </w:pPr>
    </w:p>
    <w:p w14:paraId="6162C9EB" w14:textId="161906E0" w:rsidR="006E5484" w:rsidRDefault="004B50A4">
      <w:pPr>
        <w:widowControl w:val="0"/>
        <w:numPr>
          <w:ilvl w:val="0"/>
          <w:numId w:val="9"/>
        </w:numPr>
        <w:spacing w:after="0" w:line="240" w:lineRule="auto"/>
        <w:ind w:left="1418" w:hanging="567"/>
        <w:jc w:val="both"/>
        <w:rPr>
          <w:lang w:val="fr-FR"/>
        </w:rPr>
      </w:pPr>
      <w:proofErr w:type="gramStart"/>
      <w:r>
        <w:rPr>
          <w:rFonts w:cs="Arial"/>
          <w:lang w:val="fr-FR"/>
        </w:rPr>
        <w:t>da</w:t>
      </w:r>
      <w:r w:rsidR="00FB2FEF">
        <w:rPr>
          <w:rFonts w:cs="Arial"/>
          <w:lang w:val="fr-FR"/>
        </w:rPr>
        <w:t>ns</w:t>
      </w:r>
      <w:proofErr w:type="gramEnd"/>
      <w:r w:rsidR="00FB2FEF">
        <w:rPr>
          <w:rFonts w:cs="Arial"/>
          <w:lang w:val="fr-FR"/>
        </w:rPr>
        <w:t xml:space="preserve"> le contexte des menaces liées au changement climatique,</w:t>
      </w:r>
      <w:r w:rsidR="00FB2FEF">
        <w:rPr>
          <w:rFonts w:cs="Arial"/>
          <w:bCs/>
          <w:iCs/>
          <w:lang w:val="fr-FR"/>
        </w:rPr>
        <w:t xml:space="preserve"> </w:t>
      </w:r>
      <w:r>
        <w:rPr>
          <w:rFonts w:cs="Arial"/>
          <w:bCs/>
          <w:iCs/>
          <w:lang w:val="fr-FR"/>
        </w:rPr>
        <w:t>d’</w:t>
      </w:r>
      <w:r w:rsidR="00FB2FEF">
        <w:rPr>
          <w:rFonts w:cs="Arial"/>
          <w:bCs/>
          <w:iCs/>
          <w:lang w:val="fr-FR"/>
        </w:rPr>
        <w:t xml:space="preserve">élaborer un rapport sur les impacts potentiels des migrations induites par le climat sur le bien-être et les résultats en matière de conservation des espèces de cétacés concernées, et </w:t>
      </w:r>
      <w:r>
        <w:rPr>
          <w:rFonts w:cs="Arial"/>
          <w:bCs/>
          <w:iCs/>
          <w:lang w:val="fr-FR"/>
        </w:rPr>
        <w:t xml:space="preserve">de </w:t>
      </w:r>
      <w:r w:rsidR="00FB2FEF">
        <w:rPr>
          <w:rFonts w:cs="Arial"/>
          <w:bCs/>
          <w:iCs/>
          <w:lang w:val="fr-FR"/>
        </w:rPr>
        <w:t>formuler des recommandations à l'intention des Parties ;</w:t>
      </w:r>
    </w:p>
    <w:p w14:paraId="0E555A21" w14:textId="77777777" w:rsidR="006E5484" w:rsidRDefault="006E5484">
      <w:pPr>
        <w:widowControl w:val="0"/>
        <w:spacing w:after="0" w:line="240" w:lineRule="auto"/>
        <w:ind w:left="1418" w:hanging="567"/>
        <w:jc w:val="both"/>
        <w:rPr>
          <w:rFonts w:cs="Arial"/>
          <w:lang w:val="fr-FR"/>
        </w:rPr>
      </w:pPr>
    </w:p>
    <w:p w14:paraId="7CFE3A52" w14:textId="11561CBD" w:rsidR="006E5484" w:rsidRDefault="004B50A4">
      <w:pPr>
        <w:widowControl w:val="0"/>
        <w:numPr>
          <w:ilvl w:val="0"/>
          <w:numId w:val="9"/>
        </w:numPr>
        <w:spacing w:after="0" w:line="240" w:lineRule="auto"/>
        <w:ind w:left="1418" w:hanging="567"/>
        <w:jc w:val="both"/>
        <w:rPr>
          <w:lang w:val="fr-FR"/>
        </w:rPr>
      </w:pPr>
      <w:proofErr w:type="gramStart"/>
      <w:r>
        <w:rPr>
          <w:rFonts w:cs="Arial"/>
          <w:bCs/>
          <w:iCs/>
          <w:lang w:val="fr-FR"/>
        </w:rPr>
        <w:t>de</w:t>
      </w:r>
      <w:proofErr w:type="gramEnd"/>
      <w:r>
        <w:rPr>
          <w:rFonts w:cs="Arial"/>
          <w:bCs/>
          <w:iCs/>
          <w:lang w:val="fr-FR"/>
        </w:rPr>
        <w:t xml:space="preserve"> </w:t>
      </w:r>
      <w:r w:rsidR="00FB2FEF">
        <w:rPr>
          <w:rFonts w:cs="Arial"/>
          <w:bCs/>
          <w:iCs/>
          <w:lang w:val="fr-FR"/>
        </w:rPr>
        <w:t xml:space="preserve">recommander l'utilisation de protocoles standard d'échouage et de nécropsie, </w:t>
      </w:r>
      <w:r w:rsidR="00FB2FEF">
        <w:rPr>
          <w:rFonts w:cs="Arial"/>
          <w:lang w:val="fr-FR"/>
        </w:rPr>
        <w:t>en tenant compte du travail effectué par l'ACCOBAMS, l'ASCOBANS et la CBI,</w:t>
      </w:r>
      <w:r w:rsidR="00FB2FEF">
        <w:rPr>
          <w:rFonts w:cs="Arial"/>
          <w:bCs/>
          <w:iCs/>
          <w:lang w:val="fr-FR"/>
        </w:rPr>
        <w:t xml:space="preserve"> </w:t>
      </w:r>
      <w:r w:rsidR="00FB2FEF">
        <w:rPr>
          <w:rFonts w:cs="Arial"/>
          <w:lang w:val="fr-FR"/>
        </w:rPr>
        <w:t>afin d'aider à enquêter sur les causes des événements de mortalité</w:t>
      </w:r>
      <w:r w:rsidR="00FB2FEF">
        <w:rPr>
          <w:rFonts w:cs="Arial"/>
          <w:bCs/>
          <w:iCs/>
          <w:lang w:val="fr-FR"/>
        </w:rPr>
        <w:t xml:space="preserve"> ;</w:t>
      </w:r>
    </w:p>
    <w:p w14:paraId="40105BFE" w14:textId="77777777" w:rsidR="006E5484" w:rsidRDefault="006E5484">
      <w:pPr>
        <w:widowControl w:val="0"/>
        <w:spacing w:after="0" w:line="240" w:lineRule="auto"/>
        <w:ind w:left="1418" w:hanging="567"/>
        <w:jc w:val="both"/>
        <w:rPr>
          <w:rFonts w:cs="Arial"/>
          <w:lang w:val="fr-FR"/>
        </w:rPr>
      </w:pPr>
    </w:p>
    <w:p w14:paraId="4EA5F105" w14:textId="34E3E2BC" w:rsidR="006E5484" w:rsidRDefault="004B50A4">
      <w:pPr>
        <w:widowControl w:val="0"/>
        <w:numPr>
          <w:ilvl w:val="0"/>
          <w:numId w:val="9"/>
        </w:numPr>
        <w:spacing w:after="0" w:line="240" w:lineRule="auto"/>
        <w:ind w:left="1418" w:hanging="567"/>
        <w:jc w:val="both"/>
        <w:rPr>
          <w:lang w:val="fr-FR"/>
        </w:rPr>
      </w:pPr>
      <w:proofErr w:type="gramStart"/>
      <w:r>
        <w:rPr>
          <w:rFonts w:cs="Arial"/>
          <w:bCs/>
          <w:iCs/>
          <w:lang w:val="fr-FR"/>
        </w:rPr>
        <w:t>d’é</w:t>
      </w:r>
      <w:r w:rsidR="00FB2FEF">
        <w:rPr>
          <w:rFonts w:cs="Arial"/>
          <w:bCs/>
          <w:iCs/>
          <w:lang w:val="fr-FR"/>
        </w:rPr>
        <w:t>laborer</w:t>
      </w:r>
      <w:proofErr w:type="gramEnd"/>
      <w:r w:rsidR="00FB2FEF">
        <w:rPr>
          <w:rFonts w:cs="Arial"/>
          <w:bCs/>
          <w:iCs/>
          <w:lang w:val="fr-FR"/>
        </w:rPr>
        <w:t xml:space="preserve"> un rapport sur la surveillance, le bien-être et la conservation des cétacés </w:t>
      </w:r>
      <w:r>
        <w:rPr>
          <w:rFonts w:cs="Arial"/>
          <w:bCs/>
          <w:iCs/>
          <w:lang w:val="fr-FR"/>
        </w:rPr>
        <w:t>« hors habitat »,inscrits aux Annexes de la CMS, de</w:t>
      </w:r>
      <w:r w:rsidR="00FB2FEF">
        <w:rPr>
          <w:rFonts w:cs="Arial"/>
          <w:bCs/>
          <w:iCs/>
          <w:lang w:val="fr-FR"/>
        </w:rPr>
        <w:t xml:space="preserve"> fournir des conseils sur les réponses appropriées à leur apporter et </w:t>
      </w:r>
      <w:r>
        <w:rPr>
          <w:rFonts w:cs="Arial"/>
          <w:bCs/>
          <w:iCs/>
          <w:lang w:val="fr-FR"/>
        </w:rPr>
        <w:t xml:space="preserve">de </w:t>
      </w:r>
      <w:r w:rsidR="00FB2FEF">
        <w:rPr>
          <w:rFonts w:cs="Arial"/>
          <w:bCs/>
          <w:iCs/>
          <w:lang w:val="fr-FR"/>
        </w:rPr>
        <w:t>formuler des recommandations aux Parties ;</w:t>
      </w:r>
    </w:p>
    <w:p w14:paraId="4F1C2D2C" w14:textId="77777777" w:rsidR="006E5484" w:rsidRDefault="006E5484">
      <w:pPr>
        <w:widowControl w:val="0"/>
        <w:spacing w:after="0" w:line="240" w:lineRule="auto"/>
        <w:ind w:left="1418" w:hanging="567"/>
        <w:jc w:val="both"/>
        <w:rPr>
          <w:rFonts w:cs="Arial"/>
          <w:lang w:val="fr-FR"/>
        </w:rPr>
      </w:pPr>
    </w:p>
    <w:p w14:paraId="06FDE175" w14:textId="6FD73FB9" w:rsidR="006E5484" w:rsidRDefault="004B50A4">
      <w:pPr>
        <w:widowControl w:val="0"/>
        <w:numPr>
          <w:ilvl w:val="0"/>
          <w:numId w:val="9"/>
        </w:numPr>
        <w:spacing w:after="0" w:line="240" w:lineRule="auto"/>
        <w:ind w:left="1418" w:hanging="567"/>
        <w:jc w:val="both"/>
        <w:rPr>
          <w:lang w:val="fr-FR"/>
        </w:rPr>
      </w:pPr>
      <w:proofErr w:type="gramStart"/>
      <w:r>
        <w:rPr>
          <w:rFonts w:cs="Arial"/>
          <w:lang w:val="fr-FR"/>
        </w:rPr>
        <w:t>de</w:t>
      </w:r>
      <w:proofErr w:type="gramEnd"/>
      <w:r>
        <w:rPr>
          <w:rFonts w:cs="Arial"/>
          <w:lang w:val="fr-FR"/>
        </w:rPr>
        <w:t xml:space="preserve"> s</w:t>
      </w:r>
      <w:r w:rsidR="00FB2FEF">
        <w:rPr>
          <w:rFonts w:cs="Arial"/>
          <w:lang w:val="fr-FR"/>
        </w:rPr>
        <w:t xml:space="preserve">ynthétiser la recherche sur la compréhension émergente de la façon dont le bien-être des cétacés peut avoir un impact sur les résultats de la conservation, et </w:t>
      </w:r>
      <w:r>
        <w:rPr>
          <w:rFonts w:cs="Arial"/>
          <w:lang w:val="fr-FR"/>
        </w:rPr>
        <w:t xml:space="preserve">de </w:t>
      </w:r>
      <w:r w:rsidR="00FB2FEF">
        <w:rPr>
          <w:rFonts w:cs="Arial"/>
          <w:lang w:val="fr-FR"/>
        </w:rPr>
        <w:t>faire des recommandations aux Parties ;</w:t>
      </w:r>
    </w:p>
    <w:p w14:paraId="54BEEB44" w14:textId="77777777" w:rsidR="006E5484" w:rsidRDefault="006E5484">
      <w:pPr>
        <w:widowControl w:val="0"/>
        <w:spacing w:after="0" w:line="240" w:lineRule="auto"/>
        <w:ind w:left="1418" w:hanging="567"/>
        <w:jc w:val="both"/>
        <w:rPr>
          <w:rFonts w:cs="Arial"/>
          <w:lang w:val="fr-FR"/>
        </w:rPr>
      </w:pPr>
    </w:p>
    <w:p w14:paraId="3B547E86" w14:textId="1CBB5E57" w:rsidR="006E5484" w:rsidRDefault="004B50A4">
      <w:pPr>
        <w:widowControl w:val="0"/>
        <w:numPr>
          <w:ilvl w:val="0"/>
          <w:numId w:val="9"/>
        </w:numPr>
        <w:spacing w:after="0" w:line="240" w:lineRule="auto"/>
        <w:ind w:left="1418" w:hanging="567"/>
        <w:jc w:val="both"/>
        <w:rPr>
          <w:lang w:val="fr-FR"/>
        </w:rPr>
      </w:pPr>
      <w:proofErr w:type="gramStart"/>
      <w:r>
        <w:rPr>
          <w:rFonts w:cs="Arial"/>
          <w:lang w:val="fr-FR"/>
        </w:rPr>
        <w:t>d’</w:t>
      </w:r>
      <w:r w:rsidR="00036331">
        <w:rPr>
          <w:rFonts w:cs="Arial"/>
          <w:lang w:val="fr-FR"/>
        </w:rPr>
        <w:t>e</w:t>
      </w:r>
      <w:r w:rsidR="00FB2FEF">
        <w:rPr>
          <w:rFonts w:cs="Arial"/>
          <w:lang w:val="fr-FR"/>
        </w:rPr>
        <w:t>xaminer</w:t>
      </w:r>
      <w:proofErr w:type="gramEnd"/>
      <w:r w:rsidR="00FB2FEF">
        <w:rPr>
          <w:rFonts w:cs="Arial"/>
          <w:lang w:val="fr-FR"/>
        </w:rPr>
        <w:t xml:space="preserve"> les recommandations pour une action future potentielle du Conseil scientifique telles que contenues dans le document </w:t>
      </w:r>
      <w:r w:rsidR="00FB2FEF">
        <w:rPr>
          <w:rFonts w:cs="Arial"/>
          <w:iCs/>
          <w:lang w:val="fr-FR"/>
        </w:rPr>
        <w:t>UNEP/CMS/COP14/Inf.</w:t>
      </w:r>
      <w:r w:rsidR="00FB2FEF">
        <w:rPr>
          <w:rFonts w:cs="Arial"/>
          <w:lang w:val="fr-FR"/>
        </w:rPr>
        <w:t xml:space="preserve">27.5.1b et </w:t>
      </w:r>
      <w:r>
        <w:rPr>
          <w:rFonts w:cs="Arial"/>
          <w:lang w:val="fr-FR"/>
        </w:rPr>
        <w:t xml:space="preserve">de </w:t>
      </w:r>
      <w:r w:rsidR="00FB2FEF">
        <w:rPr>
          <w:rFonts w:cs="Arial"/>
          <w:lang w:val="fr-FR"/>
        </w:rPr>
        <w:t>faire des recommandations à la 15</w:t>
      </w:r>
      <w:r w:rsidR="00FB2FEF">
        <w:rPr>
          <w:rFonts w:cs="Arial"/>
          <w:vertAlign w:val="superscript"/>
          <w:lang w:val="fr-FR"/>
        </w:rPr>
        <w:t>e</w:t>
      </w:r>
      <w:r w:rsidR="00FB2FEF">
        <w:rPr>
          <w:rFonts w:cs="Arial"/>
          <w:lang w:val="fr-FR"/>
        </w:rPr>
        <w:t xml:space="preserve"> session de la Conférence des Parties sur les </w:t>
      </w:r>
      <w:r>
        <w:rPr>
          <w:rFonts w:cs="Arial"/>
          <w:lang w:val="fr-FR"/>
        </w:rPr>
        <w:t>actions prioritaires à mener au cours de</w:t>
      </w:r>
      <w:r w:rsidR="00FB2FEF">
        <w:rPr>
          <w:rFonts w:cs="Arial"/>
          <w:lang w:val="fr-FR"/>
        </w:rPr>
        <w:t xml:space="preserve"> la période intersessions suivante.</w:t>
      </w:r>
    </w:p>
    <w:p w14:paraId="3386A6F5" w14:textId="77777777" w:rsidR="006E5484" w:rsidRDefault="006E5484">
      <w:pPr>
        <w:spacing w:after="0" w:line="240" w:lineRule="auto"/>
        <w:jc w:val="both"/>
        <w:rPr>
          <w:rFonts w:cs="Arial"/>
          <w:bCs/>
          <w:iCs/>
          <w:lang w:val="fr-FR"/>
        </w:rPr>
      </w:pPr>
    </w:p>
    <w:p w14:paraId="4FBFDB65" w14:textId="77777777" w:rsidR="006E5484" w:rsidRDefault="006E5484">
      <w:pPr>
        <w:spacing w:after="0" w:line="240" w:lineRule="auto"/>
        <w:jc w:val="both"/>
        <w:rPr>
          <w:rFonts w:cs="Arial"/>
          <w:bCs/>
          <w:iCs/>
          <w:lang w:val="fr-FR"/>
        </w:rPr>
      </w:pPr>
    </w:p>
    <w:p w14:paraId="0E509C18" w14:textId="20C92F5F" w:rsidR="006E5484" w:rsidRDefault="004B50A4">
      <w:pPr>
        <w:spacing w:after="0" w:line="240" w:lineRule="auto"/>
        <w:jc w:val="both"/>
        <w:rPr>
          <w:lang w:val="fr-FR"/>
        </w:rPr>
      </w:pPr>
      <w:r>
        <w:rPr>
          <w:rFonts w:cs="Arial"/>
          <w:b/>
          <w:i/>
          <w:lang w:val="fr-FR"/>
        </w:rPr>
        <w:t>A</w:t>
      </w:r>
      <w:r w:rsidR="00FB2FEF">
        <w:rPr>
          <w:rFonts w:cs="Arial"/>
          <w:b/>
          <w:i/>
          <w:lang w:val="fr-FR"/>
        </w:rPr>
        <w:t>dressée au Secrétariat</w:t>
      </w:r>
    </w:p>
    <w:p w14:paraId="4580F57F" w14:textId="77777777" w:rsidR="006E5484" w:rsidRDefault="006E5484">
      <w:pPr>
        <w:spacing w:after="0" w:line="240" w:lineRule="auto"/>
        <w:jc w:val="both"/>
        <w:rPr>
          <w:rFonts w:cs="Arial"/>
          <w:lang w:val="fr-FR"/>
        </w:rPr>
      </w:pPr>
    </w:p>
    <w:p w14:paraId="7F56EC7D" w14:textId="1C7BF18E" w:rsidR="006E5484" w:rsidRDefault="00FB2FEF">
      <w:pPr>
        <w:spacing w:after="0" w:line="240" w:lineRule="auto"/>
        <w:ind w:left="851" w:hanging="851"/>
        <w:jc w:val="both"/>
        <w:rPr>
          <w:lang w:val="fr-FR"/>
        </w:rPr>
      </w:pPr>
      <w:r>
        <w:rPr>
          <w:rFonts w:cs="Arial"/>
          <w:lang w:val="fr-FR"/>
        </w:rPr>
        <w:t>14.</w:t>
      </w:r>
      <w:r w:rsidR="004B50A4">
        <w:rPr>
          <w:rFonts w:cs="Arial"/>
          <w:lang w:val="fr-FR"/>
        </w:rPr>
        <w:t>EE</w:t>
      </w:r>
      <w:r>
        <w:rPr>
          <w:rFonts w:cs="Arial"/>
          <w:lang w:val="fr-FR"/>
        </w:rPr>
        <w:tab/>
        <w:t>Le Secrétariat, sous réserve de la disponibilité de ressources externes, soutient le Conseil scientifique dans l'élaboration des rapports et des recommandations demandés dans la Décision 14.CC.</w:t>
      </w:r>
    </w:p>
    <w:p w14:paraId="6613DD5A" w14:textId="77777777" w:rsidR="006E5484" w:rsidRDefault="006E5484">
      <w:pPr>
        <w:spacing w:after="0" w:line="240" w:lineRule="auto"/>
        <w:jc w:val="center"/>
        <w:rPr>
          <w:rFonts w:cs="Arial"/>
          <w:b/>
          <w:bCs/>
          <w:lang w:val="fr-FR"/>
        </w:rPr>
      </w:pPr>
    </w:p>
    <w:p w14:paraId="231FA41B" w14:textId="0A82FCE8" w:rsidR="004B50A4" w:rsidRDefault="004B50A4">
      <w:pPr>
        <w:spacing w:after="0" w:line="240" w:lineRule="auto"/>
        <w:jc w:val="center"/>
        <w:rPr>
          <w:rFonts w:cs="Arial"/>
          <w:b/>
          <w:bCs/>
          <w:lang w:val="fr-FR"/>
        </w:rPr>
      </w:pPr>
      <w:r>
        <w:rPr>
          <w:rFonts w:cs="Arial"/>
          <w:b/>
          <w:bCs/>
          <w:lang w:val="fr-FR"/>
        </w:rPr>
        <w:br w:type="page"/>
      </w:r>
    </w:p>
    <w:p w14:paraId="0FE7748E" w14:textId="11D94332" w:rsidR="006E5484" w:rsidRDefault="00FB2FEF">
      <w:pPr>
        <w:spacing w:after="0" w:line="240" w:lineRule="auto"/>
        <w:jc w:val="center"/>
        <w:rPr>
          <w:lang w:val="fr-FR"/>
        </w:rPr>
      </w:pPr>
      <w:r>
        <w:rPr>
          <w:rFonts w:cs="Arial"/>
          <w:b/>
          <w:bCs/>
          <w:lang w:val="fr-FR"/>
        </w:rPr>
        <w:lastRenderedPageBreak/>
        <w:t>RÔLE DES CÉTACÉS DANS LE FONCTIONNEMENT DES ÉCOSYSTÈMES</w:t>
      </w:r>
    </w:p>
    <w:p w14:paraId="3D6F2FC5" w14:textId="77777777" w:rsidR="006E5484" w:rsidRDefault="006E5484">
      <w:pPr>
        <w:spacing w:after="0" w:line="240" w:lineRule="auto"/>
        <w:jc w:val="both"/>
        <w:rPr>
          <w:rFonts w:cs="Arial"/>
          <w:lang w:val="fr-FR"/>
        </w:rPr>
      </w:pPr>
    </w:p>
    <w:p w14:paraId="6D887DA4" w14:textId="77777777" w:rsidR="006E5484" w:rsidRDefault="006E5484">
      <w:pPr>
        <w:spacing w:after="0" w:line="240" w:lineRule="auto"/>
        <w:jc w:val="both"/>
        <w:rPr>
          <w:rFonts w:cs="Arial"/>
          <w:b/>
          <w:i/>
          <w:lang w:val="fr-FR"/>
        </w:rPr>
      </w:pPr>
    </w:p>
    <w:p w14:paraId="2848FE0E" w14:textId="61A38244" w:rsidR="006E5484" w:rsidRDefault="004B50A4">
      <w:pPr>
        <w:spacing w:after="0" w:line="240" w:lineRule="auto"/>
        <w:jc w:val="both"/>
        <w:rPr>
          <w:lang w:val="fr-FR"/>
        </w:rPr>
      </w:pPr>
      <w:r>
        <w:rPr>
          <w:rFonts w:cs="Arial"/>
          <w:b/>
          <w:i/>
          <w:lang w:val="fr-FR"/>
        </w:rPr>
        <w:t>A</w:t>
      </w:r>
      <w:r w:rsidR="00FB2FEF">
        <w:rPr>
          <w:rFonts w:cs="Arial"/>
          <w:b/>
          <w:i/>
          <w:lang w:val="fr-FR"/>
        </w:rPr>
        <w:t>dressée au Conseil scientifique</w:t>
      </w:r>
    </w:p>
    <w:p w14:paraId="13473422" w14:textId="77777777" w:rsidR="006E5484" w:rsidRDefault="006E5484">
      <w:pPr>
        <w:spacing w:after="0" w:line="240" w:lineRule="auto"/>
        <w:jc w:val="both"/>
        <w:rPr>
          <w:rFonts w:cs="Arial"/>
          <w:lang w:val="fr-FR"/>
        </w:rPr>
      </w:pPr>
    </w:p>
    <w:p w14:paraId="2DA7B60C" w14:textId="12144DB0" w:rsidR="006E5484" w:rsidRDefault="00FB2FEF" w:rsidP="00A44B6F">
      <w:pPr>
        <w:spacing w:after="0" w:line="240" w:lineRule="auto"/>
        <w:ind w:left="851" w:hanging="851"/>
        <w:jc w:val="both"/>
        <w:rPr>
          <w:lang w:val="fr-FR"/>
        </w:rPr>
      </w:pPr>
      <w:r>
        <w:rPr>
          <w:rFonts w:cs="Arial"/>
          <w:lang w:val="fr-FR"/>
        </w:rPr>
        <w:t>14.</w:t>
      </w:r>
      <w:r w:rsidR="004B50A4">
        <w:rPr>
          <w:rFonts w:cs="Arial"/>
          <w:lang w:val="fr-FR"/>
        </w:rPr>
        <w:t>FF</w:t>
      </w:r>
      <w:r>
        <w:rPr>
          <w:rFonts w:cs="Arial"/>
          <w:lang w:val="fr-FR"/>
        </w:rPr>
        <w:tab/>
        <w:t xml:space="preserve">Le Conseil scientifique, </w:t>
      </w:r>
      <w:r w:rsidR="004B50A4">
        <w:rPr>
          <w:rFonts w:cs="Arial"/>
          <w:lang w:val="fr-FR"/>
        </w:rPr>
        <w:t xml:space="preserve">par l’intermédiaire de son </w:t>
      </w:r>
      <w:r>
        <w:rPr>
          <w:rFonts w:cs="Arial"/>
          <w:lang w:val="fr-FR"/>
        </w:rPr>
        <w:t>Groupe de travail sur les mammifères aquatiques,</w:t>
      </w:r>
      <w:r w:rsidR="004B50A4">
        <w:rPr>
          <w:rFonts w:cs="Arial"/>
          <w:lang w:val="fr-FR"/>
        </w:rPr>
        <w:t xml:space="preserve"> est prié de </w:t>
      </w:r>
      <w:r>
        <w:rPr>
          <w:rFonts w:cs="Arial"/>
          <w:lang w:val="fr-FR"/>
        </w:rPr>
        <w:t>fourn</w:t>
      </w:r>
      <w:r w:rsidR="004B50A4">
        <w:rPr>
          <w:rFonts w:cs="Arial"/>
          <w:lang w:val="fr-FR"/>
        </w:rPr>
        <w:t>ir</w:t>
      </w:r>
      <w:r>
        <w:rPr>
          <w:rFonts w:cs="Arial"/>
          <w:lang w:val="fr-FR"/>
        </w:rPr>
        <w:t xml:space="preserve"> des conseils et des contributions en ce qui concerne l'extension des travaux sur le rôle des cétacés dans le fonctionnement des écosystèmes, en étroite collaboration avec la CBI.</w:t>
      </w:r>
    </w:p>
    <w:p w14:paraId="15FFBEF5" w14:textId="77777777" w:rsidR="006E5484" w:rsidRDefault="006E5484">
      <w:pPr>
        <w:spacing w:after="0" w:line="240" w:lineRule="auto"/>
        <w:jc w:val="both"/>
        <w:rPr>
          <w:rFonts w:cs="Arial"/>
          <w:b/>
          <w:i/>
          <w:lang w:val="fr-FR"/>
        </w:rPr>
      </w:pPr>
    </w:p>
    <w:p w14:paraId="0F4D7341" w14:textId="77777777" w:rsidR="006E5484" w:rsidRDefault="006E5484">
      <w:pPr>
        <w:spacing w:after="0" w:line="240" w:lineRule="auto"/>
        <w:jc w:val="both"/>
        <w:rPr>
          <w:rFonts w:cs="Arial"/>
          <w:b/>
          <w:i/>
          <w:lang w:val="fr-FR"/>
        </w:rPr>
      </w:pPr>
    </w:p>
    <w:p w14:paraId="294B4B92" w14:textId="45867D5A" w:rsidR="006E5484" w:rsidRDefault="004B50A4">
      <w:pPr>
        <w:spacing w:after="0" w:line="240" w:lineRule="auto"/>
        <w:jc w:val="both"/>
        <w:rPr>
          <w:lang w:val="fr-FR"/>
        </w:rPr>
      </w:pPr>
      <w:r>
        <w:rPr>
          <w:rFonts w:cs="Arial"/>
          <w:b/>
          <w:i/>
          <w:lang w:val="fr-FR"/>
        </w:rPr>
        <w:t>A</w:t>
      </w:r>
      <w:r w:rsidR="00FB2FEF">
        <w:rPr>
          <w:rFonts w:cs="Arial"/>
          <w:b/>
          <w:i/>
          <w:lang w:val="fr-FR"/>
        </w:rPr>
        <w:t>dressée au Secrétariat</w:t>
      </w:r>
    </w:p>
    <w:p w14:paraId="489EFA67" w14:textId="77777777" w:rsidR="006E5484" w:rsidRDefault="006E5484">
      <w:pPr>
        <w:spacing w:after="0" w:line="240" w:lineRule="auto"/>
        <w:jc w:val="both"/>
        <w:rPr>
          <w:rFonts w:cs="Arial"/>
          <w:lang w:val="fr-FR"/>
        </w:rPr>
      </w:pPr>
    </w:p>
    <w:p w14:paraId="15F91D82" w14:textId="2BD6786A" w:rsidR="006E5484" w:rsidRDefault="00FB2FEF">
      <w:pPr>
        <w:spacing w:after="0" w:line="240" w:lineRule="auto"/>
        <w:jc w:val="both"/>
        <w:rPr>
          <w:lang w:val="fr-FR"/>
        </w:rPr>
      </w:pPr>
      <w:r>
        <w:rPr>
          <w:rFonts w:cs="Arial"/>
          <w:lang w:val="fr-FR"/>
        </w:rPr>
        <w:t>14.</w:t>
      </w:r>
      <w:r w:rsidR="004B50A4">
        <w:rPr>
          <w:rFonts w:cs="Arial"/>
          <w:lang w:val="fr-FR"/>
        </w:rPr>
        <w:t>GG</w:t>
      </w:r>
      <w:r>
        <w:rPr>
          <w:rFonts w:cs="Arial"/>
          <w:lang w:val="fr-FR"/>
        </w:rPr>
        <w:tab/>
        <w:t xml:space="preserve"> Le Secrétariat est invité à : </w:t>
      </w:r>
    </w:p>
    <w:p w14:paraId="10EDC0C6" w14:textId="77777777" w:rsidR="006E5484" w:rsidRDefault="006E5484">
      <w:pPr>
        <w:spacing w:after="0" w:line="240" w:lineRule="auto"/>
        <w:jc w:val="both"/>
        <w:rPr>
          <w:rFonts w:cs="Arial"/>
          <w:lang w:val="fr-FR"/>
        </w:rPr>
      </w:pPr>
    </w:p>
    <w:p w14:paraId="0C09166B" w14:textId="7FA5CC13" w:rsidR="006E5484" w:rsidRDefault="004B50A4">
      <w:pPr>
        <w:pStyle w:val="ListParagraph"/>
        <w:numPr>
          <w:ilvl w:val="1"/>
          <w:numId w:val="19"/>
        </w:numPr>
        <w:spacing w:after="0" w:line="240" w:lineRule="auto"/>
        <w:ind w:left="1418" w:hanging="567"/>
        <w:contextualSpacing w:val="0"/>
        <w:jc w:val="both"/>
        <w:rPr>
          <w:lang w:val="fr-FR"/>
        </w:rPr>
      </w:pPr>
      <w:proofErr w:type="gramStart"/>
      <w:r>
        <w:rPr>
          <w:rFonts w:cs="Arial"/>
          <w:lang w:val="fr-FR"/>
        </w:rPr>
        <w:t>c</w:t>
      </w:r>
      <w:r w:rsidR="00FB2FEF">
        <w:rPr>
          <w:rFonts w:cs="Arial"/>
          <w:lang w:val="fr-FR"/>
        </w:rPr>
        <w:t>ontinuer</w:t>
      </w:r>
      <w:proofErr w:type="gramEnd"/>
      <w:r w:rsidR="00FB2FEF">
        <w:rPr>
          <w:rFonts w:cs="Arial"/>
          <w:lang w:val="fr-FR"/>
        </w:rPr>
        <w:t xml:space="preserve"> à assurer la liaison avec le Secrétariat de la CBI en ce qui concerne les travaux sur le rôle des cétacés dans le fonctionnement des écosystèmes ;</w:t>
      </w:r>
    </w:p>
    <w:p w14:paraId="53ADB9F9" w14:textId="77777777" w:rsidR="006E5484" w:rsidRDefault="006E5484">
      <w:pPr>
        <w:pStyle w:val="ListParagraph"/>
        <w:spacing w:after="0" w:line="240" w:lineRule="auto"/>
        <w:ind w:left="1548" w:hanging="567"/>
        <w:jc w:val="both"/>
        <w:rPr>
          <w:rFonts w:cs="Arial"/>
          <w:lang w:val="fr-FR"/>
        </w:rPr>
      </w:pPr>
    </w:p>
    <w:p w14:paraId="4AC45AA6" w14:textId="1CAFB721" w:rsidR="006E5484" w:rsidRDefault="00FB2FEF">
      <w:pPr>
        <w:spacing w:after="0" w:line="240" w:lineRule="auto"/>
        <w:ind w:left="1418" w:hanging="567"/>
        <w:jc w:val="both"/>
        <w:rPr>
          <w:lang w:val="fr-FR"/>
        </w:rPr>
      </w:pPr>
      <w:r>
        <w:rPr>
          <w:rFonts w:cs="Arial"/>
          <w:lang w:val="fr-FR"/>
        </w:rPr>
        <w:t>b)</w:t>
      </w:r>
      <w:r>
        <w:rPr>
          <w:rFonts w:cs="Arial"/>
          <w:lang w:val="fr-FR"/>
        </w:rPr>
        <w:tab/>
      </w:r>
      <w:r w:rsidR="004B50A4">
        <w:rPr>
          <w:rFonts w:cs="Arial"/>
          <w:lang w:val="fr-FR"/>
        </w:rPr>
        <w:t>r</w:t>
      </w:r>
      <w:r>
        <w:rPr>
          <w:rFonts w:cs="Arial"/>
          <w:lang w:val="fr-FR"/>
        </w:rPr>
        <w:t>endre compte des résultats du deuxième atelier conjoint CBI-CMS sur le fonctionnement des écosystèmes de cétacés à la prochaine réunion du Comité de session du Conseil scientifique.</w:t>
      </w:r>
    </w:p>
    <w:p w14:paraId="6504D653" w14:textId="77777777" w:rsidR="006E5484" w:rsidRDefault="006E5484">
      <w:pPr>
        <w:spacing w:after="0" w:line="240" w:lineRule="auto"/>
        <w:jc w:val="both"/>
        <w:rPr>
          <w:rFonts w:cs="Arial"/>
          <w:lang w:val="fr-FR"/>
        </w:rPr>
      </w:pPr>
    </w:p>
    <w:p w14:paraId="47E6DCA4" w14:textId="77777777" w:rsidR="006E5484" w:rsidRDefault="006E5484">
      <w:pPr>
        <w:spacing w:after="0" w:line="240" w:lineRule="auto"/>
        <w:jc w:val="both"/>
        <w:rPr>
          <w:rFonts w:cs="Arial"/>
          <w:lang w:val="fr-FR"/>
        </w:rPr>
      </w:pPr>
    </w:p>
    <w:p w14:paraId="418986DE" w14:textId="56F387AA" w:rsidR="006E5484" w:rsidRDefault="00FB2FEF">
      <w:pPr>
        <w:spacing w:after="0" w:line="240" w:lineRule="auto"/>
        <w:jc w:val="center"/>
        <w:rPr>
          <w:lang w:val="fr-FR"/>
        </w:rPr>
      </w:pPr>
      <w:r>
        <w:rPr>
          <w:rFonts w:cs="Arial"/>
          <w:b/>
          <w:bCs/>
          <w:lang w:val="fr-FR"/>
        </w:rPr>
        <w:t>PLAN D'ACTION POUR LES CÉTACÉS DANS LA RÉGION DE LA MER ROUGE</w:t>
      </w:r>
    </w:p>
    <w:p w14:paraId="5407CA2A" w14:textId="77777777" w:rsidR="006E5484" w:rsidRDefault="006E5484">
      <w:pPr>
        <w:spacing w:after="0" w:line="240" w:lineRule="auto"/>
        <w:jc w:val="both"/>
        <w:rPr>
          <w:rFonts w:cs="Arial"/>
          <w:lang w:val="fr-FR"/>
        </w:rPr>
      </w:pPr>
    </w:p>
    <w:p w14:paraId="49E38D17" w14:textId="77777777" w:rsidR="006E5484" w:rsidRDefault="006E5484">
      <w:pPr>
        <w:spacing w:after="0" w:line="240" w:lineRule="auto"/>
        <w:jc w:val="both"/>
        <w:rPr>
          <w:rFonts w:cs="Arial"/>
          <w:lang w:val="fr-FR"/>
        </w:rPr>
      </w:pPr>
    </w:p>
    <w:p w14:paraId="39A89169" w14:textId="32C2CB38" w:rsidR="006E5484" w:rsidRDefault="004B50A4">
      <w:pPr>
        <w:spacing w:after="0" w:line="240" w:lineRule="auto"/>
        <w:jc w:val="both"/>
        <w:rPr>
          <w:lang w:val="fr-FR"/>
        </w:rPr>
      </w:pPr>
      <w:r>
        <w:rPr>
          <w:rFonts w:cs="Arial"/>
          <w:b/>
          <w:i/>
          <w:lang w:val="fr-FR"/>
        </w:rPr>
        <w:t>A</w:t>
      </w:r>
      <w:r w:rsidR="00FB2FEF">
        <w:rPr>
          <w:rFonts w:cs="Arial"/>
          <w:b/>
          <w:i/>
          <w:lang w:val="fr-FR"/>
        </w:rPr>
        <w:t xml:space="preserve">dressée aux Parties </w:t>
      </w:r>
    </w:p>
    <w:p w14:paraId="12DF2BC2" w14:textId="77777777" w:rsidR="006E5484" w:rsidRDefault="006E5484">
      <w:pPr>
        <w:spacing w:after="0" w:line="240" w:lineRule="auto"/>
        <w:jc w:val="both"/>
        <w:rPr>
          <w:rFonts w:cs="Arial"/>
          <w:lang w:val="fr-FR"/>
        </w:rPr>
      </w:pPr>
    </w:p>
    <w:p w14:paraId="169E7750" w14:textId="19483E8D" w:rsidR="006E5484" w:rsidRDefault="00FB2FEF" w:rsidP="00A44B6F">
      <w:pPr>
        <w:spacing w:after="0" w:line="240" w:lineRule="auto"/>
        <w:ind w:left="851" w:hanging="851"/>
        <w:jc w:val="both"/>
        <w:rPr>
          <w:lang w:val="fr-FR"/>
        </w:rPr>
      </w:pPr>
      <w:r>
        <w:rPr>
          <w:rFonts w:cs="Arial"/>
          <w:lang w:val="fr-FR"/>
        </w:rPr>
        <w:t>14.</w:t>
      </w:r>
      <w:r w:rsidR="004B50A4">
        <w:rPr>
          <w:rFonts w:cs="Arial"/>
          <w:lang w:val="fr-FR"/>
        </w:rPr>
        <w:t>HH</w:t>
      </w:r>
      <w:r>
        <w:rPr>
          <w:rFonts w:cs="Arial"/>
          <w:lang w:val="fr-FR"/>
        </w:rPr>
        <w:tab/>
      </w:r>
      <w:r>
        <w:rPr>
          <w:rFonts w:cs="Arial"/>
          <w:iCs/>
          <w:lang w:val="fr-FR"/>
        </w:rPr>
        <w:t>Les Parties sont priées de</w:t>
      </w:r>
      <w:r>
        <w:rPr>
          <w:rFonts w:cs="Arial"/>
          <w:lang w:val="fr-FR"/>
        </w:rPr>
        <w:t xml:space="preserve"> travailler avec le Secrétariat sur l'élaboration d'un Plan d'action pour les cétacés dans la région de la mer Rouge, et de soutenir l'organisation d'un atelier régional.</w:t>
      </w:r>
    </w:p>
    <w:p w14:paraId="28294BAB" w14:textId="77777777" w:rsidR="006E5484" w:rsidRDefault="006E5484">
      <w:pPr>
        <w:spacing w:after="0" w:line="240" w:lineRule="auto"/>
        <w:jc w:val="both"/>
        <w:rPr>
          <w:rFonts w:cs="Arial"/>
          <w:lang w:val="fr-FR"/>
        </w:rPr>
      </w:pPr>
    </w:p>
    <w:p w14:paraId="5348960B" w14:textId="77777777" w:rsidR="006E5484" w:rsidRDefault="006E5484">
      <w:pPr>
        <w:spacing w:after="0" w:line="240" w:lineRule="auto"/>
        <w:jc w:val="both"/>
        <w:rPr>
          <w:rFonts w:cs="Arial"/>
          <w:lang w:val="fr-FR"/>
        </w:rPr>
      </w:pPr>
    </w:p>
    <w:p w14:paraId="22B1034F" w14:textId="38C85EAC" w:rsidR="006E5484" w:rsidRDefault="004B50A4">
      <w:pPr>
        <w:spacing w:after="0" w:line="240" w:lineRule="auto"/>
        <w:jc w:val="both"/>
        <w:rPr>
          <w:lang w:val="fr-FR"/>
        </w:rPr>
      </w:pPr>
      <w:r>
        <w:rPr>
          <w:rFonts w:cs="Arial"/>
          <w:b/>
          <w:i/>
          <w:lang w:val="fr-FR"/>
        </w:rPr>
        <w:t>A</w:t>
      </w:r>
      <w:r w:rsidR="00FB2FEF">
        <w:rPr>
          <w:rFonts w:cs="Arial"/>
          <w:b/>
          <w:i/>
          <w:lang w:val="fr-FR"/>
        </w:rPr>
        <w:t xml:space="preserve">dressée au </w:t>
      </w:r>
      <w:r w:rsidR="00FB2FEF">
        <w:rPr>
          <w:rFonts w:cs="Arial"/>
          <w:b/>
          <w:bCs/>
          <w:i/>
          <w:iCs/>
          <w:lang w:val="fr-FR"/>
        </w:rPr>
        <w:t>Conseil scientifique</w:t>
      </w:r>
      <w:r w:rsidR="00FB2FEF">
        <w:rPr>
          <w:rFonts w:cs="Arial"/>
          <w:b/>
          <w:i/>
          <w:lang w:val="fr-FR"/>
        </w:rPr>
        <w:t xml:space="preserve"> </w:t>
      </w:r>
    </w:p>
    <w:p w14:paraId="7BD8A2F8" w14:textId="77777777" w:rsidR="006E5484" w:rsidRDefault="006E5484">
      <w:pPr>
        <w:spacing w:after="0" w:line="240" w:lineRule="auto"/>
        <w:jc w:val="both"/>
        <w:rPr>
          <w:rFonts w:cs="Arial"/>
          <w:lang w:val="fr-FR"/>
        </w:rPr>
      </w:pPr>
    </w:p>
    <w:p w14:paraId="40F109EA" w14:textId="7ADB432A" w:rsidR="006E5484" w:rsidRDefault="00FB2FEF">
      <w:pPr>
        <w:widowControl w:val="0"/>
        <w:spacing w:after="0" w:line="240" w:lineRule="auto"/>
        <w:ind w:left="851" w:hanging="851"/>
        <w:jc w:val="both"/>
        <w:rPr>
          <w:lang w:val="fr-FR"/>
        </w:rPr>
      </w:pPr>
      <w:r>
        <w:rPr>
          <w:rFonts w:cs="Arial"/>
          <w:lang w:val="fr-FR"/>
        </w:rPr>
        <w:t>14.</w:t>
      </w:r>
      <w:r w:rsidR="0018405A">
        <w:rPr>
          <w:rFonts w:cs="Arial"/>
          <w:lang w:val="fr-FR"/>
        </w:rPr>
        <w:t>II</w:t>
      </w:r>
      <w:r>
        <w:rPr>
          <w:lang w:val="fr-FR"/>
        </w:rPr>
        <w:tab/>
      </w:r>
      <w:r>
        <w:rPr>
          <w:rFonts w:cs="Arial"/>
          <w:lang w:val="fr-FR"/>
        </w:rPr>
        <w:t xml:space="preserve">Le Conseil scientifique, avec le soutien du Groupe de travail sur les mammifères aquatiques est </w:t>
      </w:r>
      <w:r w:rsidR="0018405A">
        <w:rPr>
          <w:rFonts w:cs="Arial"/>
          <w:lang w:val="fr-FR"/>
        </w:rPr>
        <w:t>prié</w:t>
      </w:r>
      <w:r>
        <w:rPr>
          <w:rFonts w:cs="Arial"/>
          <w:lang w:val="fr-FR"/>
        </w:rPr>
        <w:t xml:space="preserve"> : </w:t>
      </w:r>
    </w:p>
    <w:p w14:paraId="7A163FBA" w14:textId="77777777" w:rsidR="006E5484" w:rsidRDefault="006E5484">
      <w:pPr>
        <w:widowControl w:val="0"/>
        <w:spacing w:after="0" w:line="240" w:lineRule="auto"/>
        <w:ind w:left="851" w:hanging="851"/>
        <w:jc w:val="both"/>
        <w:rPr>
          <w:rFonts w:cs="Arial"/>
          <w:lang w:val="fr-FR"/>
        </w:rPr>
      </w:pPr>
    </w:p>
    <w:p w14:paraId="4297CE16" w14:textId="3C6CFA63" w:rsidR="006E5484" w:rsidRDefault="0018405A">
      <w:pPr>
        <w:pStyle w:val="ListParagraph"/>
        <w:widowControl w:val="0"/>
        <w:numPr>
          <w:ilvl w:val="0"/>
          <w:numId w:val="25"/>
        </w:numPr>
        <w:spacing w:after="0" w:line="240" w:lineRule="auto"/>
        <w:ind w:left="1418" w:hanging="567"/>
        <w:jc w:val="both"/>
        <w:rPr>
          <w:lang w:val="fr-FR"/>
        </w:rPr>
      </w:pPr>
      <w:proofErr w:type="gramStart"/>
      <w:r>
        <w:rPr>
          <w:rFonts w:cs="Arial"/>
          <w:lang w:val="fr-FR"/>
        </w:rPr>
        <w:t>de</w:t>
      </w:r>
      <w:proofErr w:type="gramEnd"/>
      <w:r>
        <w:rPr>
          <w:rFonts w:cs="Arial"/>
          <w:lang w:val="fr-FR"/>
        </w:rPr>
        <w:t xml:space="preserve"> f</w:t>
      </w:r>
      <w:r w:rsidR="00FB2FEF">
        <w:rPr>
          <w:rFonts w:cs="Arial"/>
          <w:lang w:val="fr-FR"/>
        </w:rPr>
        <w:t xml:space="preserve">ournir des conseils et </w:t>
      </w:r>
      <w:r>
        <w:rPr>
          <w:rFonts w:cs="Arial"/>
          <w:lang w:val="fr-FR"/>
        </w:rPr>
        <w:t xml:space="preserve">de </w:t>
      </w:r>
      <w:r w:rsidR="00FB2FEF">
        <w:rPr>
          <w:rFonts w:cs="Arial"/>
          <w:lang w:val="fr-FR"/>
        </w:rPr>
        <w:t>contribuer à l'élaboration d'un Plan d'action pour les cétacés dans la région de la mer Rouge ;</w:t>
      </w:r>
    </w:p>
    <w:p w14:paraId="54CA0439" w14:textId="77777777" w:rsidR="006E5484" w:rsidRDefault="006E5484">
      <w:pPr>
        <w:pStyle w:val="ListParagraph"/>
        <w:widowControl w:val="0"/>
        <w:spacing w:after="0" w:line="240" w:lineRule="auto"/>
        <w:ind w:left="1418" w:hanging="567"/>
        <w:jc w:val="both"/>
        <w:rPr>
          <w:rFonts w:cs="Arial"/>
          <w:lang w:val="fr-FR"/>
        </w:rPr>
      </w:pPr>
    </w:p>
    <w:p w14:paraId="6510DD90" w14:textId="6DC27491" w:rsidR="006E5484" w:rsidRDefault="0018405A">
      <w:pPr>
        <w:pStyle w:val="ListParagraph"/>
        <w:widowControl w:val="0"/>
        <w:numPr>
          <w:ilvl w:val="0"/>
          <w:numId w:val="25"/>
        </w:numPr>
        <w:spacing w:after="0" w:line="240" w:lineRule="auto"/>
        <w:ind w:left="1418" w:hanging="567"/>
        <w:jc w:val="both"/>
        <w:rPr>
          <w:lang w:val="fr-FR"/>
        </w:rPr>
      </w:pPr>
      <w:proofErr w:type="gramStart"/>
      <w:r>
        <w:rPr>
          <w:rFonts w:cs="Arial"/>
          <w:lang w:val="fr-FR"/>
        </w:rPr>
        <w:t>d’</w:t>
      </w:r>
      <w:r w:rsidR="00FB2FEF">
        <w:rPr>
          <w:rFonts w:cs="Arial"/>
          <w:lang w:val="fr-FR"/>
        </w:rPr>
        <w:t>examiner</w:t>
      </w:r>
      <w:proofErr w:type="gramEnd"/>
      <w:r w:rsidR="00FB2FEF">
        <w:rPr>
          <w:rFonts w:cs="Arial"/>
          <w:lang w:val="fr-FR"/>
        </w:rPr>
        <w:t xml:space="preserve"> le projet final de plan d'action lors de la dernière réunion du Comité de session avant la COP15 et faire des recommandations aux Parties.</w:t>
      </w:r>
    </w:p>
    <w:p w14:paraId="5310DBDE" w14:textId="77777777" w:rsidR="006E5484" w:rsidRDefault="006E5484">
      <w:pPr>
        <w:spacing w:after="0" w:line="240" w:lineRule="auto"/>
        <w:jc w:val="both"/>
        <w:rPr>
          <w:rFonts w:cs="Arial"/>
          <w:b/>
          <w:i/>
          <w:lang w:val="fr-FR"/>
        </w:rPr>
      </w:pPr>
    </w:p>
    <w:p w14:paraId="48CFA578" w14:textId="77777777" w:rsidR="006E5484" w:rsidRDefault="006E5484">
      <w:pPr>
        <w:spacing w:after="0" w:line="240" w:lineRule="auto"/>
        <w:jc w:val="both"/>
        <w:rPr>
          <w:rFonts w:cs="Arial"/>
          <w:b/>
          <w:i/>
          <w:lang w:val="fr-FR"/>
        </w:rPr>
      </w:pPr>
    </w:p>
    <w:p w14:paraId="610BD3EB" w14:textId="3FE5A216" w:rsidR="006E5484" w:rsidRDefault="0018405A">
      <w:pPr>
        <w:spacing w:after="0" w:line="240" w:lineRule="auto"/>
        <w:jc w:val="both"/>
        <w:rPr>
          <w:lang w:val="fr-FR"/>
        </w:rPr>
      </w:pPr>
      <w:r>
        <w:rPr>
          <w:rFonts w:cs="Arial"/>
          <w:b/>
          <w:i/>
          <w:lang w:val="fr-FR"/>
        </w:rPr>
        <w:t>A</w:t>
      </w:r>
      <w:r w:rsidR="00FB2FEF">
        <w:rPr>
          <w:rFonts w:cs="Arial"/>
          <w:b/>
          <w:i/>
          <w:lang w:val="fr-FR"/>
        </w:rPr>
        <w:t>dressée au Secrétariat</w:t>
      </w:r>
    </w:p>
    <w:p w14:paraId="1DCDCAB8" w14:textId="77777777" w:rsidR="006E5484" w:rsidRDefault="006E5484">
      <w:pPr>
        <w:spacing w:after="0" w:line="240" w:lineRule="auto"/>
        <w:jc w:val="both"/>
        <w:rPr>
          <w:rFonts w:cs="Arial"/>
          <w:lang w:val="fr-FR"/>
        </w:rPr>
      </w:pPr>
    </w:p>
    <w:p w14:paraId="7AE6C158" w14:textId="62894905" w:rsidR="006E5484" w:rsidRDefault="00FB2FEF">
      <w:pPr>
        <w:spacing w:after="0" w:line="240" w:lineRule="auto"/>
        <w:ind w:left="851" w:hanging="851"/>
        <w:jc w:val="both"/>
        <w:rPr>
          <w:lang w:val="fr-FR"/>
        </w:rPr>
      </w:pPr>
      <w:r>
        <w:rPr>
          <w:rFonts w:cs="Arial"/>
          <w:lang w:val="fr-FR"/>
        </w:rPr>
        <w:t>14.</w:t>
      </w:r>
      <w:r w:rsidR="0018405A">
        <w:rPr>
          <w:rFonts w:cs="Arial"/>
          <w:lang w:val="fr-FR"/>
        </w:rPr>
        <w:t>JJ</w:t>
      </w:r>
      <w:r>
        <w:rPr>
          <w:rFonts w:cs="Arial"/>
          <w:lang w:val="fr-FR"/>
        </w:rPr>
        <w:tab/>
        <w:t>Le Secrétariat, sous réserve de la disponibilité de ressources externes, est invité à :</w:t>
      </w:r>
    </w:p>
    <w:p w14:paraId="01943845" w14:textId="77777777" w:rsidR="006E5484" w:rsidRDefault="006E5484">
      <w:pPr>
        <w:widowControl w:val="0"/>
        <w:spacing w:after="0" w:line="240" w:lineRule="auto"/>
        <w:ind w:left="1418" w:hanging="567"/>
        <w:jc w:val="both"/>
        <w:rPr>
          <w:rFonts w:cs="Arial"/>
          <w:lang w:val="fr-FR"/>
        </w:rPr>
      </w:pPr>
    </w:p>
    <w:p w14:paraId="2E3F66BD" w14:textId="663BD1E4" w:rsidR="006A153D" w:rsidRDefault="00FB2FEF">
      <w:pPr>
        <w:widowControl w:val="0"/>
        <w:numPr>
          <w:ilvl w:val="0"/>
          <w:numId w:val="30"/>
        </w:numPr>
        <w:spacing w:after="0" w:line="240" w:lineRule="auto"/>
        <w:ind w:left="1418" w:hanging="567"/>
        <w:jc w:val="both"/>
        <w:rPr>
          <w:rFonts w:cs="Arial"/>
          <w:lang w:val="fr-FR"/>
        </w:rPr>
      </w:pPr>
      <w:proofErr w:type="gramStart"/>
      <w:r>
        <w:rPr>
          <w:rFonts w:cs="Arial"/>
          <w:lang w:val="fr-FR"/>
        </w:rPr>
        <w:t>organiser</w:t>
      </w:r>
      <w:proofErr w:type="gramEnd"/>
      <w:r>
        <w:rPr>
          <w:rFonts w:cs="Arial"/>
          <w:lang w:val="fr-FR"/>
        </w:rPr>
        <w:t xml:space="preserve"> un atelier réunissant les Parties intéressées, les scientifiques et les organisations de conservation travaillant dans la région de la mer Rouge afin d'identifier la meilleure façon de faire progresser la conservation des cétacés dans cette région et</w:t>
      </w:r>
      <w:r w:rsidR="006A153D">
        <w:rPr>
          <w:rFonts w:cs="Arial"/>
          <w:lang w:val="fr-FR"/>
        </w:rPr>
        <w:t xml:space="preserve"> </w:t>
      </w:r>
      <w:r>
        <w:rPr>
          <w:rFonts w:cs="Arial"/>
          <w:lang w:val="fr-FR"/>
        </w:rPr>
        <w:t>d'aider à l'élaboration d'un plan d'action ;</w:t>
      </w:r>
      <w:r w:rsidR="006A153D">
        <w:rPr>
          <w:rFonts w:cs="Arial"/>
          <w:lang w:val="fr-FR"/>
        </w:rPr>
        <w:br w:type="page"/>
      </w:r>
    </w:p>
    <w:p w14:paraId="4D75C064" w14:textId="06162560" w:rsidR="006E5484" w:rsidRPr="006A153D" w:rsidRDefault="00FB2FEF" w:rsidP="006A153D">
      <w:pPr>
        <w:widowControl w:val="0"/>
        <w:numPr>
          <w:ilvl w:val="0"/>
          <w:numId w:val="30"/>
        </w:numPr>
        <w:spacing w:after="0" w:line="240" w:lineRule="auto"/>
        <w:ind w:left="1418" w:hanging="567"/>
        <w:jc w:val="both"/>
        <w:rPr>
          <w:lang w:val="fr-FR"/>
        </w:rPr>
      </w:pPr>
      <w:proofErr w:type="gramStart"/>
      <w:r w:rsidRPr="006A153D">
        <w:rPr>
          <w:rFonts w:cs="Arial"/>
          <w:lang w:val="fr-FR"/>
        </w:rPr>
        <w:lastRenderedPageBreak/>
        <w:t>consulter</w:t>
      </w:r>
      <w:proofErr w:type="gramEnd"/>
      <w:r w:rsidRPr="006A153D">
        <w:rPr>
          <w:rFonts w:cs="Arial"/>
          <w:lang w:val="fr-FR"/>
        </w:rPr>
        <w:t xml:space="preserve"> les organismes régionaux </w:t>
      </w:r>
      <w:r w:rsidR="006A153D" w:rsidRPr="006A153D">
        <w:rPr>
          <w:rFonts w:cs="Arial"/>
          <w:lang w:val="fr-FR"/>
        </w:rPr>
        <w:t>et techniques concernés</w:t>
      </w:r>
      <w:r w:rsidRPr="006A153D">
        <w:rPr>
          <w:rFonts w:cs="Arial"/>
          <w:lang w:val="fr-FR"/>
        </w:rPr>
        <w:t xml:space="preserve">, </w:t>
      </w:r>
      <w:r w:rsidR="006A153D" w:rsidRPr="006A153D">
        <w:rPr>
          <w:rFonts w:cs="Arial"/>
          <w:lang w:val="fr-FR"/>
        </w:rPr>
        <w:t xml:space="preserve">tels que </w:t>
      </w:r>
      <w:r w:rsidRPr="006A153D">
        <w:rPr>
          <w:rFonts w:cs="Arial"/>
          <w:lang w:val="fr-FR"/>
        </w:rPr>
        <w:t>le Secrétariat de l'Organisation régionale pour la conservation de l'environnement de la mer Rouge et du golfe d'Aden (PERSGA)</w:t>
      </w:r>
      <w:r w:rsidR="006A153D" w:rsidRPr="006A153D">
        <w:rPr>
          <w:rFonts w:cs="Arial"/>
          <w:lang w:val="fr-FR"/>
        </w:rPr>
        <w:t xml:space="preserve"> et le groupe de spécialistes des cétacés de la Commission de la sauvegarde des espèces de l'UICN</w:t>
      </w:r>
      <w:r w:rsidRPr="006A153D">
        <w:rPr>
          <w:rFonts w:cs="Arial"/>
          <w:lang w:val="fr-FR"/>
        </w:rPr>
        <w:t xml:space="preserve">, afin d'obtenir </w:t>
      </w:r>
      <w:r w:rsidR="006A153D">
        <w:rPr>
          <w:rFonts w:cs="Arial"/>
          <w:lang w:val="fr-FR"/>
        </w:rPr>
        <w:t>leur</w:t>
      </w:r>
      <w:r w:rsidRPr="006A153D">
        <w:rPr>
          <w:rFonts w:cs="Arial"/>
          <w:lang w:val="fr-FR"/>
        </w:rPr>
        <w:t xml:space="preserve"> soutien pour faire progresser la conservation des cétacés dans la mer Rouge, comme l'a recommandé l'atelier susmentionné ;</w:t>
      </w:r>
    </w:p>
    <w:p w14:paraId="396287DB" w14:textId="77777777" w:rsidR="006E5484" w:rsidRDefault="006E5484">
      <w:pPr>
        <w:widowControl w:val="0"/>
        <w:spacing w:after="0" w:line="240" w:lineRule="auto"/>
        <w:ind w:left="1418" w:hanging="567"/>
        <w:jc w:val="both"/>
        <w:rPr>
          <w:rFonts w:cs="Arial"/>
          <w:lang w:val="fr-FR"/>
        </w:rPr>
      </w:pPr>
    </w:p>
    <w:p w14:paraId="1402B9FF" w14:textId="12318AA1" w:rsidR="006E5484" w:rsidRDefault="006A153D">
      <w:pPr>
        <w:widowControl w:val="0"/>
        <w:numPr>
          <w:ilvl w:val="0"/>
          <w:numId w:val="10"/>
        </w:numPr>
        <w:spacing w:after="0" w:line="240" w:lineRule="auto"/>
        <w:ind w:left="1418" w:hanging="567"/>
        <w:jc w:val="both"/>
        <w:rPr>
          <w:lang w:val="fr-FR"/>
        </w:rPr>
      </w:pPr>
      <w:proofErr w:type="gramStart"/>
      <w:r>
        <w:rPr>
          <w:rFonts w:cs="Arial"/>
          <w:lang w:val="fr-FR"/>
        </w:rPr>
        <w:t>p</w:t>
      </w:r>
      <w:r w:rsidR="00FB2FEF">
        <w:rPr>
          <w:rFonts w:cs="Arial"/>
          <w:lang w:val="fr-FR"/>
        </w:rPr>
        <w:t>résenter</w:t>
      </w:r>
      <w:proofErr w:type="gramEnd"/>
      <w:r w:rsidR="00FB2FEF">
        <w:rPr>
          <w:rFonts w:cs="Arial"/>
          <w:lang w:val="fr-FR"/>
        </w:rPr>
        <w:t xml:space="preserve"> le projet de plan d'action à la dernière réunion du Comité de session du Conseil scientifique </w:t>
      </w:r>
      <w:r>
        <w:rPr>
          <w:rFonts w:cs="Arial"/>
          <w:lang w:val="fr-FR"/>
        </w:rPr>
        <w:t xml:space="preserve">pour examen </w:t>
      </w:r>
      <w:r w:rsidR="00FB2FEF">
        <w:rPr>
          <w:rFonts w:cs="Arial"/>
          <w:lang w:val="fr-FR"/>
        </w:rPr>
        <w:t>avant la COP15.</w:t>
      </w:r>
    </w:p>
    <w:p w14:paraId="4DECEBB6" w14:textId="77777777" w:rsidR="006E5484" w:rsidRDefault="006E5484">
      <w:pPr>
        <w:widowControl w:val="0"/>
        <w:spacing w:after="0" w:line="240" w:lineRule="auto"/>
        <w:jc w:val="both"/>
        <w:rPr>
          <w:rFonts w:cs="Arial"/>
          <w:b/>
          <w:bCs/>
          <w:i/>
          <w:iCs/>
          <w:sz w:val="20"/>
          <w:szCs w:val="20"/>
          <w:lang w:val="fr-FR"/>
        </w:rPr>
      </w:pPr>
    </w:p>
    <w:p w14:paraId="3CA00C7A" w14:textId="77777777" w:rsidR="006E5484" w:rsidRDefault="006E5484">
      <w:pPr>
        <w:spacing w:after="0" w:line="240" w:lineRule="auto"/>
        <w:jc w:val="both"/>
        <w:rPr>
          <w:rFonts w:cs="Arial"/>
          <w:lang w:val="fr-FR"/>
        </w:rPr>
      </w:pPr>
    </w:p>
    <w:p w14:paraId="5BD6A3AF" w14:textId="77777777" w:rsidR="006E5484" w:rsidRDefault="00FB2FEF">
      <w:pPr>
        <w:spacing w:after="0" w:line="240" w:lineRule="auto"/>
        <w:jc w:val="center"/>
        <w:rPr>
          <w:lang w:val="fr-FR"/>
        </w:rPr>
      </w:pPr>
      <w:r>
        <w:rPr>
          <w:rFonts w:cs="Arial"/>
          <w:b/>
          <w:bCs/>
          <w:lang w:val="fr-FR"/>
        </w:rPr>
        <w:t xml:space="preserve">PLAN D'ACTION POUR LA PROTECTION ET LA CONSERVATION </w:t>
      </w:r>
    </w:p>
    <w:p w14:paraId="545244F1" w14:textId="57A86EEE" w:rsidR="006E5484" w:rsidRDefault="00FB2FEF">
      <w:pPr>
        <w:spacing w:after="0" w:line="240" w:lineRule="auto"/>
        <w:jc w:val="center"/>
        <w:rPr>
          <w:lang w:val="fr-FR"/>
        </w:rPr>
      </w:pPr>
      <w:r>
        <w:rPr>
          <w:rFonts w:cs="Arial"/>
          <w:b/>
          <w:bCs/>
          <w:lang w:val="fr-FR"/>
        </w:rPr>
        <w:t>DES BALEINES DE L'ATLANTIQUE SUD</w:t>
      </w:r>
    </w:p>
    <w:p w14:paraId="732BBF9E" w14:textId="77777777" w:rsidR="006E5484" w:rsidRDefault="006E5484">
      <w:pPr>
        <w:spacing w:after="0" w:line="240" w:lineRule="auto"/>
        <w:jc w:val="both"/>
        <w:rPr>
          <w:rFonts w:cs="Arial"/>
          <w:lang w:val="fr-FR"/>
        </w:rPr>
      </w:pPr>
    </w:p>
    <w:p w14:paraId="70630A14" w14:textId="77777777" w:rsidR="006E5484" w:rsidRDefault="006E5484">
      <w:pPr>
        <w:spacing w:after="0" w:line="240" w:lineRule="auto"/>
        <w:jc w:val="both"/>
        <w:rPr>
          <w:rFonts w:cs="Arial"/>
          <w:b/>
          <w:i/>
          <w:lang w:val="fr-FR"/>
        </w:rPr>
      </w:pPr>
    </w:p>
    <w:p w14:paraId="2286A0DF" w14:textId="5B1EF85C" w:rsidR="006E5484" w:rsidRDefault="006A153D">
      <w:pPr>
        <w:spacing w:after="0" w:line="240" w:lineRule="auto"/>
        <w:jc w:val="both"/>
        <w:rPr>
          <w:lang w:val="fr-FR"/>
        </w:rPr>
      </w:pPr>
      <w:r>
        <w:rPr>
          <w:rFonts w:cs="Arial"/>
          <w:b/>
          <w:i/>
          <w:lang w:val="fr-FR"/>
        </w:rPr>
        <w:t>A</w:t>
      </w:r>
      <w:r w:rsidR="00FB2FEF">
        <w:rPr>
          <w:rFonts w:cs="Arial"/>
          <w:b/>
          <w:i/>
          <w:lang w:val="fr-FR"/>
        </w:rPr>
        <w:t xml:space="preserve">dressée aux Parties </w:t>
      </w:r>
    </w:p>
    <w:p w14:paraId="21D64B61" w14:textId="77777777" w:rsidR="006E5484" w:rsidRDefault="006E5484">
      <w:pPr>
        <w:spacing w:after="0" w:line="240" w:lineRule="auto"/>
        <w:jc w:val="both"/>
        <w:rPr>
          <w:rFonts w:cs="Arial"/>
          <w:lang w:val="fr-FR"/>
        </w:rPr>
      </w:pPr>
    </w:p>
    <w:p w14:paraId="35167CD7" w14:textId="12CF9118" w:rsidR="006E5484" w:rsidRPr="006A153D" w:rsidRDefault="00FB2FEF">
      <w:pPr>
        <w:spacing w:after="0" w:line="240" w:lineRule="auto"/>
        <w:ind w:left="851" w:hanging="851"/>
        <w:jc w:val="both"/>
        <w:rPr>
          <w:rFonts w:cs="Arial"/>
          <w:lang w:val="fr-FR"/>
        </w:rPr>
      </w:pPr>
      <w:r w:rsidRPr="006A153D">
        <w:rPr>
          <w:rFonts w:cs="Arial"/>
          <w:lang w:val="fr-FR"/>
        </w:rPr>
        <w:t>14.</w:t>
      </w:r>
      <w:r w:rsidR="006A153D" w:rsidRPr="006A153D">
        <w:rPr>
          <w:rFonts w:cs="Arial"/>
          <w:lang w:val="fr-FR"/>
        </w:rPr>
        <w:t>KK</w:t>
      </w:r>
      <w:r w:rsidRPr="006A153D">
        <w:rPr>
          <w:rFonts w:cs="Arial"/>
          <w:lang w:val="fr-FR"/>
        </w:rPr>
        <w:tab/>
      </w:r>
      <w:r w:rsidR="00A00D39" w:rsidRPr="006A153D">
        <w:rPr>
          <w:rFonts w:cs="Arial"/>
          <w:shd w:val="clear" w:color="auto" w:fill="FFFFFF"/>
          <w:lang w:val="fr-FR"/>
        </w:rPr>
        <w:t xml:space="preserve">Les Parties sont invitées à soumettre, à travers leurs rapports nationaux, des rapports d'activité sur la mise en œuvre du Plan d'action pour la protection et la conservation des baleines de l’Atlantique sud (Annexe 1 à la Résolution UNEP/CMS/Résolution 12.17 </w:t>
      </w:r>
      <w:r w:rsidR="00A00D39" w:rsidRPr="006A153D">
        <w:rPr>
          <w:rFonts w:cs="Arial"/>
          <w:i/>
          <w:iCs/>
          <w:shd w:val="clear" w:color="auto" w:fill="FFFFFF"/>
          <w:lang w:val="fr-FR"/>
        </w:rPr>
        <w:t>Conservation et gestion des baleines et de leurs habitats dans la région de l’Atlantique sud</w:t>
      </w:r>
      <w:r w:rsidR="00A00D39" w:rsidRPr="006A153D">
        <w:rPr>
          <w:rFonts w:cs="Arial"/>
          <w:shd w:val="clear" w:color="auto" w:fill="FFFFFF"/>
          <w:lang w:val="fr-FR"/>
        </w:rPr>
        <w:t>), y compris le suivi et l'efficacité des mesures prises, à la Conférence des Parties lors de sa 15</w:t>
      </w:r>
      <w:r w:rsidR="00A00D39" w:rsidRPr="006A153D">
        <w:rPr>
          <w:rFonts w:cs="Arial"/>
          <w:shd w:val="clear" w:color="auto" w:fill="FFFFFF"/>
          <w:vertAlign w:val="superscript"/>
          <w:lang w:val="fr-FR"/>
        </w:rPr>
        <w:t>e</w:t>
      </w:r>
      <w:r w:rsidR="00A00D39" w:rsidRPr="006A153D">
        <w:rPr>
          <w:rFonts w:cs="Arial"/>
          <w:shd w:val="clear" w:color="auto" w:fill="FFFFFF"/>
          <w:lang w:val="fr-FR"/>
        </w:rPr>
        <w:t xml:space="preserve"> réunion</w:t>
      </w:r>
      <w:r w:rsidR="006A153D" w:rsidRPr="006A153D">
        <w:rPr>
          <w:rFonts w:cs="Arial"/>
          <w:shd w:val="clear" w:color="auto" w:fill="FFFFFF"/>
          <w:lang w:val="fr-FR"/>
        </w:rPr>
        <w:t>.</w:t>
      </w:r>
    </w:p>
    <w:p w14:paraId="3AC00B37" w14:textId="77777777" w:rsidR="006E5484" w:rsidRPr="00A00D39" w:rsidRDefault="006E5484">
      <w:pPr>
        <w:spacing w:after="0" w:line="240" w:lineRule="auto"/>
        <w:jc w:val="both"/>
        <w:rPr>
          <w:rFonts w:cs="Arial"/>
          <w:lang w:val="fr-FR"/>
        </w:rPr>
      </w:pPr>
    </w:p>
    <w:p w14:paraId="747AFEEA" w14:textId="77777777" w:rsidR="006E5484" w:rsidRPr="00A00D39" w:rsidRDefault="006E5484">
      <w:pPr>
        <w:spacing w:after="0" w:line="240" w:lineRule="auto"/>
        <w:jc w:val="both"/>
        <w:rPr>
          <w:rFonts w:cs="Arial"/>
          <w:lang w:val="fr-FR"/>
        </w:rPr>
      </w:pPr>
    </w:p>
    <w:p w14:paraId="2D925138" w14:textId="628C5EE1" w:rsidR="006E5484" w:rsidRDefault="006A153D">
      <w:pPr>
        <w:spacing w:after="0" w:line="240" w:lineRule="auto"/>
        <w:jc w:val="both"/>
        <w:rPr>
          <w:lang w:val="fr-FR"/>
        </w:rPr>
      </w:pPr>
      <w:r>
        <w:rPr>
          <w:rFonts w:cs="Arial"/>
          <w:b/>
          <w:i/>
          <w:lang w:val="fr-FR"/>
        </w:rPr>
        <w:t>A</w:t>
      </w:r>
      <w:r w:rsidR="00FB2FEF">
        <w:rPr>
          <w:rFonts w:cs="Arial"/>
          <w:b/>
          <w:i/>
          <w:lang w:val="fr-FR"/>
        </w:rPr>
        <w:t>dressée au Secrétariat</w:t>
      </w:r>
    </w:p>
    <w:p w14:paraId="61428EB5" w14:textId="77777777" w:rsidR="006E5484" w:rsidRDefault="006E5484">
      <w:pPr>
        <w:spacing w:after="0" w:line="240" w:lineRule="auto"/>
        <w:jc w:val="both"/>
        <w:rPr>
          <w:rFonts w:cs="Arial"/>
          <w:lang w:val="fr-FR"/>
        </w:rPr>
      </w:pPr>
    </w:p>
    <w:p w14:paraId="5169ACE4" w14:textId="08B82595" w:rsidR="006E5484" w:rsidRDefault="00FB2FEF">
      <w:pPr>
        <w:spacing w:after="0" w:line="240" w:lineRule="auto"/>
        <w:ind w:left="851" w:hanging="851"/>
        <w:jc w:val="both"/>
        <w:rPr>
          <w:lang w:val="fr-FR"/>
        </w:rPr>
      </w:pPr>
      <w:r>
        <w:rPr>
          <w:rFonts w:cs="Arial"/>
          <w:lang w:val="fr-FR"/>
        </w:rPr>
        <w:t>14.</w:t>
      </w:r>
      <w:r w:rsidR="006A153D">
        <w:rPr>
          <w:rFonts w:cs="Arial"/>
          <w:lang w:val="fr-FR"/>
        </w:rPr>
        <w:t>LL</w:t>
      </w:r>
      <w:r>
        <w:rPr>
          <w:rFonts w:cs="Arial"/>
          <w:lang w:val="fr-FR"/>
        </w:rPr>
        <w:tab/>
        <w:t xml:space="preserve">Le Secrétariat, sous réserve de la disponibilité de ressources externes : </w:t>
      </w:r>
    </w:p>
    <w:p w14:paraId="5E1A7953" w14:textId="77777777" w:rsidR="006E5484" w:rsidRDefault="006E5484">
      <w:pPr>
        <w:spacing w:after="0" w:line="240" w:lineRule="auto"/>
        <w:ind w:left="851" w:hanging="851"/>
        <w:jc w:val="both"/>
        <w:rPr>
          <w:rFonts w:cs="Arial"/>
          <w:lang w:val="fr-FR"/>
        </w:rPr>
      </w:pPr>
    </w:p>
    <w:p w14:paraId="38AD3E78" w14:textId="0147576D" w:rsidR="006E5484" w:rsidRPr="000E279A" w:rsidRDefault="000E279A">
      <w:pPr>
        <w:pStyle w:val="ListParagraph"/>
        <w:numPr>
          <w:ilvl w:val="0"/>
          <w:numId w:val="24"/>
        </w:numPr>
        <w:spacing w:after="0" w:line="240" w:lineRule="auto"/>
        <w:ind w:left="1418" w:hanging="567"/>
        <w:jc w:val="both"/>
        <w:rPr>
          <w:lang w:val="fr-FR"/>
        </w:rPr>
      </w:pPr>
      <w:proofErr w:type="gramStart"/>
      <w:r w:rsidRPr="000E279A">
        <w:rPr>
          <w:rFonts w:cs="Arial"/>
          <w:color w:val="333333"/>
          <w:shd w:val="clear" w:color="auto" w:fill="FFFFFF"/>
          <w:lang w:val="fr-FR"/>
        </w:rPr>
        <w:t>organise</w:t>
      </w:r>
      <w:proofErr w:type="gramEnd"/>
      <w:r w:rsidRPr="000E279A">
        <w:rPr>
          <w:rFonts w:cs="Arial"/>
          <w:color w:val="333333"/>
          <w:shd w:val="clear" w:color="auto" w:fill="FFFFFF"/>
          <w:lang w:val="fr-FR"/>
        </w:rPr>
        <w:t xml:space="preserve"> un atelier régional destiné à améliorer les capacités pour la mise en œuvre du Plan d'action pour la protection et la conservation des baleines de l’Atlantique sud (Annexe 1 à la Résolution UNEP/CMS/Résolution 12.17 </w:t>
      </w:r>
      <w:r w:rsidRPr="000E279A">
        <w:rPr>
          <w:rFonts w:cs="Arial"/>
          <w:i/>
          <w:iCs/>
          <w:color w:val="333333"/>
          <w:shd w:val="clear" w:color="auto" w:fill="FFFFFF"/>
          <w:lang w:val="fr-FR"/>
        </w:rPr>
        <w:t>Conservation et gestion des baleines et de leurs habitats dans la région de l’Atlantique sud</w:t>
      </w:r>
      <w:r w:rsidRPr="000E279A">
        <w:rPr>
          <w:rFonts w:cs="Arial"/>
          <w:color w:val="333333"/>
          <w:shd w:val="clear" w:color="auto" w:fill="FFFFFF"/>
          <w:lang w:val="fr-FR"/>
        </w:rPr>
        <w:t>).</w:t>
      </w:r>
    </w:p>
    <w:p w14:paraId="694248D9" w14:textId="77777777" w:rsidR="006E5484" w:rsidRPr="000E279A" w:rsidRDefault="006E5484">
      <w:pPr>
        <w:pStyle w:val="ListParagraph"/>
        <w:spacing w:after="0" w:line="240" w:lineRule="auto"/>
        <w:ind w:left="1154" w:hanging="567"/>
        <w:jc w:val="both"/>
        <w:rPr>
          <w:rFonts w:cs="Arial"/>
          <w:iCs/>
          <w:lang w:val="fr-FR"/>
        </w:rPr>
      </w:pPr>
    </w:p>
    <w:p w14:paraId="2EF1A312" w14:textId="2303A7D3" w:rsidR="006E5484" w:rsidRDefault="006A153D">
      <w:pPr>
        <w:pStyle w:val="ListParagraph"/>
        <w:numPr>
          <w:ilvl w:val="0"/>
          <w:numId w:val="24"/>
        </w:numPr>
        <w:spacing w:after="0" w:line="240" w:lineRule="auto"/>
        <w:ind w:left="1418" w:hanging="567"/>
        <w:jc w:val="both"/>
        <w:rPr>
          <w:lang w:val="fr-FR"/>
        </w:rPr>
      </w:pPr>
      <w:proofErr w:type="gramStart"/>
      <w:r>
        <w:rPr>
          <w:rFonts w:cs="Arial"/>
          <w:lang w:val="fr-FR"/>
        </w:rPr>
        <w:t>c</w:t>
      </w:r>
      <w:r w:rsidR="00FB2FEF">
        <w:rPr>
          <w:rFonts w:cs="Arial"/>
          <w:lang w:val="fr-FR"/>
        </w:rPr>
        <w:t>ontinue</w:t>
      </w:r>
      <w:proofErr w:type="gramEnd"/>
      <w:r w:rsidR="00FB2FEF">
        <w:rPr>
          <w:rFonts w:cs="Arial"/>
          <w:lang w:val="fr-FR"/>
        </w:rPr>
        <w:t xml:space="preserve"> à collaborer avec la CBI à la mise en œuvre du </w:t>
      </w:r>
      <w:r w:rsidR="00FB2FEF">
        <w:rPr>
          <w:rFonts w:cs="Arial"/>
          <w:iCs/>
          <w:lang w:val="fr-FR"/>
        </w:rPr>
        <w:t>Plan d'action pour la protection et la conservation des baleines de l'Atlantique Sud.</w:t>
      </w:r>
    </w:p>
    <w:p w14:paraId="0709B525" w14:textId="77777777" w:rsidR="006E5484" w:rsidRDefault="006E5484">
      <w:pPr>
        <w:spacing w:after="0" w:line="240" w:lineRule="auto"/>
        <w:jc w:val="both"/>
        <w:rPr>
          <w:lang w:val="fr-FR"/>
        </w:rPr>
      </w:pPr>
    </w:p>
    <w:sectPr w:rsidR="006E5484" w:rsidSect="00C62B01">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E6AC" w14:textId="77777777" w:rsidR="00F24908" w:rsidRDefault="00F24908">
      <w:pPr>
        <w:spacing w:after="0" w:line="240" w:lineRule="auto"/>
        <w:rPr>
          <w:lang w:val="fr-FR"/>
        </w:rPr>
      </w:pPr>
      <w:r>
        <w:rPr>
          <w:lang w:val="fr-FR"/>
        </w:rPr>
        <w:separator/>
      </w:r>
    </w:p>
  </w:endnote>
  <w:endnote w:type="continuationSeparator" w:id="0">
    <w:p w14:paraId="0A42E21A" w14:textId="77777777" w:rsidR="00F24908" w:rsidRDefault="00F24908">
      <w:pPr>
        <w:spacing w:after="0" w:line="240" w:lineRule="auto"/>
        <w:rPr>
          <w:lang w:val="fr-FR"/>
        </w:rPr>
      </w:pPr>
      <w:r>
        <w:rPr>
          <w:lang w:val="fr-FR"/>
        </w:rPr>
        <w:continuationSeparator/>
      </w:r>
    </w:p>
  </w:endnote>
  <w:endnote w:type="continuationNotice" w:id="1">
    <w:p w14:paraId="73CE9D48" w14:textId="77777777" w:rsidR="00F24908" w:rsidRDefault="00F24908">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Noto Sans CJK SC">
    <w:panose1 w:val="020B0604020202020204"/>
    <w:charset w:val="80"/>
    <w:family w:val="swiss"/>
    <w:notTrueType/>
    <w:pitch w:val="variable"/>
    <w:sig w:usb0="30000083" w:usb1="2BDF3C10" w:usb2="00000016" w:usb3="00000000" w:csb0="002E0107" w:csb1="00000000"/>
  </w:font>
  <w:font w:name="Lohit Devanagari">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4A62"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4</w:t>
    </w:r>
    <w:r>
      <w:rPr>
        <w:sz w:val="18"/>
        <w:szCs w:val="18"/>
        <w:lang w:val="fr-F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4780"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16</w:t>
    </w:r>
    <w:r>
      <w:rPr>
        <w:sz w:val="18"/>
        <w:szCs w:val="18"/>
        <w:lang w:val="fr-F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57334"/>
      <w:docPartObj>
        <w:docPartGallery w:val="Page Numbers (Bottom of Page)"/>
        <w:docPartUnique/>
      </w:docPartObj>
    </w:sdtPr>
    <w:sdtContent>
      <w:p w14:paraId="0F11315B"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15</w:t>
        </w:r>
        <w:r>
          <w:rPr>
            <w:sz w:val="18"/>
            <w:szCs w:val="18"/>
            <w:lang w:val="fr-FR"/>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B220"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14</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29200"/>
      <w:docPartObj>
        <w:docPartGallery w:val="Page Numbers (Bottom of Page)"/>
        <w:docPartUnique/>
      </w:docPartObj>
    </w:sdtPr>
    <w:sdtContent>
      <w:p w14:paraId="1CE7256A"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5</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F7C"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2</w:t>
    </w:r>
    <w:r>
      <w:rPr>
        <w:sz w:val="18"/>
        <w:szCs w:val="18"/>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2768"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10</w:t>
    </w:r>
    <w:r>
      <w:rPr>
        <w:sz w:val="18"/>
        <w:szCs w:val="18"/>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919320"/>
      <w:docPartObj>
        <w:docPartGallery w:val="Page Numbers (Bottom of Page)"/>
        <w:docPartUnique/>
      </w:docPartObj>
    </w:sdtPr>
    <w:sdtContent>
      <w:p w14:paraId="1668A2D1"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9</w:t>
        </w:r>
        <w:r>
          <w:rPr>
            <w:sz w:val="18"/>
            <w:szCs w:val="18"/>
            <w:lang w:val="fr-F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42F"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8</w:t>
    </w:r>
    <w:r>
      <w:rPr>
        <w:sz w:val="18"/>
        <w:szCs w:val="18"/>
        <w:lang w:val="fr-F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BF5"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12</w:t>
    </w:r>
    <w:r>
      <w:rPr>
        <w:sz w:val="18"/>
        <w:szCs w:val="18"/>
        <w:lang w:val="fr-F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13123"/>
      <w:docPartObj>
        <w:docPartGallery w:val="Page Numbers (Bottom of Page)"/>
        <w:docPartUnique/>
      </w:docPartObj>
    </w:sdtPr>
    <w:sdtContent>
      <w:p w14:paraId="3FDBB1C6"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13</w:t>
        </w:r>
        <w:r>
          <w:rPr>
            <w:sz w:val="18"/>
            <w:szCs w:val="18"/>
            <w:lang w:val="fr-FR"/>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C30" w14:textId="77777777" w:rsidR="006E5484" w:rsidRDefault="00FB2FEF">
    <w:pPr>
      <w:pStyle w:val="Footer"/>
      <w:jc w:val="center"/>
      <w:rPr>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10</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AAE3" w14:textId="77777777" w:rsidR="00F24908" w:rsidRDefault="00F24908">
      <w:pPr>
        <w:rPr>
          <w:sz w:val="12"/>
          <w:lang w:val="fr-FR"/>
        </w:rPr>
      </w:pPr>
      <w:r>
        <w:rPr>
          <w:lang w:val="fr-FR"/>
        </w:rPr>
        <w:separator/>
      </w:r>
    </w:p>
  </w:footnote>
  <w:footnote w:type="continuationSeparator" w:id="0">
    <w:p w14:paraId="2998A924" w14:textId="77777777" w:rsidR="00F24908" w:rsidRDefault="00F24908">
      <w:pPr>
        <w:rPr>
          <w:sz w:val="12"/>
          <w:lang w:val="fr-FR"/>
        </w:rPr>
      </w:pPr>
      <w:r>
        <w:rPr>
          <w:lang w:val="fr-FR"/>
        </w:rPr>
        <w:continuationSeparator/>
      </w:r>
    </w:p>
  </w:footnote>
  <w:footnote w:type="continuationNotice" w:id="1">
    <w:p w14:paraId="154DFD9B" w14:textId="77777777" w:rsidR="00F24908" w:rsidRDefault="00F24908">
      <w:pPr>
        <w:spacing w:after="0" w:line="240" w:lineRule="auto"/>
        <w:rPr>
          <w:lang w:val="fr-FR"/>
        </w:rPr>
      </w:pPr>
    </w:p>
  </w:footnote>
  <w:footnote w:id="2">
    <w:p w14:paraId="39A6856E" w14:textId="73B48F18" w:rsidR="006E5484" w:rsidRPr="0047612F" w:rsidRDefault="00FB2FEF">
      <w:pPr>
        <w:pStyle w:val="FootnoteText"/>
        <w:jc w:val="both"/>
        <w:rPr>
          <w:sz w:val="16"/>
          <w:szCs w:val="16"/>
          <w:lang w:val="fr-FR"/>
        </w:rPr>
      </w:pPr>
      <w:r w:rsidRPr="0047612F">
        <w:rPr>
          <w:rStyle w:val="FootnoteCharacters"/>
          <w:sz w:val="16"/>
          <w:szCs w:val="16"/>
          <w:lang w:val="fr-FR"/>
        </w:rPr>
        <w:footnoteRef/>
      </w:r>
      <w:r w:rsidRPr="0047612F">
        <w:rPr>
          <w:sz w:val="16"/>
          <w:szCs w:val="16"/>
          <w:lang w:val="fr-FR"/>
        </w:rPr>
        <w:t xml:space="preserve"> La fonction de l'écosystème fait référence aux processus physiques, chimiques et biologiques qui transforment et transfèrent l'énergie ou les matériaux dans un écosystème. (</w:t>
      </w:r>
      <w:hyperlink r:id="rId1">
        <w:r w:rsidRPr="0047612F">
          <w:rPr>
            <w:rStyle w:val="Hyperlink"/>
            <w:sz w:val="16"/>
            <w:szCs w:val="16"/>
            <w:lang w:val="fr-FR"/>
          </w:rPr>
          <w:t>Rapport de l'atelier CBI-CMS sur le fonctionnement des écosystèmes de cétacés (2021)</w:t>
        </w:r>
      </w:hyperlink>
      <w:r w:rsidRPr="0047612F">
        <w:rPr>
          <w:sz w:val="16"/>
          <w:szCs w:val="16"/>
          <w:lang w:val="fr-FR"/>
        </w:rPr>
        <w:t>, Annexe D.)</w:t>
      </w:r>
    </w:p>
  </w:footnote>
  <w:footnote w:id="3">
    <w:p w14:paraId="445990B2" w14:textId="77777777" w:rsidR="006E5484" w:rsidRPr="0047612F" w:rsidRDefault="00FB2FEF">
      <w:pPr>
        <w:pStyle w:val="FootnoteText"/>
        <w:rPr>
          <w:sz w:val="16"/>
          <w:szCs w:val="16"/>
          <w:lang w:val="fr-FR"/>
        </w:rPr>
      </w:pPr>
      <w:r w:rsidRPr="0047612F">
        <w:rPr>
          <w:rStyle w:val="FootnoteCharacters"/>
          <w:sz w:val="16"/>
          <w:szCs w:val="16"/>
          <w:lang w:val="fr-FR"/>
        </w:rPr>
        <w:footnoteRef/>
      </w:r>
      <w:r w:rsidRPr="0047612F">
        <w:rPr>
          <w:sz w:val="16"/>
          <w:szCs w:val="16"/>
          <w:lang w:val="fr-FR"/>
        </w:rPr>
        <w:t xml:space="preserve"> Le carbone naturellement capturé, stocké et séquestré dans les écosystèmes côtiers et marins. (</w:t>
      </w:r>
      <w:r w:rsidR="00000000">
        <w:fldChar w:fldCharType="begin"/>
      </w:r>
      <w:r w:rsidR="00000000" w:rsidRPr="00260C49">
        <w:rPr>
          <w:lang w:val="es-ES"/>
        </w:rPr>
        <w:instrText>HYPERLINK "https://archive.iwc.int/pages/view.php?ref=19252&amp;k=" \h</w:instrText>
      </w:r>
      <w:r w:rsidR="00000000">
        <w:fldChar w:fldCharType="separate"/>
      </w:r>
      <w:r w:rsidRPr="0047612F">
        <w:rPr>
          <w:rStyle w:val="Hyperlink"/>
          <w:sz w:val="16"/>
          <w:szCs w:val="16"/>
          <w:lang w:val="fr-FR"/>
        </w:rPr>
        <w:t>Rapport de l'atelier CBI-CMS sur le fonctionnement des écosystèmes de cétacés (2021)</w:t>
      </w:r>
      <w:r w:rsidR="00000000">
        <w:rPr>
          <w:rStyle w:val="Hyperlink"/>
          <w:sz w:val="16"/>
          <w:szCs w:val="16"/>
          <w:lang w:val="fr-FR"/>
        </w:rPr>
        <w:fldChar w:fldCharType="end"/>
      </w:r>
      <w:r w:rsidRPr="0047612F">
        <w:rPr>
          <w:sz w:val="16"/>
          <w:szCs w:val="16"/>
          <w:lang w:val="fr-FR"/>
        </w:rPr>
        <w:t>, Annexe D.)</w:t>
      </w:r>
    </w:p>
  </w:footnote>
  <w:footnote w:id="4">
    <w:p w14:paraId="57306DDF" w14:textId="2C277EA1" w:rsidR="00751D2F" w:rsidRPr="00751D2F" w:rsidRDefault="00751D2F" w:rsidP="00751D2F">
      <w:pPr>
        <w:pStyle w:val="FootnoteText"/>
        <w:jc w:val="both"/>
        <w:rPr>
          <w:sz w:val="16"/>
          <w:szCs w:val="16"/>
          <w:lang w:val="fr-FR"/>
        </w:rPr>
      </w:pPr>
      <w:r w:rsidRPr="00751D2F">
        <w:rPr>
          <w:rStyle w:val="FootnoteReference"/>
          <w:sz w:val="16"/>
          <w:szCs w:val="16"/>
        </w:rPr>
        <w:footnoteRef/>
      </w:r>
      <w:r w:rsidRPr="00751D2F">
        <w:rPr>
          <w:sz w:val="16"/>
          <w:szCs w:val="16"/>
          <w:lang w:val="fr-FR"/>
        </w:rPr>
        <w:t xml:space="preserve"> Accord sur la conservation des cétacés de la mer Noire, de la Méditerranée et de la zone atlantique adjacente</w:t>
      </w:r>
    </w:p>
  </w:footnote>
  <w:footnote w:id="5">
    <w:p w14:paraId="643EB4F5" w14:textId="6F81D5FD" w:rsidR="00F25F82" w:rsidRPr="00751D2F" w:rsidRDefault="00F25F82" w:rsidP="00F25F82">
      <w:pPr>
        <w:pStyle w:val="FootnoteText"/>
        <w:jc w:val="both"/>
        <w:rPr>
          <w:sz w:val="16"/>
          <w:szCs w:val="16"/>
          <w:lang w:val="fr-FR"/>
        </w:rPr>
      </w:pPr>
      <w:r w:rsidRPr="00751D2F">
        <w:rPr>
          <w:rStyle w:val="FootnoteReference"/>
          <w:sz w:val="16"/>
          <w:szCs w:val="16"/>
        </w:rPr>
        <w:footnoteRef/>
      </w:r>
      <w:r w:rsidRPr="00751D2F">
        <w:rPr>
          <w:sz w:val="16"/>
          <w:szCs w:val="16"/>
          <w:lang w:val="fr-FR"/>
        </w:rPr>
        <w:t xml:space="preserve"> </w:t>
      </w:r>
      <w:r w:rsidR="00751D2F" w:rsidRPr="00751D2F">
        <w:rPr>
          <w:sz w:val="16"/>
          <w:szCs w:val="16"/>
          <w:lang w:val="fr-FR"/>
        </w:rPr>
        <w:t xml:space="preserve">Accord sur la conservation des petits cétacés de la mer Baltique, du nord-est de l’Atlantique et des mers d’Irlande et du Nord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DA5" w14:textId="77777777" w:rsidR="002D3F84" w:rsidRPr="00EC2A58" w:rsidRDefault="002D3F84" w:rsidP="002D3F84">
    <w:pPr>
      <w:widowControl w:val="0"/>
      <w:tabs>
        <w:tab w:val="center" w:pos="4153"/>
        <w:tab w:val="right" w:pos="8306"/>
      </w:tab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776CE242" wp14:editId="27310586">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1EADAFC9" wp14:editId="083D7E2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3A1D4043" wp14:editId="0F37169F">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29031C99" w14:textId="77777777" w:rsidR="002D3F84" w:rsidRDefault="002D3F84" w:rsidP="002D3F84">
    <w:pPr>
      <w:pStyle w:val="Header"/>
    </w:pPr>
  </w:p>
  <w:p w14:paraId="37A0E487" w14:textId="77777777" w:rsidR="002D3F84" w:rsidRDefault="002D3F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0F22" w14:textId="24CFFDA7" w:rsidR="006E5484" w:rsidRDefault="00FB2FEF" w:rsidP="00A00D39">
    <w:pPr>
      <w:pStyle w:val="Header"/>
      <w:pBdr>
        <w:bottom w:val="single" w:sz="4" w:space="1" w:color="000000"/>
      </w:pBdr>
      <w:jc w:val="right"/>
    </w:pPr>
    <w:r>
      <w:rPr>
        <w:rFonts w:cs="Arial"/>
        <w:i/>
        <w:sz w:val="18"/>
        <w:szCs w:val="18"/>
      </w:rPr>
      <w:t>UNEP/CMS/COP14/Doc.27.5.1/</w:t>
    </w:r>
    <w:r w:rsidR="00EF093D">
      <w:rPr>
        <w:rFonts w:cs="Arial"/>
        <w:i/>
        <w:sz w:val="18"/>
        <w:szCs w:val="18"/>
      </w:rPr>
      <w:t>Rev.1/</w:t>
    </w:r>
    <w:r>
      <w:rPr>
        <w:rFonts w:cs="Arial"/>
        <w:i/>
        <w:sz w:val="18"/>
        <w:szCs w:val="18"/>
      </w:rPr>
      <w:t>Annex</w:t>
    </w:r>
    <w:r w:rsidR="00C62B01">
      <w:rPr>
        <w:rFonts w:cs="Arial"/>
        <w:i/>
        <w:sz w:val="18"/>
        <w:szCs w:val="18"/>
      </w:rPr>
      <w:t>e</w:t>
    </w:r>
    <w:r>
      <w:rPr>
        <w:rFonts w:cs="Arial"/>
        <w:i/>
        <w:sz w:val="18"/>
        <w:szCs w:val="18"/>
      </w:rPr>
      <w:t xml:space="preserve"> 2</w:t>
    </w:r>
  </w:p>
  <w:p w14:paraId="4909633E" w14:textId="77777777" w:rsidR="006E5484" w:rsidRDefault="006E5484">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C31C" w14:textId="1743BA3D" w:rsidR="006E5484" w:rsidRDefault="00FB2FEF" w:rsidP="00A00D39">
    <w:pPr>
      <w:pStyle w:val="Header"/>
      <w:pBdr>
        <w:bottom w:val="single" w:sz="4" w:space="1" w:color="000000"/>
      </w:pBdr>
    </w:pPr>
    <w:r>
      <w:rPr>
        <w:rFonts w:cs="Arial"/>
        <w:i/>
        <w:sz w:val="18"/>
        <w:szCs w:val="18"/>
      </w:rPr>
      <w:t>UNEP/CMS/COP14/Doc.27.5.1</w:t>
    </w:r>
    <w:r w:rsidR="00EF093D">
      <w:rPr>
        <w:rFonts w:cs="Arial"/>
        <w:i/>
        <w:sz w:val="18"/>
        <w:szCs w:val="18"/>
      </w:rPr>
      <w:t>/Rev.1</w:t>
    </w:r>
    <w:r>
      <w:rPr>
        <w:rFonts w:cs="Arial"/>
        <w:i/>
        <w:sz w:val="18"/>
        <w:szCs w:val="18"/>
      </w:rPr>
      <w:t>/Annex</w:t>
    </w:r>
    <w:r w:rsidR="00FA0B65">
      <w:rPr>
        <w:rFonts w:cs="Arial"/>
        <w:i/>
        <w:sz w:val="18"/>
        <w:szCs w:val="18"/>
      </w:rPr>
      <w:t>e</w:t>
    </w:r>
    <w:r>
      <w:rPr>
        <w:rFonts w:cs="Arial"/>
        <w:i/>
        <w:sz w:val="18"/>
        <w:szCs w:val="18"/>
      </w:rPr>
      <w:t xml:space="preserve"> 3</w:t>
    </w:r>
  </w:p>
  <w:p w14:paraId="3F49D3E0" w14:textId="77777777" w:rsidR="006E5484" w:rsidRDefault="006E5484" w:rsidP="00FA0B65">
    <w:pPr>
      <w:pStyle w:val="Header"/>
      <w:jc w:val="right"/>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350" w14:textId="4DBE46A8" w:rsidR="006E5484" w:rsidRDefault="00FB2FEF" w:rsidP="00A00D39">
    <w:pPr>
      <w:pStyle w:val="Header"/>
      <w:pBdr>
        <w:bottom w:val="single" w:sz="4" w:space="1" w:color="000000"/>
      </w:pBdr>
      <w:jc w:val="right"/>
    </w:pPr>
    <w:r>
      <w:rPr>
        <w:rFonts w:cs="Arial"/>
        <w:i/>
        <w:sz w:val="18"/>
        <w:szCs w:val="18"/>
      </w:rPr>
      <w:t>UNEP/CMS/COP14/Doc.27.5.1/</w:t>
    </w:r>
    <w:r w:rsidR="00900C40">
      <w:rPr>
        <w:rFonts w:cs="Arial"/>
        <w:i/>
        <w:sz w:val="18"/>
        <w:szCs w:val="18"/>
      </w:rPr>
      <w:t>Rev.1/</w:t>
    </w:r>
    <w:r>
      <w:rPr>
        <w:rFonts w:cs="Arial"/>
        <w:i/>
        <w:sz w:val="18"/>
        <w:szCs w:val="18"/>
      </w:rPr>
      <w:t>Annex</w:t>
    </w:r>
    <w:r w:rsidR="00FA0B65">
      <w:rPr>
        <w:rFonts w:cs="Arial"/>
        <w:i/>
        <w:sz w:val="18"/>
        <w:szCs w:val="18"/>
      </w:rPr>
      <w:t>e</w:t>
    </w:r>
    <w:r>
      <w:rPr>
        <w:rFonts w:cs="Arial"/>
        <w:i/>
        <w:sz w:val="18"/>
        <w:szCs w:val="18"/>
      </w:rPr>
      <w:t xml:space="preserve"> 3</w:t>
    </w:r>
  </w:p>
  <w:p w14:paraId="713AB9B2" w14:textId="77777777" w:rsidR="006E5484" w:rsidRDefault="006E5484">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0A3B" w14:textId="36639341" w:rsidR="006E5484" w:rsidRDefault="00FB2FEF">
    <w:pPr>
      <w:pStyle w:val="Header"/>
      <w:pBdr>
        <w:bottom w:val="single" w:sz="4" w:space="1" w:color="000000"/>
      </w:pBdr>
    </w:pPr>
    <w:r>
      <w:rPr>
        <w:rFonts w:cs="Arial"/>
        <w:i/>
        <w:sz w:val="18"/>
        <w:szCs w:val="18"/>
      </w:rPr>
      <w:t>UNEP/CMS/COP14/Doc.27.5.1/</w:t>
    </w:r>
    <w:r w:rsidR="00EF093D">
      <w:rPr>
        <w:rFonts w:cs="Arial"/>
        <w:i/>
        <w:sz w:val="18"/>
        <w:szCs w:val="18"/>
      </w:rPr>
      <w:t>Rev.1/</w:t>
    </w:r>
    <w:r>
      <w:rPr>
        <w:rFonts w:cs="Arial"/>
        <w:i/>
        <w:sz w:val="18"/>
        <w:szCs w:val="18"/>
      </w:rPr>
      <w:t>Annex</w:t>
    </w:r>
    <w:r w:rsidR="00FA0B65">
      <w:rPr>
        <w:rFonts w:cs="Arial"/>
        <w:i/>
        <w:sz w:val="18"/>
        <w:szCs w:val="18"/>
      </w:rPr>
      <w:t>e</w:t>
    </w:r>
    <w:r>
      <w:rPr>
        <w:rFonts w:cs="Arial"/>
        <w:i/>
        <w:sz w:val="18"/>
        <w:szCs w:val="18"/>
      </w:rPr>
      <w:t xml:space="preserve"> 3</w:t>
    </w:r>
  </w:p>
  <w:p w14:paraId="166E7332" w14:textId="77777777" w:rsidR="006E5484" w:rsidRDefault="006E5484">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674" w14:textId="1D5943DC" w:rsidR="006E5484" w:rsidRDefault="00FB2FEF">
    <w:pPr>
      <w:pStyle w:val="Header"/>
      <w:pBdr>
        <w:bottom w:val="single" w:sz="4" w:space="1" w:color="000000"/>
      </w:pBdr>
    </w:pPr>
    <w:r>
      <w:rPr>
        <w:rFonts w:cs="Arial"/>
        <w:i/>
        <w:sz w:val="18"/>
        <w:szCs w:val="18"/>
      </w:rPr>
      <w:t>UNEP/CMS/COP14/Doc.27.5.1</w:t>
    </w:r>
    <w:r w:rsidR="00205A2F">
      <w:rPr>
        <w:rFonts w:cs="Arial"/>
        <w:i/>
        <w:sz w:val="18"/>
        <w:szCs w:val="18"/>
      </w:rPr>
      <w:t>/Rev.1</w:t>
    </w:r>
  </w:p>
  <w:p w14:paraId="5469C82E" w14:textId="77777777" w:rsidR="006E5484" w:rsidRPr="005F3AF5" w:rsidRDefault="006E548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8492" w14:textId="179C9D7C" w:rsidR="006E5484" w:rsidRDefault="00FB2FEF">
    <w:pPr>
      <w:pStyle w:val="Header"/>
      <w:pBdr>
        <w:bottom w:val="single" w:sz="4" w:space="1" w:color="000000"/>
      </w:pBdr>
      <w:jc w:val="right"/>
    </w:pPr>
    <w:r>
      <w:rPr>
        <w:rFonts w:cs="Arial"/>
        <w:i/>
        <w:sz w:val="18"/>
        <w:szCs w:val="18"/>
      </w:rPr>
      <w:t>UNEP/CMS/COP14/Doc.27.5.1</w:t>
    </w:r>
    <w:r w:rsidR="00205A2F">
      <w:rPr>
        <w:rFonts w:cs="Arial"/>
        <w:i/>
        <w:sz w:val="18"/>
        <w:szCs w:val="18"/>
      </w:rPr>
      <w:t>/Rev.1</w:t>
    </w:r>
  </w:p>
  <w:p w14:paraId="10C3C0B7" w14:textId="77777777" w:rsidR="006E5484" w:rsidRPr="005F3AF5" w:rsidRDefault="006E5484">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D3E3" w14:textId="18036621" w:rsidR="006E5484" w:rsidRDefault="00FB2FEF">
    <w:pPr>
      <w:pStyle w:val="Header"/>
      <w:pBdr>
        <w:bottom w:val="single" w:sz="4" w:space="1" w:color="000000"/>
      </w:pBdr>
    </w:pPr>
    <w:r>
      <w:rPr>
        <w:rFonts w:cs="Arial"/>
        <w:i/>
        <w:sz w:val="18"/>
        <w:szCs w:val="18"/>
      </w:rPr>
      <w:t>UNEP/CMS/COP14/Doc.27.5.1</w:t>
    </w:r>
    <w:r w:rsidR="0037250A">
      <w:rPr>
        <w:rFonts w:cs="Arial"/>
        <w:i/>
        <w:sz w:val="18"/>
        <w:szCs w:val="18"/>
      </w:rPr>
      <w:t>/Rev.1</w:t>
    </w:r>
  </w:p>
  <w:p w14:paraId="5A1C78B7" w14:textId="77777777" w:rsidR="006E5484" w:rsidRPr="005F3AF5" w:rsidRDefault="006E5484">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F62" w14:textId="24618A93" w:rsidR="006E5484" w:rsidRDefault="00FB2FEF">
    <w:pPr>
      <w:pStyle w:val="Header"/>
      <w:pBdr>
        <w:bottom w:val="single" w:sz="4" w:space="1" w:color="000000"/>
      </w:pBdr>
    </w:pPr>
    <w:r>
      <w:rPr>
        <w:rFonts w:cs="Arial"/>
        <w:i/>
        <w:sz w:val="18"/>
        <w:szCs w:val="18"/>
      </w:rPr>
      <w:t>UNEP/CMS/COP14/Doc.</w:t>
    </w:r>
    <w:r w:rsidR="00C62B01">
      <w:rPr>
        <w:rFonts w:cs="Arial"/>
        <w:i/>
        <w:sz w:val="18"/>
        <w:szCs w:val="18"/>
      </w:rPr>
      <w:t>27.5.1</w:t>
    </w:r>
    <w:r w:rsidR="00EF093D">
      <w:rPr>
        <w:rFonts w:cs="Arial"/>
        <w:i/>
        <w:sz w:val="18"/>
        <w:szCs w:val="18"/>
      </w:rPr>
      <w:t>/Rev.1/</w:t>
    </w:r>
    <w:r w:rsidR="00C62B01">
      <w:rPr>
        <w:rFonts w:cs="Arial"/>
        <w:i/>
        <w:sz w:val="18"/>
        <w:szCs w:val="18"/>
      </w:rPr>
      <w:t>Annexe 1</w:t>
    </w:r>
  </w:p>
  <w:p w14:paraId="2190BDF0" w14:textId="77777777" w:rsidR="006E5484" w:rsidRPr="00C62B01" w:rsidRDefault="006E5484">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7376" w14:textId="45502F25" w:rsidR="006E5484" w:rsidRDefault="00FB2FEF">
    <w:pPr>
      <w:pStyle w:val="Header"/>
      <w:pBdr>
        <w:bottom w:val="single" w:sz="4" w:space="1" w:color="000000"/>
      </w:pBdr>
      <w:jc w:val="right"/>
    </w:pPr>
    <w:r>
      <w:rPr>
        <w:rFonts w:cs="Arial"/>
        <w:i/>
        <w:sz w:val="18"/>
        <w:szCs w:val="18"/>
      </w:rPr>
      <w:t>UNEP/CMS/COP14/Doc.27.5.1/Annex</w:t>
    </w:r>
    <w:r w:rsidR="00C62B01">
      <w:rPr>
        <w:rFonts w:cs="Arial"/>
        <w:i/>
        <w:sz w:val="18"/>
        <w:szCs w:val="18"/>
      </w:rPr>
      <w:t>e</w:t>
    </w:r>
    <w:r>
      <w:rPr>
        <w:rFonts w:cs="Arial"/>
        <w:i/>
        <w:sz w:val="18"/>
        <w:szCs w:val="18"/>
      </w:rPr>
      <w:t xml:space="preserve"> 1</w:t>
    </w:r>
  </w:p>
  <w:p w14:paraId="54287039" w14:textId="77777777" w:rsidR="006E5484" w:rsidRDefault="006E5484">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E6DD" w14:textId="5C9CEECD" w:rsidR="006E5484" w:rsidRDefault="00FB2FEF" w:rsidP="00A00D39">
    <w:pPr>
      <w:pStyle w:val="Header"/>
      <w:pBdr>
        <w:bottom w:val="single" w:sz="4" w:space="1" w:color="000000"/>
      </w:pBdr>
      <w:jc w:val="right"/>
    </w:pPr>
    <w:r>
      <w:rPr>
        <w:rFonts w:cs="Arial"/>
        <w:i/>
        <w:sz w:val="18"/>
        <w:szCs w:val="18"/>
      </w:rPr>
      <w:t>UNEP/CMS/COP14/Doc.27.5.1</w:t>
    </w:r>
    <w:r w:rsidR="00EF093D">
      <w:rPr>
        <w:rFonts w:cs="Arial"/>
        <w:i/>
        <w:sz w:val="18"/>
        <w:szCs w:val="18"/>
      </w:rPr>
      <w:t>/Rev.1</w:t>
    </w:r>
    <w:r>
      <w:rPr>
        <w:rFonts w:cs="Arial"/>
        <w:i/>
        <w:sz w:val="18"/>
        <w:szCs w:val="18"/>
      </w:rPr>
      <w:t>/Annex</w:t>
    </w:r>
    <w:r w:rsidR="00C62B01">
      <w:rPr>
        <w:rFonts w:cs="Arial"/>
        <w:i/>
        <w:sz w:val="18"/>
        <w:szCs w:val="18"/>
      </w:rPr>
      <w:t>e</w:t>
    </w:r>
    <w:r>
      <w:rPr>
        <w:rFonts w:cs="Arial"/>
        <w:i/>
        <w:sz w:val="18"/>
        <w:szCs w:val="18"/>
      </w:rPr>
      <w:t xml:space="preserve"> 1</w:t>
    </w:r>
  </w:p>
  <w:p w14:paraId="44FF7B09" w14:textId="77777777" w:rsidR="006E5484" w:rsidRDefault="006E5484">
    <w:pPr>
      <w:tabs>
        <w:tab w:val="center" w:pos="4680"/>
        <w:tab w:val="right" w:pos="9360"/>
      </w:tabs>
      <w:spacing w:after="0" w:line="240" w:lineRule="auto"/>
      <w:ind w:right="-547"/>
      <w:textAlignment w:val="baseline"/>
      <w:rPr>
        <w:rFonts w:ascii="Calibri" w:eastAsia="Calibri" w:hAnsi="Calibri" w:cs="Times New Roman"/>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C36" w14:textId="330C0B57" w:rsidR="006E5484" w:rsidRDefault="00FB2FEF" w:rsidP="00FA0B65">
    <w:pPr>
      <w:pStyle w:val="Header"/>
      <w:pBdr>
        <w:bottom w:val="single" w:sz="4" w:space="1" w:color="000000"/>
      </w:pBdr>
    </w:pPr>
    <w:r>
      <w:rPr>
        <w:rFonts w:cs="Arial"/>
        <w:i/>
        <w:sz w:val="18"/>
        <w:szCs w:val="18"/>
      </w:rPr>
      <w:t>UNEP/CMS/COP14/Doc.27.5.1/</w:t>
    </w:r>
    <w:r w:rsidR="00EF093D">
      <w:rPr>
        <w:rFonts w:cs="Arial"/>
        <w:i/>
        <w:sz w:val="18"/>
        <w:szCs w:val="18"/>
      </w:rPr>
      <w:t>Rev.1/</w:t>
    </w:r>
    <w:r>
      <w:rPr>
        <w:rFonts w:cs="Arial"/>
        <w:i/>
        <w:sz w:val="18"/>
        <w:szCs w:val="18"/>
      </w:rPr>
      <w:t>Annex</w:t>
    </w:r>
    <w:r w:rsidR="00C62B01">
      <w:rPr>
        <w:rFonts w:cs="Arial"/>
        <w:i/>
        <w:sz w:val="18"/>
        <w:szCs w:val="18"/>
      </w:rPr>
      <w:t>e</w:t>
    </w:r>
    <w:r>
      <w:rPr>
        <w:rFonts w:cs="Arial"/>
        <w:i/>
        <w:sz w:val="18"/>
        <w:szCs w:val="18"/>
      </w:rPr>
      <w:t xml:space="preserve"> 2</w:t>
    </w:r>
  </w:p>
  <w:p w14:paraId="530BF28D" w14:textId="77777777" w:rsidR="006E5484" w:rsidRDefault="006E5484" w:rsidP="00FA0B65">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F4E" w14:textId="0F8DA5F2" w:rsidR="006E5484" w:rsidRDefault="00FB2FEF">
    <w:pPr>
      <w:pStyle w:val="Header"/>
      <w:pBdr>
        <w:bottom w:val="single" w:sz="4" w:space="1" w:color="000000"/>
      </w:pBdr>
      <w:jc w:val="right"/>
    </w:pPr>
    <w:r>
      <w:rPr>
        <w:rFonts w:cs="Arial"/>
        <w:i/>
        <w:sz w:val="18"/>
        <w:szCs w:val="18"/>
      </w:rPr>
      <w:t>UNEP/CMS/COP14/Doc.27.5.1</w:t>
    </w:r>
    <w:r w:rsidR="00EF093D">
      <w:rPr>
        <w:rFonts w:cs="Arial"/>
        <w:i/>
        <w:sz w:val="18"/>
        <w:szCs w:val="18"/>
      </w:rPr>
      <w:t>/Rev.1</w:t>
    </w:r>
    <w:r>
      <w:rPr>
        <w:rFonts w:cs="Arial"/>
        <w:i/>
        <w:sz w:val="18"/>
        <w:szCs w:val="18"/>
      </w:rPr>
      <w:t>/Annex</w:t>
    </w:r>
    <w:r w:rsidR="00FA0B65">
      <w:rPr>
        <w:rFonts w:cs="Arial"/>
        <w:i/>
        <w:sz w:val="18"/>
        <w:szCs w:val="18"/>
      </w:rPr>
      <w:t>e</w:t>
    </w:r>
    <w:r>
      <w:rPr>
        <w:rFonts w:cs="Arial"/>
        <w:i/>
        <w:sz w:val="18"/>
        <w:szCs w:val="18"/>
      </w:rPr>
      <w:t xml:space="preserve"> 2</w:t>
    </w:r>
  </w:p>
  <w:p w14:paraId="5AA094AC" w14:textId="77777777" w:rsidR="006E5484" w:rsidRDefault="006E548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6E0"/>
    <w:multiLevelType w:val="hybridMultilevel"/>
    <w:tmpl w:val="DBEEEDB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BF6266"/>
    <w:multiLevelType w:val="multilevel"/>
    <w:tmpl w:val="3A44B04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2E1C2A3D"/>
    <w:multiLevelType w:val="multilevel"/>
    <w:tmpl w:val="5E24EC02"/>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36342624"/>
    <w:multiLevelType w:val="multilevel"/>
    <w:tmpl w:val="D21860C2"/>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4"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5A42DFA"/>
    <w:multiLevelType w:val="multilevel"/>
    <w:tmpl w:val="2AC069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7510CA6"/>
    <w:multiLevelType w:val="multilevel"/>
    <w:tmpl w:val="DA1641E4"/>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9"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1" w15:restartNumberingAfterBreak="0">
    <w:nsid w:val="5D880466"/>
    <w:multiLevelType w:val="multilevel"/>
    <w:tmpl w:val="EB9A34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F5165BA"/>
    <w:multiLevelType w:val="multilevel"/>
    <w:tmpl w:val="C7D829D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53D1B82"/>
    <w:multiLevelType w:val="multilevel"/>
    <w:tmpl w:val="F36656E8"/>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9E13237"/>
    <w:multiLevelType w:val="multilevel"/>
    <w:tmpl w:val="2FECE6D4"/>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6C8B4E71"/>
    <w:multiLevelType w:val="multilevel"/>
    <w:tmpl w:val="2C981E72"/>
    <w:lvl w:ilvl="0">
      <w:start w:val="1"/>
      <w:numFmt w:val="bullet"/>
      <w:pStyle w:val="Bulletlist"/>
      <w:lvlText w:val="•"/>
      <w:lvlJc w:val="left"/>
      <w:pPr>
        <w:tabs>
          <w:tab w:val="num" w:pos="0"/>
        </w:tabs>
        <w:ind w:left="2276" w:hanging="1580"/>
      </w:pPr>
      <w:rPr>
        <w:rFonts w:ascii="Georgia" w:hAnsi="Georgia" w:cs="Georgia" w:hint="default"/>
        <w:b w:val="0"/>
        <w:i w:val="0"/>
        <w:sz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738D4488"/>
    <w:multiLevelType w:val="multilevel"/>
    <w:tmpl w:val="A1A24AD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748C6D48"/>
    <w:multiLevelType w:val="multilevel"/>
    <w:tmpl w:val="6CA8F746"/>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787743A8"/>
    <w:multiLevelType w:val="multilevel"/>
    <w:tmpl w:val="96F6D38E"/>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20" w15:restartNumberingAfterBreak="0">
    <w:nsid w:val="7B1C40F4"/>
    <w:multiLevelType w:val="multilevel"/>
    <w:tmpl w:val="3EA0E852"/>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21"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22" w15:restartNumberingAfterBreak="0">
    <w:nsid w:val="7D7C4D66"/>
    <w:multiLevelType w:val="multilevel"/>
    <w:tmpl w:val="E8C45B8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7DBB46C9"/>
    <w:multiLevelType w:val="multilevel"/>
    <w:tmpl w:val="7DE8AD8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43823148">
    <w:abstractNumId w:val="11"/>
  </w:num>
  <w:num w:numId="2" w16cid:durableId="578443486">
    <w:abstractNumId w:val="14"/>
  </w:num>
  <w:num w:numId="3" w16cid:durableId="1597906997">
    <w:abstractNumId w:val="2"/>
  </w:num>
  <w:num w:numId="4" w16cid:durableId="639775346">
    <w:abstractNumId w:val="20"/>
  </w:num>
  <w:num w:numId="5" w16cid:durableId="380252963">
    <w:abstractNumId w:val="8"/>
  </w:num>
  <w:num w:numId="6" w16cid:durableId="887910229">
    <w:abstractNumId w:val="22"/>
  </w:num>
  <w:num w:numId="7" w16cid:durableId="1779569450">
    <w:abstractNumId w:val="9"/>
  </w:num>
  <w:num w:numId="8" w16cid:durableId="965967556">
    <w:abstractNumId w:val="10"/>
  </w:num>
  <w:num w:numId="9" w16cid:durableId="2045249284">
    <w:abstractNumId w:val="24"/>
  </w:num>
  <w:num w:numId="10" w16cid:durableId="851407944">
    <w:abstractNumId w:val="5"/>
  </w:num>
  <w:num w:numId="11" w16cid:durableId="1704402567">
    <w:abstractNumId w:val="19"/>
  </w:num>
  <w:num w:numId="12" w16cid:durableId="2027098708">
    <w:abstractNumId w:val="3"/>
  </w:num>
  <w:num w:numId="13" w16cid:durableId="2105806177">
    <w:abstractNumId w:val="15"/>
  </w:num>
  <w:num w:numId="14" w16cid:durableId="1753699143">
    <w:abstractNumId w:val="1"/>
  </w:num>
  <w:num w:numId="15" w16cid:durableId="862862818">
    <w:abstractNumId w:val="16"/>
  </w:num>
  <w:num w:numId="16" w16cid:durableId="317000211">
    <w:abstractNumId w:val="18"/>
  </w:num>
  <w:num w:numId="17" w16cid:durableId="365522888">
    <w:abstractNumId w:val="13"/>
  </w:num>
  <w:num w:numId="18" w16cid:durableId="1030380506">
    <w:abstractNumId w:val="25"/>
  </w:num>
  <w:num w:numId="19" w16cid:durableId="905797043">
    <w:abstractNumId w:val="4"/>
  </w:num>
  <w:num w:numId="20" w16cid:durableId="349114196">
    <w:abstractNumId w:val="23"/>
  </w:num>
  <w:num w:numId="21" w16cid:durableId="1920211608">
    <w:abstractNumId w:val="12"/>
  </w:num>
  <w:num w:numId="22" w16cid:durableId="298267839">
    <w:abstractNumId w:val="7"/>
  </w:num>
  <w:num w:numId="23" w16cid:durableId="1477335527">
    <w:abstractNumId w:val="17"/>
  </w:num>
  <w:num w:numId="24" w16cid:durableId="1619021492">
    <w:abstractNumId w:val="21"/>
  </w:num>
  <w:num w:numId="25" w16cid:durableId="768040677">
    <w:abstractNumId w:val="6"/>
  </w:num>
  <w:num w:numId="26" w16cid:durableId="774791187">
    <w:abstractNumId w:val="22"/>
    <w:lvlOverride w:ilvl="0">
      <w:startOverride w:val="1"/>
    </w:lvlOverride>
  </w:num>
  <w:num w:numId="27" w16cid:durableId="1713579214">
    <w:abstractNumId w:val="9"/>
    <w:lvlOverride w:ilvl="0">
      <w:startOverride w:val="1"/>
    </w:lvlOverride>
  </w:num>
  <w:num w:numId="28" w16cid:durableId="2032564448">
    <w:abstractNumId w:val="10"/>
    <w:lvlOverride w:ilvl="0">
      <w:startOverride w:val="1"/>
    </w:lvlOverride>
  </w:num>
  <w:num w:numId="29" w16cid:durableId="44958784">
    <w:abstractNumId w:val="24"/>
    <w:lvlOverride w:ilvl="0">
      <w:startOverride w:val="1"/>
    </w:lvlOverride>
  </w:num>
  <w:num w:numId="30" w16cid:durableId="1902213396">
    <w:abstractNumId w:val="5"/>
    <w:lvlOverride w:ilvl="0">
      <w:startOverride w:val="1"/>
    </w:lvlOverride>
  </w:num>
  <w:num w:numId="31" w16cid:durableId="194511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autoHyphenation/>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84"/>
    <w:rsid w:val="00005091"/>
    <w:rsid w:val="0000734B"/>
    <w:rsid w:val="00016ADE"/>
    <w:rsid w:val="00017EE8"/>
    <w:rsid w:val="000223B2"/>
    <w:rsid w:val="00034DF9"/>
    <w:rsid w:val="00036331"/>
    <w:rsid w:val="0004141B"/>
    <w:rsid w:val="00061697"/>
    <w:rsid w:val="000647A2"/>
    <w:rsid w:val="00070E42"/>
    <w:rsid w:val="00073A23"/>
    <w:rsid w:val="00073B9A"/>
    <w:rsid w:val="00077EE5"/>
    <w:rsid w:val="00090E43"/>
    <w:rsid w:val="00094702"/>
    <w:rsid w:val="00097CCE"/>
    <w:rsid w:val="000A717D"/>
    <w:rsid w:val="000B0C4B"/>
    <w:rsid w:val="000B28EB"/>
    <w:rsid w:val="000B5FBC"/>
    <w:rsid w:val="000B633B"/>
    <w:rsid w:val="000C0932"/>
    <w:rsid w:val="000C0A3F"/>
    <w:rsid w:val="000D104E"/>
    <w:rsid w:val="000D3A3F"/>
    <w:rsid w:val="000D3F27"/>
    <w:rsid w:val="000D440D"/>
    <w:rsid w:val="000D7373"/>
    <w:rsid w:val="000D79D6"/>
    <w:rsid w:val="000D7EA5"/>
    <w:rsid w:val="000E279A"/>
    <w:rsid w:val="000E3196"/>
    <w:rsid w:val="000E7E55"/>
    <w:rsid w:val="000F2A1D"/>
    <w:rsid w:val="000F5E26"/>
    <w:rsid w:val="00110591"/>
    <w:rsid w:val="00114551"/>
    <w:rsid w:val="00115DC7"/>
    <w:rsid w:val="00122932"/>
    <w:rsid w:val="001276B8"/>
    <w:rsid w:val="001343F0"/>
    <w:rsid w:val="001344B9"/>
    <w:rsid w:val="00137228"/>
    <w:rsid w:val="00167959"/>
    <w:rsid w:val="00167D43"/>
    <w:rsid w:val="001716EA"/>
    <w:rsid w:val="001738D6"/>
    <w:rsid w:val="0018062B"/>
    <w:rsid w:val="0018405A"/>
    <w:rsid w:val="00190CE1"/>
    <w:rsid w:val="001940D3"/>
    <w:rsid w:val="00197509"/>
    <w:rsid w:val="001A5B0E"/>
    <w:rsid w:val="001D036E"/>
    <w:rsid w:val="001D3D7F"/>
    <w:rsid w:val="001D5A63"/>
    <w:rsid w:val="001E515A"/>
    <w:rsid w:val="001F7059"/>
    <w:rsid w:val="00204169"/>
    <w:rsid w:val="00204EE0"/>
    <w:rsid w:val="00205A2F"/>
    <w:rsid w:val="0020734A"/>
    <w:rsid w:val="0020786E"/>
    <w:rsid w:val="00207BE3"/>
    <w:rsid w:val="00217255"/>
    <w:rsid w:val="00220558"/>
    <w:rsid w:val="00224A20"/>
    <w:rsid w:val="0022780F"/>
    <w:rsid w:val="00227DFF"/>
    <w:rsid w:val="00233C03"/>
    <w:rsid w:val="00234B8C"/>
    <w:rsid w:val="00247740"/>
    <w:rsid w:val="002500DD"/>
    <w:rsid w:val="00250F80"/>
    <w:rsid w:val="00252DB0"/>
    <w:rsid w:val="00260C49"/>
    <w:rsid w:val="002620F5"/>
    <w:rsid w:val="00263026"/>
    <w:rsid w:val="0026682B"/>
    <w:rsid w:val="002849B0"/>
    <w:rsid w:val="002A2806"/>
    <w:rsid w:val="002A55BD"/>
    <w:rsid w:val="002B7A97"/>
    <w:rsid w:val="002D06C6"/>
    <w:rsid w:val="002D33D8"/>
    <w:rsid w:val="002D3F84"/>
    <w:rsid w:val="002D63D2"/>
    <w:rsid w:val="002D66DC"/>
    <w:rsid w:val="002E064D"/>
    <w:rsid w:val="002E16C0"/>
    <w:rsid w:val="002E48ED"/>
    <w:rsid w:val="002F36E5"/>
    <w:rsid w:val="0031296C"/>
    <w:rsid w:val="00320C57"/>
    <w:rsid w:val="0033056B"/>
    <w:rsid w:val="00332438"/>
    <w:rsid w:val="0033550E"/>
    <w:rsid w:val="0033563D"/>
    <w:rsid w:val="003402DD"/>
    <w:rsid w:val="00351CA0"/>
    <w:rsid w:val="00352831"/>
    <w:rsid w:val="00353F30"/>
    <w:rsid w:val="0037250A"/>
    <w:rsid w:val="0037538F"/>
    <w:rsid w:val="00375904"/>
    <w:rsid w:val="00376090"/>
    <w:rsid w:val="003802F8"/>
    <w:rsid w:val="003827FD"/>
    <w:rsid w:val="003851CA"/>
    <w:rsid w:val="00385647"/>
    <w:rsid w:val="00391D59"/>
    <w:rsid w:val="00393FB8"/>
    <w:rsid w:val="003A1E98"/>
    <w:rsid w:val="003A6931"/>
    <w:rsid w:val="003B3629"/>
    <w:rsid w:val="003B4BA1"/>
    <w:rsid w:val="003B51D8"/>
    <w:rsid w:val="003B5FBB"/>
    <w:rsid w:val="003D23CC"/>
    <w:rsid w:val="003D5E9A"/>
    <w:rsid w:val="003E293F"/>
    <w:rsid w:val="003E57CA"/>
    <w:rsid w:val="003E7BC3"/>
    <w:rsid w:val="003F13EC"/>
    <w:rsid w:val="003F23E4"/>
    <w:rsid w:val="00405AD8"/>
    <w:rsid w:val="004066AB"/>
    <w:rsid w:val="0040734D"/>
    <w:rsid w:val="00411355"/>
    <w:rsid w:val="00412712"/>
    <w:rsid w:val="00414BBB"/>
    <w:rsid w:val="00415BB7"/>
    <w:rsid w:val="004211A1"/>
    <w:rsid w:val="0043089A"/>
    <w:rsid w:val="00460EFE"/>
    <w:rsid w:val="00461ABD"/>
    <w:rsid w:val="00467EEF"/>
    <w:rsid w:val="00475C18"/>
    <w:rsid w:val="0047612F"/>
    <w:rsid w:val="0048059C"/>
    <w:rsid w:val="004810F6"/>
    <w:rsid w:val="00484F19"/>
    <w:rsid w:val="00486114"/>
    <w:rsid w:val="004871BD"/>
    <w:rsid w:val="00496E94"/>
    <w:rsid w:val="004A6475"/>
    <w:rsid w:val="004B50A4"/>
    <w:rsid w:val="004C0834"/>
    <w:rsid w:val="004C4A82"/>
    <w:rsid w:val="004C7495"/>
    <w:rsid w:val="004D350E"/>
    <w:rsid w:val="004D4603"/>
    <w:rsid w:val="004D4A5B"/>
    <w:rsid w:val="004E182D"/>
    <w:rsid w:val="004E6738"/>
    <w:rsid w:val="004F0B8C"/>
    <w:rsid w:val="004F0CEB"/>
    <w:rsid w:val="00503CD1"/>
    <w:rsid w:val="005041F7"/>
    <w:rsid w:val="005067EE"/>
    <w:rsid w:val="005130B1"/>
    <w:rsid w:val="005203F2"/>
    <w:rsid w:val="005217A3"/>
    <w:rsid w:val="00525F75"/>
    <w:rsid w:val="00531C80"/>
    <w:rsid w:val="005337FC"/>
    <w:rsid w:val="00537384"/>
    <w:rsid w:val="00540BAF"/>
    <w:rsid w:val="005420ED"/>
    <w:rsid w:val="00542780"/>
    <w:rsid w:val="00543A94"/>
    <w:rsid w:val="00553167"/>
    <w:rsid w:val="0055612B"/>
    <w:rsid w:val="00557E66"/>
    <w:rsid w:val="00571989"/>
    <w:rsid w:val="00573550"/>
    <w:rsid w:val="0057429E"/>
    <w:rsid w:val="00577FDA"/>
    <w:rsid w:val="00583D53"/>
    <w:rsid w:val="00585B05"/>
    <w:rsid w:val="00593732"/>
    <w:rsid w:val="005A3FD7"/>
    <w:rsid w:val="005A59E1"/>
    <w:rsid w:val="005B191D"/>
    <w:rsid w:val="005B41E2"/>
    <w:rsid w:val="005B5CC7"/>
    <w:rsid w:val="005B5E7F"/>
    <w:rsid w:val="005B7809"/>
    <w:rsid w:val="005C1127"/>
    <w:rsid w:val="005C48F0"/>
    <w:rsid w:val="005D124A"/>
    <w:rsid w:val="005D5FE3"/>
    <w:rsid w:val="005F11D1"/>
    <w:rsid w:val="005F3AF5"/>
    <w:rsid w:val="005F3C43"/>
    <w:rsid w:val="005F7FC5"/>
    <w:rsid w:val="00601056"/>
    <w:rsid w:val="0060261C"/>
    <w:rsid w:val="00603D29"/>
    <w:rsid w:val="00604943"/>
    <w:rsid w:val="00606129"/>
    <w:rsid w:val="00622353"/>
    <w:rsid w:val="006237CE"/>
    <w:rsid w:val="00626628"/>
    <w:rsid w:val="00633302"/>
    <w:rsid w:val="00643676"/>
    <w:rsid w:val="0065193C"/>
    <w:rsid w:val="00660B4B"/>
    <w:rsid w:val="00667A22"/>
    <w:rsid w:val="00674354"/>
    <w:rsid w:val="00682563"/>
    <w:rsid w:val="0068485A"/>
    <w:rsid w:val="00690C45"/>
    <w:rsid w:val="00690ECB"/>
    <w:rsid w:val="006A0596"/>
    <w:rsid w:val="006A0F55"/>
    <w:rsid w:val="006A153D"/>
    <w:rsid w:val="006B3433"/>
    <w:rsid w:val="006C5165"/>
    <w:rsid w:val="006D3585"/>
    <w:rsid w:val="006D59B8"/>
    <w:rsid w:val="006D7F26"/>
    <w:rsid w:val="006D7F2C"/>
    <w:rsid w:val="006E5484"/>
    <w:rsid w:val="006E7281"/>
    <w:rsid w:val="006F1E14"/>
    <w:rsid w:val="006F522E"/>
    <w:rsid w:val="006F7D7D"/>
    <w:rsid w:val="00700A77"/>
    <w:rsid w:val="00716361"/>
    <w:rsid w:val="00724891"/>
    <w:rsid w:val="007257CE"/>
    <w:rsid w:val="00750B32"/>
    <w:rsid w:val="00751D2F"/>
    <w:rsid w:val="00757111"/>
    <w:rsid w:val="00775372"/>
    <w:rsid w:val="0077624C"/>
    <w:rsid w:val="00776756"/>
    <w:rsid w:val="00783D40"/>
    <w:rsid w:val="007875F9"/>
    <w:rsid w:val="00797008"/>
    <w:rsid w:val="007B10A0"/>
    <w:rsid w:val="007C598F"/>
    <w:rsid w:val="007D4400"/>
    <w:rsid w:val="008151C5"/>
    <w:rsid w:val="00830E8F"/>
    <w:rsid w:val="00831DDF"/>
    <w:rsid w:val="0083757C"/>
    <w:rsid w:val="0085214F"/>
    <w:rsid w:val="00852DFD"/>
    <w:rsid w:val="00862DA1"/>
    <w:rsid w:val="008633CD"/>
    <w:rsid w:val="00866251"/>
    <w:rsid w:val="00872B47"/>
    <w:rsid w:val="00873683"/>
    <w:rsid w:val="00875BB0"/>
    <w:rsid w:val="008804EA"/>
    <w:rsid w:val="0088308E"/>
    <w:rsid w:val="00883899"/>
    <w:rsid w:val="00883DB8"/>
    <w:rsid w:val="00886B62"/>
    <w:rsid w:val="00887BC7"/>
    <w:rsid w:val="00887EDE"/>
    <w:rsid w:val="00890340"/>
    <w:rsid w:val="008A1AAB"/>
    <w:rsid w:val="008B201C"/>
    <w:rsid w:val="008B31BB"/>
    <w:rsid w:val="008B5C3C"/>
    <w:rsid w:val="008C37F8"/>
    <w:rsid w:val="008C5A36"/>
    <w:rsid w:val="008C7D0E"/>
    <w:rsid w:val="008D563A"/>
    <w:rsid w:val="008D7957"/>
    <w:rsid w:val="008E6447"/>
    <w:rsid w:val="008F354A"/>
    <w:rsid w:val="008F7B91"/>
    <w:rsid w:val="00900C40"/>
    <w:rsid w:val="00903653"/>
    <w:rsid w:val="0090725B"/>
    <w:rsid w:val="00924885"/>
    <w:rsid w:val="0092640D"/>
    <w:rsid w:val="00926A04"/>
    <w:rsid w:val="00941220"/>
    <w:rsid w:val="00941558"/>
    <w:rsid w:val="00941D5C"/>
    <w:rsid w:val="00954BF3"/>
    <w:rsid w:val="00961889"/>
    <w:rsid w:val="00962B8B"/>
    <w:rsid w:val="00973B8C"/>
    <w:rsid w:val="00983EA1"/>
    <w:rsid w:val="00986391"/>
    <w:rsid w:val="009A37B8"/>
    <w:rsid w:val="009B150B"/>
    <w:rsid w:val="009B62A8"/>
    <w:rsid w:val="009C58B4"/>
    <w:rsid w:val="009D4DBF"/>
    <w:rsid w:val="009D50E8"/>
    <w:rsid w:val="009D56B4"/>
    <w:rsid w:val="009D576B"/>
    <w:rsid w:val="009E01D1"/>
    <w:rsid w:val="009E78D2"/>
    <w:rsid w:val="009E7D9F"/>
    <w:rsid w:val="00A00D39"/>
    <w:rsid w:val="00A03D30"/>
    <w:rsid w:val="00A10530"/>
    <w:rsid w:val="00A2247C"/>
    <w:rsid w:val="00A44B6F"/>
    <w:rsid w:val="00A55213"/>
    <w:rsid w:val="00A774E4"/>
    <w:rsid w:val="00A8705B"/>
    <w:rsid w:val="00A87207"/>
    <w:rsid w:val="00A91B3E"/>
    <w:rsid w:val="00AA5C80"/>
    <w:rsid w:val="00AA704C"/>
    <w:rsid w:val="00AB033A"/>
    <w:rsid w:val="00AB0FF2"/>
    <w:rsid w:val="00AC0841"/>
    <w:rsid w:val="00AC7BAE"/>
    <w:rsid w:val="00AD0285"/>
    <w:rsid w:val="00AE3E19"/>
    <w:rsid w:val="00AF1C46"/>
    <w:rsid w:val="00AF2C0E"/>
    <w:rsid w:val="00AF316D"/>
    <w:rsid w:val="00AF3CAF"/>
    <w:rsid w:val="00AF59D8"/>
    <w:rsid w:val="00B06C0D"/>
    <w:rsid w:val="00B11C8F"/>
    <w:rsid w:val="00B12F0E"/>
    <w:rsid w:val="00B179B3"/>
    <w:rsid w:val="00B20593"/>
    <w:rsid w:val="00B24013"/>
    <w:rsid w:val="00B341FB"/>
    <w:rsid w:val="00B52155"/>
    <w:rsid w:val="00B61A23"/>
    <w:rsid w:val="00B91F1F"/>
    <w:rsid w:val="00B929B6"/>
    <w:rsid w:val="00B93B23"/>
    <w:rsid w:val="00BB0440"/>
    <w:rsid w:val="00BB071A"/>
    <w:rsid w:val="00BC0DE7"/>
    <w:rsid w:val="00BC2CFA"/>
    <w:rsid w:val="00BC4963"/>
    <w:rsid w:val="00BC5321"/>
    <w:rsid w:val="00BC7A4D"/>
    <w:rsid w:val="00BD4053"/>
    <w:rsid w:val="00BF7EDC"/>
    <w:rsid w:val="00C00712"/>
    <w:rsid w:val="00C03B12"/>
    <w:rsid w:val="00C05392"/>
    <w:rsid w:val="00C063C4"/>
    <w:rsid w:val="00C10D12"/>
    <w:rsid w:val="00C15071"/>
    <w:rsid w:val="00C15950"/>
    <w:rsid w:val="00C328B4"/>
    <w:rsid w:val="00C473DE"/>
    <w:rsid w:val="00C62AF3"/>
    <w:rsid w:val="00C62B01"/>
    <w:rsid w:val="00C63E6E"/>
    <w:rsid w:val="00C642A9"/>
    <w:rsid w:val="00C80114"/>
    <w:rsid w:val="00C80E52"/>
    <w:rsid w:val="00C9261E"/>
    <w:rsid w:val="00C94759"/>
    <w:rsid w:val="00C94CCF"/>
    <w:rsid w:val="00CB04E8"/>
    <w:rsid w:val="00CB06FF"/>
    <w:rsid w:val="00CB4279"/>
    <w:rsid w:val="00CC4114"/>
    <w:rsid w:val="00CC51F5"/>
    <w:rsid w:val="00CD3CAD"/>
    <w:rsid w:val="00CD642C"/>
    <w:rsid w:val="00CE0054"/>
    <w:rsid w:val="00D023CE"/>
    <w:rsid w:val="00D05853"/>
    <w:rsid w:val="00D05EEB"/>
    <w:rsid w:val="00D0675D"/>
    <w:rsid w:val="00D30FA6"/>
    <w:rsid w:val="00D310CA"/>
    <w:rsid w:val="00D34AB3"/>
    <w:rsid w:val="00D36209"/>
    <w:rsid w:val="00D40585"/>
    <w:rsid w:val="00D50EFD"/>
    <w:rsid w:val="00D55B57"/>
    <w:rsid w:val="00D63181"/>
    <w:rsid w:val="00D703E7"/>
    <w:rsid w:val="00D746BB"/>
    <w:rsid w:val="00D84ABC"/>
    <w:rsid w:val="00D96008"/>
    <w:rsid w:val="00DB54ED"/>
    <w:rsid w:val="00DB55CE"/>
    <w:rsid w:val="00DC3FE3"/>
    <w:rsid w:val="00DC5D8F"/>
    <w:rsid w:val="00DC6709"/>
    <w:rsid w:val="00DD053F"/>
    <w:rsid w:val="00DD7926"/>
    <w:rsid w:val="00DE50AE"/>
    <w:rsid w:val="00DF6AFE"/>
    <w:rsid w:val="00DF7232"/>
    <w:rsid w:val="00DF793A"/>
    <w:rsid w:val="00E01FB3"/>
    <w:rsid w:val="00E0473E"/>
    <w:rsid w:val="00E07195"/>
    <w:rsid w:val="00E10D11"/>
    <w:rsid w:val="00E12FBC"/>
    <w:rsid w:val="00E14618"/>
    <w:rsid w:val="00E151F7"/>
    <w:rsid w:val="00E160CE"/>
    <w:rsid w:val="00E174CD"/>
    <w:rsid w:val="00E17F5B"/>
    <w:rsid w:val="00E260B4"/>
    <w:rsid w:val="00E30BFA"/>
    <w:rsid w:val="00E3413E"/>
    <w:rsid w:val="00E36FC0"/>
    <w:rsid w:val="00E4190C"/>
    <w:rsid w:val="00E50B80"/>
    <w:rsid w:val="00E563F9"/>
    <w:rsid w:val="00E61AEB"/>
    <w:rsid w:val="00E64A66"/>
    <w:rsid w:val="00E70F0D"/>
    <w:rsid w:val="00E776D7"/>
    <w:rsid w:val="00E8572A"/>
    <w:rsid w:val="00E959EA"/>
    <w:rsid w:val="00E9638C"/>
    <w:rsid w:val="00E97E9F"/>
    <w:rsid w:val="00EB3D7A"/>
    <w:rsid w:val="00EB3FE3"/>
    <w:rsid w:val="00EB5BAA"/>
    <w:rsid w:val="00EC5950"/>
    <w:rsid w:val="00EC722A"/>
    <w:rsid w:val="00EE01EE"/>
    <w:rsid w:val="00EE0D0D"/>
    <w:rsid w:val="00EE18A6"/>
    <w:rsid w:val="00EE21F1"/>
    <w:rsid w:val="00EF093D"/>
    <w:rsid w:val="00F04B52"/>
    <w:rsid w:val="00F052DF"/>
    <w:rsid w:val="00F10D4B"/>
    <w:rsid w:val="00F14A3B"/>
    <w:rsid w:val="00F20D60"/>
    <w:rsid w:val="00F24908"/>
    <w:rsid w:val="00F2549A"/>
    <w:rsid w:val="00F25F82"/>
    <w:rsid w:val="00F324B6"/>
    <w:rsid w:val="00F33E99"/>
    <w:rsid w:val="00F366AF"/>
    <w:rsid w:val="00F52D88"/>
    <w:rsid w:val="00F56EB4"/>
    <w:rsid w:val="00F579B4"/>
    <w:rsid w:val="00F64DC8"/>
    <w:rsid w:val="00F676C6"/>
    <w:rsid w:val="00F6797C"/>
    <w:rsid w:val="00F70CC7"/>
    <w:rsid w:val="00F71F03"/>
    <w:rsid w:val="00FA0B65"/>
    <w:rsid w:val="00FA3115"/>
    <w:rsid w:val="00FB03FF"/>
    <w:rsid w:val="00FB2FEF"/>
    <w:rsid w:val="00FB45FA"/>
    <w:rsid w:val="00FC424E"/>
    <w:rsid w:val="00FC44BE"/>
    <w:rsid w:val="00FE12B9"/>
    <w:rsid w:val="00FE275C"/>
    <w:rsid w:val="00FE63B9"/>
    <w:rsid w:val="00FF2C63"/>
    <w:rsid w:val="00FF3164"/>
    <w:rsid w:val="00FF579D"/>
    <w:rsid w:val="053E3F71"/>
    <w:rsid w:val="0E170733"/>
    <w:rsid w:val="15E24C2D"/>
    <w:rsid w:val="2C8D59EA"/>
    <w:rsid w:val="325F9F85"/>
    <w:rsid w:val="343D74AC"/>
    <w:rsid w:val="36629B73"/>
    <w:rsid w:val="3779877A"/>
    <w:rsid w:val="4B0C9646"/>
    <w:rsid w:val="4BB126CB"/>
    <w:rsid w:val="628AE88B"/>
    <w:rsid w:val="68DB4036"/>
    <w:rsid w:val="6E055E8D"/>
    <w:rsid w:val="7149C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E25C"/>
  <w15:docId w15:val="{0FAD6415-C5BD-45FD-B4B0-25476631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F902C8"/>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style>
  <w:style w:type="character" w:customStyle="1" w:styleId="FirstnumberingChar">
    <w:name w:val="First numbering Char"/>
    <w:basedOn w:val="ListParagraphChar"/>
    <w:link w:val="Firstnumbering"/>
    <w:qFormat/>
    <w:rsid w:val="008C3546"/>
  </w:style>
  <w:style w:type="character" w:customStyle="1" w:styleId="SecondnumberingChar">
    <w:name w:val="Second numbering Char"/>
    <w:basedOn w:val="FirstnumberingChar"/>
    <w:link w:val="Secondnumbering"/>
    <w:qFormat/>
    <w:rsid w:val="00360838"/>
  </w:style>
  <w:style w:type="character" w:customStyle="1" w:styleId="ThirdnumberingiChar">
    <w:name w:val="Third numbering i) Char"/>
    <w:basedOn w:val="SecondnumberingChar"/>
    <w:link w:val="Thirdnumberingi"/>
    <w:qFormat/>
    <w:rsid w:val="00360838"/>
  </w:style>
  <w:style w:type="character" w:customStyle="1" w:styleId="FourthnumberingAChar">
    <w:name w:val="Fourth numbering A. Char"/>
    <w:basedOn w:val="ThirdnumberingiChar"/>
    <w:link w:val="FourthnumberingA"/>
    <w:qFormat/>
    <w:rsid w:val="00360838"/>
  </w:style>
  <w:style w:type="character" w:customStyle="1" w:styleId="TITLEChar">
    <w:name w:val="TITLE Char"/>
    <w:basedOn w:val="DefaultParagraphFont"/>
    <w:link w:val="Title1"/>
    <w:qFormat/>
    <w:rsid w:val="004B7071"/>
    <w:rPr>
      <w:rFonts w:eastAsia="Times New Roman" w:cs="Arial"/>
      <w:b/>
      <w:caps/>
    </w:rPr>
  </w:style>
  <w:style w:type="character" w:styleId="Hyperlink">
    <w:name w:val="Hyperlink"/>
    <w:basedOn w:val="DefaultParagraphFont"/>
    <w:uiPriority w:val="99"/>
    <w:unhideWhenUsed/>
    <w:rsid w:val="00386A37"/>
    <w:rPr>
      <w:color w:val="0563C1" w:themeColor="hyperlink"/>
      <w:u w:val="single"/>
    </w:rPr>
  </w:style>
  <w:style w:type="character" w:styleId="UnresolvedMention">
    <w:name w:val="Unresolved Mention"/>
    <w:basedOn w:val="DefaultParagraphFont"/>
    <w:uiPriority w:val="99"/>
    <w:unhideWhenUsed/>
    <w:qFormat/>
    <w:rsid w:val="00386A37"/>
    <w:rPr>
      <w:color w:val="605E5C"/>
      <w:shd w:val="clear" w:color="auto" w:fill="E1DFDD"/>
    </w:rPr>
  </w:style>
  <w:style w:type="character" w:styleId="CommentReference">
    <w:name w:val="annotation reference"/>
    <w:basedOn w:val="DefaultParagraphFont"/>
    <w:uiPriority w:val="99"/>
    <w:semiHidden/>
    <w:unhideWhenUsed/>
    <w:qFormat/>
    <w:rsid w:val="000E0AD7"/>
    <w:rPr>
      <w:sz w:val="16"/>
      <w:szCs w:val="16"/>
    </w:rPr>
  </w:style>
  <w:style w:type="character" w:customStyle="1" w:styleId="CommentTextChar">
    <w:name w:val="Comment Text Char"/>
    <w:basedOn w:val="DefaultParagraphFont"/>
    <w:link w:val="CommentText"/>
    <w:uiPriority w:val="99"/>
    <w:qFormat/>
    <w:rsid w:val="000E0AD7"/>
    <w:rPr>
      <w:sz w:val="20"/>
      <w:szCs w:val="20"/>
    </w:rPr>
  </w:style>
  <w:style w:type="character" w:customStyle="1" w:styleId="CommentSubjectChar">
    <w:name w:val="Comment Subject Char"/>
    <w:basedOn w:val="CommentTextChar"/>
    <w:link w:val="CommentSubject"/>
    <w:uiPriority w:val="99"/>
    <w:semiHidden/>
    <w:qFormat/>
    <w:rsid w:val="000E0AD7"/>
    <w:rPr>
      <w:b/>
      <w:bCs/>
      <w:sz w:val="20"/>
      <w:szCs w:val="20"/>
    </w:rPr>
  </w:style>
  <w:style w:type="character" w:styleId="Mention">
    <w:name w:val="Mention"/>
    <w:basedOn w:val="DefaultParagraphFont"/>
    <w:uiPriority w:val="99"/>
    <w:unhideWhenUsed/>
    <w:qFormat/>
    <w:rsid w:val="000E0AD7"/>
    <w:rPr>
      <w:color w:val="2B579A"/>
      <w:shd w:val="clear" w:color="auto" w:fill="E1DFDD"/>
    </w:rPr>
  </w:style>
  <w:style w:type="character" w:styleId="Emphasis">
    <w:name w:val="Emphasis"/>
    <w:qFormat/>
    <w:rsid w:val="007B52B7"/>
    <w:rPr>
      <w:i/>
      <w:iCs/>
    </w:rPr>
  </w:style>
  <w:style w:type="character" w:customStyle="1" w:styleId="Heading3Char">
    <w:name w:val="Heading 3 Char"/>
    <w:basedOn w:val="DefaultParagraphFont"/>
    <w:link w:val="Heading3"/>
    <w:uiPriority w:val="9"/>
    <w:qFormat/>
    <w:rsid w:val="00F902C8"/>
    <w:rPr>
      <w:rFonts w:ascii="Times New Roman" w:eastAsia="Times New Roman" w:hAnsi="Times New Roman" w:cs="Times New Roman"/>
      <w:b/>
      <w:bCs/>
      <w:sz w:val="27"/>
      <w:szCs w:val="27"/>
    </w:rPr>
  </w:style>
  <w:style w:type="character" w:styleId="Strong">
    <w:name w:val="Strong"/>
    <w:basedOn w:val="DefaultParagraphFont"/>
    <w:uiPriority w:val="22"/>
    <w:qFormat/>
    <w:rsid w:val="00F902C8"/>
    <w:rPr>
      <w:b/>
      <w:bCs/>
    </w:rPr>
  </w:style>
  <w:style w:type="character" w:customStyle="1" w:styleId="field-content">
    <w:name w:val="field-content"/>
    <w:basedOn w:val="DefaultParagraphFont"/>
    <w:qFormat/>
    <w:rsid w:val="00F902C8"/>
  </w:style>
  <w:style w:type="character" w:customStyle="1" w:styleId="FootnoteTextChar">
    <w:name w:val="Footnote Text Char"/>
    <w:basedOn w:val="DefaultParagraphFont"/>
    <w:link w:val="FootnoteText"/>
    <w:uiPriority w:val="99"/>
    <w:semiHidden/>
    <w:qFormat/>
    <w:rsid w:val="00CA0103"/>
    <w:rPr>
      <w:sz w:val="20"/>
      <w:szCs w:val="20"/>
    </w:rPr>
  </w:style>
  <w:style w:type="character" w:customStyle="1" w:styleId="FootnoteCharacters">
    <w:name w:val="Footnote Characters"/>
    <w:basedOn w:val="DefaultParagraphFont"/>
    <w:uiPriority w:val="99"/>
    <w:semiHidden/>
    <w:unhideWhenUsed/>
    <w:qFormat/>
    <w:rsid w:val="00CA0103"/>
    <w:rPr>
      <w:vertAlign w:val="superscript"/>
    </w:rPr>
  </w:style>
  <w:style w:type="character" w:styleId="FootnoteReference">
    <w:name w:val="footnote reference"/>
    <w:rPr>
      <w:vertAlign w:val="superscript"/>
    </w:rPr>
  </w:style>
  <w:style w:type="character" w:styleId="LineNumber">
    <w:name w:val="line numbe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6EE1"/>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paragraph" w:customStyle="1" w:styleId="Thirdnumberingi">
    <w:name w:val="Third numbering i)"/>
    <w:basedOn w:val="Secondnumbering"/>
    <w:link w:val="ThirdnumberingiChar"/>
    <w:qFormat/>
    <w:rsid w:val="00360838"/>
    <w:pPr>
      <w:numPr>
        <w:numId w:val="4"/>
      </w:numPr>
      <w:ind w:left="1701" w:hanging="283"/>
    </w:pPr>
  </w:style>
  <w:style w:type="paragraph" w:customStyle="1" w:styleId="FourthnumberingA">
    <w:name w:val="Fourth numbering A."/>
    <w:basedOn w:val="Thirdnumberingi"/>
    <w:link w:val="FourthnumberingAChar"/>
    <w:qFormat/>
    <w:rsid w:val="00360838"/>
    <w:pPr>
      <w:numPr>
        <w:numId w:val="5"/>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pacing w:after="0" w:line="240" w:lineRule="auto"/>
      <w:jc w:val="center"/>
      <w:textAlignment w:val="baseline"/>
      <w:outlineLvl w:val="1"/>
    </w:pPr>
    <w:rPr>
      <w:rFonts w:eastAsia="Times New Roman" w:cs="Arial"/>
      <w:b/>
      <w:caps/>
    </w:rPr>
  </w:style>
  <w:style w:type="paragraph" w:styleId="Revision">
    <w:name w:val="Revision"/>
    <w:uiPriority w:val="99"/>
    <w:semiHidden/>
    <w:qFormat/>
    <w:rsid w:val="00BE0EA7"/>
  </w:style>
  <w:style w:type="paragraph" w:styleId="CommentText">
    <w:name w:val="annotation text"/>
    <w:basedOn w:val="Normal"/>
    <w:link w:val="CommentTextChar"/>
    <w:uiPriority w:val="99"/>
    <w:unhideWhenUsed/>
    <w:qFormat/>
    <w:rsid w:val="000E0AD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E0AD7"/>
    <w:rPr>
      <w:b/>
      <w:bCs/>
    </w:rPr>
  </w:style>
  <w:style w:type="paragraph" w:customStyle="1" w:styleId="Bulletlist">
    <w:name w:val="Bullet list"/>
    <w:basedOn w:val="Normal"/>
    <w:qFormat/>
    <w:rsid w:val="00B41BC2"/>
    <w:pPr>
      <w:widowControl w:val="0"/>
      <w:numPr>
        <w:numId w:val="15"/>
      </w:numPr>
      <w:spacing w:after="0" w:line="240" w:lineRule="auto"/>
      <w:ind w:left="964" w:hanging="567"/>
    </w:pPr>
    <w:rPr>
      <w:rFonts w:ascii="Georgia" w:eastAsia="Segoe UI" w:hAnsi="Georgia" w:cs="Georgia"/>
      <w:szCs w:val="20"/>
    </w:rPr>
  </w:style>
  <w:style w:type="paragraph" w:styleId="NormalWeb">
    <w:name w:val="Normal (Web)"/>
    <w:basedOn w:val="Normal"/>
    <w:uiPriority w:val="99"/>
    <w:semiHidden/>
    <w:unhideWhenUsed/>
    <w:qFormat/>
    <w:rsid w:val="00F902C8"/>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0F0CA7"/>
    <w:rPr>
      <w:rFonts w:ascii="Lato" w:eastAsia="Calibri" w:hAnsi="Lato" w:cs="Lato"/>
      <w:color w:val="000000"/>
      <w:sz w:val="24"/>
      <w:szCs w:val="24"/>
    </w:rPr>
  </w:style>
  <w:style w:type="paragraph" w:styleId="FootnoteText">
    <w:name w:val="footnote text"/>
    <w:basedOn w:val="Normal"/>
    <w:link w:val="FootnoteTextChar"/>
    <w:uiPriority w:val="99"/>
    <w:semiHidden/>
    <w:unhideWhenUsed/>
    <w:rsid w:val="00CA0103"/>
    <w:pPr>
      <w:spacing w:after="0" w:line="240" w:lineRule="auto"/>
    </w:pPr>
    <w:rPr>
      <w:sz w:val="20"/>
      <w:szCs w:val="20"/>
    </w:rPr>
  </w:style>
  <w:style w:type="paragraph" w:customStyle="1" w:styleId="FrameContents">
    <w:name w:val="Frame Contents"/>
    <w:basedOn w:val="Normal"/>
    <w:qFormat/>
  </w:style>
  <w:style w:type="paragraph" w:customStyle="1" w:styleId="HeaderLeft">
    <w:name w:val="Header Left"/>
    <w:basedOn w:val="Header"/>
    <w:qFormat/>
  </w:style>
  <w:style w:type="table" w:styleId="TableGrid">
    <w:name w:val="Table Grid"/>
    <w:basedOn w:val="TableNormal"/>
    <w:uiPriority w:val="39"/>
    <w:rsid w:val="0099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1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ms.int/fr/node/24229" TargetMode="External"/><Relationship Id="rId18" Type="http://schemas.openxmlformats.org/officeDocument/2006/relationships/hyperlink" Target="https://www.cms.int/fr/node/24239" TargetMode="External"/><Relationship Id="rId26" Type="http://schemas.openxmlformats.org/officeDocument/2006/relationships/hyperlink" Target="https://www.cms.int/fr/node/24229" TargetMode="External"/><Relationship Id="rId39" Type="http://schemas.openxmlformats.org/officeDocument/2006/relationships/footer" Target="footer3.xml"/><Relationship Id="rId21" Type="http://schemas.openxmlformats.org/officeDocument/2006/relationships/hyperlink" Target="https://archive.iwc.int/pages/view.php?search=&amp;k=bf6b849977&amp;modal=&amp;display=list&amp;order_by=resourceid&amp;offset=8336&amp;per_page=240&amp;archive=0&amp;sort=ASC&amp;restypes=&amp;recentdaylimit=&amp;foredit=&amp;noreload=true&amp;access=&amp;ref=19617" TargetMode="External"/><Relationship Id="rId34" Type="http://schemas.openxmlformats.org/officeDocument/2006/relationships/header" Target="header2.xm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oter" Target="footer10.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fr/node/24200" TargetMode="External"/><Relationship Id="rId29" Type="http://schemas.openxmlformats.org/officeDocument/2006/relationships/hyperlink" Target="https://www.cms.int/fr/node/24231" TargetMode="External"/><Relationship Id="rId11" Type="http://schemas.openxmlformats.org/officeDocument/2006/relationships/image" Target="media/image1.wmf"/><Relationship Id="rId24" Type="http://schemas.openxmlformats.org/officeDocument/2006/relationships/hyperlink" Target="https://www.cms.int/fr/node/24321" TargetMode="External"/><Relationship Id="rId32" Type="http://schemas.openxmlformats.org/officeDocument/2006/relationships/hyperlink" Target="https://www.cms.int/fr/node/24321" TargetMode="External"/><Relationship Id="rId37" Type="http://schemas.openxmlformats.org/officeDocument/2006/relationships/footer" Target="footer2.xml"/><Relationship Id="rId40" Type="http://schemas.openxmlformats.org/officeDocument/2006/relationships/hyperlink" Target="https://www.cms.int/fr/node/24321" TargetMode="External"/><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footer" Target="footer12.xml"/><Relationship Id="rId5" Type="http://schemas.openxmlformats.org/officeDocument/2006/relationships/numbering" Target="numbering.xml"/><Relationship Id="rId19" Type="http://schemas.openxmlformats.org/officeDocument/2006/relationships/hyperlink" Target="https://www.cms.int/fr/node/2423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fr/node/24276" TargetMode="External"/><Relationship Id="rId22" Type="http://schemas.openxmlformats.org/officeDocument/2006/relationships/hyperlink" Target="https://www.cms.int/fr/node/24321" TargetMode="External"/><Relationship Id="rId27" Type="http://schemas.openxmlformats.org/officeDocument/2006/relationships/hyperlink" Target="https://www.cms.int/fr/node/24230" TargetMode="External"/><Relationship Id="rId30" Type="http://schemas.openxmlformats.org/officeDocument/2006/relationships/hyperlink" Target="https://www.cms.int/fr/node/24321" TargetMode="External"/><Relationship Id="rId35" Type="http://schemas.openxmlformats.org/officeDocument/2006/relationships/header" Target="header3.xml"/><Relationship Id="rId43" Type="http://schemas.openxmlformats.org/officeDocument/2006/relationships/footer" Target="footer4.xml"/><Relationship Id="rId48" Type="http://schemas.openxmlformats.org/officeDocument/2006/relationships/header" Target="header9.xml"/><Relationship Id="rId56"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document/capture-de-c%C3%A9tac%C3%A9s-vivants-dans-leur-milieu-naturel-%C3%A0-des-fins-commerciales" TargetMode="External"/><Relationship Id="rId25" Type="http://schemas.openxmlformats.org/officeDocument/2006/relationships/hyperlink" Target="https://www.cms.int/fr/node/24322" TargetMode="External"/><Relationship Id="rId33" Type="http://schemas.openxmlformats.org/officeDocument/2006/relationships/hyperlink" Target="https://www.cms.int/fr/node/24322" TargetMode="External"/><Relationship Id="rId38" Type="http://schemas.openxmlformats.org/officeDocument/2006/relationships/header" Target="header4.xml"/><Relationship Id="rId46" Type="http://schemas.openxmlformats.org/officeDocument/2006/relationships/footer" Target="footer6.xml"/><Relationship Id="rId59" Type="http://schemas.openxmlformats.org/officeDocument/2006/relationships/fontTable" Target="fontTable.xml"/><Relationship Id="rId20" Type="http://schemas.openxmlformats.org/officeDocument/2006/relationships/hyperlink" Target="https://archive.iwc.int/pages/view.php?ref=19252&amp;k=" TargetMode="External"/><Relationship Id="rId41" Type="http://schemas.openxmlformats.org/officeDocument/2006/relationships/header" Target="header5.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int/fr/node/24232" TargetMode="External"/><Relationship Id="rId23" Type="http://schemas.openxmlformats.org/officeDocument/2006/relationships/hyperlink" Target="https://www.cms.int/fr/node/24321" TargetMode="External"/><Relationship Id="rId28" Type="http://schemas.openxmlformats.org/officeDocument/2006/relationships/hyperlink" Target="https://www.cms.int/fr/node/24232" TargetMode="External"/><Relationship Id="rId36" Type="http://schemas.openxmlformats.org/officeDocument/2006/relationships/footer" Target="footer1.xml"/><Relationship Id="rId49" Type="http://schemas.openxmlformats.org/officeDocument/2006/relationships/footer" Target="footer7.xml"/><Relationship Id="rId57" Type="http://schemas.openxmlformats.org/officeDocument/2006/relationships/header" Target="header13.xml"/><Relationship Id="rId10" Type="http://schemas.openxmlformats.org/officeDocument/2006/relationships/endnotes" Target="endnotes.xml"/><Relationship Id="rId31" Type="http://schemas.openxmlformats.org/officeDocument/2006/relationships/hyperlink" Target="https://www.cms.int/fr/node/24321" TargetMode="Externa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chive.iwc.int/pages/view.php?ref=19252&amp;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Heidrun Frisch-Nwakanma</DisplayName>
        <AccountId>28</AccountId>
        <AccountType/>
      </UserInfo>
      <UserInfo>
        <DisplayName>Melanie Virtue</DisplayName>
        <AccountId>24</AccountId>
        <AccountType/>
      </UserInfo>
      <UserInfo>
        <DisplayName>Aydin Bahramlouian</DisplayName>
        <AccountId>29</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3B6D382-EA39-4CCD-B449-9536811A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68C51-6D13-42C1-955A-4357D1D2C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7453</Words>
  <Characters>42487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49841</CharactersWithSpaces>
  <SharedDoc>false</SharedDoc>
  <HLinks>
    <vt:vector size="156" baseType="variant">
      <vt:variant>
        <vt:i4>2555952</vt:i4>
      </vt:variant>
      <vt:variant>
        <vt:i4>63</vt:i4>
      </vt:variant>
      <vt:variant>
        <vt:i4>0</vt:i4>
      </vt:variant>
      <vt:variant>
        <vt:i4>5</vt:i4>
      </vt:variant>
      <vt:variant>
        <vt:lpwstr>https://www.cms.int/en/document/review-support-development-second-cms-cetacean-programme-work-2024-2035</vt:lpwstr>
      </vt:variant>
      <vt:variant>
        <vt:lpwstr/>
      </vt:variant>
      <vt:variant>
        <vt:i4>6488163</vt:i4>
      </vt:variant>
      <vt:variant>
        <vt:i4>60</vt:i4>
      </vt:variant>
      <vt:variant>
        <vt:i4>0</vt:i4>
      </vt:variant>
      <vt:variant>
        <vt:i4>5</vt:i4>
      </vt:variant>
      <vt:variant>
        <vt:lpwstr>https://www.cms.int/en/document/compilation-recommendations-could-be-directed-scientific-council-cop14-and-future-cops</vt:lpwstr>
      </vt:variant>
      <vt:variant>
        <vt:lpwstr/>
      </vt:variant>
      <vt:variant>
        <vt:i4>2555952</vt:i4>
      </vt:variant>
      <vt:variant>
        <vt:i4>57</vt:i4>
      </vt:variant>
      <vt:variant>
        <vt:i4>0</vt:i4>
      </vt:variant>
      <vt:variant>
        <vt:i4>5</vt:i4>
      </vt:variant>
      <vt:variant>
        <vt:lpwstr>https://www.cms.int/en/document/review-support-development-second-cms-cetacean-programme-work-2024-2035</vt:lpwstr>
      </vt:variant>
      <vt:variant>
        <vt:lpwstr/>
      </vt:variant>
      <vt:variant>
        <vt:i4>2555952</vt:i4>
      </vt:variant>
      <vt:variant>
        <vt:i4>54</vt:i4>
      </vt:variant>
      <vt:variant>
        <vt:i4>0</vt:i4>
      </vt:variant>
      <vt:variant>
        <vt:i4>5</vt:i4>
      </vt:variant>
      <vt:variant>
        <vt:lpwstr>https://www.cms.int/en/document/review-support-development-second-cms-cetacean-programme-work-2024-2035</vt:lpwstr>
      </vt:variant>
      <vt:variant>
        <vt:lpwstr/>
      </vt:variant>
      <vt:variant>
        <vt:i4>2555952</vt:i4>
      </vt:variant>
      <vt:variant>
        <vt:i4>51</vt:i4>
      </vt:variant>
      <vt:variant>
        <vt:i4>0</vt:i4>
      </vt:variant>
      <vt:variant>
        <vt:i4>5</vt:i4>
      </vt:variant>
      <vt:variant>
        <vt:lpwstr>https://www.cms.int/en/document/review-support-development-second-cms-cetacean-programme-work-2024-2035</vt:lpwstr>
      </vt:variant>
      <vt:variant>
        <vt:lpwstr/>
      </vt:variant>
      <vt:variant>
        <vt:i4>6619240</vt:i4>
      </vt:variant>
      <vt:variant>
        <vt:i4>48</vt:i4>
      </vt:variant>
      <vt:variant>
        <vt:i4>0</vt:i4>
      </vt:variant>
      <vt:variant>
        <vt:i4>5</vt:i4>
      </vt:variant>
      <vt:variant>
        <vt:lpwstr>https://www.cms.int/en/document/deep-sea-mining</vt:lpwstr>
      </vt:variant>
      <vt:variant>
        <vt:lpwstr/>
      </vt:variant>
      <vt:variant>
        <vt:i4>6815863</vt:i4>
      </vt:variant>
      <vt:variant>
        <vt:i4>45</vt:i4>
      </vt:variant>
      <vt:variant>
        <vt:i4>0</vt:i4>
      </vt:variant>
      <vt:variant>
        <vt:i4>5</vt:i4>
      </vt:variant>
      <vt:variant>
        <vt:lpwstr>https://www.cms.int/en/document/recreational-water-interactions</vt:lpwstr>
      </vt:variant>
      <vt:variant>
        <vt:lpwstr/>
      </vt:variant>
      <vt:variant>
        <vt:i4>7077945</vt:i4>
      </vt:variant>
      <vt:variant>
        <vt:i4>42</vt:i4>
      </vt:variant>
      <vt:variant>
        <vt:i4>0</vt:i4>
      </vt:variant>
      <vt:variant>
        <vt:i4>5</vt:i4>
      </vt:variant>
      <vt:variant>
        <vt:lpwstr>https://www.cms.int/en/document/vessel-strikes</vt:lpwstr>
      </vt:variant>
      <vt:variant>
        <vt:lpwstr/>
      </vt:variant>
      <vt:variant>
        <vt:i4>3342433</vt:i4>
      </vt:variant>
      <vt:variant>
        <vt:i4>39</vt:i4>
      </vt:variant>
      <vt:variant>
        <vt:i4>0</vt:i4>
      </vt:variant>
      <vt:variant>
        <vt:i4>5</vt:i4>
      </vt:variant>
      <vt:variant>
        <vt:lpwstr>https://www.cms.int/en/document/marine-noise-3</vt:lpwstr>
      </vt:variant>
      <vt:variant>
        <vt:lpwstr/>
      </vt:variant>
      <vt:variant>
        <vt:i4>6488163</vt:i4>
      </vt:variant>
      <vt:variant>
        <vt:i4>36</vt:i4>
      </vt:variant>
      <vt:variant>
        <vt:i4>0</vt:i4>
      </vt:variant>
      <vt:variant>
        <vt:i4>5</vt:i4>
      </vt:variant>
      <vt:variant>
        <vt:lpwstr>https://www.cms.int/en/document/compilation-recommendations-could-be-directed-scientific-council-cop14-and-future-cops</vt:lpwstr>
      </vt:variant>
      <vt:variant>
        <vt:lpwstr/>
      </vt:variant>
      <vt:variant>
        <vt:i4>2555952</vt:i4>
      </vt:variant>
      <vt:variant>
        <vt:i4>33</vt:i4>
      </vt:variant>
      <vt:variant>
        <vt:i4>0</vt:i4>
      </vt:variant>
      <vt:variant>
        <vt:i4>5</vt:i4>
      </vt:variant>
      <vt:variant>
        <vt:lpwstr>https://www.cms.int/en/document/review-support-development-second-cms-cetacean-programme-work-2024-2035</vt:lpwstr>
      </vt:variant>
      <vt:variant>
        <vt:lpwstr/>
      </vt:variant>
      <vt:variant>
        <vt:i4>2555952</vt:i4>
      </vt:variant>
      <vt:variant>
        <vt:i4>30</vt:i4>
      </vt:variant>
      <vt:variant>
        <vt:i4>0</vt:i4>
      </vt:variant>
      <vt:variant>
        <vt:i4>5</vt:i4>
      </vt:variant>
      <vt:variant>
        <vt:lpwstr>https://www.cms.int/en/document/review-support-development-second-cms-cetacean-programme-work-2024-2035</vt:lpwstr>
      </vt:variant>
      <vt:variant>
        <vt:lpwstr/>
      </vt:variant>
      <vt:variant>
        <vt:i4>2555952</vt:i4>
      </vt:variant>
      <vt:variant>
        <vt:i4>27</vt:i4>
      </vt:variant>
      <vt:variant>
        <vt:i4>0</vt:i4>
      </vt:variant>
      <vt:variant>
        <vt:i4>5</vt:i4>
      </vt:variant>
      <vt:variant>
        <vt:lpwstr>https://www.cms.int/en/document/review-support-development-second-cms-cetacean-programme-work-2024-2035</vt:lpwstr>
      </vt:variant>
      <vt:variant>
        <vt:lpwstr/>
      </vt:variant>
      <vt:variant>
        <vt:i4>2359345</vt:i4>
      </vt:variant>
      <vt:variant>
        <vt:i4>24</vt:i4>
      </vt:variant>
      <vt:variant>
        <vt:i4>0</vt:i4>
      </vt:variant>
      <vt:variant>
        <vt:i4>5</vt:i4>
      </vt:variant>
      <vt:variant>
        <vt:lpwstr>https://archive.iwc.int/pages/view.php?search=&amp;k=bf6b849977&amp;modal=&amp;display=list&amp;order_by=resourceid&amp;offset=8336&amp;per_page=240&amp;archive=0&amp;sort=ASC&amp;restypes=&amp;recentdaylimit=&amp;foredit=&amp;noreload=true&amp;access=&amp;ref=19617</vt:lpwstr>
      </vt:variant>
      <vt:variant>
        <vt:lpwstr/>
      </vt:variant>
      <vt:variant>
        <vt:i4>3145765</vt:i4>
      </vt:variant>
      <vt:variant>
        <vt:i4>21</vt:i4>
      </vt:variant>
      <vt:variant>
        <vt:i4>0</vt:i4>
      </vt:variant>
      <vt:variant>
        <vt:i4>5</vt:i4>
      </vt:variant>
      <vt:variant>
        <vt:lpwstr>https://archive.iwc.int/pages/view.php?ref=19252&amp;k=</vt:lpwstr>
      </vt:variant>
      <vt:variant>
        <vt:lpwstr/>
      </vt:variant>
      <vt:variant>
        <vt:i4>524362</vt:i4>
      </vt:variant>
      <vt:variant>
        <vt:i4>18</vt:i4>
      </vt:variant>
      <vt:variant>
        <vt:i4>0</vt:i4>
      </vt:variant>
      <vt:variant>
        <vt:i4>5</vt:i4>
      </vt:variant>
      <vt:variant>
        <vt:lpwstr>https://www.cms.int/en/document/important-marine-mammal-areas</vt:lpwstr>
      </vt:variant>
      <vt:variant>
        <vt:lpwstr/>
      </vt:variant>
      <vt:variant>
        <vt:i4>3539068</vt:i4>
      </vt:variant>
      <vt:variant>
        <vt:i4>15</vt:i4>
      </vt:variant>
      <vt:variant>
        <vt:i4>0</vt:i4>
      </vt:variant>
      <vt:variant>
        <vt:i4>5</vt:i4>
      </vt:variant>
      <vt:variant>
        <vt:lpwstr>https://www.cms.int/en/document/sirenians-pinnipeds-and-otters</vt:lpwstr>
      </vt:variant>
      <vt:variant>
        <vt:lpwstr/>
      </vt:variant>
      <vt:variant>
        <vt:i4>31</vt:i4>
      </vt:variant>
      <vt:variant>
        <vt:i4>12</vt:i4>
      </vt:variant>
      <vt:variant>
        <vt:i4>0</vt:i4>
      </vt:variant>
      <vt:variant>
        <vt:i4>5</vt:i4>
      </vt:variant>
      <vt:variant>
        <vt:lpwstr>https://www.cms.int/en/document/live-capture-cetaceans-wild-commercial-purposes-0</vt:lpwstr>
      </vt:variant>
      <vt:variant>
        <vt:lpwstr/>
      </vt:variant>
      <vt:variant>
        <vt:i4>7798824</vt:i4>
      </vt:variant>
      <vt:variant>
        <vt:i4>9</vt:i4>
      </vt:variant>
      <vt:variant>
        <vt:i4>0</vt:i4>
      </vt:variant>
      <vt:variant>
        <vt:i4>5</vt:i4>
      </vt:variant>
      <vt:variant>
        <vt:lpwstr>https://www.cms.int/en/document/aquatic-wild-meat-5</vt:lpwstr>
      </vt:variant>
      <vt:variant>
        <vt:lpwstr/>
      </vt:variant>
      <vt:variant>
        <vt:i4>6815863</vt:i4>
      </vt:variant>
      <vt:variant>
        <vt:i4>6</vt:i4>
      </vt:variant>
      <vt:variant>
        <vt:i4>0</vt:i4>
      </vt:variant>
      <vt:variant>
        <vt:i4>5</vt:i4>
      </vt:variant>
      <vt:variant>
        <vt:lpwstr>https://www.cms.int/en/document/recreational-water-interactions</vt:lpwstr>
      </vt:variant>
      <vt:variant>
        <vt:lpwstr/>
      </vt:variant>
      <vt:variant>
        <vt:i4>4980761</vt:i4>
      </vt:variant>
      <vt:variant>
        <vt:i4>3</vt:i4>
      </vt:variant>
      <vt:variant>
        <vt:i4>0</vt:i4>
      </vt:variant>
      <vt:variant>
        <vt:i4>5</vt:i4>
      </vt:variant>
      <vt:variant>
        <vt:lpwstr>https://www.cms.int/en/document/conservation-implications-animal-culture</vt:lpwstr>
      </vt:variant>
      <vt:variant>
        <vt:lpwstr/>
      </vt:variant>
      <vt:variant>
        <vt:i4>3342433</vt:i4>
      </vt:variant>
      <vt:variant>
        <vt:i4>0</vt:i4>
      </vt:variant>
      <vt:variant>
        <vt:i4>0</vt:i4>
      </vt:variant>
      <vt:variant>
        <vt:i4>5</vt:i4>
      </vt:variant>
      <vt:variant>
        <vt:lpwstr>https://www.cms.int/en/document/marine-noise-3</vt:lpwstr>
      </vt:variant>
      <vt:variant>
        <vt:lpwstr/>
      </vt:variant>
      <vt:variant>
        <vt:i4>3145765</vt:i4>
      </vt:variant>
      <vt:variant>
        <vt:i4>3</vt:i4>
      </vt:variant>
      <vt:variant>
        <vt:i4>0</vt:i4>
      </vt:variant>
      <vt:variant>
        <vt:i4>5</vt:i4>
      </vt:variant>
      <vt:variant>
        <vt:lpwstr>https://archive.iwc.int/pages/view.php?ref=19252&amp;k=</vt:lpwstr>
      </vt:variant>
      <vt:variant>
        <vt:lpwstr/>
      </vt:variant>
      <vt:variant>
        <vt:i4>3145765</vt:i4>
      </vt:variant>
      <vt:variant>
        <vt:i4>0</vt:i4>
      </vt:variant>
      <vt:variant>
        <vt:i4>0</vt:i4>
      </vt:variant>
      <vt:variant>
        <vt:i4>5</vt:i4>
      </vt:variant>
      <vt:variant>
        <vt:lpwstr>https://archive.iwc.int/pages/view.php?ref=19252&amp;k=</vt:lpwstr>
      </vt:variant>
      <vt:variant>
        <vt:lpwstr/>
      </vt:variant>
      <vt:variant>
        <vt:i4>4784170</vt:i4>
      </vt:variant>
      <vt:variant>
        <vt:i4>3</vt:i4>
      </vt:variant>
      <vt:variant>
        <vt:i4>0</vt:i4>
      </vt:variant>
      <vt:variant>
        <vt:i4>5</vt:i4>
      </vt:variant>
      <vt:variant>
        <vt:lpwstr>mailto:jenny.renell@un.org</vt:lpwstr>
      </vt:variant>
      <vt:variant>
        <vt:lpwstr/>
      </vt:variant>
      <vt:variant>
        <vt:i4>4128856</vt:i4>
      </vt:variant>
      <vt:variant>
        <vt:i4>0</vt:i4>
      </vt:variant>
      <vt:variant>
        <vt:i4>0</vt:i4>
      </vt:variant>
      <vt:variant>
        <vt:i4>5</vt:i4>
      </vt:variant>
      <vt:variant>
        <vt:lpwstr>mailto:melanie.virtue@un.org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Ana Berta Garcia</cp:lastModifiedBy>
  <cp:revision>7</cp:revision>
  <cp:lastPrinted>2019-09-20T05:54:00Z</cp:lastPrinted>
  <dcterms:created xsi:type="dcterms:W3CDTF">2023-10-17T08:26:00Z</dcterms:created>
  <dcterms:modified xsi:type="dcterms:W3CDTF">2023-12-14T12:01:00Z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y fmtid="{D5CDD505-2E9C-101B-9397-08002B2CF9AE}" pid="6" name="Order">
    <vt:r8>86900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