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F739F" w:rsidRDefault="001F739F">
      <w:pPr>
        <w:widowControl w:val="0"/>
        <w:tabs>
          <w:tab w:val="left" w:pos="-1057"/>
          <w:tab w:val="left" w:pos="-720"/>
        </w:tabs>
        <w:autoSpaceDE w:val="0"/>
        <w:spacing w:after="0"/>
        <w:ind w:left="-90"/>
        <w:rPr>
          <w:rFonts w:eastAsia="Times New Roman" w:cs="Arial"/>
          <w:spacing w:val="-8"/>
          <w:sz w:val="12"/>
          <w:szCs w:val="12"/>
          <w:lang w:val="fr-FR"/>
        </w:rPr>
      </w:pPr>
      <w:bookmarkStart w:id="0" w:name="_GoBack"/>
      <w:bookmarkEnd w:id="0"/>
    </w:p>
    <w:tbl>
      <w:tblPr>
        <w:tblW w:w="9648" w:type="dxa"/>
        <w:tblLayout w:type="fixed"/>
        <w:tblCellMar>
          <w:left w:w="10" w:type="dxa"/>
          <w:right w:w="10" w:type="dxa"/>
        </w:tblCellMar>
        <w:tblLook w:val="0000" w:firstRow="0" w:lastRow="0" w:firstColumn="0" w:lastColumn="0" w:noHBand="0" w:noVBand="0"/>
      </w:tblPr>
      <w:tblGrid>
        <w:gridCol w:w="1526"/>
        <w:gridCol w:w="4414"/>
        <w:gridCol w:w="3708"/>
      </w:tblGrid>
      <w:tr w:rsidR="001F739F" w:rsidRPr="00A13B8C">
        <w:trPr>
          <w:trHeight w:val="1328"/>
        </w:trPr>
        <w:tc>
          <w:tcPr>
            <w:tcW w:w="1526" w:type="dxa"/>
            <w:tcBorders>
              <w:top w:val="single" w:sz="12" w:space="0" w:color="000000"/>
              <w:bottom w:val="single" w:sz="12" w:space="0" w:color="000000"/>
            </w:tcBorders>
            <w:shd w:val="clear" w:color="auto" w:fill="auto"/>
            <w:tcMar>
              <w:top w:w="85" w:type="dxa"/>
              <w:left w:w="108" w:type="dxa"/>
              <w:bottom w:w="0" w:type="dxa"/>
              <w:right w:w="108" w:type="dxa"/>
            </w:tcMar>
          </w:tcPr>
          <w:p w:rsidR="001F739F" w:rsidRDefault="00EC3E83">
            <w:pPr>
              <w:widowControl w:val="0"/>
              <w:autoSpaceDE w:val="0"/>
              <w:spacing w:after="0"/>
            </w:pPr>
            <w:r>
              <w:rPr>
                <w:rFonts w:eastAsia="Times New Roman" w:cs="Arial"/>
                <w:noProof/>
                <w:lang w:val="fr-FR"/>
              </w:rPr>
              <w:drawing>
                <wp:inline distT="0" distB="0" distL="0" distR="0">
                  <wp:extent cx="752478" cy="771525"/>
                  <wp:effectExtent l="0" t="0" r="9522" b="9525"/>
                  <wp:docPr id="4"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l="-2533" t="-726" r="-2533" b="-726"/>
                          <a:stretch>
                            <a:fillRect/>
                          </a:stretch>
                        </pic:blipFill>
                        <pic:spPr>
                          <a:xfrm>
                            <a:off x="0" y="0"/>
                            <a:ext cx="752478" cy="771525"/>
                          </a:xfrm>
                          <a:prstGeom prst="rect">
                            <a:avLst/>
                          </a:prstGeom>
                          <a:noFill/>
                          <a:ln>
                            <a:noFill/>
                            <a:prstDash/>
                          </a:ln>
                        </pic:spPr>
                      </pic:pic>
                    </a:graphicData>
                  </a:graphic>
                </wp:inline>
              </w:drawing>
            </w:r>
          </w:p>
          <w:p w:rsidR="001F739F" w:rsidRDefault="001F739F">
            <w:pPr>
              <w:widowControl w:val="0"/>
              <w:autoSpaceDE w:val="0"/>
              <w:spacing w:after="0"/>
              <w:rPr>
                <w:rFonts w:eastAsia="Times New Roman" w:cs="Arial"/>
                <w:lang w:val="fr-FR"/>
              </w:rPr>
            </w:pPr>
          </w:p>
        </w:tc>
        <w:tc>
          <w:tcPr>
            <w:tcW w:w="4414" w:type="dxa"/>
            <w:tcBorders>
              <w:top w:val="single" w:sz="12" w:space="0" w:color="000000"/>
              <w:bottom w:val="single" w:sz="12" w:space="0" w:color="000000"/>
            </w:tcBorders>
            <w:shd w:val="clear" w:color="auto" w:fill="auto"/>
            <w:tcMar>
              <w:top w:w="85" w:type="dxa"/>
              <w:left w:w="108" w:type="dxa"/>
              <w:bottom w:w="0" w:type="dxa"/>
              <w:right w:w="108" w:type="dxa"/>
            </w:tcMar>
          </w:tcPr>
          <w:p w:rsidR="001F739F" w:rsidRDefault="001F739F">
            <w:pPr>
              <w:keepNext/>
              <w:widowControl w:val="0"/>
              <w:autoSpaceDE w:val="0"/>
              <w:spacing w:after="0"/>
              <w:ind w:left="-108"/>
              <w:outlineLvl w:val="1"/>
              <w:rPr>
                <w:rFonts w:eastAsia="Times New Roman" w:cs="Arial"/>
                <w:sz w:val="12"/>
                <w:szCs w:val="12"/>
                <w:lang w:val="fr-FR"/>
              </w:rPr>
            </w:pPr>
          </w:p>
          <w:p w:rsidR="001F739F" w:rsidRPr="00EC3E83" w:rsidRDefault="00EC3E83">
            <w:pPr>
              <w:keepNext/>
              <w:widowControl w:val="0"/>
              <w:autoSpaceDE w:val="0"/>
              <w:spacing w:after="0"/>
              <w:ind w:left="-108"/>
              <w:outlineLvl w:val="1"/>
              <w:rPr>
                <w:lang w:val="fr-FR"/>
              </w:rPr>
            </w:pPr>
            <w:r>
              <w:rPr>
                <w:rFonts w:eastAsia="Arial" w:cs="Arial"/>
                <w:b/>
                <w:bCs/>
                <w:sz w:val="32"/>
                <w:szCs w:val="32"/>
                <w:lang w:val="fr-FR"/>
              </w:rPr>
              <w:t>CONVENTION SUR</w:t>
            </w:r>
          </w:p>
          <w:p w:rsidR="001F739F" w:rsidRPr="00EC3E83" w:rsidRDefault="00EC3E83">
            <w:pPr>
              <w:keepNext/>
              <w:widowControl w:val="0"/>
              <w:autoSpaceDE w:val="0"/>
              <w:spacing w:after="0"/>
              <w:ind w:left="-108"/>
              <w:outlineLvl w:val="1"/>
              <w:rPr>
                <w:lang w:val="fr-FR"/>
              </w:rPr>
            </w:pPr>
            <w:r>
              <w:rPr>
                <w:rFonts w:eastAsia="Arial" w:cs="Arial"/>
                <w:b/>
                <w:bCs/>
                <w:sz w:val="32"/>
                <w:szCs w:val="32"/>
                <w:lang w:val="fr-FR"/>
              </w:rPr>
              <w:t>LES ESPÈCES</w:t>
            </w:r>
          </w:p>
          <w:p w:rsidR="001F739F" w:rsidRPr="00EC3E83" w:rsidRDefault="00EC3E83">
            <w:pPr>
              <w:keepNext/>
              <w:widowControl w:val="0"/>
              <w:autoSpaceDE w:val="0"/>
              <w:spacing w:after="0"/>
              <w:ind w:left="-108"/>
              <w:outlineLvl w:val="1"/>
              <w:rPr>
                <w:lang w:val="fr-FR"/>
              </w:rPr>
            </w:pPr>
            <w:r>
              <w:rPr>
                <w:rFonts w:eastAsia="Arial" w:cs="Arial"/>
                <w:b/>
                <w:bCs/>
                <w:sz w:val="32"/>
                <w:szCs w:val="32"/>
                <w:lang w:val="fr-FR"/>
              </w:rPr>
              <w:t>MIGRATRICES</w:t>
            </w:r>
          </w:p>
        </w:tc>
        <w:tc>
          <w:tcPr>
            <w:tcW w:w="3708" w:type="dxa"/>
            <w:tcBorders>
              <w:top w:val="single" w:sz="12" w:space="0" w:color="000000"/>
              <w:bottom w:val="single" w:sz="12" w:space="0" w:color="000000"/>
            </w:tcBorders>
            <w:shd w:val="clear" w:color="auto" w:fill="auto"/>
            <w:tcMar>
              <w:top w:w="85" w:type="dxa"/>
              <w:left w:w="108" w:type="dxa"/>
              <w:bottom w:w="0" w:type="dxa"/>
              <w:right w:w="108" w:type="dxa"/>
            </w:tcMar>
          </w:tcPr>
          <w:p w:rsidR="001126E0" w:rsidRDefault="00EC3E83" w:rsidP="006B1CA7">
            <w:pPr>
              <w:widowControl w:val="0"/>
              <w:tabs>
                <w:tab w:val="left" w:pos="5040"/>
                <w:tab w:val="left" w:pos="5760"/>
                <w:tab w:val="left" w:pos="6008"/>
                <w:tab w:val="left" w:pos="6480"/>
                <w:tab w:val="left" w:pos="7200"/>
                <w:tab w:val="left" w:pos="7920"/>
                <w:tab w:val="left" w:pos="8640"/>
              </w:tabs>
              <w:autoSpaceDE w:val="0"/>
              <w:spacing w:before="120" w:after="120"/>
              <w:rPr>
                <w:rFonts w:eastAsia="Arial" w:cs="Arial"/>
                <w:lang w:val="fr-FR"/>
              </w:rPr>
            </w:pPr>
            <w:r>
              <w:rPr>
                <w:rFonts w:eastAsia="Arial" w:cs="Arial"/>
                <w:lang w:val="fr-FR"/>
              </w:rPr>
              <w:t>UNEP/CMS/COP13/Doc.</w:t>
            </w:r>
            <w:r w:rsidR="006B1CA7">
              <w:rPr>
                <w:rFonts w:eastAsia="Arial" w:cs="Arial"/>
                <w:lang w:val="fr-FR"/>
              </w:rPr>
              <w:t>28.2.9</w:t>
            </w:r>
          </w:p>
          <w:p w:rsidR="001F739F" w:rsidRPr="006B1CA7" w:rsidRDefault="006B1CA7" w:rsidP="006B1CA7">
            <w:pPr>
              <w:widowControl w:val="0"/>
              <w:tabs>
                <w:tab w:val="left" w:pos="5040"/>
                <w:tab w:val="left" w:pos="5760"/>
                <w:tab w:val="left" w:pos="6008"/>
                <w:tab w:val="left" w:pos="6480"/>
                <w:tab w:val="left" w:pos="7200"/>
                <w:tab w:val="left" w:pos="7920"/>
                <w:tab w:val="left" w:pos="8640"/>
              </w:tabs>
              <w:autoSpaceDE w:val="0"/>
              <w:spacing w:after="120"/>
              <w:rPr>
                <w:lang w:val="fr-FR"/>
              </w:rPr>
            </w:pPr>
            <w:r>
              <w:rPr>
                <w:lang w:val="fr-FR"/>
              </w:rPr>
              <w:t xml:space="preserve">24 septembre </w:t>
            </w:r>
            <w:r w:rsidR="00A13B8C">
              <w:rPr>
                <w:lang w:val="fr-FR"/>
              </w:rPr>
              <w:t>2019</w:t>
            </w:r>
          </w:p>
          <w:p w:rsidR="001F739F" w:rsidRPr="00A13B8C" w:rsidRDefault="00EC3E83" w:rsidP="006B1CA7">
            <w:pPr>
              <w:widowControl w:val="0"/>
              <w:autoSpaceDE w:val="0"/>
              <w:spacing w:after="120"/>
              <w:rPr>
                <w:lang w:val="fr-FR"/>
              </w:rPr>
            </w:pPr>
            <w:r>
              <w:rPr>
                <w:rFonts w:eastAsia="Arial" w:cs="Arial"/>
                <w:lang w:val="fr-FR"/>
              </w:rPr>
              <w:t>Français</w:t>
            </w:r>
          </w:p>
          <w:p w:rsidR="001F739F" w:rsidRPr="00A13B8C" w:rsidRDefault="00EC3E83" w:rsidP="006B1CA7">
            <w:pPr>
              <w:widowControl w:val="0"/>
              <w:autoSpaceDE w:val="0"/>
              <w:spacing w:after="120"/>
              <w:rPr>
                <w:lang w:val="fr-FR"/>
              </w:rPr>
            </w:pPr>
            <w:r>
              <w:rPr>
                <w:rFonts w:eastAsia="Arial" w:cs="Arial"/>
                <w:lang w:val="fr-FR"/>
              </w:rPr>
              <w:t>Original : Anglais</w:t>
            </w:r>
          </w:p>
          <w:p w:rsidR="001F739F" w:rsidRDefault="001F739F">
            <w:pPr>
              <w:widowControl w:val="0"/>
              <w:autoSpaceDE w:val="0"/>
              <w:spacing w:after="0"/>
              <w:rPr>
                <w:rFonts w:eastAsia="Times New Roman" w:cs="Arial"/>
                <w:sz w:val="12"/>
                <w:szCs w:val="12"/>
                <w:lang w:val="fr-FR"/>
              </w:rPr>
            </w:pPr>
          </w:p>
        </w:tc>
      </w:tr>
    </w:tbl>
    <w:p w:rsidR="001F739F" w:rsidRDefault="001F739F">
      <w:pPr>
        <w:widowControl w:val="0"/>
        <w:tabs>
          <w:tab w:val="left" w:pos="-1057"/>
          <w:tab w:val="left" w:pos="-720"/>
        </w:tabs>
        <w:autoSpaceDE w:val="0"/>
        <w:spacing w:after="0"/>
        <w:rPr>
          <w:rFonts w:eastAsia="Arial" w:cs="Arial"/>
          <w:sz w:val="8"/>
          <w:szCs w:val="8"/>
          <w:lang w:val="fr-FR"/>
        </w:rPr>
      </w:pPr>
    </w:p>
    <w:p w:rsidR="001F739F" w:rsidRPr="00EC3E83" w:rsidRDefault="00EC3E83">
      <w:pPr>
        <w:widowControl w:val="0"/>
        <w:tabs>
          <w:tab w:val="left" w:pos="-1057"/>
          <w:tab w:val="left" w:pos="-720"/>
        </w:tabs>
        <w:autoSpaceDE w:val="0"/>
        <w:spacing w:after="0"/>
        <w:rPr>
          <w:lang w:val="fr-FR"/>
        </w:rPr>
      </w:pPr>
      <w:r>
        <w:rPr>
          <w:rFonts w:eastAsia="Arial" w:cs="Arial"/>
          <w:lang w:val="fr-FR"/>
        </w:rPr>
        <w:t>13</w:t>
      </w:r>
      <w:r>
        <w:rPr>
          <w:rFonts w:eastAsia="Arial" w:cs="Arial"/>
          <w:vertAlign w:val="superscript"/>
          <w:lang w:val="fr-FR"/>
        </w:rPr>
        <w:t>ème</w:t>
      </w:r>
      <w:r>
        <w:rPr>
          <w:rFonts w:eastAsia="Arial" w:cs="Arial"/>
          <w:lang w:val="fr-FR"/>
        </w:rPr>
        <w:t xml:space="preserve"> SESSION DE LA CONFÉRENCE DES PARTIES</w:t>
      </w:r>
    </w:p>
    <w:p w:rsidR="001F739F" w:rsidRPr="00EC3E83" w:rsidRDefault="00EC3E83">
      <w:pPr>
        <w:widowControl w:val="0"/>
        <w:pBdr>
          <w:top w:val="single" w:sz="6" w:space="0" w:color="FFFFFF"/>
          <w:left w:val="single" w:sz="6" w:space="0" w:color="FFFFFF"/>
          <w:bottom w:val="single" w:sz="6" w:space="0" w:color="FFFFFF"/>
          <w:right w:val="single" w:sz="6" w:space="0" w:color="FFFFFF"/>
        </w:pBdr>
        <w:autoSpaceDE w:val="0"/>
        <w:spacing w:after="0"/>
        <w:outlineLvl w:val="1"/>
        <w:rPr>
          <w:lang w:val="fr-FR"/>
        </w:rPr>
      </w:pPr>
      <w:r>
        <w:rPr>
          <w:rFonts w:eastAsia="Arial" w:cs="Arial"/>
          <w:bCs/>
          <w:lang w:val="fr-FR"/>
        </w:rPr>
        <w:t>Gand</w:t>
      </w:r>
      <w:r w:rsidR="00C5756A">
        <w:rPr>
          <w:rFonts w:eastAsia="Arial" w:cs="Arial"/>
          <w:bCs/>
          <w:lang w:val="fr-FR"/>
        </w:rPr>
        <w:t>h</w:t>
      </w:r>
      <w:r>
        <w:rPr>
          <w:rFonts w:eastAsia="Arial" w:cs="Arial"/>
          <w:bCs/>
          <w:lang w:val="fr-FR"/>
        </w:rPr>
        <w:t>inagar, Inde, 17 – 22 février 2020</w:t>
      </w:r>
    </w:p>
    <w:p w:rsidR="001F739F" w:rsidRPr="00EC3E83" w:rsidRDefault="00EC3E83">
      <w:pPr>
        <w:widowControl w:val="0"/>
        <w:autoSpaceDE w:val="0"/>
        <w:spacing w:after="0"/>
        <w:rPr>
          <w:lang w:val="fr-FR"/>
        </w:rPr>
      </w:pPr>
      <w:r>
        <w:rPr>
          <w:rFonts w:eastAsia="Arial" w:cs="Arial"/>
          <w:iCs/>
          <w:lang w:val="fr-FR"/>
        </w:rPr>
        <w:t>Point</w:t>
      </w:r>
      <w:r w:rsidR="00A13B8C">
        <w:rPr>
          <w:rFonts w:eastAsia="Arial" w:cs="Arial"/>
          <w:iCs/>
          <w:lang w:val="fr-FR"/>
        </w:rPr>
        <w:t xml:space="preserve"> </w:t>
      </w:r>
      <w:r w:rsidR="006B1CA7">
        <w:rPr>
          <w:rFonts w:eastAsia="Arial" w:cs="Arial"/>
          <w:iCs/>
          <w:lang w:val="fr-FR"/>
        </w:rPr>
        <w:t>28.2</w:t>
      </w:r>
      <w:r>
        <w:rPr>
          <w:rFonts w:eastAsia="Arial" w:cs="Arial"/>
          <w:iCs/>
          <w:lang w:val="fr-FR"/>
        </w:rPr>
        <w:t xml:space="preserve"> de l’ordre du jour</w:t>
      </w:r>
    </w:p>
    <w:p w:rsidR="001F739F" w:rsidRDefault="001F739F">
      <w:pPr>
        <w:widowControl w:val="0"/>
        <w:tabs>
          <w:tab w:val="left" w:pos="7020"/>
        </w:tabs>
        <w:autoSpaceDE w:val="0"/>
        <w:spacing w:after="0"/>
        <w:rPr>
          <w:rFonts w:eastAsia="Times New Roman" w:cs="Arial"/>
          <w:lang w:val="fr-FR"/>
        </w:rPr>
      </w:pPr>
    </w:p>
    <w:p w:rsidR="001F739F" w:rsidRDefault="001F739F">
      <w:pPr>
        <w:widowControl w:val="0"/>
        <w:tabs>
          <w:tab w:val="left" w:pos="7020"/>
        </w:tabs>
        <w:autoSpaceDE w:val="0"/>
        <w:spacing w:after="0"/>
        <w:rPr>
          <w:rFonts w:eastAsia="Times New Roman" w:cs="Arial"/>
          <w:lang w:val="fr-FR"/>
        </w:rPr>
      </w:pPr>
    </w:p>
    <w:p w:rsidR="001F739F" w:rsidRPr="006B1CA7" w:rsidRDefault="00EC3E83">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Arial" w:cs="Arial"/>
          <w:b/>
          <w:bCs/>
          <w:caps/>
          <w:lang w:val="fr-FR"/>
        </w:rPr>
      </w:pPr>
      <w:r w:rsidRPr="006B1CA7">
        <w:rPr>
          <w:rFonts w:eastAsia="Arial" w:cs="Arial"/>
          <w:b/>
          <w:bCs/>
          <w:caps/>
          <w:lang w:val="fr-FR"/>
        </w:rPr>
        <w:t>PROPOSITION D’ACTION CONCERTÉE POUR</w:t>
      </w:r>
    </w:p>
    <w:p w:rsidR="006B1CA7" w:rsidRPr="006B1CA7" w:rsidRDefault="006B1CA7" w:rsidP="001126E0">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Arial" w:cs="Arial"/>
          <w:b/>
          <w:bCs/>
          <w:caps/>
          <w:lang w:val="fr-FR"/>
        </w:rPr>
      </w:pPr>
      <w:r w:rsidRPr="006B1CA7">
        <w:rPr>
          <w:rStyle w:val="CharAttribute19"/>
          <w:rFonts w:eastAsia="Calibri"/>
          <w:lang w:val="fr-FR"/>
        </w:rPr>
        <w:t>LA GUITARE DE MER COMMUNE</w:t>
      </w:r>
      <w:r w:rsidR="00A13B8C" w:rsidRPr="006B1CA7">
        <w:rPr>
          <w:rFonts w:eastAsia="Arial" w:cs="Arial"/>
          <w:b/>
          <w:bCs/>
          <w:caps/>
          <w:lang w:val="fr-FR"/>
        </w:rPr>
        <w:t xml:space="preserve"> (</w:t>
      </w:r>
      <w:proofErr w:type="spellStart"/>
      <w:r w:rsidRPr="006B1CA7">
        <w:rPr>
          <w:rStyle w:val="CharAttribute20"/>
          <w:rFonts w:eastAsia="Calibri"/>
          <w:lang w:val="fr-FR"/>
        </w:rPr>
        <w:t>Rhinobatos</w:t>
      </w:r>
      <w:proofErr w:type="spellEnd"/>
      <w:r w:rsidRPr="006B1CA7">
        <w:rPr>
          <w:rStyle w:val="CharAttribute20"/>
          <w:rFonts w:eastAsia="Calibri"/>
          <w:lang w:val="fr-FR"/>
        </w:rPr>
        <w:t xml:space="preserve"> </w:t>
      </w:r>
      <w:proofErr w:type="spellStart"/>
      <w:r w:rsidRPr="006B1CA7">
        <w:rPr>
          <w:rStyle w:val="CharAttribute20"/>
          <w:rFonts w:eastAsia="Calibri"/>
          <w:lang w:val="fr-FR"/>
        </w:rPr>
        <w:t>rhinobatos</w:t>
      </w:r>
      <w:proofErr w:type="spellEnd"/>
      <w:r w:rsidR="00A13B8C" w:rsidRPr="006B1CA7">
        <w:rPr>
          <w:rFonts w:eastAsia="Arial" w:cs="Arial"/>
          <w:b/>
          <w:bCs/>
          <w:caps/>
          <w:lang w:val="fr-FR"/>
        </w:rPr>
        <w:t xml:space="preserve">) </w:t>
      </w:r>
      <w:r w:rsidRPr="006B1CA7">
        <w:rPr>
          <w:rFonts w:eastAsia="Arial" w:cs="Arial"/>
          <w:b/>
          <w:bCs/>
          <w:caps/>
          <w:lang w:val="fr-FR"/>
        </w:rPr>
        <w:t>ET</w:t>
      </w:r>
    </w:p>
    <w:p w:rsidR="001126E0" w:rsidRPr="006B1CA7" w:rsidRDefault="006B1CA7" w:rsidP="001126E0">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Arial" w:cs="Arial"/>
          <w:b/>
          <w:bCs/>
          <w:caps/>
          <w:lang w:val="fr-FR"/>
        </w:rPr>
      </w:pPr>
      <w:proofErr w:type="spellStart"/>
      <w:r w:rsidRPr="006B1CA7">
        <w:rPr>
          <w:rStyle w:val="CharAttribute20"/>
          <w:rFonts w:eastAsia="Calibri"/>
          <w:lang w:val="fr-FR"/>
        </w:rPr>
        <w:t>Rhynchobatus</w:t>
      </w:r>
      <w:proofErr w:type="spellEnd"/>
      <w:r w:rsidRPr="006B1CA7">
        <w:rPr>
          <w:rStyle w:val="CharAttribute20"/>
          <w:rFonts w:eastAsia="Calibri"/>
          <w:lang w:val="fr-FR"/>
        </w:rPr>
        <w:t xml:space="preserve"> </w:t>
      </w:r>
      <w:proofErr w:type="spellStart"/>
      <w:r w:rsidRPr="006B1CA7">
        <w:rPr>
          <w:rStyle w:val="CharAttribute20"/>
          <w:rFonts w:eastAsia="Calibri"/>
          <w:lang w:val="fr-FR"/>
        </w:rPr>
        <w:t>australiae</w:t>
      </w:r>
      <w:proofErr w:type="spellEnd"/>
    </w:p>
    <w:p w:rsidR="006B1CA7" w:rsidRPr="006B1CA7" w:rsidRDefault="00A13B8C" w:rsidP="001126E0">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Arial" w:cs="Arial"/>
          <w:b/>
          <w:bCs/>
          <w:caps/>
          <w:lang w:val="fr-FR"/>
        </w:rPr>
      </w:pPr>
      <w:r w:rsidRPr="006B1CA7">
        <w:rPr>
          <w:rFonts w:eastAsia="Arial" w:cs="Arial"/>
          <w:b/>
          <w:bCs/>
          <w:caps/>
          <w:lang w:val="fr-FR"/>
        </w:rPr>
        <w:t>dÉJÀ INSCRIT</w:t>
      </w:r>
      <w:r w:rsidR="006B1CA7" w:rsidRPr="006B1CA7">
        <w:rPr>
          <w:rFonts w:eastAsia="Arial" w:cs="Arial"/>
          <w:b/>
          <w:bCs/>
          <w:caps/>
          <w:lang w:val="fr-FR"/>
        </w:rPr>
        <w:t xml:space="preserve">S </w:t>
      </w:r>
      <w:r w:rsidR="00E6765E" w:rsidRPr="006B1CA7">
        <w:rPr>
          <w:rFonts w:eastAsia="Arial" w:cs="Arial"/>
          <w:b/>
          <w:bCs/>
          <w:caps/>
          <w:lang w:val="fr-FR"/>
        </w:rPr>
        <w:t>À</w:t>
      </w:r>
      <w:r w:rsidR="00EC3E83" w:rsidRPr="006B1CA7">
        <w:rPr>
          <w:rFonts w:eastAsia="Arial" w:cs="Arial"/>
          <w:b/>
          <w:bCs/>
          <w:caps/>
          <w:lang w:val="fr-FR"/>
        </w:rPr>
        <w:t xml:space="preserve"> L’ANNEXE</w:t>
      </w:r>
      <w:r w:rsidRPr="006B1CA7">
        <w:rPr>
          <w:rFonts w:eastAsia="Arial" w:cs="Arial"/>
          <w:b/>
          <w:bCs/>
          <w:caps/>
          <w:lang w:val="fr-FR"/>
        </w:rPr>
        <w:t xml:space="preserve"> </w:t>
      </w:r>
      <w:r w:rsidR="006B1CA7" w:rsidRPr="006B1CA7">
        <w:rPr>
          <w:rFonts w:eastAsia="Arial" w:cs="Arial"/>
          <w:b/>
          <w:bCs/>
          <w:caps/>
          <w:lang w:val="fr-FR"/>
        </w:rPr>
        <w:t>II</w:t>
      </w:r>
      <w:r w:rsidR="00EC3E83" w:rsidRPr="006B1CA7">
        <w:rPr>
          <w:rFonts w:eastAsia="Arial" w:cs="Arial"/>
          <w:b/>
          <w:bCs/>
          <w:caps/>
          <w:lang w:val="fr-FR"/>
        </w:rPr>
        <w:t xml:space="preserve"> DE LA CONVENTION</w:t>
      </w:r>
      <w:r w:rsidR="006B1CA7" w:rsidRPr="006B1CA7">
        <w:rPr>
          <w:rFonts w:eastAsia="Arial" w:cs="Arial"/>
          <w:b/>
          <w:bCs/>
          <w:caps/>
          <w:lang w:val="fr-FR"/>
        </w:rPr>
        <w:t xml:space="preserve">, AINSI QUE </w:t>
      </w:r>
    </w:p>
    <w:p w:rsidR="00E6765E" w:rsidRPr="006B1CA7" w:rsidRDefault="006B1CA7" w:rsidP="001126E0">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lang w:val="fr-FR"/>
        </w:rPr>
      </w:pPr>
      <w:r w:rsidRPr="006B1CA7">
        <w:rPr>
          <w:rFonts w:eastAsia="Arial" w:cs="Arial"/>
          <w:b/>
          <w:bCs/>
          <w:caps/>
          <w:lang w:val="fr-FR"/>
        </w:rPr>
        <w:t xml:space="preserve">POUR LES FAMILLES DE </w:t>
      </w:r>
      <w:r w:rsidRPr="006B1CA7">
        <w:rPr>
          <w:rStyle w:val="CharAttribute19"/>
          <w:rFonts w:eastAsia="Calibri"/>
          <w:lang w:val="fr-FR"/>
        </w:rPr>
        <w:t>RHINOBATIDAE ET DE GLAUCOSTEGIDAE</w:t>
      </w:r>
      <w:r w:rsidRPr="006B1CA7">
        <w:rPr>
          <w:rFonts w:eastAsia="Times New Roman" w:cs="Arial"/>
          <w:lang w:val="fr-FR"/>
        </w:rPr>
        <w:t xml:space="preserve"> </w:t>
      </w:r>
      <w:r w:rsidR="00E6765E" w:rsidRPr="006B1CA7">
        <w:rPr>
          <w:rFonts w:eastAsia="Times New Roman" w:cs="Arial"/>
          <w:lang w:val="fr-FR"/>
        </w:rPr>
        <w:t>*</w:t>
      </w:r>
    </w:p>
    <w:p w:rsidR="001F739F" w:rsidRPr="00EC3E83" w:rsidRDefault="001F739F">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lang w:val="fr-FR"/>
        </w:rPr>
      </w:pPr>
    </w:p>
    <w:p w:rsidR="001F739F" w:rsidRDefault="001F739F">
      <w:pPr>
        <w:widowControl w:val="0"/>
        <w:autoSpaceDE w:val="0"/>
        <w:spacing w:after="0"/>
        <w:rPr>
          <w:rFonts w:eastAsia="Times New Roman" w:cs="Arial"/>
          <w:sz w:val="8"/>
          <w:szCs w:val="8"/>
          <w:lang w:val="fr-FR"/>
        </w:rPr>
      </w:pPr>
    </w:p>
    <w:p w:rsidR="001F739F" w:rsidRDefault="001F739F">
      <w:pPr>
        <w:widowControl w:val="0"/>
        <w:autoSpaceDE w:val="0"/>
        <w:spacing w:after="0"/>
        <w:rPr>
          <w:rFonts w:eastAsia="Times New Roman" w:cs="Arial"/>
          <w:i/>
          <w:lang w:val="fr-FR"/>
        </w:rPr>
      </w:pPr>
    </w:p>
    <w:p w:rsidR="001F739F" w:rsidRDefault="001F739F">
      <w:pPr>
        <w:widowControl w:val="0"/>
        <w:autoSpaceDE w:val="0"/>
        <w:spacing w:after="0"/>
        <w:jc w:val="both"/>
        <w:rPr>
          <w:rFonts w:eastAsia="Times New Roman" w:cs="Arial"/>
          <w:sz w:val="21"/>
          <w:szCs w:val="21"/>
          <w:lang w:val="fr-FR"/>
        </w:rPr>
      </w:pPr>
    </w:p>
    <w:p w:rsidR="001F739F" w:rsidRDefault="001F739F">
      <w:pPr>
        <w:widowControl w:val="0"/>
        <w:tabs>
          <w:tab w:val="left" w:pos="8295"/>
        </w:tabs>
        <w:autoSpaceDE w:val="0"/>
        <w:spacing w:after="0"/>
        <w:jc w:val="both"/>
        <w:rPr>
          <w:rFonts w:eastAsia="Times New Roman" w:cs="Arial"/>
          <w:sz w:val="21"/>
          <w:szCs w:val="21"/>
          <w:lang w:val="fr-FR"/>
        </w:rPr>
      </w:pPr>
    </w:p>
    <w:p w:rsidR="001F739F" w:rsidRPr="00EC3E83" w:rsidRDefault="00EC3E83">
      <w:pPr>
        <w:widowControl w:val="0"/>
        <w:autoSpaceDE w:val="0"/>
        <w:spacing w:after="0"/>
        <w:rPr>
          <w:lang w:val="fr-FR"/>
        </w:rPr>
      </w:pPr>
      <w:r>
        <w:rPr>
          <w:rFonts w:eastAsia="Times New Roman" w:cs="Arial"/>
          <w:noProof/>
          <w:sz w:val="21"/>
          <w:szCs w:val="21"/>
          <w:lang w:val="fr-FR"/>
        </w:rPr>
        <mc:AlternateContent>
          <mc:Choice Requires="wps">
            <w:drawing>
              <wp:anchor distT="0" distB="0" distL="114300" distR="114300" simplePos="0" relativeHeight="251659264" behindDoc="0" locked="0" layoutInCell="1" allowOverlap="1">
                <wp:simplePos x="0" y="0"/>
                <wp:positionH relativeFrom="column">
                  <wp:posOffset>780415</wp:posOffset>
                </wp:positionH>
                <wp:positionV relativeFrom="paragraph">
                  <wp:posOffset>146685</wp:posOffset>
                </wp:positionV>
                <wp:extent cx="4400550" cy="2305050"/>
                <wp:effectExtent l="0" t="0" r="19050" b="19050"/>
                <wp:wrapNone/>
                <wp:docPr id="5" name="Text Box 4"/>
                <wp:cNvGraphicFramePr/>
                <a:graphic xmlns:a="http://schemas.openxmlformats.org/drawingml/2006/main">
                  <a:graphicData uri="http://schemas.microsoft.com/office/word/2010/wordprocessingShape">
                    <wps:wsp>
                      <wps:cNvSpPr txBox="1"/>
                      <wps:spPr>
                        <a:xfrm>
                          <a:off x="0" y="0"/>
                          <a:ext cx="4400550" cy="2305050"/>
                        </a:xfrm>
                        <a:prstGeom prst="rect">
                          <a:avLst/>
                        </a:prstGeom>
                        <a:solidFill>
                          <a:srgbClr val="FFFFFF"/>
                        </a:solidFill>
                        <a:ln w="3172">
                          <a:solidFill>
                            <a:srgbClr val="000000"/>
                          </a:solidFill>
                          <a:prstDash val="solid"/>
                        </a:ln>
                      </wps:spPr>
                      <wps:txbx>
                        <w:txbxContent>
                          <w:p w:rsidR="001F739F" w:rsidRPr="00EC3E83" w:rsidRDefault="00EC3E83" w:rsidP="006B1CA7">
                            <w:pPr>
                              <w:spacing w:after="0"/>
                              <w:jc w:val="both"/>
                              <w:rPr>
                                <w:lang w:val="fr-FR"/>
                              </w:rPr>
                            </w:pPr>
                            <w:r>
                              <w:rPr>
                                <w:rFonts w:eastAsia="Arial" w:cs="Arial"/>
                                <w:lang w:val="fr-FR"/>
                              </w:rPr>
                              <w:t>Résumé:</w:t>
                            </w:r>
                          </w:p>
                          <w:p w:rsidR="001F739F" w:rsidRDefault="001F739F" w:rsidP="006B1CA7">
                            <w:pPr>
                              <w:spacing w:after="0"/>
                              <w:jc w:val="both"/>
                              <w:rPr>
                                <w:rFonts w:cs="Arial"/>
                                <w:lang w:val="fr-FR"/>
                              </w:rPr>
                            </w:pPr>
                          </w:p>
                          <w:p w:rsidR="006B1CA7" w:rsidRDefault="006B1CA7" w:rsidP="006B1CA7">
                            <w:pPr>
                              <w:spacing w:after="0"/>
                              <w:jc w:val="both"/>
                              <w:rPr>
                                <w:lang w:val="fr-FR"/>
                              </w:rPr>
                            </w:pPr>
                            <w:r w:rsidRPr="006B1CA7">
                              <w:rPr>
                                <w:lang w:val="fr-FR"/>
                              </w:rPr>
                              <w:t>Le Groupe de spécialistes des requins de l’UICN a soumis la proposition ci-jointe d’Action concertée pour la guitare de mer commune (</w:t>
                            </w:r>
                            <w:proofErr w:type="spellStart"/>
                            <w:r w:rsidRPr="006B1CA7">
                              <w:rPr>
                                <w:i/>
                                <w:lang w:val="fr-FR"/>
                              </w:rPr>
                              <w:t>Rhinobatos</w:t>
                            </w:r>
                            <w:proofErr w:type="spellEnd"/>
                            <w:r w:rsidRPr="006B1CA7">
                              <w:rPr>
                                <w:i/>
                                <w:lang w:val="fr-FR"/>
                              </w:rPr>
                              <w:t xml:space="preserve"> </w:t>
                            </w:r>
                            <w:proofErr w:type="spellStart"/>
                            <w:r w:rsidRPr="006B1CA7">
                              <w:rPr>
                                <w:i/>
                                <w:lang w:val="fr-FR"/>
                              </w:rPr>
                              <w:t>rhinobatos</w:t>
                            </w:r>
                            <w:proofErr w:type="spellEnd"/>
                            <w:r w:rsidRPr="006B1CA7">
                              <w:rPr>
                                <w:lang w:val="fr-FR"/>
                              </w:rPr>
                              <w:t xml:space="preserve">) et pour </w:t>
                            </w:r>
                            <w:proofErr w:type="spellStart"/>
                            <w:r w:rsidRPr="006B1CA7">
                              <w:rPr>
                                <w:i/>
                                <w:lang w:val="fr-FR"/>
                              </w:rPr>
                              <w:t>Rhynchobatus</w:t>
                            </w:r>
                            <w:proofErr w:type="spellEnd"/>
                            <w:r w:rsidRPr="006B1CA7">
                              <w:rPr>
                                <w:i/>
                                <w:lang w:val="fr-FR"/>
                              </w:rPr>
                              <w:t xml:space="preserve"> </w:t>
                            </w:r>
                            <w:proofErr w:type="spellStart"/>
                            <w:r w:rsidRPr="006B1CA7">
                              <w:rPr>
                                <w:i/>
                                <w:lang w:val="fr-FR"/>
                              </w:rPr>
                              <w:t>australiae</w:t>
                            </w:r>
                            <w:proofErr w:type="spellEnd"/>
                            <w:r w:rsidRPr="006B1CA7">
                              <w:rPr>
                                <w:lang w:val="fr-FR"/>
                              </w:rPr>
                              <w:t>, conformément au processus décrit dans la Résolution 12.28.</w:t>
                            </w:r>
                          </w:p>
                          <w:p w:rsidR="006B1CA7" w:rsidRPr="006B1CA7" w:rsidRDefault="006B1CA7" w:rsidP="006B1CA7">
                            <w:pPr>
                              <w:spacing w:after="0"/>
                              <w:jc w:val="both"/>
                              <w:rPr>
                                <w:rFonts w:cs="Arial"/>
                                <w:lang w:val="fr-FR"/>
                              </w:rPr>
                            </w:pPr>
                          </w:p>
                          <w:p w:rsidR="006B1CA7" w:rsidRPr="006B1CA7" w:rsidRDefault="006B1CA7" w:rsidP="006B1CA7">
                            <w:pPr>
                              <w:spacing w:after="0"/>
                              <w:jc w:val="both"/>
                              <w:rPr>
                                <w:rFonts w:cs="Arial"/>
                                <w:lang w:val="fr-FR"/>
                              </w:rPr>
                            </w:pPr>
                            <w:r w:rsidRPr="006B1CA7">
                              <w:rPr>
                                <w:lang w:val="fr-FR"/>
                              </w:rPr>
                              <w:t xml:space="preserve">Outre les espèces susmentionnées inscrites à la CMS, une proposition d’Action concertée est faite pour les familles de </w:t>
                            </w:r>
                            <w:proofErr w:type="spellStart"/>
                            <w:r w:rsidRPr="006B1CA7">
                              <w:rPr>
                                <w:lang w:val="fr-FR"/>
                              </w:rPr>
                              <w:t>Rhinobatidae</w:t>
                            </w:r>
                            <w:proofErr w:type="spellEnd"/>
                            <w:r w:rsidRPr="006B1CA7">
                              <w:rPr>
                                <w:lang w:val="fr-FR"/>
                              </w:rPr>
                              <w:t xml:space="preserve">, de </w:t>
                            </w:r>
                            <w:proofErr w:type="spellStart"/>
                            <w:r w:rsidRPr="006B1CA7">
                              <w:rPr>
                                <w:lang w:val="fr-FR"/>
                              </w:rPr>
                              <w:t>Rhinidae</w:t>
                            </w:r>
                            <w:proofErr w:type="spellEnd"/>
                            <w:r w:rsidRPr="006B1CA7">
                              <w:rPr>
                                <w:lang w:val="fr-FR"/>
                              </w:rPr>
                              <w:t xml:space="preserve"> et de </w:t>
                            </w:r>
                            <w:proofErr w:type="spellStart"/>
                            <w:r w:rsidRPr="006B1CA7">
                              <w:rPr>
                                <w:lang w:val="fr-FR"/>
                              </w:rPr>
                              <w:t>Glaucostegidae</w:t>
                            </w:r>
                            <w:proofErr w:type="spellEnd"/>
                            <w:r w:rsidRPr="006B1CA7">
                              <w:rPr>
                                <w:lang w:val="fr-FR"/>
                              </w:rPr>
                              <w:t xml:space="preserve"> en raison de leurs besoins de conservation similaires.</w:t>
                            </w:r>
                          </w:p>
                          <w:p w:rsidR="001F739F" w:rsidRPr="00EC3E83" w:rsidRDefault="001F739F" w:rsidP="006B1CA7">
                            <w:pPr>
                              <w:widowControl w:val="0"/>
                              <w:suppressAutoHyphens w:val="0"/>
                              <w:autoSpaceDE w:val="0"/>
                              <w:spacing w:after="0"/>
                              <w:jc w:val="both"/>
                              <w:textAlignment w:val="auto"/>
                              <w:rPr>
                                <w:lang w:val="fr-FR"/>
                              </w:rPr>
                            </w:pPr>
                          </w:p>
                        </w:txbxContent>
                      </wps:txbx>
                      <wps:bodyPr vert="horz" wrap="square" lIns="91440" tIns="45720" rIns="91440" bIns="45720" anchor="t" anchorCtr="0" compatLnSpc="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61.45pt;margin-top:11.55pt;width:346.5pt;height:18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" strokeweight=".08811mm">
                <v:textbox>
                  <w:txbxContent>
                    <w:p w:rsidR="001F739F" w:rsidRPr="00EC3E83" w:rsidRDefault="00EC3E83" w:rsidP="006B1CA7">
                      <w:pPr>
                        <w:spacing w:after="0"/>
                        <w:jc w:val="both"/>
                        <w:rPr>
                          <w:lang w:val="fr-FR"/>
                        </w:rPr>
                      </w:pPr>
                      <w:r>
                        <w:rPr>
                          <w:rFonts w:eastAsia="Arial" w:cs="Arial"/>
                          <w:lang w:val="fr-FR"/>
                        </w:rPr>
                        <w:t>Résumé:</w:t>
                      </w:r>
                    </w:p>
                    <w:p w:rsidR="001F739F" w:rsidRDefault="001F739F" w:rsidP="006B1CA7">
                      <w:pPr>
                        <w:spacing w:after="0"/>
                        <w:jc w:val="both"/>
                        <w:rPr>
                          <w:rFonts w:cs="Arial"/>
                          <w:lang w:val="fr-FR"/>
                        </w:rPr>
                      </w:pPr>
                    </w:p>
                    <w:p w:rsidR="006B1CA7" w:rsidRDefault="006B1CA7" w:rsidP="006B1CA7">
                      <w:pPr>
                        <w:spacing w:after="0"/>
                        <w:jc w:val="both"/>
                        <w:rPr>
                          <w:lang w:val="fr-FR"/>
                        </w:rPr>
                      </w:pPr>
                      <w:r w:rsidRPr="006B1CA7">
                        <w:rPr>
                          <w:lang w:val="fr-FR"/>
                        </w:rPr>
                        <w:t>Le Groupe de spécialistes des requins de l’UICN a soumis la proposition ci-jointe d’Action concertée pour la guitare de mer commune (</w:t>
                      </w:r>
                      <w:proofErr w:type="spellStart"/>
                      <w:r w:rsidRPr="006B1CA7">
                        <w:rPr>
                          <w:i/>
                          <w:lang w:val="fr-FR"/>
                        </w:rPr>
                        <w:t>Rhinobatos</w:t>
                      </w:r>
                      <w:proofErr w:type="spellEnd"/>
                      <w:r w:rsidRPr="006B1CA7">
                        <w:rPr>
                          <w:i/>
                          <w:lang w:val="fr-FR"/>
                        </w:rPr>
                        <w:t xml:space="preserve"> </w:t>
                      </w:r>
                      <w:proofErr w:type="spellStart"/>
                      <w:r w:rsidRPr="006B1CA7">
                        <w:rPr>
                          <w:i/>
                          <w:lang w:val="fr-FR"/>
                        </w:rPr>
                        <w:t>rhinobatos</w:t>
                      </w:r>
                      <w:proofErr w:type="spellEnd"/>
                      <w:r w:rsidRPr="006B1CA7">
                        <w:rPr>
                          <w:lang w:val="fr-FR"/>
                        </w:rPr>
                        <w:t xml:space="preserve">) et pour </w:t>
                      </w:r>
                      <w:proofErr w:type="spellStart"/>
                      <w:r w:rsidRPr="006B1CA7">
                        <w:rPr>
                          <w:i/>
                          <w:lang w:val="fr-FR"/>
                        </w:rPr>
                        <w:t>Rhynchobatus</w:t>
                      </w:r>
                      <w:proofErr w:type="spellEnd"/>
                      <w:r w:rsidRPr="006B1CA7">
                        <w:rPr>
                          <w:i/>
                          <w:lang w:val="fr-FR"/>
                        </w:rPr>
                        <w:t xml:space="preserve"> </w:t>
                      </w:r>
                      <w:proofErr w:type="spellStart"/>
                      <w:r w:rsidRPr="006B1CA7">
                        <w:rPr>
                          <w:i/>
                          <w:lang w:val="fr-FR"/>
                        </w:rPr>
                        <w:t>australiae</w:t>
                      </w:r>
                      <w:proofErr w:type="spellEnd"/>
                      <w:r w:rsidRPr="006B1CA7">
                        <w:rPr>
                          <w:lang w:val="fr-FR"/>
                        </w:rPr>
                        <w:t>, conformément au processus décrit dans la Résolution 12.28.</w:t>
                      </w:r>
                    </w:p>
                    <w:p w:rsidR="006B1CA7" w:rsidRPr="006B1CA7" w:rsidRDefault="006B1CA7" w:rsidP="006B1CA7">
                      <w:pPr>
                        <w:spacing w:after="0"/>
                        <w:jc w:val="both"/>
                        <w:rPr>
                          <w:rFonts w:cs="Arial"/>
                          <w:lang w:val="fr-FR"/>
                        </w:rPr>
                      </w:pPr>
                    </w:p>
                    <w:p w:rsidR="006B1CA7" w:rsidRPr="006B1CA7" w:rsidRDefault="006B1CA7" w:rsidP="006B1CA7">
                      <w:pPr>
                        <w:spacing w:after="0"/>
                        <w:jc w:val="both"/>
                        <w:rPr>
                          <w:rFonts w:cs="Arial"/>
                          <w:lang w:val="fr-FR"/>
                        </w:rPr>
                      </w:pPr>
                      <w:r w:rsidRPr="006B1CA7">
                        <w:rPr>
                          <w:lang w:val="fr-FR"/>
                        </w:rPr>
                        <w:t xml:space="preserve">Outre les espèces susmentionnées inscrites à la CMS, une proposition d’Action concertée est faite pour les familles de </w:t>
                      </w:r>
                      <w:proofErr w:type="spellStart"/>
                      <w:r w:rsidRPr="006B1CA7">
                        <w:rPr>
                          <w:lang w:val="fr-FR"/>
                        </w:rPr>
                        <w:t>Rhinobatidae</w:t>
                      </w:r>
                      <w:proofErr w:type="spellEnd"/>
                      <w:r w:rsidRPr="006B1CA7">
                        <w:rPr>
                          <w:lang w:val="fr-FR"/>
                        </w:rPr>
                        <w:t xml:space="preserve">, de </w:t>
                      </w:r>
                      <w:proofErr w:type="spellStart"/>
                      <w:r w:rsidRPr="006B1CA7">
                        <w:rPr>
                          <w:lang w:val="fr-FR"/>
                        </w:rPr>
                        <w:t>Rhinidae</w:t>
                      </w:r>
                      <w:proofErr w:type="spellEnd"/>
                      <w:r w:rsidRPr="006B1CA7">
                        <w:rPr>
                          <w:lang w:val="fr-FR"/>
                        </w:rPr>
                        <w:t xml:space="preserve"> et de </w:t>
                      </w:r>
                      <w:proofErr w:type="spellStart"/>
                      <w:r w:rsidRPr="006B1CA7">
                        <w:rPr>
                          <w:lang w:val="fr-FR"/>
                        </w:rPr>
                        <w:t>Glaucostegidae</w:t>
                      </w:r>
                      <w:proofErr w:type="spellEnd"/>
                      <w:r w:rsidRPr="006B1CA7">
                        <w:rPr>
                          <w:lang w:val="fr-FR"/>
                        </w:rPr>
                        <w:t xml:space="preserve"> en raison de leurs besoins de conservation similaires.</w:t>
                      </w:r>
                    </w:p>
                    <w:p w:rsidR="001F739F" w:rsidRPr="00EC3E83" w:rsidRDefault="001F739F" w:rsidP="006B1CA7">
                      <w:pPr>
                        <w:widowControl w:val="0"/>
                        <w:suppressAutoHyphens w:val="0"/>
                        <w:autoSpaceDE w:val="0"/>
                        <w:spacing w:after="0"/>
                        <w:jc w:val="both"/>
                        <w:textAlignment w:val="auto"/>
                        <w:rPr>
                          <w:lang w:val="fr-FR"/>
                        </w:rPr>
                      </w:pPr>
                    </w:p>
                  </w:txbxContent>
                </v:textbox>
              </v:shape>
            </w:pict>
          </mc:Fallback>
        </mc:AlternateContent>
      </w: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sz w:val="21"/>
          <w:szCs w:val="21"/>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Default="001F739F">
      <w:pPr>
        <w:widowControl w:val="0"/>
        <w:autoSpaceDE w:val="0"/>
        <w:spacing w:after="0"/>
        <w:rPr>
          <w:rFonts w:eastAsia="Times New Roman" w:cs="Arial"/>
          <w:lang w:val="fr-FR"/>
        </w:rPr>
      </w:pPr>
    </w:p>
    <w:p w:rsidR="001F739F" w:rsidRPr="00EC3E83" w:rsidRDefault="00EC3E83">
      <w:pPr>
        <w:widowControl w:val="0"/>
        <w:autoSpaceDE w:val="0"/>
        <w:spacing w:after="0"/>
        <w:jc w:val="both"/>
        <w:rPr>
          <w:lang w:val="fr-FR"/>
        </w:rPr>
        <w:sectPr w:rsidR="001F739F" w:rsidRPr="00EC3E83">
          <w:headerReference w:type="even" r:id="rId9"/>
          <w:headerReference w:type="default" r:id="rId10"/>
          <w:footerReference w:type="default" r:id="rId11"/>
          <w:headerReference w:type="first" r:id="rId12"/>
          <w:footerReference w:type="first" r:id="rId13"/>
          <w:pgSz w:w="11905" w:h="16837"/>
          <w:pgMar w:top="1008" w:right="1411" w:bottom="1152" w:left="1411" w:header="432" w:footer="432" w:gutter="0"/>
          <w:cols w:space="720"/>
          <w:titlePg/>
        </w:sectPr>
      </w:pPr>
      <w:r>
        <w:rPr>
          <w:rFonts w:eastAsia="Times New Roman" w:cs="Arial"/>
          <w:sz w:val="18"/>
          <w:szCs w:val="24"/>
          <w:lang w:val="fr-FR"/>
        </w:rPr>
        <w:t>* Les appellations géographiques utilisées dans ce document n'impliquent d'aucune manière l'opinion de la part du Secrétariat de la CMS (ou du Programme des Nations Unies pour l'Environnement) concernant le statut juridique de tout pays, territoire ou zone ou concernant la délimitation de ses frontières ou limites. La responsabilité du contenu du document repose exclusivement sur son auteur.</w:t>
      </w:r>
    </w:p>
    <w:p w:rsid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ind w:left="720"/>
        <w:jc w:val="both"/>
        <w:outlineLvl w:val="1"/>
        <w:rPr>
          <w:rFonts w:eastAsia="MS Mincho" w:cs="Arial"/>
          <w:b/>
          <w:color w:val="000000"/>
          <w:lang w:val="fr-FR" w:eastAsia="ja-JP"/>
        </w:rPr>
      </w:pP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Arial" w:cs="Arial"/>
          <w:b/>
          <w:bCs/>
          <w:caps/>
          <w:lang w:val="fr-FR"/>
        </w:rPr>
      </w:pPr>
      <w:r w:rsidRPr="006B1CA7">
        <w:rPr>
          <w:rFonts w:eastAsia="Arial" w:cs="Arial"/>
          <w:b/>
          <w:bCs/>
          <w:caps/>
          <w:lang w:val="fr-FR"/>
        </w:rPr>
        <w:t>PROPOSITION D’ACTION CONCERTÉE POUR</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Arial" w:cs="Arial"/>
          <w:b/>
          <w:bCs/>
          <w:caps/>
          <w:lang w:val="fr-FR"/>
        </w:rPr>
      </w:pPr>
      <w:r w:rsidRPr="006B1CA7">
        <w:rPr>
          <w:rStyle w:val="CharAttribute19"/>
          <w:rFonts w:eastAsia="Calibri"/>
          <w:lang w:val="fr-FR"/>
        </w:rPr>
        <w:t>LA GUITARE DE MER COMMUNE</w:t>
      </w:r>
      <w:r w:rsidRPr="006B1CA7">
        <w:rPr>
          <w:rFonts w:eastAsia="Arial" w:cs="Arial"/>
          <w:b/>
          <w:bCs/>
          <w:caps/>
          <w:lang w:val="fr-FR"/>
        </w:rPr>
        <w:t xml:space="preserve"> (</w:t>
      </w:r>
      <w:proofErr w:type="spellStart"/>
      <w:r w:rsidRPr="006B1CA7">
        <w:rPr>
          <w:rStyle w:val="CharAttribute20"/>
          <w:rFonts w:eastAsia="Calibri"/>
          <w:lang w:val="fr-FR"/>
        </w:rPr>
        <w:t>Rhinobatos</w:t>
      </w:r>
      <w:proofErr w:type="spellEnd"/>
      <w:r w:rsidRPr="006B1CA7">
        <w:rPr>
          <w:rStyle w:val="CharAttribute20"/>
          <w:rFonts w:eastAsia="Calibri"/>
          <w:lang w:val="fr-FR"/>
        </w:rPr>
        <w:t xml:space="preserve"> </w:t>
      </w:r>
      <w:proofErr w:type="spellStart"/>
      <w:r w:rsidRPr="006B1CA7">
        <w:rPr>
          <w:rStyle w:val="CharAttribute20"/>
          <w:rFonts w:eastAsia="Calibri"/>
          <w:lang w:val="fr-FR"/>
        </w:rPr>
        <w:t>rhinobatos</w:t>
      </w:r>
      <w:proofErr w:type="spellEnd"/>
      <w:r w:rsidRPr="006B1CA7">
        <w:rPr>
          <w:rFonts w:eastAsia="Arial" w:cs="Arial"/>
          <w:b/>
          <w:bCs/>
          <w:caps/>
          <w:lang w:val="fr-FR"/>
        </w:rPr>
        <w:t>) ET</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Arial" w:cs="Arial"/>
          <w:b/>
          <w:bCs/>
          <w:caps/>
          <w:lang w:val="fr-FR"/>
        </w:rPr>
      </w:pPr>
      <w:proofErr w:type="spellStart"/>
      <w:r w:rsidRPr="006B1CA7">
        <w:rPr>
          <w:rStyle w:val="CharAttribute20"/>
          <w:rFonts w:eastAsia="Calibri"/>
          <w:lang w:val="fr-FR"/>
        </w:rPr>
        <w:t>Rhynchobatus</w:t>
      </w:r>
      <w:proofErr w:type="spellEnd"/>
      <w:r w:rsidRPr="006B1CA7">
        <w:rPr>
          <w:rStyle w:val="CharAttribute20"/>
          <w:rFonts w:eastAsia="Calibri"/>
          <w:lang w:val="fr-FR"/>
        </w:rPr>
        <w:t xml:space="preserve"> </w:t>
      </w:r>
      <w:proofErr w:type="spellStart"/>
      <w:r w:rsidRPr="006B1CA7">
        <w:rPr>
          <w:rStyle w:val="CharAttribute20"/>
          <w:rFonts w:eastAsia="Calibri"/>
          <w:lang w:val="fr-FR"/>
        </w:rPr>
        <w:t>australiae</w:t>
      </w:r>
      <w:proofErr w:type="spellEnd"/>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Arial" w:cs="Arial"/>
          <w:b/>
          <w:bCs/>
          <w:caps/>
          <w:lang w:val="fr-FR"/>
        </w:rPr>
      </w:pPr>
      <w:r w:rsidRPr="006B1CA7">
        <w:rPr>
          <w:rFonts w:eastAsia="Arial" w:cs="Arial"/>
          <w:b/>
          <w:bCs/>
          <w:caps/>
          <w:lang w:val="fr-FR"/>
        </w:rPr>
        <w:t xml:space="preserve">dÉJÀ INSCRITS À L’ANNEXE II DE LA CONVENTION, AINSI QUE </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lang w:val="fr-FR"/>
        </w:rPr>
      </w:pPr>
      <w:r w:rsidRPr="006B1CA7">
        <w:rPr>
          <w:rFonts w:eastAsia="Arial" w:cs="Arial"/>
          <w:b/>
          <w:bCs/>
          <w:caps/>
          <w:lang w:val="fr-FR"/>
        </w:rPr>
        <w:t xml:space="preserve">POUR LES FAMILLES DE </w:t>
      </w:r>
      <w:r w:rsidRPr="006B1CA7">
        <w:rPr>
          <w:rStyle w:val="CharAttribute19"/>
          <w:rFonts w:eastAsia="Calibri"/>
          <w:lang w:val="fr-FR"/>
        </w:rPr>
        <w:t>RHINOBATIDAE ET DE GLAUCOSTEGIDAE</w:t>
      </w:r>
      <w:r w:rsidRPr="006B1CA7">
        <w:rPr>
          <w:rFonts w:eastAsia="Times New Roman" w:cs="Arial"/>
          <w:lang w:val="fr-FR"/>
        </w:rPr>
        <w:t xml:space="preserve"> *</w:t>
      </w:r>
    </w:p>
    <w:p w:rsid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ind w:left="720"/>
        <w:jc w:val="both"/>
        <w:outlineLvl w:val="1"/>
        <w:rPr>
          <w:rFonts w:eastAsia="MS Mincho" w:cs="Arial"/>
          <w:b/>
          <w:color w:val="000000"/>
          <w:lang w:val="fr-FR" w:eastAsia="ja-JP"/>
        </w:rPr>
      </w:pPr>
    </w:p>
    <w:p w:rsid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ind w:left="720"/>
        <w:jc w:val="both"/>
        <w:outlineLvl w:val="1"/>
        <w:rPr>
          <w:rFonts w:eastAsia="MS Mincho" w:cs="Arial"/>
          <w:b/>
          <w:color w:val="000000"/>
          <w:lang w:val="fr-FR" w:eastAsia="ja-JP"/>
        </w:rPr>
      </w:pPr>
    </w:p>
    <w:p w:rsidR="006B1CA7" w:rsidRPr="006B1CA7" w:rsidRDefault="006B1CA7" w:rsidP="006B1CA7">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b/>
          <w:color w:val="000000"/>
          <w:lang w:val="fr-FR" w:eastAsia="ja-JP"/>
        </w:rPr>
      </w:pPr>
      <w:r w:rsidRPr="006B1CA7">
        <w:rPr>
          <w:rFonts w:eastAsia="MS Mincho" w:cs="Arial"/>
          <w:b/>
          <w:color w:val="000000"/>
          <w:lang w:val="fr-FR" w:eastAsia="ja-JP"/>
        </w:rPr>
        <w:t>Auteur de la proposition :</w:t>
      </w:r>
      <w:r w:rsidRPr="006B1CA7">
        <w:rPr>
          <w:rFonts w:eastAsia="MS Mincho" w:cs="Arial"/>
          <w:color w:val="000000"/>
          <w:lang w:val="fr-FR" w:eastAsia="ja-JP"/>
        </w:rPr>
        <w:t xml:space="preserve"> Union internationale pour la conservation de la nature (UICN) - </w:t>
      </w:r>
      <w:r w:rsidRPr="006B1CA7">
        <w:rPr>
          <w:rFonts w:eastAsia="MS Mincho" w:cs="Arial"/>
          <w:bCs/>
          <w:color w:val="000000"/>
          <w:lang w:val="fr-FR" w:eastAsia="ja-JP"/>
        </w:rPr>
        <w:t>Groupe de spécialistes des requins de la Commission pour la survie des espèces de l’UICN (CSE de l’UICN)</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b/>
          <w:color w:val="000000"/>
          <w:lang w:val="fr-FR" w:eastAsia="ja-JP"/>
        </w:rPr>
      </w:pPr>
    </w:p>
    <w:p w:rsid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Pr>
          <w:rFonts w:eastAsia="MS Mincho" w:cs="Arial"/>
          <w:color w:val="000000"/>
          <w:lang w:val="fr-FR" w:eastAsia="ja-JP"/>
        </w:rPr>
        <w:tab/>
      </w:r>
      <w:r w:rsidRPr="006B1CA7">
        <w:rPr>
          <w:rFonts w:eastAsia="MS Mincho" w:cs="Arial"/>
          <w:color w:val="000000"/>
          <w:lang w:val="fr-FR" w:eastAsia="ja-JP"/>
        </w:rPr>
        <w:t>La CSE de l’UICN est depuis longtemps une source fiable d’informations et de conseils scientifiques sur les requins et leurs parents (classe des Chondrichtyens : requins, raies et chimères) et assure le leadership pour la conservation des espèces et des populations menacées de tous les poissons-chondrichtyens. Elle compte 171 membres de 55 pays répartis dans 12 sous-groupes des régions océaniques. La mission de la CSE de l’UICN est d’assurer la conservation, la gestion et, au besoin, le rétablissement des requins, des raies et des chimères du monde entier en mobilisant l’expertise technique et scientifique mondiale pour fournir les connaissances qui permettent d’agir.</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Pr>
          <w:rFonts w:eastAsia="MS Mincho" w:cs="Arial"/>
          <w:color w:val="000000"/>
          <w:lang w:val="fr-FR" w:eastAsia="ja-JP"/>
        </w:rPr>
        <w:tab/>
      </w:r>
      <w:r w:rsidRPr="006B1CA7">
        <w:rPr>
          <w:rFonts w:eastAsia="MS Mincho" w:cs="Arial"/>
          <w:color w:val="000000"/>
          <w:lang w:val="fr-FR" w:eastAsia="ja-JP"/>
        </w:rPr>
        <w:t>L’UICN et le Secrétariat de la CMS ont signé un Mémorandum de coopération en 2003 qui mentionne un certain nombre d’activités conjointes, notamment pour :  </w:t>
      </w:r>
    </w:p>
    <w:p w:rsidR="006B1CA7" w:rsidRPr="006B1CA7" w:rsidRDefault="006B1CA7" w:rsidP="006B1CA7">
      <w:pPr>
        <w:widowControl w:val="0"/>
        <w:numPr>
          <w:ilvl w:val="0"/>
          <w:numId w:val="13"/>
        </w:numPr>
        <w:pBdr>
          <w:top w:val="single" w:sz="6" w:space="0" w:color="FFFFFF"/>
          <w:left w:val="single" w:sz="6" w:space="0" w:color="FFFFFF"/>
          <w:bottom w:val="single" w:sz="6" w:space="0" w:color="FFFFFF"/>
          <w:right w:val="single" w:sz="6" w:space="0" w:color="FFFFFF"/>
        </w:pBdr>
        <w:autoSpaceDE w:val="0"/>
        <w:spacing w:after="0"/>
        <w:ind w:left="1134" w:hanging="567"/>
        <w:jc w:val="both"/>
        <w:outlineLvl w:val="1"/>
        <w:rPr>
          <w:rFonts w:eastAsia="MS Mincho" w:cs="Arial"/>
          <w:color w:val="000000"/>
          <w:lang w:val="fr-FR" w:eastAsia="ja-JP"/>
        </w:rPr>
      </w:pPr>
      <w:r w:rsidRPr="006B1CA7">
        <w:rPr>
          <w:rFonts w:eastAsia="MS Mincho" w:cs="Arial"/>
          <w:color w:val="000000"/>
          <w:lang w:val="fr-FR" w:eastAsia="ja-JP"/>
        </w:rPr>
        <w:t>fournir des avis scientifiques et techniques sur l’état et les besoins de conservation de certaines espèces migratrices ;</w:t>
      </w:r>
    </w:p>
    <w:p w:rsidR="006B1CA7" w:rsidRPr="006B1CA7" w:rsidRDefault="006B1CA7" w:rsidP="006B1CA7">
      <w:pPr>
        <w:widowControl w:val="0"/>
        <w:numPr>
          <w:ilvl w:val="0"/>
          <w:numId w:val="13"/>
        </w:numPr>
        <w:pBdr>
          <w:top w:val="single" w:sz="6" w:space="0" w:color="FFFFFF"/>
          <w:left w:val="single" w:sz="6" w:space="0" w:color="FFFFFF"/>
          <w:bottom w:val="single" w:sz="6" w:space="0" w:color="FFFFFF"/>
          <w:right w:val="single" w:sz="6" w:space="0" w:color="FFFFFF"/>
        </w:pBdr>
        <w:autoSpaceDE w:val="0"/>
        <w:spacing w:after="0"/>
        <w:ind w:left="1134" w:hanging="567"/>
        <w:jc w:val="both"/>
        <w:outlineLvl w:val="1"/>
        <w:rPr>
          <w:rFonts w:eastAsia="MS Mincho" w:cs="Arial"/>
          <w:color w:val="000000"/>
          <w:lang w:val="fr-FR" w:eastAsia="ja-JP"/>
        </w:rPr>
      </w:pPr>
      <w:r w:rsidRPr="006B1CA7">
        <w:rPr>
          <w:rFonts w:eastAsia="MS Mincho" w:cs="Arial"/>
          <w:color w:val="000000"/>
          <w:lang w:val="fr-FR" w:eastAsia="ja-JP"/>
        </w:rPr>
        <w:t>fournir une assistance technique en vue d’élaborer et mettre en œuvre des plans d’action pour les espèces migratrices qui font, ou devraient faire, l’objet d’Accords ou de Mémorandums d’Entente entre ou parmi les États de l’aire de répartition ;</w:t>
      </w:r>
    </w:p>
    <w:p w:rsidR="006B1CA7" w:rsidRPr="006B1CA7" w:rsidRDefault="006B1CA7" w:rsidP="006B1CA7">
      <w:pPr>
        <w:widowControl w:val="0"/>
        <w:numPr>
          <w:ilvl w:val="0"/>
          <w:numId w:val="13"/>
        </w:numPr>
        <w:pBdr>
          <w:top w:val="single" w:sz="6" w:space="0" w:color="FFFFFF"/>
          <w:left w:val="single" w:sz="6" w:space="0" w:color="FFFFFF"/>
          <w:bottom w:val="single" w:sz="6" w:space="0" w:color="FFFFFF"/>
          <w:right w:val="single" w:sz="6" w:space="0" w:color="FFFFFF"/>
        </w:pBdr>
        <w:autoSpaceDE w:val="0"/>
        <w:spacing w:after="0"/>
        <w:ind w:left="1134" w:hanging="567"/>
        <w:jc w:val="both"/>
        <w:outlineLvl w:val="1"/>
        <w:rPr>
          <w:rFonts w:eastAsia="MS Mincho" w:cs="Arial"/>
          <w:color w:val="000000"/>
          <w:lang w:val="fr-FR" w:eastAsia="ja-JP"/>
        </w:rPr>
      </w:pPr>
      <w:r w:rsidRPr="006B1CA7">
        <w:rPr>
          <w:rFonts w:eastAsia="MS Mincho" w:cs="Arial"/>
          <w:color w:val="000000"/>
          <w:lang w:val="fr-FR" w:eastAsia="ja-JP"/>
        </w:rPr>
        <w:t xml:space="preserve">élaborer des lignes directrices en vue d’aider à la mise en œuvre de la CMS et des Accords ou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conclus sous ses auspices ; et</w:t>
      </w:r>
    </w:p>
    <w:p w:rsidR="006B1CA7" w:rsidRDefault="006B1CA7" w:rsidP="006B1CA7">
      <w:pPr>
        <w:widowControl w:val="0"/>
        <w:numPr>
          <w:ilvl w:val="0"/>
          <w:numId w:val="13"/>
        </w:numPr>
        <w:pBdr>
          <w:top w:val="single" w:sz="6" w:space="0" w:color="FFFFFF"/>
          <w:left w:val="single" w:sz="6" w:space="0" w:color="FFFFFF"/>
          <w:bottom w:val="single" w:sz="6" w:space="0" w:color="FFFFFF"/>
          <w:right w:val="single" w:sz="6" w:space="0" w:color="FFFFFF"/>
        </w:pBdr>
        <w:autoSpaceDE w:val="0"/>
        <w:spacing w:after="0"/>
        <w:ind w:left="1134" w:hanging="567"/>
        <w:jc w:val="both"/>
        <w:outlineLvl w:val="1"/>
        <w:rPr>
          <w:rFonts w:eastAsia="MS Mincho" w:cs="Arial"/>
          <w:color w:val="000000"/>
          <w:lang w:val="fr-FR" w:eastAsia="ja-JP"/>
        </w:rPr>
      </w:pPr>
      <w:r w:rsidRPr="006B1CA7">
        <w:rPr>
          <w:rFonts w:eastAsia="MS Mincho" w:cs="Arial"/>
          <w:color w:val="000000"/>
          <w:lang w:val="fr-FR" w:eastAsia="ja-JP"/>
        </w:rPr>
        <w:t>aider ou soutenir le renforcement des capacités, la recherche, la formation et la sensibilisation du public.</w:t>
      </w:r>
    </w:p>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1134"/>
        <w:jc w:val="both"/>
        <w:outlineLvl w:val="1"/>
        <w:rPr>
          <w:rFonts w:eastAsia="MS Mincho" w:cs="Arial"/>
          <w:color w:val="000000"/>
          <w:lang w:val="fr-FR" w:eastAsia="ja-JP"/>
        </w:rPr>
      </w:pPr>
    </w:p>
    <w:p w:rsidR="006B1CA7" w:rsidRPr="006B1CA7" w:rsidRDefault="006B1CA7" w:rsidP="006B1CA7">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Espèces cibles, taxon ou population inférieurs ou groupe de taxons ayant des besoins communs :</w:t>
      </w:r>
      <w:r w:rsidRPr="006B1CA7">
        <w:rPr>
          <w:rFonts w:eastAsia="MS Mincho" w:cs="Arial"/>
          <w:color w:val="000000"/>
          <w:lang w:val="fr-FR" w:eastAsia="ja-JP"/>
        </w:rPr>
        <w:t xml:space="preserve"> </w:t>
      </w:r>
    </w:p>
    <w:p w:rsidR="006B1CA7"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Pr>
          <w:rFonts w:eastAsia="MS Mincho" w:cs="Arial"/>
          <w:color w:val="000000"/>
          <w:lang w:val="fr-FR" w:eastAsia="ja-JP"/>
        </w:rPr>
        <w:tab/>
      </w:r>
      <w:r w:rsidR="006B1CA7" w:rsidRPr="006B1CA7">
        <w:rPr>
          <w:rFonts w:eastAsia="MS Mincho" w:cs="Arial"/>
          <w:color w:val="000000"/>
          <w:lang w:val="fr-FR" w:eastAsia="ja-JP"/>
        </w:rPr>
        <w:t>La présente Action concertée concerne deux espèces (</w:t>
      </w:r>
      <w:proofErr w:type="spellStart"/>
      <w:r w:rsidR="006B1CA7" w:rsidRPr="006B1CA7">
        <w:rPr>
          <w:rFonts w:eastAsia="MS Mincho" w:cs="Arial"/>
          <w:i/>
          <w:color w:val="000000"/>
          <w:lang w:val="fr-FR" w:eastAsia="ja-JP"/>
        </w:rPr>
        <w:t>Rhinobatos</w:t>
      </w:r>
      <w:proofErr w:type="spellEnd"/>
      <w:r w:rsidR="006B1CA7" w:rsidRPr="006B1CA7">
        <w:rPr>
          <w:rFonts w:eastAsia="MS Mincho" w:cs="Arial"/>
          <w:i/>
          <w:color w:val="000000"/>
          <w:lang w:val="fr-FR" w:eastAsia="ja-JP"/>
        </w:rPr>
        <w:t xml:space="preserve"> </w:t>
      </w:r>
      <w:proofErr w:type="spellStart"/>
      <w:r w:rsidR="006B1CA7" w:rsidRPr="006B1CA7">
        <w:rPr>
          <w:rFonts w:eastAsia="MS Mincho" w:cs="Arial"/>
          <w:i/>
          <w:color w:val="000000"/>
          <w:lang w:val="fr-FR" w:eastAsia="ja-JP"/>
        </w:rPr>
        <w:t>rhinobatos</w:t>
      </w:r>
      <w:proofErr w:type="spellEnd"/>
      <w:r w:rsidR="006B1CA7" w:rsidRPr="006B1CA7">
        <w:rPr>
          <w:rFonts w:eastAsia="MS Mincho" w:cs="Arial"/>
          <w:color w:val="000000"/>
          <w:lang w:val="fr-FR" w:eastAsia="ja-JP"/>
        </w:rPr>
        <w:t xml:space="preserve"> et </w:t>
      </w:r>
      <w:proofErr w:type="spellStart"/>
      <w:r w:rsidR="006B1CA7" w:rsidRPr="006B1CA7">
        <w:rPr>
          <w:rFonts w:eastAsia="MS Mincho" w:cs="Arial"/>
          <w:i/>
          <w:color w:val="000000"/>
          <w:lang w:val="fr-FR" w:eastAsia="ja-JP"/>
        </w:rPr>
        <w:t>Rhynchobatus</w:t>
      </w:r>
      <w:proofErr w:type="spellEnd"/>
      <w:r w:rsidR="006B1CA7" w:rsidRPr="006B1CA7">
        <w:rPr>
          <w:rFonts w:eastAsia="MS Mincho" w:cs="Arial"/>
          <w:i/>
          <w:color w:val="000000"/>
          <w:lang w:val="fr-FR" w:eastAsia="ja-JP"/>
        </w:rPr>
        <w:t xml:space="preserve"> </w:t>
      </w:r>
      <w:proofErr w:type="spellStart"/>
      <w:r w:rsidR="006B1CA7" w:rsidRPr="006B1CA7">
        <w:rPr>
          <w:rFonts w:eastAsia="MS Mincho" w:cs="Arial"/>
          <w:i/>
          <w:color w:val="000000"/>
          <w:lang w:val="fr-FR" w:eastAsia="ja-JP"/>
        </w:rPr>
        <w:t>australiae</w:t>
      </w:r>
      <w:proofErr w:type="spellEnd"/>
      <w:r w:rsidR="006B1CA7" w:rsidRPr="006B1CA7">
        <w:rPr>
          <w:rFonts w:eastAsia="MS Mincho" w:cs="Arial"/>
          <w:color w:val="000000"/>
          <w:lang w:val="fr-FR" w:eastAsia="ja-JP"/>
        </w:rPr>
        <w:t>) actuellement inscrites à l’Annexe II de la CMS, ainsi que trois familles d’espèces semblables (</w:t>
      </w:r>
      <w:proofErr w:type="spellStart"/>
      <w:r w:rsidR="006B1CA7" w:rsidRPr="006B1CA7">
        <w:rPr>
          <w:rFonts w:eastAsia="MS Mincho" w:cs="Arial"/>
          <w:color w:val="000000"/>
          <w:lang w:val="fr-FR" w:eastAsia="ja-JP"/>
        </w:rPr>
        <w:t>Rhinobatidae</w:t>
      </w:r>
      <w:proofErr w:type="spellEnd"/>
      <w:r w:rsidR="006B1CA7" w:rsidRPr="006B1CA7">
        <w:rPr>
          <w:rFonts w:eastAsia="MS Mincho" w:cs="Arial"/>
          <w:color w:val="000000"/>
          <w:lang w:val="fr-FR" w:eastAsia="ja-JP"/>
        </w:rPr>
        <w:t xml:space="preserve">, </w:t>
      </w:r>
      <w:proofErr w:type="spellStart"/>
      <w:r w:rsidR="006B1CA7" w:rsidRPr="006B1CA7">
        <w:rPr>
          <w:rFonts w:eastAsia="MS Mincho" w:cs="Arial"/>
          <w:color w:val="000000"/>
          <w:lang w:val="fr-FR" w:eastAsia="ja-JP"/>
        </w:rPr>
        <w:t>Rhinidae</w:t>
      </w:r>
      <w:proofErr w:type="spellEnd"/>
      <w:r w:rsidR="006B1CA7" w:rsidRPr="006B1CA7">
        <w:rPr>
          <w:rFonts w:eastAsia="MS Mincho" w:cs="Arial"/>
          <w:color w:val="000000"/>
          <w:lang w:val="fr-FR" w:eastAsia="ja-JP"/>
        </w:rPr>
        <w:t xml:space="preserve"> et </w:t>
      </w:r>
      <w:proofErr w:type="spellStart"/>
      <w:r w:rsidR="006B1CA7" w:rsidRPr="006B1CA7">
        <w:rPr>
          <w:rFonts w:eastAsia="MS Mincho" w:cs="Arial"/>
          <w:color w:val="000000"/>
          <w:lang w:val="fr-FR" w:eastAsia="ja-JP"/>
        </w:rPr>
        <w:t>Glaucostegidae</w:t>
      </w:r>
      <w:proofErr w:type="spellEnd"/>
      <w:r w:rsidR="006B1CA7" w:rsidRPr="006B1CA7">
        <w:rPr>
          <w:rFonts w:eastAsia="MS Mincho" w:cs="Arial"/>
          <w:color w:val="000000"/>
          <w:lang w:val="fr-FR" w:eastAsia="ja-JP"/>
        </w:rPr>
        <w:t>) qui font face aux mêmes menaces. Les espèces répertoriées appartiennent à deux des trois familles ; les détails sont donnés ci-dessous :</w:t>
      </w:r>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Classe : </w:t>
      </w:r>
      <w:proofErr w:type="spellStart"/>
      <w:r w:rsidRPr="006B1CA7">
        <w:rPr>
          <w:rFonts w:eastAsia="MS Mincho" w:cs="Arial"/>
          <w:color w:val="000000"/>
          <w:lang w:val="fr-FR" w:eastAsia="ja-JP"/>
        </w:rPr>
        <w:t>Chondrichthyes</w:t>
      </w:r>
      <w:proofErr w:type="spellEnd"/>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Ordre : </w:t>
      </w:r>
      <w:proofErr w:type="spellStart"/>
      <w:r w:rsidRPr="006B1CA7">
        <w:rPr>
          <w:rFonts w:eastAsia="MS Mincho" w:cs="Arial"/>
          <w:color w:val="000000"/>
          <w:lang w:val="fr-FR" w:eastAsia="ja-JP"/>
        </w:rPr>
        <w:t>Rhinopristiformes</w:t>
      </w:r>
      <w:proofErr w:type="spellEnd"/>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Famille : </w:t>
      </w:r>
      <w:proofErr w:type="spellStart"/>
      <w:r w:rsidRPr="006B1CA7">
        <w:rPr>
          <w:rFonts w:eastAsia="MS Mincho" w:cs="Arial"/>
          <w:color w:val="000000"/>
          <w:lang w:val="fr-FR" w:eastAsia="ja-JP"/>
        </w:rPr>
        <w:t>Rhinobatidae</w:t>
      </w:r>
      <w:proofErr w:type="spellEnd"/>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Espèce : </w:t>
      </w: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 guitare de mer commune</w:t>
      </w:r>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Classe : </w:t>
      </w:r>
      <w:proofErr w:type="spellStart"/>
      <w:r w:rsidRPr="006B1CA7">
        <w:rPr>
          <w:rFonts w:eastAsia="MS Mincho" w:cs="Arial"/>
          <w:color w:val="000000"/>
          <w:lang w:val="fr-FR" w:eastAsia="ja-JP"/>
        </w:rPr>
        <w:t>Chondrichthyes</w:t>
      </w:r>
      <w:proofErr w:type="spellEnd"/>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Ordre : </w:t>
      </w:r>
      <w:proofErr w:type="spellStart"/>
      <w:r w:rsidRPr="006B1CA7">
        <w:rPr>
          <w:rFonts w:eastAsia="MS Mincho" w:cs="Arial"/>
          <w:color w:val="000000"/>
          <w:lang w:val="fr-FR" w:eastAsia="ja-JP"/>
        </w:rPr>
        <w:t>Rhinopristiformes</w:t>
      </w:r>
      <w:proofErr w:type="spellEnd"/>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Famille : </w:t>
      </w:r>
      <w:proofErr w:type="spellStart"/>
      <w:r w:rsidRPr="006B1CA7">
        <w:rPr>
          <w:rFonts w:eastAsia="MS Mincho" w:cs="Arial"/>
          <w:color w:val="000000"/>
          <w:lang w:val="fr-FR" w:eastAsia="ja-JP"/>
        </w:rPr>
        <w:t>Rhinidae</w:t>
      </w:r>
      <w:proofErr w:type="spellEnd"/>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Espèce : </w:t>
      </w:r>
      <w:proofErr w:type="spellStart"/>
      <w:r w:rsidRPr="006B1CA7">
        <w:rPr>
          <w:rFonts w:eastAsia="MS Mincho" w:cs="Arial"/>
          <w:i/>
          <w:color w:val="000000"/>
          <w:lang w:val="fr-FR" w:eastAsia="ja-JP"/>
        </w:rPr>
        <w:t>Rhynchobatus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australiae</w:t>
      </w:r>
      <w:proofErr w:type="spellEnd"/>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p w:rsid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Étant donné que l’identification au niveau de l’espèce peut être difficile, et que les menaces et le statut sont similaires au sein des familles de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(guitares de mer), de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wedgefish</w:t>
      </w:r>
      <w:proofErr w:type="spellEnd"/>
      <w:r w:rsidRPr="006B1CA7">
        <w:rPr>
          <w:rFonts w:eastAsia="MS Mincho" w:cs="Arial"/>
          <w:color w:val="000000"/>
          <w:lang w:val="fr-FR" w:eastAsia="ja-JP"/>
        </w:rPr>
        <w:t xml:space="preserve">) et de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xml:space="preserve"> (guitares de mer géantes), la CSE de l’UICN propose de toutes les inclure dans la présente Action concertée de la CMS.</w:t>
      </w:r>
    </w:p>
    <w:p w:rsidR="00267CB3"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267CB3"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 Raie rhino » (Rhino Ray en anglais) est une expression utilisée pour désigner collectivement les cinq familles comprises dans l’ordre des </w:t>
      </w:r>
      <w:proofErr w:type="spellStart"/>
      <w:r w:rsidRPr="006B1CA7">
        <w:rPr>
          <w:rFonts w:eastAsia="MS Mincho" w:cs="Arial"/>
          <w:color w:val="000000"/>
          <w:lang w:val="fr-FR" w:eastAsia="ja-JP"/>
        </w:rPr>
        <w:t>Rhinopristiformes</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Pristidae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xml:space="preserve"> et </w:t>
      </w:r>
      <w:proofErr w:type="spellStart"/>
      <w:r w:rsidRPr="006B1CA7">
        <w:rPr>
          <w:rFonts w:eastAsia="MS Mincho" w:cs="Arial"/>
          <w:color w:val="000000"/>
          <w:lang w:val="fr-FR" w:eastAsia="ja-JP"/>
        </w:rPr>
        <w:t>Trygonorrhinidae</w:t>
      </w:r>
      <w:proofErr w:type="spellEnd"/>
      <w:r w:rsidRPr="006B1CA7">
        <w:rPr>
          <w:rFonts w:eastAsia="MS Mincho" w:cs="Arial"/>
          <w:color w:val="000000"/>
          <w:lang w:val="fr-FR" w:eastAsia="ja-JP"/>
        </w:rPr>
        <w:t xml:space="preserve">). Aux fins du présent document, nous utiliserons l’expression « raie rhino » pour désigner de façon spécifique les trois familles de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de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et de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w:t>
      </w:r>
    </w:p>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Ci-dessous, nous fournirons des détails concernant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et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en particulier, comme elles sont actuellement inscrites à l’Annexe II de la CMS, et plus généralement concernant les trois familles.</w:t>
      </w:r>
    </w:p>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267CB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Répartition géographique :</w:t>
      </w:r>
    </w:p>
    <w:p w:rsid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Les trois familles de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de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et de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xml:space="preserve"> (raies rhinos) étaient auparavant fréquentes dans les habitats à fond mou des eaux peu profondes et chaudes du monde entier. </w:t>
      </w:r>
    </w:p>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L’aire de répartition géographique générale des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peut être divisée en trois genres : les espèces du genre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sont présentes du Pacifique centre-ouest à l’Atlantique centre-est, y compris la mer Méditerranée ; les </w:t>
      </w:r>
      <w:proofErr w:type="spellStart"/>
      <w:r w:rsidRPr="006B1CA7">
        <w:rPr>
          <w:rFonts w:eastAsia="MS Mincho" w:cs="Arial"/>
          <w:i/>
          <w:color w:val="000000"/>
          <w:lang w:val="fr-FR" w:eastAsia="ja-JP"/>
        </w:rPr>
        <w:t>Acroteriobatus</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spp</w:t>
      </w:r>
      <w:proofErr w:type="spellEnd"/>
      <w:r w:rsidRPr="006B1CA7">
        <w:rPr>
          <w:rFonts w:eastAsia="MS Mincho" w:cs="Arial"/>
          <w:color w:val="000000"/>
          <w:lang w:val="fr-FR" w:eastAsia="ja-JP"/>
        </w:rPr>
        <w:t xml:space="preserve">. sont présentes dans l’océan Indien occidental et dans l’Atlantique sud-est ; et les </w:t>
      </w:r>
      <w:proofErr w:type="spellStart"/>
      <w:r w:rsidRPr="006B1CA7">
        <w:rPr>
          <w:rFonts w:eastAsia="MS Mincho" w:cs="Arial"/>
          <w:i/>
          <w:color w:val="000000"/>
          <w:lang w:val="fr-FR" w:eastAsia="ja-JP"/>
        </w:rPr>
        <w:t>Pseudobatos</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spp</w:t>
      </w:r>
      <w:proofErr w:type="spellEnd"/>
      <w:r w:rsidRPr="006B1CA7">
        <w:rPr>
          <w:rFonts w:eastAsia="MS Mincho" w:cs="Arial"/>
          <w:color w:val="000000"/>
          <w:lang w:val="fr-FR" w:eastAsia="ja-JP"/>
        </w:rPr>
        <w:t xml:space="preserve">. sont présentes dans le Pacifique centre-est et sud-est, dans l’Atlantique centre-ouest et sud-ouest. </w:t>
      </w:r>
    </w:p>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Les espèces de la famille des </w:t>
      </w:r>
      <w:proofErr w:type="spellStart"/>
      <w:r w:rsidRPr="006B1CA7">
        <w:rPr>
          <w:rFonts w:eastAsia="MS Mincho" w:cs="Arial"/>
          <w:color w:val="000000"/>
          <w:lang w:val="fr-FR" w:eastAsia="ja-JP"/>
        </w:rPr>
        <w:t>Rinidae</w:t>
      </w:r>
      <w:proofErr w:type="spellEnd"/>
      <w:r w:rsidRPr="006B1CA7">
        <w:rPr>
          <w:rFonts w:eastAsia="MS Mincho" w:cs="Arial"/>
          <w:color w:val="000000"/>
          <w:lang w:val="fr-FR" w:eastAsia="ja-JP"/>
        </w:rPr>
        <w:t xml:space="preserve"> sont présentes principalement dans la région Indo-Ouest Pacifique, deux espèces résidant dans l’Atlantique centre-est le long de la côte ouest-africaine. </w:t>
      </w:r>
    </w:p>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Le centre de diversité de la famille des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xml:space="preserve"> est la région Indo-Ouest Pacifique, avec une espèce en Méditerranée et dans le sud de l’Atlantique centre-est le long de la côte ouest-africaine.</w:t>
      </w:r>
    </w:p>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La guitare de mer commune</w:t>
      </w:r>
      <w:r w:rsidRPr="006B1CA7">
        <w:rPr>
          <w:rFonts w:eastAsia="MS Mincho" w:cs="Arial"/>
          <w:i/>
          <w:color w:val="000000"/>
          <w:lang w:val="fr-FR" w:eastAsia="ja-JP"/>
        </w:rPr>
        <w:t xml:space="preserve"> </w:t>
      </w:r>
      <w:r w:rsidRPr="006B1CA7">
        <w:rPr>
          <w:rFonts w:eastAsia="MS Mincho" w:cs="Arial"/>
          <w:color w:val="000000"/>
          <w:lang w:val="fr-FR" w:eastAsia="ja-JP"/>
        </w:rPr>
        <w:t>(</w:t>
      </w: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est présente du sud du golfe de Gascogne (nord de l’Espagne) à l’Angola, y compris la mer Méditerranée. </w:t>
      </w:r>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Rhynchobatus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est présente dans la région Indo-Ouest Pacifique, du Mozambique aux îles Salomon et jusqu’au nord de Taiwan, rarement à une profondeur supérieure à 60 m. </w:t>
      </w:r>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lastRenderedPageBreak/>
        <w:drawing>
          <wp:anchor distT="0" distB="0" distL="114300" distR="114300" simplePos="0" relativeHeight="251661312" behindDoc="0" locked="0" layoutInCell="1" allowOverlap="1" wp14:anchorId="30A8A694" wp14:editId="510B51A2">
            <wp:simplePos x="0" y="0"/>
            <wp:positionH relativeFrom="column">
              <wp:posOffset>572445</wp:posOffset>
            </wp:positionH>
            <wp:positionV relativeFrom="paragraph">
              <wp:posOffset>2653</wp:posOffset>
            </wp:positionV>
            <wp:extent cx="4733290" cy="5574665"/>
            <wp:effectExtent l="0" t="0" r="3810" b="635"/>
            <wp:wrapTopAndBottom/>
            <wp:docPr id="26" name="Picture 8" descr="/storage/emulated/0/.polaris_temp/image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torage/emulated/0/.polaris_temp/image5.tiff"/>
                    <pic:cNvPicPr>
                      <a:picLocks noChangeAspect="1" noChangeArrowheads="1"/>
                    </pic:cNvPicPr>
                  </pic:nvPicPr>
                  <pic:blipFill>
                    <a:blip r:embed="rId14"/>
                    <a:stretch>
                      <a:fillRect/>
                    </a:stretch>
                  </pic:blipFill>
                  <pic:spPr>
                    <a:xfrm>
                      <a:off x="0" y="0"/>
                      <a:ext cx="4733290" cy="5574665"/>
                    </a:xfrm>
                    <a:prstGeom prst="rect">
                      <a:avLst/>
                    </a:prstGeom>
                    <a:noFill/>
                    <a:ln w="3175" cap="flat" cmpd="sng">
                      <a:noFill/>
                      <a:prstDash/>
                      <a:miter lim="800000"/>
                    </a:ln>
                  </pic:spPr>
                </pic:pic>
              </a:graphicData>
            </a:graphic>
          </wp:anchor>
        </w:drawing>
      </w:r>
      <w:r w:rsidRPr="006B1CA7">
        <w:rPr>
          <w:rFonts w:eastAsia="MS Mincho" w:cs="Arial"/>
          <w:color w:val="000000"/>
          <w:lang w:val="fr-FR" w:eastAsia="ja-JP"/>
        </w:rPr>
        <w:t xml:space="preserve"> Répartition géographique de</w:t>
      </w:r>
      <w:r w:rsidRPr="006B1CA7">
        <w:rPr>
          <w:rFonts w:eastAsia="MS Mincho" w:cs="Arial"/>
          <w:b/>
          <w:color w:val="000000"/>
          <w:lang w:val="fr-FR" w:eastAsia="ja-JP"/>
        </w:rPr>
        <w:t xml:space="preserve"> la guitare de mer commune</w:t>
      </w:r>
      <w:r w:rsidRPr="006B1CA7">
        <w:rPr>
          <w:rFonts w:eastAsia="MS Mincho" w:cs="Arial"/>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w:t>
      </w:r>
      <w:hyperlink r:id="rId15">
        <w:r w:rsidRPr="006B1CA7">
          <w:rPr>
            <w:rStyle w:val="Hyperlink"/>
            <w:rFonts w:eastAsia="MS Mincho" w:cs="Arial"/>
            <w:lang w:val="fr-FR" w:eastAsia="ja-JP"/>
          </w:rPr>
          <w:t>https://www.iucnredlist.org/species/63131/12620901</w:t>
        </w:r>
      </w:hyperlink>
      <w:r w:rsidRPr="006B1CA7">
        <w:rPr>
          <w:rFonts w:eastAsia="MS Mincho" w:cs="Arial"/>
          <w:color w:val="000000"/>
          <w:lang w:val="fr-FR" w:eastAsia="ja-JP"/>
        </w:rPr>
        <w:t>)</w:t>
      </w:r>
    </w:p>
    <w:p w:rsidR="00267CB3"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lastRenderedPageBreak/>
        <w:drawing>
          <wp:anchor distT="0" distB="0" distL="114300" distR="114300" simplePos="0" relativeHeight="251662336" behindDoc="0" locked="0" layoutInCell="1" allowOverlap="1" wp14:anchorId="3A4793D6" wp14:editId="66FF465E">
            <wp:simplePos x="0" y="0"/>
            <wp:positionH relativeFrom="column">
              <wp:posOffset>574350</wp:posOffset>
            </wp:positionH>
            <wp:positionV relativeFrom="paragraph">
              <wp:posOffset>44657</wp:posOffset>
            </wp:positionV>
            <wp:extent cx="4774565" cy="4730115"/>
            <wp:effectExtent l="0" t="0" r="635" b="0"/>
            <wp:wrapTopAndBottom/>
            <wp:docPr id="27" name="Picture 10" descr="/storage/emulated/0/.polaris_temp/image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storage/emulated/0/.polaris_temp/image6.tiff"/>
                    <pic:cNvPicPr>
                      <a:picLocks noChangeAspect="1" noChangeArrowheads="1"/>
                    </pic:cNvPicPr>
                  </pic:nvPicPr>
                  <pic:blipFill>
                    <a:blip r:embed="rId16"/>
                    <a:stretch>
                      <a:fillRect/>
                    </a:stretch>
                  </pic:blipFill>
                  <pic:spPr>
                    <a:xfrm>
                      <a:off x="0" y="0"/>
                      <a:ext cx="4774565" cy="4730115"/>
                    </a:xfrm>
                    <a:prstGeom prst="rect">
                      <a:avLst/>
                    </a:prstGeom>
                    <a:noFill/>
                    <a:ln w="3175" cap="flat" cmpd="sng">
                      <a:noFill/>
                      <a:prstDash/>
                      <a:miter lim="800000"/>
                    </a:ln>
                  </pic:spPr>
                </pic:pic>
              </a:graphicData>
            </a:graphic>
          </wp:anchor>
        </w:drawing>
      </w:r>
      <w:r w:rsidRPr="006B1CA7">
        <w:rPr>
          <w:rFonts w:eastAsia="MS Mincho" w:cs="Arial"/>
          <w:b/>
          <w:color w:val="000000"/>
          <w:lang w:val="fr-FR" w:eastAsia="ja-JP"/>
        </w:rPr>
        <w:t xml:space="preserve">Répartition géographique de </w:t>
      </w:r>
      <w:proofErr w:type="spellStart"/>
      <w:r w:rsidRPr="006B1CA7">
        <w:rPr>
          <w:rFonts w:eastAsia="MS Mincho" w:cs="Arial"/>
          <w:i/>
          <w:color w:val="000000"/>
          <w:lang w:val="fr-FR" w:eastAsia="ja-JP"/>
        </w:rPr>
        <w:t>Rhynchobatus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w:t>
      </w:r>
    </w:p>
    <w:p w:rsid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w:t>
      </w:r>
      <w:hyperlink r:id="rId17">
        <w:r w:rsidRPr="006B1CA7">
          <w:rPr>
            <w:rStyle w:val="Hyperlink"/>
            <w:rFonts w:eastAsia="MS Mincho" w:cs="Arial"/>
            <w:lang w:val="fr-FR" w:eastAsia="ja-JP"/>
          </w:rPr>
          <w:t>https://www.iucnredlist.org/species/41853/68643043</w:t>
        </w:r>
      </w:hyperlink>
      <w:r w:rsidRPr="006B1CA7">
        <w:rPr>
          <w:rFonts w:eastAsia="MS Mincho" w:cs="Arial"/>
          <w:color w:val="000000"/>
          <w:lang w:val="fr-FR" w:eastAsia="ja-JP"/>
        </w:rPr>
        <w:t>)</w:t>
      </w:r>
    </w:p>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p w:rsidR="006B1CA7" w:rsidRPr="006B1CA7" w:rsidRDefault="006B1CA7" w:rsidP="00267CB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Résumé des activités :</w:t>
      </w:r>
      <w:r w:rsidRPr="006B1CA7">
        <w:rPr>
          <w:rFonts w:eastAsia="MS Mincho" w:cs="Arial"/>
          <w:color w:val="000000"/>
          <w:lang w:val="fr-FR" w:eastAsia="ja-JP"/>
        </w:rPr>
        <w:t xml:space="preserve"> </w:t>
      </w:r>
    </w:p>
    <w:p w:rsid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La CSE de l’UICN propose neuf activités pour améliorer l’état de conservation des raies rhinos. Celles-ci comprennent les actions suivantes : 1) créer un réseau de chercheurs et de décideurs ; 2) accroître la collecte et la recherche de données ; 3) lancer des campagnes nationales pour obtenir le soutien du public en faveur de la protection des espèces ; 4) élaborer un Plan d’action mondial pour les raies rhinos ; 5) organiser des ateliers visant à améliorer l’identification et produire des guides d’identification ; 6) rechercher des options pour réduire la mortalité par pêche ; 7) renforcer les capacités régionales et encourager la participation locale et la formation pour réduire au minimum la mortalité par pêche et améliorer la gestion de la pêche et du commerce ; 8) organiser des ateliers régionaux sur la planification de la conservation ; et 9) améliorer la protection basée sur les politiques en faveur des raies rhinos.</w:t>
      </w:r>
    </w:p>
    <w:p w:rsidR="008C76C3" w:rsidRDefault="008C76C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Pr>
          <w:rFonts w:eastAsia="MS Mincho" w:cs="Arial"/>
          <w:color w:val="000000"/>
          <w:lang w:val="fr-FR" w:eastAsia="ja-JP"/>
        </w:rPr>
        <w:br w:type="page"/>
      </w:r>
    </w:p>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267CB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Activités et résultats attendus :</w:t>
      </w:r>
      <w:r w:rsidRPr="006B1CA7">
        <w:rPr>
          <w:rFonts w:eastAsia="MS Mincho" w:cs="Arial"/>
          <w:color w:val="000000"/>
          <w:lang w:val="fr-FR" w:eastAsia="ja-JP"/>
        </w:rPr>
        <w:t xml:space="preserve"> </w:t>
      </w:r>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La présente Action concertée a pour but de décrire les actions requises pour réaliser une mobilisation en faveur de la conservation des raies rhinos à l’échelle mondiale, mais beaucoup de ces actions peuvent et doivent être mises en œuvre à l’échelle régionale. La coopération internationale en matière de planification et d’atténuation des menaces est vitale pour améliorer l’état de conservation des raies rhinos. Cependant, si en tant que groupe, ils partagent les mêmes menaces, il existe des différences régionales dans les niveaux de menace, les activités de pêche, les réglementations et mesures de conservation, et dans les connaissances locales des espèces, ce qui souligne la nécessité de mesures régionales particulières. Afin de garantir une mise en œuvre efficace des stratégies de conservation des raies rhinos, il est fortement conseillé aux Parties d’inclure pleinement les parties prenantes concernées dans le processus, notamment les pêcheurs, les agents des pêches et les organisations non gouvernementales (ONG). </w:t>
      </w:r>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Le tableau des activités qui suit présente les activités, les résultats, le calendrier, les responsabilités et le financement.</w:t>
      </w:r>
    </w:p>
    <w:p w:rsidR="006B1CA7" w:rsidRPr="006B1CA7" w:rsidRDefault="006B1CA7" w:rsidP="00267CB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br w:type="page"/>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sectPr w:rsidR="006B1CA7" w:rsidRPr="006B1CA7">
          <w:headerReference w:type="default" r:id="rId18"/>
          <w:footerReference w:type="default" r:id="rId19"/>
          <w:headerReference w:type="first" r:id="rId20"/>
          <w:footerReference w:type="first" r:id="rId21"/>
          <w:pgSz w:w="11905" w:h="16837"/>
          <w:pgMar w:top="1008" w:right="1411" w:bottom="1152" w:left="1411" w:header="432" w:footer="432" w:gutter="0"/>
          <w:cols w:space="720"/>
          <w:titlePg/>
        </w:sectPr>
      </w:pPr>
    </w:p>
    <w:tbl>
      <w:tblPr>
        <w:tblW w:w="14760" w:type="auto"/>
        <w:tblInd w:w="-5" w:type="dxa"/>
        <w:tblLook w:val="0000" w:firstRow="0" w:lastRow="0" w:firstColumn="0" w:lastColumn="0" w:noHBand="0" w:noVBand="0"/>
      </w:tblPr>
      <w:tblGrid>
        <w:gridCol w:w="3211"/>
        <w:gridCol w:w="5339"/>
        <w:gridCol w:w="1470"/>
        <w:gridCol w:w="2504"/>
        <w:gridCol w:w="2148"/>
      </w:tblGrid>
      <w:tr w:rsidR="006B1CA7" w:rsidRPr="006B1CA7" w:rsidTr="00422D22">
        <w:trPr>
          <w:tblHeader/>
        </w:trPr>
        <w:tc>
          <w:tcPr>
            <w:tcW w:w="3240" w:type="dxa"/>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r w:rsidRPr="006B1CA7">
              <w:rPr>
                <w:rFonts w:eastAsia="MS Mincho" w:cs="Arial"/>
                <w:b/>
                <w:color w:val="000000"/>
                <w:lang w:val="fr-FR" w:eastAsia="ja-JP"/>
              </w:rPr>
              <w:lastRenderedPageBreak/>
              <w:t>Activité</w:t>
            </w:r>
          </w:p>
        </w:tc>
        <w:tc>
          <w:tcPr>
            <w:tcW w:w="5400" w:type="dxa"/>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r w:rsidRPr="006B1CA7">
              <w:rPr>
                <w:rFonts w:eastAsia="MS Mincho" w:cs="Arial"/>
                <w:b/>
                <w:color w:val="000000"/>
                <w:lang w:val="fr-FR" w:eastAsia="ja-JP"/>
              </w:rPr>
              <w:t>Produits/résultats</w:t>
            </w:r>
          </w:p>
        </w:tc>
        <w:tc>
          <w:tcPr>
            <w:tcW w:w="1440" w:type="dxa"/>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r w:rsidRPr="006B1CA7">
              <w:rPr>
                <w:rFonts w:eastAsia="MS Mincho" w:cs="Arial"/>
                <w:b/>
                <w:color w:val="000000"/>
                <w:lang w:val="fr-FR" w:eastAsia="ja-JP"/>
              </w:rPr>
              <w:t>Calendrier</w:t>
            </w:r>
          </w:p>
        </w:tc>
        <w:tc>
          <w:tcPr>
            <w:tcW w:w="2520" w:type="dxa"/>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r w:rsidRPr="006B1CA7">
              <w:rPr>
                <w:rFonts w:eastAsia="MS Mincho" w:cs="Arial"/>
                <w:b/>
                <w:color w:val="000000"/>
                <w:lang w:val="fr-FR" w:eastAsia="ja-JP"/>
              </w:rPr>
              <w:t>Responsabilité</w:t>
            </w:r>
          </w:p>
        </w:tc>
        <w:tc>
          <w:tcPr>
            <w:tcW w:w="2160" w:type="dxa"/>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r w:rsidRPr="006B1CA7">
              <w:rPr>
                <w:rFonts w:eastAsia="MS Mincho" w:cs="Arial"/>
                <w:b/>
                <w:color w:val="000000"/>
                <w:lang w:val="fr-FR" w:eastAsia="ja-JP"/>
              </w:rPr>
              <w:t>Financement</w:t>
            </w:r>
          </w:p>
        </w:tc>
      </w:tr>
      <w:tr w:rsidR="006B1CA7" w:rsidRPr="006B1CA7" w:rsidTr="00422D22">
        <w:tc>
          <w:tcPr>
            <w:tcW w:w="32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b/>
                <w:color w:val="000000"/>
                <w:lang w:val="fr-FR" w:eastAsia="ja-JP"/>
              </w:rPr>
              <w:t>Créer un réseau de chercheurs et de décideurs</w:t>
            </w:r>
          </w:p>
        </w:tc>
        <w:tc>
          <w:tcPr>
            <w:tcW w:w="540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données et la recherche sont partagées et encouragées parmi les chercheurs.</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possibilités de collaboration sont identifiées et favorisées afin d’accroître les mesures de conservation.</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communautés locales sont impliquées à travers des projets scientifiques citoyens.</w:t>
            </w:r>
          </w:p>
          <w:p w:rsid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étudiants sont impliqués à travers des projets de recherche pour le renforcement des capacités à long terme.</w:t>
            </w:r>
          </w:p>
          <w:p w:rsidR="00267CB3" w:rsidRPr="006B1CA7" w:rsidRDefault="00267CB3"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14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A débuté et se poursuivra </w:t>
            </w:r>
          </w:p>
        </w:tc>
        <w:tc>
          <w:tcPr>
            <w:tcW w:w="252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CSE de l’UICN</w:t>
            </w:r>
          </w:p>
        </w:tc>
        <w:tc>
          <w:tcPr>
            <w:tcW w:w="216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Aucun financement nécessaire</w:t>
            </w:r>
          </w:p>
        </w:tc>
      </w:tr>
      <w:tr w:rsidR="006B1CA7" w:rsidRPr="006B1CA7" w:rsidTr="00422D22">
        <w:tc>
          <w:tcPr>
            <w:tcW w:w="32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b/>
                <w:color w:val="000000"/>
                <w:lang w:val="fr-FR" w:eastAsia="ja-JP"/>
              </w:rPr>
              <w:t>Accroître la collecte et la recherche de données</w:t>
            </w:r>
          </w:p>
        </w:tc>
        <w:tc>
          <w:tcPr>
            <w:tcW w:w="540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Amélioration des estimations des prises et de l’abondance par espèce afin de mieux comprendre la répartition actuelle.</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Identification de l’habitat critique, notamment les voies de déplacement et les sites de regroupement pour la reproduction, l’allaitement, l’alimentation et l’accouplement.</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Meilleure compréhension des caractéristiques du cycle biologique (âge, croissance, reproduction, etc.). </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Meilleure compréhension des moteurs du commerce et de l’utilisation de divers produits dérivés de raies rhinos (par ex. nageoires, viande, museau, peau, épines).</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Amélioration des rapports et de la collecte de données concernant la pêche.</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Publication d’un numéro de revue sur les raies rhinos </w:t>
            </w:r>
          </w:p>
        </w:tc>
        <w:tc>
          <w:tcPr>
            <w:tcW w:w="14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Durée indéterminée et en cours</w:t>
            </w:r>
          </w:p>
        </w:tc>
        <w:tc>
          <w:tcPr>
            <w:tcW w:w="252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Parties États de l’aire de répartition, ONG, chercheurs</w:t>
            </w:r>
          </w:p>
        </w:tc>
        <w:tc>
          <w:tcPr>
            <w:tcW w:w="216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Nécessité de collecte de fonds</w:t>
            </w:r>
          </w:p>
        </w:tc>
      </w:tr>
      <w:tr w:rsidR="006B1CA7" w:rsidRPr="006B1CA7" w:rsidTr="00422D22">
        <w:tc>
          <w:tcPr>
            <w:tcW w:w="32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b/>
                <w:color w:val="000000"/>
                <w:lang w:val="fr-FR" w:eastAsia="ja-JP"/>
              </w:rPr>
              <w:t>Lancer une campagne internationale pour obtenir le soutien du public en faveur de la protection des espèces</w:t>
            </w:r>
          </w:p>
        </w:tc>
        <w:tc>
          <w:tcPr>
            <w:tcW w:w="540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Création et promotion de la Journée Internationale des raies rhinos, à l’instar de la Journée Internationale des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 xml:space="preserve">. </w:t>
            </w:r>
          </w:p>
        </w:tc>
        <w:tc>
          <w:tcPr>
            <w:tcW w:w="14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Durée indéterminée et en cours</w:t>
            </w:r>
          </w:p>
        </w:tc>
        <w:tc>
          <w:tcPr>
            <w:tcW w:w="252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CSE de l’UICN, ONG</w:t>
            </w:r>
          </w:p>
        </w:tc>
        <w:tc>
          <w:tcPr>
            <w:tcW w:w="216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Aucun financement nécessaire</w:t>
            </w:r>
          </w:p>
        </w:tc>
      </w:tr>
      <w:tr w:rsidR="006B1CA7" w:rsidRPr="006B1CA7" w:rsidTr="00267CB3">
        <w:tc>
          <w:tcPr>
            <w:tcW w:w="32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b/>
                <w:color w:val="000000"/>
                <w:lang w:val="fr-FR" w:eastAsia="ja-JP"/>
              </w:rPr>
              <w:lastRenderedPageBreak/>
              <w:t xml:space="preserve">Élaborer un Plan d’action mondial pour les raies rhinos, en utilisant le document </w:t>
            </w:r>
            <w:hyperlink r:id="rId22">
              <w:r w:rsidRPr="006B1CA7">
                <w:rPr>
                  <w:rStyle w:val="Hyperlink"/>
                  <w:rFonts w:eastAsia="MS Mincho" w:cs="Arial"/>
                  <w:b/>
                  <w:i/>
                  <w:lang w:val="fr-FR" w:eastAsia="ja-JP"/>
                </w:rPr>
                <w:t>Une stratégie globale</w:t>
              </w:r>
              <w:r w:rsidR="00267CB3">
                <w:rPr>
                  <w:rStyle w:val="Hyperlink"/>
                  <w:rFonts w:eastAsia="MS Mincho" w:cs="Arial"/>
                  <w:b/>
                  <w:i/>
                  <w:lang w:val="fr-FR" w:eastAsia="ja-JP"/>
                </w:rPr>
                <w:t xml:space="preserve"> p</w:t>
              </w:r>
              <w:r w:rsidRPr="006B1CA7">
                <w:rPr>
                  <w:rStyle w:val="Hyperlink"/>
                  <w:rFonts w:eastAsia="MS Mincho" w:cs="Arial"/>
                  <w:b/>
                  <w:i/>
                  <w:lang w:val="fr-FR" w:eastAsia="ja-JP"/>
                </w:rPr>
                <w:t xml:space="preserve">our la conservation des </w:t>
              </w:r>
              <w:proofErr w:type="spellStart"/>
              <w:r w:rsidRPr="006B1CA7">
                <w:rPr>
                  <w:rStyle w:val="Hyperlink"/>
                  <w:rFonts w:eastAsia="MS Mincho" w:cs="Arial"/>
                  <w:b/>
                  <w:i/>
                  <w:lang w:val="fr-FR" w:eastAsia="ja-JP"/>
                </w:rPr>
                <w:t>poissons-scies</w:t>
              </w:r>
              <w:proofErr w:type="spellEnd"/>
            </w:hyperlink>
            <w:r w:rsidRPr="006B1CA7">
              <w:rPr>
                <w:rFonts w:eastAsia="MS Mincho" w:cs="Arial"/>
                <w:b/>
                <w:color w:val="000000"/>
                <w:lang w:val="fr-FR" w:eastAsia="ja-JP"/>
              </w:rPr>
              <w:t xml:space="preserve"> comme modèle pour les actions prioritaires</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540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Parties répondent à une enquête pour identifier les lacunes en matière de connaissances, de conservation et de gestion.</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 Secrétariat de la CMS aide l’UICN à réaliser l’enquête (p. ex. en la distribuant aux Points focaux).</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Parties et États de l’aire de répartition (et autres parties prenantes concernées) consultés lors de l’élaboration du Plan d’action. </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 plan d’action mondial sert de modèle pour les futures activités qui dépendent d’un financement.</w:t>
            </w:r>
          </w:p>
          <w:p w:rsid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Plans d’action régionaux</w:t>
            </w:r>
          </w:p>
          <w:p w:rsidR="00267CB3" w:rsidRPr="006B1CA7" w:rsidRDefault="00267CB3"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14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Conditionné par un financement</w:t>
            </w:r>
          </w:p>
        </w:tc>
        <w:tc>
          <w:tcPr>
            <w:tcW w:w="252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CSE de l’UICN, Parties États de l’aire de répartition, ONG, Secrétariat, chercheurs</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216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Nécessité d’une collecte de fonds d’environ 40 000 USD pour l’élaboration du plan d’action </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r>
      <w:tr w:rsidR="006B1CA7" w:rsidRPr="006B1CA7" w:rsidTr="00267CB3">
        <w:trPr>
          <w:tblHeader/>
        </w:trPr>
        <w:tc>
          <w:tcPr>
            <w:tcW w:w="3240" w:type="dxa"/>
            <w:tcBorders>
              <w:top w:val="single" w:sz="4" w:space="0" w:color="000000"/>
              <w:left w:val="single" w:sz="4" w:space="0" w:color="000000"/>
              <w:bottom w:val="single" w:sz="4" w:space="0" w:color="auto"/>
              <w:right w:val="single" w:sz="4" w:space="0" w:color="000000"/>
            </w:tcBorders>
            <w:tcMar>
              <w:top w:w="0" w:type="dxa"/>
              <w:left w:w="99" w:type="dxa"/>
              <w:bottom w:w="0" w:type="dxa"/>
              <w:right w:w="99" w:type="dxa"/>
            </w:tcMar>
          </w:tcPr>
          <w:p w:rsid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r w:rsidRPr="006B1CA7">
              <w:rPr>
                <w:rFonts w:eastAsia="MS Mincho" w:cs="Arial"/>
                <w:b/>
                <w:color w:val="000000"/>
                <w:lang w:val="fr-FR" w:eastAsia="ja-JP"/>
              </w:rPr>
              <w:t xml:space="preserve">Produire des guides d’identification et organiser des ateliers d’identification pour des groupes clés comme les pêcheurs, les organismes d’application de la loi et du respect des obligations, les agents de pêches, les pêcheurs sportifs et les observateurs de la pêche et des débarquements </w:t>
            </w:r>
          </w:p>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5400" w:type="dxa"/>
            <w:tcBorders>
              <w:top w:val="single" w:sz="4" w:space="0" w:color="000000"/>
              <w:left w:val="single" w:sz="4" w:space="0" w:color="000000"/>
              <w:bottom w:val="single" w:sz="4" w:space="0" w:color="auto"/>
              <w:right w:val="single" w:sz="4" w:space="0" w:color="000000"/>
            </w:tcBorders>
            <w:tcMar>
              <w:top w:w="0" w:type="dxa"/>
              <w:left w:w="99" w:type="dxa"/>
              <w:bottom w:w="0" w:type="dxa"/>
              <w:right w:w="99" w:type="dxa"/>
            </w:tcMar>
          </w:tcPr>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Amélioration de la capacité d’identifier les raies rhinos au niveau de l’espèce. </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Amélioration des rapports et de la collecte de données concernant la pêche.</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Amélioration du respect des obligations concernant les mesures de protection des espèces où elles existent.</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1440" w:type="dxa"/>
            <w:tcBorders>
              <w:top w:val="single" w:sz="4" w:space="0" w:color="000000"/>
              <w:left w:val="single" w:sz="4" w:space="0" w:color="000000"/>
              <w:bottom w:val="single" w:sz="4" w:space="0" w:color="auto"/>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En cours et à durée indéterminée</w:t>
            </w:r>
          </w:p>
        </w:tc>
        <w:tc>
          <w:tcPr>
            <w:tcW w:w="2520" w:type="dxa"/>
            <w:tcBorders>
              <w:top w:val="single" w:sz="4" w:space="0" w:color="000000"/>
              <w:left w:val="single" w:sz="4" w:space="0" w:color="000000"/>
              <w:bottom w:val="single" w:sz="4" w:space="0" w:color="auto"/>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Parties États de l’aire de répartition, ONG</w:t>
            </w:r>
          </w:p>
        </w:tc>
        <w:tc>
          <w:tcPr>
            <w:tcW w:w="2160" w:type="dxa"/>
            <w:tcBorders>
              <w:top w:val="single" w:sz="4" w:space="0" w:color="000000"/>
              <w:left w:val="single" w:sz="4" w:space="0" w:color="000000"/>
              <w:bottom w:val="single" w:sz="4" w:space="0" w:color="auto"/>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Nécessité d’une collecte de fonds pour la production d’un guide d’identification et pour l’organisation d’ateliers</w:t>
            </w:r>
          </w:p>
        </w:tc>
      </w:tr>
      <w:tr w:rsidR="00267CB3" w:rsidRPr="006B1CA7" w:rsidTr="00267CB3">
        <w:trPr>
          <w:tblHeader/>
        </w:trPr>
        <w:tc>
          <w:tcPr>
            <w:tcW w:w="3240" w:type="dxa"/>
            <w:tcBorders>
              <w:top w:val="single" w:sz="4" w:space="0" w:color="auto"/>
            </w:tcBorders>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p>
        </w:tc>
        <w:tc>
          <w:tcPr>
            <w:tcW w:w="5400" w:type="dxa"/>
            <w:tcBorders>
              <w:top w:val="single" w:sz="4" w:space="0" w:color="auto"/>
            </w:tcBorders>
            <w:tcMar>
              <w:top w:w="0" w:type="dxa"/>
              <w:left w:w="99" w:type="dxa"/>
              <w:bottom w:w="0" w:type="dxa"/>
              <w:right w:w="99" w:type="dxa"/>
            </w:tcMar>
          </w:tcPr>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720"/>
              <w:jc w:val="both"/>
              <w:outlineLvl w:val="1"/>
              <w:rPr>
                <w:rFonts w:eastAsia="MS Mincho" w:cs="Arial"/>
                <w:color w:val="000000"/>
                <w:lang w:val="fr-FR" w:eastAsia="ja-JP"/>
              </w:rPr>
            </w:pPr>
          </w:p>
        </w:tc>
        <w:tc>
          <w:tcPr>
            <w:tcW w:w="1440" w:type="dxa"/>
            <w:tcBorders>
              <w:top w:val="single" w:sz="4" w:space="0" w:color="auto"/>
            </w:tcBorders>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2520" w:type="dxa"/>
            <w:tcBorders>
              <w:top w:val="single" w:sz="4" w:space="0" w:color="auto"/>
            </w:tcBorders>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2160" w:type="dxa"/>
            <w:tcBorders>
              <w:top w:val="single" w:sz="4" w:space="0" w:color="auto"/>
            </w:tcBorders>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r>
      <w:tr w:rsidR="00267CB3" w:rsidRPr="006B1CA7" w:rsidTr="00267CB3">
        <w:trPr>
          <w:tblHeader/>
        </w:trPr>
        <w:tc>
          <w:tcPr>
            <w:tcW w:w="324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p>
        </w:tc>
        <w:tc>
          <w:tcPr>
            <w:tcW w:w="5400" w:type="dxa"/>
            <w:tcMar>
              <w:top w:w="0" w:type="dxa"/>
              <w:left w:w="99" w:type="dxa"/>
              <w:bottom w:w="0" w:type="dxa"/>
              <w:right w:w="99" w:type="dxa"/>
            </w:tcMar>
          </w:tcPr>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720"/>
              <w:jc w:val="both"/>
              <w:outlineLvl w:val="1"/>
              <w:rPr>
                <w:rFonts w:eastAsia="MS Mincho" w:cs="Arial"/>
                <w:color w:val="000000"/>
                <w:lang w:val="fr-FR" w:eastAsia="ja-JP"/>
              </w:rPr>
            </w:pPr>
          </w:p>
        </w:tc>
        <w:tc>
          <w:tcPr>
            <w:tcW w:w="144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252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216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r>
      <w:tr w:rsidR="00267CB3" w:rsidRPr="006B1CA7" w:rsidTr="00267CB3">
        <w:trPr>
          <w:tblHeader/>
        </w:trPr>
        <w:tc>
          <w:tcPr>
            <w:tcW w:w="324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p>
        </w:tc>
        <w:tc>
          <w:tcPr>
            <w:tcW w:w="5400" w:type="dxa"/>
            <w:tcMar>
              <w:top w:w="0" w:type="dxa"/>
              <w:left w:w="99" w:type="dxa"/>
              <w:bottom w:w="0" w:type="dxa"/>
              <w:right w:w="99" w:type="dxa"/>
            </w:tcMar>
          </w:tcPr>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720"/>
              <w:jc w:val="both"/>
              <w:outlineLvl w:val="1"/>
              <w:rPr>
                <w:rFonts w:eastAsia="MS Mincho" w:cs="Arial"/>
                <w:color w:val="000000"/>
                <w:lang w:val="fr-FR" w:eastAsia="ja-JP"/>
              </w:rPr>
            </w:pPr>
          </w:p>
        </w:tc>
        <w:tc>
          <w:tcPr>
            <w:tcW w:w="144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252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216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r>
      <w:tr w:rsidR="00267CB3" w:rsidRPr="006B1CA7" w:rsidTr="00267CB3">
        <w:trPr>
          <w:tblHeader/>
        </w:trPr>
        <w:tc>
          <w:tcPr>
            <w:tcW w:w="324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b/>
                <w:color w:val="000000"/>
                <w:lang w:val="fr-FR" w:eastAsia="ja-JP"/>
              </w:rPr>
            </w:pPr>
          </w:p>
        </w:tc>
        <w:tc>
          <w:tcPr>
            <w:tcW w:w="5400" w:type="dxa"/>
            <w:tcMar>
              <w:top w:w="0" w:type="dxa"/>
              <w:left w:w="99" w:type="dxa"/>
              <w:bottom w:w="0" w:type="dxa"/>
              <w:right w:w="99" w:type="dxa"/>
            </w:tcMar>
          </w:tcPr>
          <w:p w:rsidR="00267CB3" w:rsidRPr="006B1CA7" w:rsidRDefault="00267CB3" w:rsidP="00267CB3">
            <w:pPr>
              <w:widowControl w:val="0"/>
              <w:pBdr>
                <w:top w:val="single" w:sz="6" w:space="0" w:color="FFFFFF"/>
                <w:left w:val="single" w:sz="6" w:space="0" w:color="FFFFFF"/>
                <w:bottom w:val="single" w:sz="6" w:space="0" w:color="FFFFFF"/>
                <w:right w:val="single" w:sz="6" w:space="0" w:color="FFFFFF"/>
              </w:pBdr>
              <w:autoSpaceDE w:val="0"/>
              <w:spacing w:after="0"/>
              <w:ind w:left="720"/>
              <w:jc w:val="both"/>
              <w:outlineLvl w:val="1"/>
              <w:rPr>
                <w:rFonts w:eastAsia="MS Mincho" w:cs="Arial"/>
                <w:color w:val="000000"/>
                <w:lang w:val="fr-FR" w:eastAsia="ja-JP"/>
              </w:rPr>
            </w:pPr>
          </w:p>
        </w:tc>
        <w:tc>
          <w:tcPr>
            <w:tcW w:w="144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252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2160" w:type="dxa"/>
            <w:tcMar>
              <w:top w:w="0" w:type="dxa"/>
              <w:left w:w="99" w:type="dxa"/>
              <w:bottom w:w="0" w:type="dxa"/>
              <w:right w:w="99" w:type="dxa"/>
            </w:tcMar>
          </w:tcPr>
          <w:p w:rsidR="00267CB3" w:rsidRPr="006B1CA7" w:rsidRDefault="00267CB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r>
      <w:tr w:rsidR="006B1CA7" w:rsidRPr="006B1CA7" w:rsidTr="00267CB3">
        <w:tc>
          <w:tcPr>
            <w:tcW w:w="3240" w:type="dxa"/>
            <w:tcBorders>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b/>
                <w:color w:val="000000"/>
                <w:lang w:val="fr-FR" w:eastAsia="ja-JP"/>
              </w:rPr>
              <w:lastRenderedPageBreak/>
              <w:t xml:space="preserve">Rechercher des options pour réduire la mortalité par pêche </w:t>
            </w:r>
          </w:p>
        </w:tc>
        <w:tc>
          <w:tcPr>
            <w:tcW w:w="5400" w:type="dxa"/>
            <w:tcBorders>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Les options de réduction de la mortalité sont explorées (p. ex., moyens de subsistance alternatifs, compensation pour l’exclusion de la pêche). </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Recherche et adoption d’engins de pêche qui réduisent les prises accessoires (dispositifs d’exclusion, hameçons circulaires, etc.).</w:t>
            </w:r>
          </w:p>
        </w:tc>
        <w:tc>
          <w:tcPr>
            <w:tcW w:w="1440" w:type="dxa"/>
            <w:tcBorders>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Conditionné par un financement</w:t>
            </w:r>
          </w:p>
        </w:tc>
        <w:tc>
          <w:tcPr>
            <w:tcW w:w="2520" w:type="dxa"/>
            <w:tcBorders>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Parties États de l’aire de répartition, ONG</w:t>
            </w:r>
          </w:p>
        </w:tc>
        <w:tc>
          <w:tcPr>
            <w:tcW w:w="2160" w:type="dxa"/>
            <w:tcBorders>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Nécessité d’une collecte de fonds pour explorer les options, éduquer les pêcheurs et adopter de nouvelles méthodes.</w:t>
            </w:r>
          </w:p>
        </w:tc>
      </w:tr>
      <w:tr w:rsidR="006B1CA7" w:rsidRPr="006B1CA7" w:rsidTr="00422D22">
        <w:tc>
          <w:tcPr>
            <w:tcW w:w="32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b/>
                <w:color w:val="000000"/>
                <w:lang w:val="fr-FR" w:eastAsia="ja-JP"/>
              </w:rPr>
              <w:t>Renforcer les capacités régionales et encourager l’engagement et l’éducation au niveau local</w:t>
            </w:r>
            <w:r w:rsidRPr="006B1CA7">
              <w:rPr>
                <w:rFonts w:eastAsia="MS Mincho" w:cs="Arial"/>
                <w:color w:val="000000"/>
                <w:lang w:val="fr-FR" w:eastAsia="ja-JP"/>
              </w:rPr>
              <w:t xml:space="preserve"> </w:t>
            </w:r>
            <w:r w:rsidRPr="006B1CA7">
              <w:rPr>
                <w:rFonts w:eastAsia="MS Mincho" w:cs="Arial"/>
                <w:b/>
                <w:color w:val="000000"/>
                <w:lang w:val="fr-FR" w:eastAsia="ja-JP"/>
              </w:rPr>
              <w:t>pour réduire au minimum la mortalité par pêche et améliorer la gestion de la pêche</w:t>
            </w:r>
          </w:p>
        </w:tc>
        <w:tc>
          <w:tcPr>
            <w:tcW w:w="540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Des fiches d’information et des campagnes ou supports d’éducation sont créés à l’intention du grand public pour accroître les connaissances sur la biologie et le statut des espèces et encourager une réduction de la mortalité par pêche.</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communautés locales et les parties prenantes sont ciblées pour réduire la mortalité par pêche grâce à la sensibilisation aux projections, à l’atténuation des prises accessoires, à la manipulation et à la remise à l’eau sans danger, entre autres.</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inscriptions à l’Annexe II de la CMS sont rendues publiques.</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La demande de nageoires et d’autres produits, parmi lesquels le museau, est réduite, en particulier dans les pays à forte demande comme Singapour, la République populaire de Chine et la Région administrative spéciale de Hong Kong.</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États de l’aire de répartition sont encouragés à accroître la présence d’observateurs de la pêche, le cas échéant.</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États de l’aire de répartition sont encouragés à améliorer la traçabilité des produits.</w:t>
            </w:r>
          </w:p>
        </w:tc>
        <w:tc>
          <w:tcPr>
            <w:tcW w:w="14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Durée indéterminée et en cours</w:t>
            </w:r>
          </w:p>
        </w:tc>
        <w:tc>
          <w:tcPr>
            <w:tcW w:w="252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Parties États de l’aire de répartition, ONG, CSE de l’UICN</w:t>
            </w:r>
          </w:p>
        </w:tc>
        <w:tc>
          <w:tcPr>
            <w:tcW w:w="216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Nécessité de collecte de fonds</w:t>
            </w:r>
          </w:p>
        </w:tc>
      </w:tr>
      <w:tr w:rsidR="006B1CA7" w:rsidRPr="006B1CA7" w:rsidTr="00422D22">
        <w:tc>
          <w:tcPr>
            <w:tcW w:w="32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b/>
                <w:color w:val="000000"/>
                <w:lang w:val="fr-FR" w:eastAsia="ja-JP"/>
              </w:rPr>
              <w:lastRenderedPageBreak/>
              <w:t>Ateliers régionaux</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tc>
        <w:tc>
          <w:tcPr>
            <w:tcW w:w="540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Les données sont compilées et les options qui renforceront les Parties États de l’aire de répartition bailleurs de fonds, la collecte de fonds nécessaire </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et les efforts de conservation sont explorées.</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Des plans d’action régionaux sont élaborés dans le contexte des priorités mondiales.</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raies rhinos sont considérées comme des espèces prioritaires dans les Plans d’action nationaux (PAN).</w:t>
            </w:r>
          </w:p>
        </w:tc>
        <w:tc>
          <w:tcPr>
            <w:tcW w:w="14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Conditionné par un financement</w:t>
            </w:r>
          </w:p>
        </w:tc>
        <w:tc>
          <w:tcPr>
            <w:tcW w:w="252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ONG</w:t>
            </w:r>
          </w:p>
        </w:tc>
        <w:tc>
          <w:tcPr>
            <w:tcW w:w="216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≈30 000 USD par atelier</w:t>
            </w:r>
          </w:p>
        </w:tc>
      </w:tr>
      <w:tr w:rsidR="006B1CA7" w:rsidRPr="006B1CA7" w:rsidTr="00422D22">
        <w:trPr>
          <w:tblHeader/>
        </w:trPr>
        <w:tc>
          <w:tcPr>
            <w:tcW w:w="32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b/>
                <w:color w:val="000000"/>
                <w:lang w:val="fr-FR" w:eastAsia="ja-JP"/>
              </w:rPr>
              <w:t>Améliorer la protection basée sur les politiques en faveur des raies rhinos</w:t>
            </w:r>
          </w:p>
        </w:tc>
        <w:tc>
          <w:tcPr>
            <w:tcW w:w="540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Augmentation du nombre d’États de l’aire de répartition signataires du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Requins qui consentent à s’efforcer de poursuivre les objectifs du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Les États de l’aire de répartition sont encouragés à fixer et à appliquer un taux de capture nul pour le rétablissement de la population à travers des zones de non-prélèvement, des restrictions temporelles ou par l’interdiction de certains engins de pêche. </w:t>
            </w:r>
          </w:p>
          <w:p w:rsidR="006B1CA7" w:rsidRPr="006B1CA7" w:rsidRDefault="006B1CA7" w:rsidP="006B1CA7">
            <w:pPr>
              <w:widowControl w:val="0"/>
              <w:numPr>
                <w:ilvl w:val="0"/>
                <w:numId w:val="14"/>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Les Parties doivent élaborer et mettre en œuvre une législation nationale pour la protection des raies rhinos.</w:t>
            </w:r>
          </w:p>
        </w:tc>
        <w:tc>
          <w:tcPr>
            <w:tcW w:w="14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Durée indéterminée</w:t>
            </w:r>
          </w:p>
        </w:tc>
        <w:tc>
          <w:tcPr>
            <w:tcW w:w="252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 xml:space="preserve">Parties États de l’aire de répartition déjà signataires du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requins, ONG</w:t>
            </w:r>
          </w:p>
        </w:tc>
        <w:tc>
          <w:tcPr>
            <w:tcW w:w="216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color w:val="000000"/>
                <w:lang w:val="fr-FR" w:eastAsia="ja-JP"/>
              </w:rPr>
              <w:t>Aucun financement nécessaire</w:t>
            </w:r>
          </w:p>
        </w:tc>
      </w:tr>
    </w:tbl>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sectPr w:rsidR="006B1CA7" w:rsidRPr="006B1CA7" w:rsidSect="008C76C3">
          <w:headerReference w:type="default" r:id="rId23"/>
          <w:footerReference w:type="even" r:id="rId24"/>
          <w:headerReference w:type="first" r:id="rId25"/>
          <w:pgSz w:w="16837" w:h="11905" w:orient="landscape"/>
          <w:pgMar w:top="1412" w:right="1151" w:bottom="1412" w:left="1009" w:header="431" w:footer="431" w:gutter="0"/>
          <w:cols w:space="720"/>
          <w:titlePg/>
          <w:docGrid w:linePitch="299"/>
        </w:sectPr>
      </w:pP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Avantages connexes :</w:t>
      </w:r>
      <w:r w:rsidRPr="006B1CA7">
        <w:rPr>
          <w:rFonts w:eastAsia="MS Mincho" w:cs="Arial"/>
          <w:color w:val="000000"/>
          <w:lang w:val="fr-FR" w:eastAsia="ja-JP"/>
        </w:rPr>
        <w:t xml:space="preserve"> </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Les activités proposées ont pour intention de dynamiser la conservation effective des raies rhinos. Ces activités permettront également aux Parties de collaborer et de coordonner leurs mesures de conservation. En particulier, les ateliers régionaux permettront la participation directe des États de l’aire de répartition et encourageront la croissance continue et la participation active d’un réseau de parties prenantes en développement. Ce renforcement des capacités sera d’une valeur inestimable pour les activités futures concernant l’ensemble des </w:t>
      </w:r>
      <w:proofErr w:type="spellStart"/>
      <w:r w:rsidRPr="006B1CA7">
        <w:rPr>
          <w:rFonts w:eastAsia="MS Mincho" w:cs="Arial"/>
          <w:color w:val="000000"/>
          <w:lang w:val="fr-FR" w:eastAsia="ja-JP"/>
        </w:rPr>
        <w:t>wedgefish</w:t>
      </w:r>
      <w:proofErr w:type="spellEnd"/>
      <w:r w:rsidRPr="006B1CA7">
        <w:rPr>
          <w:rFonts w:eastAsia="MS Mincho" w:cs="Arial"/>
          <w:color w:val="000000"/>
          <w:lang w:val="fr-FR" w:eastAsia="ja-JP"/>
        </w:rPr>
        <w:t xml:space="preserve"> et des guitares de mer, ainsi que les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 xml:space="preserve"> et les anges de mer.</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Le Gabon a proposé une Action concertée pour les quatre familles (</w:t>
      </w:r>
      <w:proofErr w:type="spellStart"/>
      <w:r w:rsidRPr="006B1CA7">
        <w:rPr>
          <w:rFonts w:eastAsia="MS Mincho" w:cs="Arial"/>
          <w:color w:val="000000"/>
          <w:lang w:val="fr-FR" w:eastAsia="ja-JP"/>
        </w:rPr>
        <w:t>Pristidae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et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et agira donc comme chef de file pour la conservation nationale de ces espèces. La CSE de l’UICN et le Gabon travaillent de concert pour assurer la communication et un partenariat efficace dans les futurs Plans d’action. Notre collaboration sera mutuellement bénéfique et servira de guide pour les futurs partenariats. Elle encouragera également les Parties à prendre d’autres mesures de conservation régionales.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À l’échelle mondiale, la recherche et la conservation du poisson-scie suscitent un vif intérêt, mais les efforts de recherche ont été limités par le faible nombre de populations, ce qui rend les études difficiles. Il existe cinq espèces de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 xml:space="preserve">, dont deux sont En danger et trois En danger critique d’extinction selon la Liste rouge des espèces menacées de l’UICN. Toutes les espèces de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 xml:space="preserve"> sont inscrites aux Annexes I et II de la CMS (2014) et à l’Annexe I du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Requins (2016). Il existe un chevauchement important d’habitats, d’aires de répartition et de profondeurs entre les trois familles évoquées dans la présente Action concertée et les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 xml:space="preserve"> ; encourager la recherche et la conservation dans ces zones profitera également aux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De même, l’ange de mer (</w:t>
      </w:r>
      <w:r w:rsidRPr="006B1CA7">
        <w:rPr>
          <w:rFonts w:eastAsia="MS Mincho" w:cs="Arial"/>
          <w:i/>
          <w:color w:val="000000"/>
          <w:lang w:val="fr-FR" w:eastAsia="ja-JP"/>
        </w:rPr>
        <w:t>Squatina</w:t>
      </w:r>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spp</w:t>
      </w:r>
      <w:proofErr w:type="spellEnd"/>
      <w:r w:rsidRPr="006B1CA7">
        <w:rPr>
          <w:rFonts w:eastAsia="MS Mincho" w:cs="Arial"/>
          <w:color w:val="000000"/>
          <w:lang w:val="fr-FR" w:eastAsia="ja-JP"/>
        </w:rPr>
        <w:t xml:space="preserve">.), qui est confronté aux mêmes menaces, vit dans les mêmes régions que de nombreuses raies rhinos. Plus particulièrement, </w:t>
      </w:r>
      <w:r w:rsidRPr="006B1CA7">
        <w:rPr>
          <w:rFonts w:eastAsia="MS Mincho" w:cs="Arial"/>
          <w:i/>
          <w:color w:val="000000"/>
          <w:lang w:val="fr-FR" w:eastAsia="ja-JP"/>
        </w:rPr>
        <w:t xml:space="preserve">Squatina </w:t>
      </w:r>
      <w:proofErr w:type="spellStart"/>
      <w:r w:rsidRPr="006B1CA7">
        <w:rPr>
          <w:rFonts w:eastAsia="MS Mincho" w:cs="Arial"/>
          <w:i/>
          <w:color w:val="000000"/>
          <w:lang w:val="fr-FR" w:eastAsia="ja-JP"/>
        </w:rPr>
        <w:t>squatina</w:t>
      </w:r>
      <w:proofErr w:type="spellEnd"/>
      <w:r w:rsidRPr="006B1CA7">
        <w:rPr>
          <w:rFonts w:eastAsia="MS Mincho" w:cs="Arial"/>
          <w:color w:val="000000"/>
          <w:lang w:val="fr-FR" w:eastAsia="ja-JP"/>
        </w:rPr>
        <w:t>,</w:t>
      </w:r>
      <w:r w:rsidRPr="006B1CA7">
        <w:rPr>
          <w:rFonts w:eastAsia="MS Mincho" w:cs="Arial"/>
          <w:i/>
          <w:color w:val="000000"/>
          <w:lang w:val="fr-FR" w:eastAsia="ja-JP"/>
        </w:rPr>
        <w:t xml:space="preserve"> Squatina </w:t>
      </w:r>
      <w:proofErr w:type="spellStart"/>
      <w:r w:rsidRPr="006B1CA7">
        <w:rPr>
          <w:rFonts w:eastAsia="MS Mincho" w:cs="Arial"/>
          <w:i/>
          <w:color w:val="000000"/>
          <w:lang w:val="fr-FR" w:eastAsia="ja-JP"/>
        </w:rPr>
        <w:t>aculeata</w:t>
      </w:r>
      <w:proofErr w:type="spellEnd"/>
      <w:r w:rsidRPr="006B1CA7">
        <w:rPr>
          <w:rFonts w:eastAsia="MS Mincho" w:cs="Arial"/>
          <w:color w:val="000000"/>
          <w:lang w:val="fr-FR" w:eastAsia="ja-JP"/>
        </w:rPr>
        <w:t xml:space="preserve"> et</w:t>
      </w:r>
      <w:r w:rsidRPr="006B1CA7">
        <w:rPr>
          <w:rFonts w:eastAsia="MS Mincho" w:cs="Arial"/>
          <w:i/>
          <w:color w:val="000000"/>
          <w:lang w:val="fr-FR" w:eastAsia="ja-JP"/>
        </w:rPr>
        <w:t xml:space="preserve"> Squatina </w:t>
      </w:r>
      <w:proofErr w:type="spellStart"/>
      <w:r w:rsidRPr="006B1CA7">
        <w:rPr>
          <w:rFonts w:eastAsia="MS Mincho" w:cs="Arial"/>
          <w:i/>
          <w:color w:val="000000"/>
          <w:lang w:val="fr-FR" w:eastAsia="ja-JP"/>
        </w:rPr>
        <w:t>oculata</w:t>
      </w:r>
      <w:proofErr w:type="spellEnd"/>
      <w:r w:rsidRPr="006B1CA7">
        <w:rPr>
          <w:rFonts w:eastAsia="MS Mincho" w:cs="Arial"/>
          <w:color w:val="000000"/>
          <w:lang w:val="fr-FR" w:eastAsia="ja-JP"/>
        </w:rPr>
        <w:t xml:space="preserve"> bénéficieront d’une meilleure application des réglementations en Méditerranée. </w:t>
      </w:r>
      <w:r w:rsidRPr="006B1CA7">
        <w:rPr>
          <w:rFonts w:eastAsia="MS Mincho" w:cs="Arial"/>
          <w:i/>
          <w:color w:val="000000"/>
          <w:lang w:val="fr-FR" w:eastAsia="ja-JP"/>
        </w:rPr>
        <w:t>S. squatina</w:t>
      </w:r>
      <w:r w:rsidRPr="006B1CA7">
        <w:rPr>
          <w:rFonts w:eastAsia="MS Mincho" w:cs="Arial"/>
          <w:color w:val="000000"/>
          <w:lang w:val="fr-FR" w:eastAsia="ja-JP"/>
        </w:rPr>
        <w:t xml:space="preserve"> est inscrite aux Annexes I et II de la CMS (2017) et au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Requins (2018) et a été évaluée comme étant En danger critique d’extinction sur la Liste rouge de l’UICN (</w:t>
      </w:r>
      <w:proofErr w:type="spellStart"/>
      <w:r w:rsidRPr="006B1CA7">
        <w:rPr>
          <w:rFonts w:eastAsia="MS Mincho" w:cs="Arial"/>
          <w:color w:val="000000"/>
          <w:lang w:val="fr-FR" w:eastAsia="ja-JP"/>
        </w:rPr>
        <w:t>Morey</w:t>
      </w:r>
      <w:r w:rsidRPr="006B1CA7">
        <w:rPr>
          <w:rFonts w:eastAsia="MS Mincho" w:cs="Arial"/>
          <w:i/>
          <w:color w:val="000000"/>
          <w:lang w:val="fr-FR" w:eastAsia="ja-JP"/>
        </w:rPr>
        <w:t>et</w:t>
      </w:r>
      <w:proofErr w:type="spellEnd"/>
      <w:r w:rsidRPr="006B1CA7">
        <w:rPr>
          <w:rFonts w:eastAsia="MS Mincho" w:cs="Arial"/>
          <w:i/>
          <w:color w:val="000000"/>
          <w:lang w:val="fr-FR" w:eastAsia="ja-JP"/>
        </w:rPr>
        <w:t xml:space="preserve"> coll.</w:t>
      </w:r>
      <w:r w:rsidRPr="006B1CA7">
        <w:rPr>
          <w:rFonts w:eastAsia="MS Mincho" w:cs="Arial"/>
          <w:color w:val="000000"/>
          <w:lang w:val="fr-FR" w:eastAsia="ja-JP"/>
        </w:rPr>
        <w:t xml:space="preserve"> 2019).</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Calendrier :</w:t>
      </w:r>
      <w:r w:rsidRPr="006B1CA7">
        <w:rPr>
          <w:rFonts w:eastAsia="MS Mincho" w:cs="Arial"/>
          <w:color w:val="000000"/>
          <w:lang w:val="fr-FR" w:eastAsia="ja-JP"/>
        </w:rPr>
        <w:t xml:space="preserve"> </w:t>
      </w:r>
    </w:p>
    <w:p w:rsid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roofErr w:type="spellStart"/>
      <w:r w:rsidRPr="006B1CA7">
        <w:rPr>
          <w:rFonts w:eastAsia="MS Mincho" w:cs="Arial"/>
          <w:color w:val="000000"/>
          <w:lang w:val="fr-FR" w:eastAsia="ja-JP"/>
        </w:rPr>
        <w:t>Veuillez vous</w:t>
      </w:r>
      <w:proofErr w:type="spellEnd"/>
      <w:r w:rsidRPr="006B1CA7">
        <w:rPr>
          <w:rFonts w:eastAsia="MS Mincho" w:cs="Arial"/>
          <w:color w:val="000000"/>
          <w:lang w:val="fr-FR" w:eastAsia="ja-JP"/>
        </w:rPr>
        <w:t xml:space="preserve"> reporter au tableau 1 ci-dessus pour plus de détails.</w:t>
      </w:r>
    </w:p>
    <w:p w:rsidR="008C76C3" w:rsidRPr="006B1CA7" w:rsidRDefault="008C76C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Lien avec d’autres actions de la CMS :</w:t>
      </w:r>
      <w:r w:rsidRPr="006B1CA7">
        <w:rPr>
          <w:rFonts w:eastAsia="MS Mincho" w:cs="Arial"/>
          <w:color w:val="000000"/>
          <w:lang w:val="fr-FR" w:eastAsia="ja-JP"/>
        </w:rPr>
        <w:t xml:space="preserve"> </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En inscrivant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r w:rsidRPr="006B1CA7">
        <w:rPr>
          <w:rFonts w:eastAsia="MS Mincho" w:cs="Arial"/>
          <w:color w:val="000000"/>
          <w:lang w:val="fr-FR" w:eastAsia="ja-JP"/>
        </w:rPr>
        <w:t xml:space="preserve">à l’Annexe I (population de la mer Méditerranée) et à l’Annexe II (population mondiale), et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à l’Annexe II de la Convention, les Parties à la CMS sont déjà convenues que ces espèces bénéficieraient d’une Action concertée et de la coopération internationale. </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Le Gabon a soumis une Action concertée pour les familles de </w:t>
      </w:r>
      <w:proofErr w:type="spellStart"/>
      <w:r w:rsidRPr="006B1CA7">
        <w:rPr>
          <w:rFonts w:eastAsia="MS Mincho" w:cs="Arial"/>
          <w:color w:val="000000"/>
          <w:lang w:val="fr-FR" w:eastAsia="ja-JP"/>
        </w:rPr>
        <w:t>Pristidae</w:t>
      </w:r>
      <w:proofErr w:type="spellEnd"/>
      <w:r w:rsidRPr="006B1CA7">
        <w:rPr>
          <w:rFonts w:eastAsia="MS Mincho" w:cs="Arial"/>
          <w:color w:val="000000"/>
          <w:lang w:val="fr-FR" w:eastAsia="ja-JP"/>
        </w:rPr>
        <w:t xml:space="preserve">, de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de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et de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xml:space="preserve"> avec des actions régionales, ce qui complétera la présente Action concertée proposée par la CSE de l’UICN. Ensemble, ces propositions d’Actions concertées soulignent la nécessité d’une conservation régionale et mondiale de ces familles en péril, tout en mettant l’accent sur la faisabilité d’actions de conservation à différentes échelles. La préparation d’un Plan d’action mondial pour les raies rhinos fournira les priorités mondiales et le contexte sur lesquels les plans régionaux pourront s’appuyer.</w:t>
      </w: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et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figurent également dans le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Requins (2018). Ceci vise à guider la coopération internationale afin d’assurer et de maintenir un état de conservation durable des requins et des raies migrateurs inscrits dans son Annexe 1. Les Actions concertées soutiendront la mise en œuvre globale du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Requins, en particulier en améliorant la compréhension des populations de requins migrateurs et en renforçant la coopération nationale, régionale et internationale.</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Le Groupe de travail sur les prises accessoires de la CMS examine les mesures en place pour atténuer et réduire la prise accessoire des espèces protégées par la CMS et a pour objectif de garantir que les actions recommandées bénéficient à tous les taxons. Les résultats des propositions d’Actions concertées devraient également contribuer à l’atteinte de cet objectif (en particulier l’activité 8 décrite ci-dessus).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Priorité de conservation :</w:t>
      </w:r>
      <w:r w:rsidRPr="006B1CA7">
        <w:rPr>
          <w:rFonts w:eastAsia="MS Mincho" w:cs="Arial"/>
          <w:color w:val="000000"/>
          <w:lang w:val="fr-FR" w:eastAsia="ja-JP"/>
        </w:rPr>
        <w:t xml:space="preserve"> </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et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partagent des menaces communes : 1) elles possèdent certaines des nageoires qui ont la valeur la plus élevée sur le marché international, ce qui se traduit par des prises ciblées et des prises accessoires conservées (Notarbartolo di Sciara </w:t>
      </w:r>
      <w:r w:rsidRPr="006B1CA7">
        <w:rPr>
          <w:rFonts w:eastAsia="MS Mincho" w:cs="Arial"/>
          <w:i/>
          <w:color w:val="000000"/>
          <w:lang w:val="fr-FR" w:eastAsia="ja-JP"/>
        </w:rPr>
        <w:t>et coll</w:t>
      </w:r>
      <w:r w:rsidRPr="006B1CA7">
        <w:rPr>
          <w:rFonts w:eastAsia="MS Mincho" w:cs="Arial"/>
          <w:color w:val="000000"/>
          <w:lang w:val="fr-FR" w:eastAsia="ja-JP"/>
        </w:rPr>
        <w:t xml:space="preserve">. 2007, </w:t>
      </w:r>
      <w:proofErr w:type="spellStart"/>
      <w:r w:rsidRPr="006B1CA7">
        <w:rPr>
          <w:rFonts w:eastAsia="MS Mincho" w:cs="Arial"/>
          <w:color w:val="000000"/>
          <w:lang w:val="fr-FR" w:eastAsia="ja-JP"/>
        </w:rPr>
        <w:t>Dulvy</w:t>
      </w:r>
      <w:proofErr w:type="spellEnd"/>
      <w:r w:rsidRPr="006B1CA7">
        <w:rPr>
          <w:rFonts w:eastAsia="MS Mincho" w:cs="Arial"/>
          <w:color w:val="000000"/>
          <w:lang w:val="fr-FR" w:eastAsia="ja-JP"/>
        </w:rPr>
        <w:t xml:space="preserve"> </w:t>
      </w:r>
      <w:r w:rsidRPr="006B1CA7">
        <w:rPr>
          <w:rFonts w:eastAsia="MS Mincho" w:cs="Arial"/>
          <w:i/>
          <w:color w:val="000000"/>
          <w:lang w:val="fr-FR" w:eastAsia="ja-JP"/>
        </w:rPr>
        <w:t>et coll</w:t>
      </w:r>
      <w:r w:rsidRPr="006B1CA7">
        <w:rPr>
          <w:rFonts w:eastAsia="MS Mincho" w:cs="Arial"/>
          <w:color w:val="000000"/>
          <w:lang w:val="fr-FR" w:eastAsia="ja-JP"/>
        </w:rPr>
        <w:t xml:space="preserve">. 2014, </w:t>
      </w:r>
      <w:proofErr w:type="spellStart"/>
      <w:r w:rsidRPr="006B1CA7">
        <w:rPr>
          <w:rFonts w:eastAsia="MS Mincho" w:cs="Arial"/>
          <w:color w:val="000000"/>
          <w:lang w:val="fr-FR" w:eastAsia="ja-JP"/>
        </w:rPr>
        <w:t>Jabado</w:t>
      </w:r>
      <w:proofErr w:type="spellEnd"/>
      <w:r w:rsidRPr="006B1CA7">
        <w:rPr>
          <w:rFonts w:eastAsia="MS Mincho" w:cs="Arial"/>
          <w:color w:val="000000"/>
          <w:lang w:val="fr-FR" w:eastAsia="ja-JP"/>
        </w:rPr>
        <w:t xml:space="preserve"> 2018, </w:t>
      </w:r>
      <w:proofErr w:type="spellStart"/>
      <w:r w:rsidRPr="006B1CA7">
        <w:rPr>
          <w:rFonts w:eastAsia="MS Mincho" w:cs="Arial"/>
          <w:color w:val="000000"/>
          <w:lang w:val="fr-FR" w:eastAsia="ja-JP"/>
        </w:rPr>
        <w:t>Kyne</w:t>
      </w:r>
      <w:proofErr w:type="spellEnd"/>
      <w:r w:rsidRPr="006B1CA7">
        <w:rPr>
          <w:rFonts w:eastAsia="MS Mincho" w:cs="Arial"/>
          <w:color w:val="000000"/>
          <w:lang w:val="fr-FR" w:eastAsia="ja-JP"/>
        </w:rPr>
        <w:t xml:space="preserve"> </w:t>
      </w:r>
      <w:r w:rsidRPr="006B1CA7">
        <w:rPr>
          <w:rFonts w:eastAsia="MS Mincho" w:cs="Arial"/>
          <w:i/>
          <w:color w:val="000000"/>
          <w:lang w:val="fr-FR" w:eastAsia="ja-JP"/>
        </w:rPr>
        <w:t>et coll.</w:t>
      </w:r>
      <w:r w:rsidRPr="006B1CA7">
        <w:rPr>
          <w:rFonts w:eastAsia="MS Mincho" w:cs="Arial"/>
          <w:color w:val="000000"/>
          <w:lang w:val="fr-FR" w:eastAsia="ja-JP"/>
        </w:rPr>
        <w:t xml:space="preserve"> 2019a) ; 2) leur morphologie les rend très vulnérables aux prises accessoires dans de nombreux types d’engins de pêche (Moore 2017) ; et 3) leur dépendance à l’égard des habitats côtiers les expose fortement à la pêche intensive, ainsi qu’à la perte et à la dégradation de leurs habitats (</w:t>
      </w:r>
      <w:proofErr w:type="spellStart"/>
      <w:r w:rsidRPr="006B1CA7">
        <w:rPr>
          <w:rFonts w:eastAsia="MS Mincho" w:cs="Arial"/>
          <w:color w:val="000000"/>
          <w:lang w:val="fr-FR" w:eastAsia="ja-JP"/>
        </w:rPr>
        <w:t>Jabado</w:t>
      </w:r>
      <w:proofErr w:type="spellEnd"/>
      <w:r w:rsidRPr="006B1CA7">
        <w:rPr>
          <w:rFonts w:eastAsia="MS Mincho" w:cs="Arial"/>
          <w:color w:val="000000"/>
          <w:lang w:val="fr-FR" w:eastAsia="ja-JP"/>
        </w:rPr>
        <w:t xml:space="preserve"> </w:t>
      </w:r>
      <w:r w:rsidRPr="006B1CA7">
        <w:rPr>
          <w:rFonts w:eastAsia="MS Mincho" w:cs="Arial"/>
          <w:i/>
          <w:color w:val="000000"/>
          <w:lang w:val="fr-FR" w:eastAsia="ja-JP"/>
        </w:rPr>
        <w:t>et coll.</w:t>
      </w:r>
      <w:r w:rsidRPr="006B1CA7">
        <w:rPr>
          <w:rFonts w:eastAsia="MS Mincho" w:cs="Arial"/>
          <w:color w:val="000000"/>
          <w:lang w:val="fr-FR" w:eastAsia="ja-JP"/>
        </w:rPr>
        <w:t xml:space="preserve"> 2018).</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est inscrite à l’échelle mondiale à l’Annexe II de la CMS (2017), aux Annexes I et II de la CMS (2017) pour la population de la mer Méditerranée, et dans le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Requins de la CMS (2018). Elle est classée comme En danger sur la Liste rouge de l’UICN sur la base des déclins passés et des déclins futurs présumés (Notarbartolo di Sciara </w:t>
      </w:r>
      <w:r w:rsidRPr="006B1CA7">
        <w:rPr>
          <w:rFonts w:eastAsia="MS Mincho" w:cs="Arial"/>
          <w:i/>
          <w:color w:val="000000"/>
          <w:lang w:val="fr-FR" w:eastAsia="ja-JP"/>
        </w:rPr>
        <w:t>et coll.</w:t>
      </w:r>
      <w:r w:rsidRPr="006B1CA7">
        <w:rPr>
          <w:rFonts w:eastAsia="MS Mincho" w:cs="Arial"/>
          <w:color w:val="000000"/>
          <w:lang w:val="fr-FR" w:eastAsia="ja-JP"/>
        </w:rPr>
        <w:t xml:space="preserve"> 2007).</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Historiquement, la présence de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s’étendait des eaux côtières peu profondes jusqu’à 180 m de profondeur en Méditerranée et dans les régions subtropicales de l’Atlantique est, du golfe de Gascogne à l’Angola (Notarbartolo di Sciara </w:t>
      </w:r>
      <w:r w:rsidRPr="006B1CA7">
        <w:rPr>
          <w:rFonts w:eastAsia="MS Mincho" w:cs="Arial"/>
          <w:i/>
          <w:color w:val="000000"/>
          <w:lang w:val="fr-FR" w:eastAsia="ja-JP"/>
        </w:rPr>
        <w:t xml:space="preserve">et coll. </w:t>
      </w:r>
      <w:r w:rsidRPr="006B1CA7">
        <w:rPr>
          <w:rFonts w:eastAsia="MS Mincho" w:cs="Arial"/>
          <w:color w:val="000000"/>
          <w:lang w:val="fr-FR" w:eastAsia="ja-JP"/>
        </w:rPr>
        <w:t xml:space="preserve">2007). Actuellement,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a localement disparu dans une grande partie du nord de la Méditerranée et n’est plus signalée sur la côte atlantique de l’Europe en raison de la pression de la pêche intensive à long terme (Fowler </w:t>
      </w:r>
      <w:r w:rsidRPr="006B1CA7">
        <w:rPr>
          <w:rFonts w:eastAsia="MS Mincho" w:cs="Arial"/>
          <w:i/>
          <w:color w:val="000000"/>
          <w:lang w:val="fr-FR" w:eastAsia="ja-JP"/>
        </w:rPr>
        <w:t>et coll</w:t>
      </w:r>
      <w:r w:rsidRPr="006B1CA7">
        <w:rPr>
          <w:rFonts w:eastAsia="MS Mincho" w:cs="Arial"/>
          <w:color w:val="000000"/>
          <w:lang w:val="fr-FR" w:eastAsia="ja-JP"/>
        </w:rPr>
        <w:t xml:space="preserve">. 2005, Notarbartolo di Sciara </w:t>
      </w:r>
      <w:r w:rsidRPr="006B1CA7">
        <w:rPr>
          <w:rFonts w:eastAsia="MS Mincho" w:cs="Arial"/>
          <w:i/>
          <w:color w:val="000000"/>
          <w:lang w:val="fr-FR" w:eastAsia="ja-JP"/>
        </w:rPr>
        <w:t>et coll.</w:t>
      </w:r>
      <w:r w:rsidRPr="006B1CA7">
        <w:rPr>
          <w:rFonts w:eastAsia="MS Mincho" w:cs="Arial"/>
          <w:color w:val="000000"/>
          <w:lang w:val="fr-FR" w:eastAsia="ja-JP"/>
        </w:rPr>
        <w:t xml:space="preserve"> 2007).</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La pression de la pêche est la plus grande menace pour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suivie par la perte et la destruction des habitats.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migre de façon saisonnière des eaux profondes vers les zones côtières peu profondes pour mettre bas et s’accoupler ; pendant cette période, elles sont la cible de la pêche côtière pour leur viande et leurs nageoires et sont également capturées comme prises accessoires dans la pêche au filet ou au chalut (Newell 2017, Moore </w:t>
      </w:r>
      <w:r w:rsidRPr="006B1CA7">
        <w:rPr>
          <w:rFonts w:eastAsia="MS Mincho" w:cs="Arial"/>
          <w:i/>
          <w:color w:val="000000"/>
          <w:lang w:val="fr-FR" w:eastAsia="ja-JP"/>
        </w:rPr>
        <w:t xml:space="preserve">et coll. </w:t>
      </w:r>
      <w:r w:rsidRPr="006B1CA7">
        <w:rPr>
          <w:rFonts w:eastAsia="MS Mincho" w:cs="Arial"/>
          <w:color w:val="000000"/>
          <w:lang w:val="fr-FR" w:eastAsia="ja-JP"/>
        </w:rPr>
        <w:t xml:space="preserve">2019). On sait peu de choses sur la façon dont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se déplace le long des habitats côtiers et marins, mais étant donné que la migration saisonnière a lieu en eaux peu profondes, les guitares de mer nicheuses sont particulièrement sensibles aux activités de pêche côtière au filet maillant ou au chalut. </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roofErr w:type="spellStart"/>
      <w:r w:rsidRPr="006B1CA7">
        <w:rPr>
          <w:rFonts w:eastAsia="MS Mincho" w:cs="Arial"/>
          <w:i/>
          <w:color w:val="000000"/>
          <w:lang w:val="fr-FR" w:eastAsia="ja-JP"/>
        </w:rPr>
        <w:t>Rhynchobatus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est inscrite à l’Annexe II de la CMS (2017), dans le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Requins de la CMS (2018) et est considérée comme étant En danger critique d’extinction sur la Liste rouge de l’UICN, car on suppose que l’espèce a subi une réduction supérieure à 80 % de sa population au cours des trois dernières générations (</w:t>
      </w:r>
      <w:proofErr w:type="spellStart"/>
      <w:r w:rsidRPr="006B1CA7">
        <w:rPr>
          <w:rFonts w:eastAsia="MS Mincho" w:cs="Arial"/>
          <w:color w:val="000000"/>
          <w:lang w:val="fr-FR" w:eastAsia="ja-JP"/>
        </w:rPr>
        <w:t>Kyne</w:t>
      </w:r>
      <w:proofErr w:type="spellEnd"/>
      <w:r w:rsidRPr="006B1CA7">
        <w:rPr>
          <w:rFonts w:eastAsia="MS Mincho" w:cs="Arial"/>
          <w:color w:val="000000"/>
          <w:lang w:val="fr-FR" w:eastAsia="ja-JP"/>
        </w:rPr>
        <w:t xml:space="preserve"> </w:t>
      </w:r>
      <w:r w:rsidRPr="006B1CA7">
        <w:rPr>
          <w:rFonts w:eastAsia="MS Mincho" w:cs="Arial"/>
          <w:i/>
          <w:color w:val="000000"/>
          <w:lang w:val="fr-FR" w:eastAsia="ja-JP"/>
        </w:rPr>
        <w:t xml:space="preserve">et coll. </w:t>
      </w:r>
      <w:r w:rsidRPr="006B1CA7">
        <w:rPr>
          <w:rFonts w:eastAsia="MS Mincho" w:cs="Arial"/>
          <w:color w:val="000000"/>
          <w:lang w:val="fr-FR" w:eastAsia="ja-JP"/>
        </w:rPr>
        <w:t>2019a, 2019b).</w:t>
      </w: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Pr>
          <w:rFonts w:eastAsia="MS Mincho" w:cs="Arial"/>
          <w:color w:val="000000"/>
          <w:lang w:val="fr-FR" w:eastAsia="ja-JP"/>
        </w:rPr>
        <w:br w:type="page"/>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roofErr w:type="spellStart"/>
      <w:r w:rsidRPr="006B1CA7">
        <w:rPr>
          <w:rFonts w:eastAsia="MS Mincho" w:cs="Arial"/>
          <w:i/>
          <w:color w:val="000000"/>
          <w:lang w:val="fr-FR" w:eastAsia="ja-JP"/>
        </w:rPr>
        <w:t>Rhynchobatus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fait l’objet d’une surpêche, qu’il s’agisse de la pêche artisanale ou commerciale ; elle est capturée comme espèce cible et comme prise accessoire principalement pour ses nageoires d’une grande valeur à l’échelle internationale. Son utilisation de l’habitat côtier, sa sensibilité à de multiples types d’engins et son aire de répartition dans certaines des régions côtières les plus exploitées au monde en matière de pêche la rendent particulièrement vulnérable, et sa population a été localement réduite dans toute son aire de répartition (Giles </w:t>
      </w:r>
      <w:r w:rsidRPr="006B1CA7">
        <w:rPr>
          <w:rFonts w:eastAsia="MS Mincho" w:cs="Arial"/>
          <w:i/>
          <w:color w:val="000000"/>
          <w:lang w:val="fr-FR" w:eastAsia="ja-JP"/>
        </w:rPr>
        <w:t>et col.</w:t>
      </w:r>
      <w:r w:rsidRPr="006B1CA7">
        <w:rPr>
          <w:rFonts w:eastAsia="MS Mincho" w:cs="Arial"/>
          <w:color w:val="000000"/>
          <w:lang w:val="fr-FR" w:eastAsia="ja-JP"/>
        </w:rPr>
        <w:t xml:space="preserve"> 2016, </w:t>
      </w:r>
      <w:proofErr w:type="spellStart"/>
      <w:r w:rsidRPr="006B1CA7">
        <w:rPr>
          <w:rFonts w:eastAsia="MS Mincho" w:cs="Arial"/>
          <w:color w:val="000000"/>
          <w:lang w:val="fr-FR" w:eastAsia="ja-JP"/>
        </w:rPr>
        <w:t>Kyne</w:t>
      </w:r>
      <w:proofErr w:type="spellEnd"/>
      <w:r w:rsidRPr="006B1CA7">
        <w:rPr>
          <w:rFonts w:eastAsia="MS Mincho" w:cs="Arial"/>
          <w:color w:val="000000"/>
          <w:lang w:val="fr-FR" w:eastAsia="ja-JP"/>
        </w:rPr>
        <w:t xml:space="preserve"> </w:t>
      </w:r>
      <w:r w:rsidRPr="006B1CA7">
        <w:rPr>
          <w:rFonts w:eastAsia="MS Mincho" w:cs="Arial"/>
          <w:i/>
          <w:color w:val="000000"/>
          <w:lang w:val="fr-FR" w:eastAsia="ja-JP"/>
        </w:rPr>
        <w:t>et coll.</w:t>
      </w:r>
      <w:r w:rsidRPr="006B1CA7">
        <w:rPr>
          <w:rFonts w:eastAsia="MS Mincho" w:cs="Arial"/>
          <w:color w:val="000000"/>
          <w:lang w:val="fr-FR" w:eastAsia="ja-JP"/>
        </w:rPr>
        <w:t xml:space="preserve"> 2019b).  Bien que les données par espèce sur les prises et les débarquements fassent défaut,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a subi d’importants déclins de sa population et on en déduit qu’elle a subi un déclin de plus de 80 % de sa population mondiale au cours des trois dernières générations (45 ans) (</w:t>
      </w:r>
      <w:proofErr w:type="spellStart"/>
      <w:r w:rsidRPr="006B1CA7">
        <w:rPr>
          <w:rFonts w:eastAsia="MS Mincho" w:cs="Arial"/>
          <w:color w:val="000000"/>
          <w:lang w:val="fr-FR" w:eastAsia="ja-JP"/>
        </w:rPr>
        <w:t>Kyne</w:t>
      </w:r>
      <w:proofErr w:type="spellEnd"/>
      <w:r w:rsidRPr="006B1CA7">
        <w:rPr>
          <w:rFonts w:eastAsia="MS Mincho" w:cs="Arial"/>
          <w:color w:val="000000"/>
          <w:lang w:val="fr-FR" w:eastAsia="ja-JP"/>
        </w:rPr>
        <w:t xml:space="preserve"> </w:t>
      </w:r>
      <w:r w:rsidRPr="006B1CA7">
        <w:rPr>
          <w:rFonts w:eastAsia="MS Mincho" w:cs="Arial"/>
          <w:i/>
          <w:color w:val="000000"/>
          <w:lang w:val="fr-FR" w:eastAsia="ja-JP"/>
        </w:rPr>
        <w:t>et col.</w:t>
      </w:r>
      <w:r w:rsidRPr="006B1CA7">
        <w:rPr>
          <w:rFonts w:eastAsia="MS Mincho" w:cs="Arial"/>
          <w:color w:val="000000"/>
          <w:lang w:val="fr-FR" w:eastAsia="ja-JP"/>
        </w:rPr>
        <w:t xml:space="preserve"> 2019b).</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Les espèces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r w:rsidRPr="006B1CA7">
        <w:rPr>
          <w:rFonts w:eastAsia="MS Mincho" w:cs="Arial"/>
          <w:color w:val="000000"/>
          <w:lang w:val="fr-FR" w:eastAsia="ja-JP"/>
        </w:rPr>
        <w:t xml:space="preserve">et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connaissent un état de conservation défavorable tel que défini dans la Convention, dans la mesure où elles ne respectent pas les conditions énoncées au sous-paragraphe 1 C du </w:t>
      </w:r>
      <w:hyperlink r:id="rId26">
        <w:r w:rsidRPr="006B1CA7">
          <w:rPr>
            <w:rStyle w:val="Hyperlink"/>
            <w:rFonts w:eastAsia="MS Mincho" w:cs="Arial"/>
            <w:lang w:val="fr-FR" w:eastAsia="ja-JP"/>
          </w:rPr>
          <w:t>texte de la Convention</w:t>
        </w:r>
      </w:hyperlink>
      <w:r w:rsidRPr="006B1CA7">
        <w:rPr>
          <w:rFonts w:eastAsia="MS Mincho" w:cs="Arial"/>
          <w:color w:val="000000"/>
          <w:lang w:val="fr-FR" w:eastAsia="ja-JP"/>
        </w:rPr>
        <w:t>.</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La mise à jour de juillet 2019 de la Liste rouge de l’UICN identifie les familles de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et de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xml:space="preserve"> comme le groupe le plus menacé de tous les poissons marins. Au total, 94 % des espèces de ces deux familles sont confrontées à un « risque d’extinction extrêmement élevé », selon les évaluations les plus récentes de la Liste rouge de l’UICN. La réévaluation du statut de la Liste rouge pour les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n’est pas encore achevée, mais actuellement, 24 % des espèces sont considérées comme menacées d’extinction. Étant donné que l’identification au niveau de l’espèce peut être difficile et que les menaces sont similaires au sein des trois familles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et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nous proposons de toutes les inclure dans la présente Action concertée de la CMS.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Des mesures de gestion et de conservation coordonnées et globales sont nécessaires de toute urgence pour prévenir de nouveaux déclins de populations et l’extinction régionale et mondiale des raies rhinos. La coopération entre les États de l’aire de répartition pour réduire les obstacles à l’atténuation, conserver les habitats et protéger les espèces à travers une coopération internationale pour réglementer la pêche ciblée et les prises accessoires (en particulier celles associées aux migrations saisonnières de reproduction) est absolument nécessaire. Garantir que les captures soient durables et légales aidera à prévenir l’extinction des raies rhinos. Il est probable que sans réglementation commerciale, la valeur élevée des nageoires entraîne la poursuite de la surpêche et un déclin mondial. Il s’agit d’une menace sérieuse pour la survie des populations sauvages et similaire au sort des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 xml:space="preserve"> qui ont été éliminés de presque toute leur aire de répartition historique (Moore 2017).</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Pertinence :</w:t>
      </w:r>
      <w:r w:rsidRPr="006B1CA7">
        <w:rPr>
          <w:rFonts w:eastAsia="MS Mincho" w:cs="Arial"/>
          <w:color w:val="000000"/>
          <w:lang w:val="fr-FR" w:eastAsia="ja-JP"/>
        </w:rPr>
        <w:t xml:space="preserve"> </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présente une migration saisonnière basée sur son cycle de reproduction, les femelles visitant les eaux peu profondes pour la parturition (Newell 2017). Au cours de ce mouvement prévisible, les adultes reproducteurs peuvent facilement être la cible de pêcheurs ou être capturés accidentellement comme prises accessoires. </w:t>
      </w: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fait l’objet d’une pêche ciblée non réglementée dans les eaux du sud et de l’est de la Méditerranée et est l’une des principales cibles des équipes spécialisées dans la pêche au requin dans leur aire d’Afrique de l’ouest. Étant donné qu’il y a encore beaucoup d’incertitude sur la façon dont</w:t>
      </w:r>
      <w:r w:rsidRPr="006B1CA7">
        <w:rPr>
          <w:rFonts w:eastAsia="MS Mincho" w:cs="Arial"/>
          <w:i/>
          <w:color w:val="000000"/>
          <w:lang w:val="fr-FR" w:eastAsia="ja-JP"/>
        </w:rPr>
        <w:t xml:space="preserve"> R.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migre dans les eaux peu profondes, l’espèce bénéficierait de structures de gestion internationales coordonnées pour obtenir plus de données et une meilleure compréhension des populations actuelles.</w:t>
      </w: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Les données sur les comportements migratoires de</w:t>
      </w:r>
      <w:r w:rsidRPr="006B1CA7">
        <w:rPr>
          <w:rFonts w:eastAsia="MS Mincho" w:cs="Arial"/>
          <w:i/>
          <w:color w:val="000000"/>
          <w:lang w:val="fr-FR" w:eastAsia="ja-JP"/>
        </w:rPr>
        <w:t xml:space="preserve"> R.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font défaut.</w:t>
      </w:r>
      <w:r w:rsidRPr="006B1CA7">
        <w:rPr>
          <w:rFonts w:eastAsia="MS Mincho" w:cs="Arial"/>
          <w:i/>
          <w:color w:val="000000"/>
          <w:lang w:val="fr-FR" w:eastAsia="ja-JP"/>
        </w:rPr>
        <w:t xml:space="preserve">  </w:t>
      </w:r>
      <w:r w:rsidRPr="006B1CA7">
        <w:rPr>
          <w:rFonts w:eastAsia="MS Mincho" w:cs="Arial"/>
          <w:color w:val="000000"/>
          <w:lang w:val="fr-FR" w:eastAsia="ja-JP"/>
        </w:rPr>
        <w:t xml:space="preserve">Cependant, d’autres espèces de raies rhinos sont généralement migratrices (p. ex. celles des familles de </w:t>
      </w:r>
      <w:proofErr w:type="spellStart"/>
      <w:r w:rsidRPr="006B1CA7">
        <w:rPr>
          <w:rFonts w:eastAsia="MS Mincho" w:cs="Arial"/>
          <w:color w:val="000000"/>
          <w:lang w:val="fr-FR" w:eastAsia="ja-JP"/>
        </w:rPr>
        <w:t>Pristidae</w:t>
      </w:r>
      <w:proofErr w:type="spellEnd"/>
      <w:r w:rsidRPr="006B1CA7">
        <w:rPr>
          <w:rFonts w:eastAsia="MS Mincho" w:cs="Arial"/>
          <w:color w:val="000000"/>
          <w:lang w:val="fr-FR" w:eastAsia="ja-JP"/>
        </w:rPr>
        <w:t xml:space="preserve">, de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et de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Lessa</w:t>
      </w:r>
      <w:proofErr w:type="spellEnd"/>
      <w:r w:rsidRPr="006B1CA7">
        <w:rPr>
          <w:rFonts w:eastAsia="MS Mincho" w:cs="Arial"/>
          <w:color w:val="000000"/>
          <w:lang w:val="fr-FR" w:eastAsia="ja-JP"/>
        </w:rPr>
        <w:t xml:space="preserve"> et </w:t>
      </w:r>
      <w:proofErr w:type="spellStart"/>
      <w:r w:rsidRPr="006B1CA7">
        <w:rPr>
          <w:rFonts w:eastAsia="MS Mincho" w:cs="Arial"/>
          <w:color w:val="000000"/>
          <w:lang w:val="fr-FR" w:eastAsia="ja-JP"/>
        </w:rPr>
        <w:t>Vooren</w:t>
      </w:r>
      <w:proofErr w:type="spellEnd"/>
      <w:r w:rsidRPr="006B1CA7">
        <w:rPr>
          <w:rFonts w:eastAsia="MS Mincho" w:cs="Arial"/>
          <w:color w:val="000000"/>
          <w:lang w:val="fr-FR" w:eastAsia="ja-JP"/>
        </w:rPr>
        <w:t xml:space="preserve"> 2007, Márquez-</w:t>
      </w:r>
      <w:proofErr w:type="spellStart"/>
      <w:r w:rsidRPr="006B1CA7">
        <w:rPr>
          <w:rFonts w:eastAsia="MS Mincho" w:cs="Arial"/>
          <w:color w:val="000000"/>
          <w:lang w:val="fr-FR" w:eastAsia="ja-JP"/>
        </w:rPr>
        <w:t>Farías</w:t>
      </w:r>
      <w:proofErr w:type="spellEnd"/>
      <w:r w:rsidRPr="006B1CA7">
        <w:rPr>
          <w:rFonts w:eastAsia="MS Mincho" w:cs="Arial"/>
          <w:color w:val="000000"/>
          <w:lang w:val="fr-FR" w:eastAsia="ja-JP"/>
        </w:rPr>
        <w:t xml:space="preserve"> 2007, Blanco-Parra </w:t>
      </w:r>
      <w:r w:rsidRPr="006B1CA7">
        <w:rPr>
          <w:rFonts w:eastAsia="MS Mincho" w:cs="Arial"/>
          <w:i/>
          <w:color w:val="000000"/>
          <w:lang w:val="fr-FR" w:eastAsia="ja-JP"/>
        </w:rPr>
        <w:t xml:space="preserve">et coll. </w:t>
      </w:r>
      <w:r w:rsidRPr="006B1CA7">
        <w:rPr>
          <w:rFonts w:eastAsia="MS Mincho" w:cs="Arial"/>
          <w:color w:val="000000"/>
          <w:lang w:val="fr-FR" w:eastAsia="ja-JP"/>
        </w:rPr>
        <w:t xml:space="preserve">2009, Fowler 2014). De plus, des données récentes montrent qu’il y a probablement une migration épisodique entre l’Indonésie et l’Australie (Giles </w:t>
      </w:r>
      <w:r w:rsidRPr="006B1CA7">
        <w:rPr>
          <w:rFonts w:eastAsia="MS Mincho" w:cs="Arial"/>
          <w:i/>
          <w:color w:val="000000"/>
          <w:lang w:val="fr-FR" w:eastAsia="ja-JP"/>
        </w:rPr>
        <w:t xml:space="preserve">et col. </w:t>
      </w:r>
      <w:r w:rsidRPr="006B1CA7">
        <w:rPr>
          <w:rFonts w:eastAsia="MS Mincho" w:cs="Arial"/>
          <w:color w:val="000000"/>
          <w:lang w:val="fr-FR" w:eastAsia="ja-JP"/>
        </w:rPr>
        <w:t xml:space="preserve">2016). Il convient d’avoir de toute urgence des mesures de gestion et de conservation coordonnées et globales pour prévenir de nouveaux déclins de populations et des extinctions localisées, régionales ou même mondiales dans l’ensemble de son aire de répartition, d’autant plus que les migrations se produisent probablement à une échelle qui dépasse les frontières nationales. </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En général, la grande taille, la mobilité et la morphologie de nombreuses raies rhinos indiquent qu’elles sont susceptibles de traverser les frontières nationales. Toute initiative nationale de conservation qui vise à empêcher d’autres déclins de populations de raies rhinos a peu de chances de réussir si les animaux ne sont pas protégés pendant les migrations saisonnières dans les eaux au-delà des juridictions nationales. Par conséquent, les Parties doivent travailler de concert à l’élaboration de mesures de conservation efficaces.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Les activités décrites dans le présent document contribueront également à la mise en œuvre des Résolutions 11.20 sur la </w:t>
      </w:r>
      <w:hyperlink r:id="rId27">
        <w:r w:rsidRPr="006B1CA7">
          <w:rPr>
            <w:rStyle w:val="Hyperlink"/>
            <w:rFonts w:eastAsia="MS Mincho" w:cs="Arial"/>
            <w:lang w:val="fr-FR" w:eastAsia="ja-JP"/>
          </w:rPr>
          <w:t>Conservation des requins et des raies migrateurs</w:t>
        </w:r>
      </w:hyperlink>
      <w:r w:rsidRPr="006B1CA7">
        <w:rPr>
          <w:rFonts w:eastAsia="MS Mincho" w:cs="Arial"/>
          <w:color w:val="000000"/>
          <w:lang w:val="fr-FR" w:eastAsia="ja-JP"/>
        </w:rPr>
        <w:t> ; et 12.22 sur les prises accessoires.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Absence de meilleures solutions :</w:t>
      </w:r>
      <w:r w:rsidRPr="006B1CA7">
        <w:rPr>
          <w:rFonts w:eastAsia="MS Mincho" w:cs="Arial"/>
          <w:color w:val="000000"/>
          <w:lang w:val="fr-FR" w:eastAsia="ja-JP"/>
        </w:rPr>
        <w:t xml:space="preserve"> </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La présente Action concertée répond directement au besoin de coordination à l’échelle de l’aire de répartition et permettra une collaboration stratégique entre les Parties pour travailler ensemble à l’élaboration et à la mise en œuvre des activités. Le réseau de la CMS est la plate-forme idéale pour améliorer les connaissances sur les raies rhinos et élaborer un Plan d’action mondial pour les raies rhinos. Les partenaires de la CMS, notamment les chercheurs et les ONG engagés, peuvent soutenir ces actions à travers les relations existantes créées par la CMS, une fois qu’elles sont adoptées par les gouvernements. Bien que les protections nationales soient un remède indispensable, étant donné la nature migratoire des raies rhinos, une Action concertée s’impose.</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proofErr w:type="spellStart"/>
      <w:r w:rsidRPr="006B1CA7">
        <w:rPr>
          <w:rFonts w:eastAsia="MS Mincho" w:cs="Arial"/>
          <w:i/>
          <w:color w:val="000000"/>
          <w:lang w:val="fr-FR" w:eastAsia="ja-JP"/>
        </w:rPr>
        <w:t>rhinobatos</w:t>
      </w:r>
      <w:proofErr w:type="spellEnd"/>
      <w:r w:rsidRPr="006B1CA7">
        <w:rPr>
          <w:rFonts w:eastAsia="MS Mincho" w:cs="Arial"/>
          <w:color w:val="000000"/>
          <w:lang w:val="fr-FR" w:eastAsia="ja-JP"/>
        </w:rPr>
        <w:t xml:space="preserve"> n’est pas inscrite à la CITES, mais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spp</w:t>
      </w:r>
      <w:proofErr w:type="spellEnd"/>
      <w:r w:rsidRPr="006B1CA7">
        <w:rPr>
          <w:rFonts w:eastAsia="MS Mincho" w:cs="Arial"/>
          <w:color w:val="000000"/>
          <w:lang w:val="fr-FR" w:eastAsia="ja-JP"/>
        </w:rPr>
        <w:t xml:space="preserve">. et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spp</w:t>
      </w:r>
      <w:proofErr w:type="spellEnd"/>
      <w:r w:rsidRPr="006B1CA7">
        <w:rPr>
          <w:rFonts w:eastAsia="MS Mincho" w:cs="Arial"/>
          <w:color w:val="000000"/>
          <w:lang w:val="fr-FR" w:eastAsia="ja-JP"/>
        </w:rPr>
        <w:t>. sont à présent inscrites à l’Annexe II de la CITES (2019). De nouvelles inscriptions à la CITES permettront de réglementer le commerce de ces espèces, mais la CMS sera essentielle pour que les Parties collaborent à la conservation des raies rhinos.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Degré de préparation et faisabilité :</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Israël, la Mauritanie, le Sénégal et le Togo ont déjà pris la tête de la proposition d’inscription de</w:t>
      </w:r>
      <w:r w:rsidRPr="006B1CA7">
        <w:rPr>
          <w:rFonts w:eastAsia="MS Mincho" w:cs="Arial"/>
          <w:i/>
          <w:color w:val="000000"/>
          <w:lang w:val="fr-FR" w:eastAsia="ja-JP"/>
        </w:rPr>
        <w:t xml:space="preserve"> R. </w:t>
      </w:r>
      <w:proofErr w:type="spellStart"/>
      <w:r w:rsidRPr="006B1CA7">
        <w:rPr>
          <w:rFonts w:eastAsia="MS Mincho" w:cs="Arial"/>
          <w:i/>
          <w:color w:val="000000"/>
          <w:lang w:val="fr-FR" w:eastAsia="ja-JP"/>
        </w:rPr>
        <w:t>rhinobatos</w:t>
      </w:r>
      <w:proofErr w:type="spellEnd"/>
      <w:r w:rsidRPr="006B1CA7">
        <w:rPr>
          <w:rFonts w:eastAsia="MS Mincho" w:cs="Arial"/>
          <w:i/>
          <w:color w:val="000000"/>
          <w:lang w:val="fr-FR" w:eastAsia="ja-JP"/>
        </w:rPr>
        <w:t xml:space="preserve"> </w:t>
      </w:r>
      <w:r w:rsidRPr="006B1CA7">
        <w:rPr>
          <w:rFonts w:eastAsia="MS Mincho" w:cs="Arial"/>
          <w:color w:val="000000"/>
          <w:lang w:val="fr-FR" w:eastAsia="ja-JP"/>
        </w:rPr>
        <w:t xml:space="preserve">à l’Annexe II de la CMS (Annexe I pour la population de la mer Méditerranée). Le Gouvernement des Philippines a inscrit avec succès </w:t>
      </w:r>
      <w:r w:rsidRPr="006B1CA7">
        <w:rPr>
          <w:rFonts w:eastAsia="MS Mincho" w:cs="Arial"/>
          <w:i/>
          <w:color w:val="000000"/>
          <w:lang w:val="fr-FR" w:eastAsia="ja-JP"/>
        </w:rPr>
        <w:t xml:space="preserve">R. </w:t>
      </w:r>
      <w:proofErr w:type="spellStart"/>
      <w:r w:rsidRPr="006B1CA7">
        <w:rPr>
          <w:rFonts w:eastAsia="MS Mincho" w:cs="Arial"/>
          <w:i/>
          <w:color w:val="000000"/>
          <w:lang w:val="fr-FR" w:eastAsia="ja-JP"/>
        </w:rPr>
        <w:t>australiae</w:t>
      </w:r>
      <w:proofErr w:type="spellEnd"/>
      <w:r w:rsidRPr="006B1CA7">
        <w:rPr>
          <w:rFonts w:eastAsia="MS Mincho" w:cs="Arial"/>
          <w:color w:val="000000"/>
          <w:lang w:val="fr-FR" w:eastAsia="ja-JP"/>
        </w:rPr>
        <w:t xml:space="preserve"> à l’Annexe II de la CMS.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Le Gabon soumet une Action concertée qui concerne les quatre familles de </w:t>
      </w:r>
      <w:proofErr w:type="spellStart"/>
      <w:r w:rsidRPr="006B1CA7">
        <w:rPr>
          <w:rFonts w:eastAsia="MS Mincho" w:cs="Arial"/>
          <w:color w:val="000000"/>
          <w:lang w:val="fr-FR" w:eastAsia="ja-JP"/>
        </w:rPr>
        <w:t>Pristidae</w:t>
      </w:r>
      <w:proofErr w:type="spellEnd"/>
      <w:r w:rsidRPr="006B1CA7">
        <w:rPr>
          <w:rFonts w:eastAsia="MS Mincho" w:cs="Arial"/>
          <w:color w:val="000000"/>
          <w:lang w:val="fr-FR" w:eastAsia="ja-JP"/>
        </w:rPr>
        <w:t xml:space="preserve">, de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de </w:t>
      </w:r>
      <w:proofErr w:type="spellStart"/>
      <w:r w:rsidRPr="006B1CA7">
        <w:rPr>
          <w:rFonts w:eastAsia="MS Mincho" w:cs="Arial"/>
          <w:color w:val="000000"/>
          <w:lang w:val="fr-FR" w:eastAsia="ja-JP"/>
        </w:rPr>
        <w:t>Rhinidae</w:t>
      </w:r>
      <w:proofErr w:type="spellEnd"/>
      <w:r w:rsidRPr="006B1CA7">
        <w:rPr>
          <w:rFonts w:eastAsia="MS Mincho" w:cs="Arial"/>
          <w:color w:val="000000"/>
          <w:lang w:val="fr-FR" w:eastAsia="ja-JP"/>
        </w:rPr>
        <w:t xml:space="preserve"> et de </w:t>
      </w:r>
      <w:proofErr w:type="spellStart"/>
      <w:r w:rsidRPr="006B1CA7">
        <w:rPr>
          <w:rFonts w:eastAsia="MS Mincho" w:cs="Arial"/>
          <w:color w:val="000000"/>
          <w:lang w:val="fr-FR" w:eastAsia="ja-JP"/>
        </w:rPr>
        <w:t>Glaucostegidae</w:t>
      </w:r>
      <w:proofErr w:type="spellEnd"/>
      <w:r w:rsidRPr="006B1CA7">
        <w:rPr>
          <w:rFonts w:eastAsia="MS Mincho" w:cs="Arial"/>
          <w:color w:val="000000"/>
          <w:lang w:val="fr-FR" w:eastAsia="ja-JP"/>
        </w:rPr>
        <w:t xml:space="preserve"> et sera bien placé pour démontrer un leadership efficace dans la conservation des raies rhinos </w:t>
      </w:r>
      <w:proofErr w:type="gramStart"/>
      <w:r w:rsidRPr="006B1CA7">
        <w:rPr>
          <w:rFonts w:eastAsia="MS Mincho" w:cs="Arial"/>
          <w:color w:val="000000"/>
          <w:lang w:val="fr-FR" w:eastAsia="ja-JP"/>
        </w:rPr>
        <w:t>au</w:t>
      </w:r>
      <w:proofErr w:type="gramEnd"/>
      <w:r w:rsidRPr="006B1CA7">
        <w:rPr>
          <w:rFonts w:eastAsia="MS Mincho" w:cs="Arial"/>
          <w:color w:val="000000"/>
          <w:lang w:val="fr-FR" w:eastAsia="ja-JP"/>
        </w:rPr>
        <w:t xml:space="preserve"> plan national. </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La CSE de l’UICN a pris l’initiative d’établir un Réseau des raies rhinos pour permettre un partage efficace des données et des informations. La CSE de l’UICN a de l’expérience dans la production de stratégies mondiales de conservation et dirigera la publication du Plan d’action mondial pour les raies rhinos qui aidera les États de l’aire de répartition à planifier, à appliquer et à gérer la conservation des raies rhinos.</w:t>
      </w: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Save Our </w:t>
      </w:r>
      <w:proofErr w:type="spellStart"/>
      <w:r w:rsidRPr="006B1CA7">
        <w:rPr>
          <w:rFonts w:eastAsia="MS Mincho" w:cs="Arial"/>
          <w:color w:val="000000"/>
          <w:lang w:val="fr-FR" w:eastAsia="ja-JP"/>
        </w:rPr>
        <w:t>Seas</w:t>
      </w:r>
      <w:proofErr w:type="spellEnd"/>
      <w:r w:rsidRPr="006B1CA7">
        <w:rPr>
          <w:rFonts w:eastAsia="MS Mincho" w:cs="Arial"/>
          <w:color w:val="000000"/>
          <w:lang w:val="fr-FR" w:eastAsia="ja-JP"/>
        </w:rPr>
        <w:t xml:space="preserve"> </w:t>
      </w:r>
      <w:proofErr w:type="spellStart"/>
      <w:r w:rsidRPr="006B1CA7">
        <w:rPr>
          <w:rFonts w:eastAsia="MS Mincho" w:cs="Arial"/>
          <w:color w:val="000000"/>
          <w:lang w:val="fr-FR" w:eastAsia="ja-JP"/>
        </w:rPr>
        <w:t>Foundation</w:t>
      </w:r>
      <w:proofErr w:type="spellEnd"/>
      <w:r w:rsidRPr="006B1CA7">
        <w:rPr>
          <w:rFonts w:eastAsia="MS Mincho" w:cs="Arial"/>
          <w:color w:val="000000"/>
          <w:lang w:val="fr-FR" w:eastAsia="ja-JP"/>
        </w:rPr>
        <w:t xml:space="preserve"> (SOSF) a lancé un appel spécial pour les demandes de subventions clés de 2020 en vue de soutenir des projets qui favorisent le rétablissement des raies rhinos, en particulier les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 xml:space="preserve">, les </w:t>
      </w:r>
      <w:proofErr w:type="spellStart"/>
      <w:r w:rsidRPr="006B1CA7">
        <w:rPr>
          <w:rFonts w:eastAsia="MS Mincho" w:cs="Arial"/>
          <w:color w:val="000000"/>
          <w:lang w:val="fr-FR" w:eastAsia="ja-JP"/>
        </w:rPr>
        <w:t>wedgefish</w:t>
      </w:r>
      <w:proofErr w:type="spellEnd"/>
      <w:r w:rsidRPr="006B1CA7">
        <w:rPr>
          <w:rFonts w:eastAsia="MS Mincho" w:cs="Arial"/>
          <w:color w:val="000000"/>
          <w:lang w:val="fr-FR" w:eastAsia="ja-JP"/>
        </w:rPr>
        <w:t xml:space="preserve"> et les guitares de mer. De plus, Shark Conservation </w:t>
      </w:r>
      <w:proofErr w:type="spellStart"/>
      <w:r w:rsidRPr="006B1CA7">
        <w:rPr>
          <w:rFonts w:eastAsia="MS Mincho" w:cs="Arial"/>
          <w:color w:val="000000"/>
          <w:lang w:val="fr-FR" w:eastAsia="ja-JP"/>
        </w:rPr>
        <w:t>Fund</w:t>
      </w:r>
      <w:proofErr w:type="spellEnd"/>
      <w:r w:rsidRPr="006B1CA7">
        <w:rPr>
          <w:rFonts w:eastAsia="MS Mincho" w:cs="Arial"/>
          <w:color w:val="000000"/>
          <w:lang w:val="fr-FR" w:eastAsia="ja-JP"/>
        </w:rPr>
        <w:t xml:space="preserve"> (SCF) soutient des projets axés sur les espèces endémiques les plus menacées et les familles de requins et de raies en danger comme le poisson-scie, l’ange de mer, </w:t>
      </w:r>
      <w:proofErr w:type="spellStart"/>
      <w:r w:rsidRPr="006B1CA7">
        <w:rPr>
          <w:rFonts w:eastAsia="MS Mincho" w:cs="Arial"/>
          <w:color w:val="000000"/>
          <w:lang w:val="fr-FR" w:eastAsia="ja-JP"/>
        </w:rPr>
        <w:t>Rhinobatidae</w:t>
      </w:r>
      <w:proofErr w:type="spellEnd"/>
      <w:r w:rsidRPr="006B1CA7">
        <w:rPr>
          <w:rFonts w:eastAsia="MS Mincho" w:cs="Arial"/>
          <w:color w:val="000000"/>
          <w:lang w:val="fr-FR" w:eastAsia="ja-JP"/>
        </w:rPr>
        <w:t xml:space="preserve"> et la guitare de mer. Ces possibilités de financement apporteront probablement un soutien hautement nécessaire pour faire progresser les efforts de conservation des raies rhinos.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Voir le tableau des actions ci-dessus pour plus de détails.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Probabilité de réussite :</w:t>
      </w:r>
      <w:r w:rsidRPr="006B1CA7">
        <w:rPr>
          <w:rFonts w:eastAsia="MS Mincho" w:cs="Arial"/>
          <w:color w:val="000000"/>
          <w:lang w:val="fr-FR" w:eastAsia="ja-JP"/>
        </w:rPr>
        <w:t xml:space="preserve"> </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Une Stratégie mondiale pour la conservation du poisson-scie a été créée à la suite d’un atelier dirigé par la CSE de l’UICN en 2012. Un groupe de 29 experts représentant le savoir-faire de 48 pays du monde entier s’est réuni et a élaboré un plan d’action mondial ciblé pour ramener ces espèces emblématiques du bord de l’extinction. Dans le même temps, la CSE de l’UICN a créé un Réseau des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 xml:space="preserve"> et un bulletin d’information triennal pour encourager la collaboration et la recherche sur ce groupe d’espèces. Ces méthodes ont véritablement réussi à renforcer les capacités régionales et à mettre le sort du poisson-scie sous les feux de la rampe. Suivant les mêmes méthodes, nous pouvons maintenant nous appuyer sur les travaux antérieurs sur le poisson-scie et les réseaux existants pour étendre notre couverture afin d’inclure les raies rhinos. Un réseau en ligne des raies rhinos a déjà été mis en place et a été fusionné avec le bulletin d’information existant sur le poisson-scie. Les membres de ce réseau constitueront la base d’une expansion continue et une source de collaboration future dans la proposition de Plan d’action pour les raies rhinos et nous aideront à identifier des experts régionaux pour défendre la conservation dans leurs États de l’aire de répartition.</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Il existe une base solide et une expérience organisationnelle sur lesquelles s’appuyer pour mettre en œuvre avec succès les Actions concertées. Les signataires du </w:t>
      </w:r>
      <w:proofErr w:type="spellStart"/>
      <w:r w:rsidRPr="006B1CA7">
        <w:rPr>
          <w:rFonts w:eastAsia="MS Mincho" w:cs="Arial"/>
          <w:color w:val="000000"/>
          <w:lang w:val="fr-FR" w:eastAsia="ja-JP"/>
        </w:rPr>
        <w:t>MdE</w:t>
      </w:r>
      <w:proofErr w:type="spellEnd"/>
      <w:r w:rsidRPr="006B1CA7">
        <w:rPr>
          <w:rFonts w:eastAsia="MS Mincho" w:cs="Arial"/>
          <w:color w:val="000000"/>
          <w:lang w:val="fr-FR" w:eastAsia="ja-JP"/>
        </w:rPr>
        <w:t xml:space="preserve"> Requins et les partenaires coopérants seront invités à soutenir l’élaboration et la mise en œuvre des plans d’action afin d’augmenter encore plus les chances de succès.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Certains facteurs de risque sont associés à l’Action concertée ; il y a un manque général de capacité en matière d’identification des espèces, d’information sur les prises et l’abondance, et un manque d’engagement des agences nationales. Cependant, en travaillant avec les Parties, la CSE de l’UICN peut introduire des actions mondiales dans la planification régionale et nationale sur le terrain.</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Ampleur de l’impact potentiel :</w:t>
      </w:r>
      <w:r w:rsidRPr="006B1CA7">
        <w:rPr>
          <w:rFonts w:eastAsia="MS Mincho" w:cs="Arial"/>
          <w:color w:val="000000"/>
          <w:lang w:val="fr-FR" w:eastAsia="ja-JP"/>
        </w:rPr>
        <w:t xml:space="preserve"> </w:t>
      </w:r>
    </w:p>
    <w:p w:rsid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Pr>
          <w:rFonts w:eastAsia="MS Mincho" w:cs="Arial"/>
          <w:color w:val="000000"/>
          <w:lang w:val="fr-FR" w:eastAsia="ja-JP"/>
        </w:rPr>
        <w:tab/>
      </w:r>
      <w:r w:rsidR="006B1CA7" w:rsidRPr="006B1CA7">
        <w:rPr>
          <w:rFonts w:eastAsia="MS Mincho" w:cs="Arial"/>
          <w:color w:val="000000"/>
          <w:lang w:val="fr-FR" w:eastAsia="ja-JP"/>
        </w:rPr>
        <w:t xml:space="preserve">Au total, 45 espèces de raies rhinos sont couvertes par la présente Action concertée, dont 33 appartiennent à la famille des </w:t>
      </w:r>
      <w:proofErr w:type="spellStart"/>
      <w:r w:rsidR="006B1CA7" w:rsidRPr="006B1CA7">
        <w:rPr>
          <w:rFonts w:eastAsia="MS Mincho" w:cs="Arial"/>
          <w:color w:val="000000"/>
          <w:lang w:val="fr-FR" w:eastAsia="ja-JP"/>
        </w:rPr>
        <w:t>Rhinobatidae</w:t>
      </w:r>
      <w:proofErr w:type="spellEnd"/>
      <w:r w:rsidR="006B1CA7" w:rsidRPr="006B1CA7">
        <w:rPr>
          <w:rFonts w:eastAsia="MS Mincho" w:cs="Arial"/>
          <w:color w:val="000000"/>
          <w:lang w:val="fr-FR" w:eastAsia="ja-JP"/>
        </w:rPr>
        <w:t xml:space="preserve">, 10 à la famille des </w:t>
      </w:r>
      <w:proofErr w:type="spellStart"/>
      <w:r w:rsidR="006B1CA7" w:rsidRPr="006B1CA7">
        <w:rPr>
          <w:rFonts w:eastAsia="MS Mincho" w:cs="Arial"/>
          <w:color w:val="000000"/>
          <w:lang w:val="fr-FR" w:eastAsia="ja-JP"/>
        </w:rPr>
        <w:t>Rhinidae</w:t>
      </w:r>
      <w:proofErr w:type="spellEnd"/>
      <w:r w:rsidR="006B1CA7" w:rsidRPr="006B1CA7">
        <w:rPr>
          <w:rFonts w:eastAsia="MS Mincho" w:cs="Arial"/>
          <w:color w:val="000000"/>
          <w:lang w:val="fr-FR" w:eastAsia="ja-JP"/>
        </w:rPr>
        <w:t xml:space="preserve"> et 6 à la famille des </w:t>
      </w:r>
      <w:proofErr w:type="spellStart"/>
      <w:r w:rsidR="006B1CA7" w:rsidRPr="006B1CA7">
        <w:rPr>
          <w:rFonts w:eastAsia="MS Mincho" w:cs="Arial"/>
          <w:color w:val="000000"/>
          <w:lang w:val="fr-FR" w:eastAsia="ja-JP"/>
        </w:rPr>
        <w:t>Glaucostegidae</w:t>
      </w:r>
      <w:proofErr w:type="spellEnd"/>
      <w:r w:rsidR="006B1CA7" w:rsidRPr="006B1CA7">
        <w:rPr>
          <w:rFonts w:eastAsia="MS Mincho" w:cs="Arial"/>
          <w:color w:val="000000"/>
          <w:lang w:val="fr-FR" w:eastAsia="ja-JP"/>
        </w:rPr>
        <w:t>. Ensemble, près de la moitié des espèces (22/45, soit 48,9 %) sont actuellement menacées d’un risque élevé d’extinction : 17 (37,8 %) En danger critique d’extinction, 1 (2,2 %) En danger et 4 (8,9 %) Vulnérables. Par ailleurs, 10 (22,2 %) présentent des Données insuffisantes. De nombreuses espèces de ce groupe ont subi un déclin rapide et continu des populations (</w:t>
      </w:r>
      <w:proofErr w:type="spellStart"/>
      <w:r w:rsidR="006B1CA7" w:rsidRPr="006B1CA7">
        <w:rPr>
          <w:rFonts w:eastAsia="MS Mincho" w:cs="Arial"/>
          <w:color w:val="000000"/>
          <w:lang w:val="fr-FR" w:eastAsia="ja-JP"/>
        </w:rPr>
        <w:t>Kyne</w:t>
      </w:r>
      <w:proofErr w:type="spellEnd"/>
      <w:r w:rsidR="006B1CA7" w:rsidRPr="006B1CA7">
        <w:rPr>
          <w:rFonts w:eastAsia="MS Mincho" w:cs="Arial"/>
          <w:color w:val="000000"/>
          <w:lang w:val="fr-FR" w:eastAsia="ja-JP"/>
        </w:rPr>
        <w:t xml:space="preserve"> </w:t>
      </w:r>
      <w:r w:rsidR="006B1CA7" w:rsidRPr="006B1CA7">
        <w:rPr>
          <w:rFonts w:eastAsia="MS Mincho" w:cs="Arial"/>
          <w:i/>
          <w:color w:val="000000"/>
          <w:lang w:val="fr-FR" w:eastAsia="ja-JP"/>
        </w:rPr>
        <w:t>et coll.</w:t>
      </w:r>
      <w:r w:rsidR="006B1CA7" w:rsidRPr="006B1CA7">
        <w:rPr>
          <w:rFonts w:eastAsia="MS Mincho" w:cs="Arial"/>
          <w:color w:val="000000"/>
          <w:lang w:val="fr-FR" w:eastAsia="ja-JP"/>
        </w:rPr>
        <w:t xml:space="preserve"> 2019a). Une liste complète des pays où ces espèces sont présentes est disponible sur le site Web de la Liste rouge de l’UICN (</w:t>
      </w:r>
      <w:hyperlink r:id="rId28">
        <w:r w:rsidR="006B1CA7" w:rsidRPr="006B1CA7">
          <w:rPr>
            <w:rStyle w:val="Hyperlink"/>
            <w:rFonts w:eastAsia="MS Mincho" w:cs="Arial"/>
            <w:lang w:val="fr-FR" w:eastAsia="ja-JP"/>
          </w:rPr>
          <w:t>https://www.iucnredlist.org/</w:t>
        </w:r>
      </w:hyperlink>
      <w:r w:rsidR="006B1CA7" w:rsidRPr="006B1CA7">
        <w:rPr>
          <w:rFonts w:eastAsia="MS Mincho" w:cs="Arial"/>
          <w:color w:val="000000"/>
          <w:lang w:val="fr-FR" w:eastAsia="ja-JP"/>
        </w:rPr>
        <w:t>).</w:t>
      </w: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Pr>
          <w:rFonts w:eastAsia="MS Mincho" w:cs="Arial"/>
          <w:color w:val="000000"/>
          <w:lang w:val="fr-FR" w:eastAsia="ja-JP"/>
        </w:rPr>
        <w:br w:type="page"/>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p>
    <w:p w:rsid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Pr>
          <w:rFonts w:eastAsia="MS Mincho" w:cs="Arial"/>
          <w:color w:val="000000"/>
          <w:lang w:val="fr-FR" w:eastAsia="ja-JP"/>
        </w:rPr>
        <w:tab/>
      </w:r>
      <w:r w:rsidR="006B1CA7" w:rsidRPr="006B1CA7">
        <w:rPr>
          <w:rFonts w:eastAsia="MS Mincho" w:cs="Arial"/>
          <w:color w:val="000000"/>
          <w:lang w:val="fr-FR" w:eastAsia="ja-JP"/>
        </w:rPr>
        <w:t xml:space="preserve">Bien que le rôle précis des raies rhinos dans l’écosystème soit mal compris, il a été démontré que les membres de la famille des </w:t>
      </w:r>
      <w:proofErr w:type="spellStart"/>
      <w:r w:rsidR="006B1CA7" w:rsidRPr="006B1CA7">
        <w:rPr>
          <w:rFonts w:eastAsia="MS Mincho" w:cs="Arial"/>
          <w:color w:val="000000"/>
          <w:lang w:val="fr-FR" w:eastAsia="ja-JP"/>
        </w:rPr>
        <w:t>Rhinobatidae</w:t>
      </w:r>
      <w:proofErr w:type="spellEnd"/>
      <w:r w:rsidR="006B1CA7" w:rsidRPr="006B1CA7">
        <w:rPr>
          <w:rFonts w:eastAsia="MS Mincho" w:cs="Arial"/>
          <w:color w:val="000000"/>
          <w:lang w:val="fr-FR" w:eastAsia="ja-JP"/>
        </w:rPr>
        <w:t xml:space="preserve"> occupent des niveaux trophiques intermédiaires et, en tant que prédateurs, ils sont susceptibles d’exercer une pression directe sur tous les niveaux trophiques (</w:t>
      </w:r>
      <w:proofErr w:type="spellStart"/>
      <w:r w:rsidR="006B1CA7" w:rsidRPr="006B1CA7">
        <w:rPr>
          <w:rFonts w:eastAsia="MS Mincho" w:cs="Arial"/>
          <w:color w:val="000000"/>
          <w:lang w:val="fr-FR" w:eastAsia="ja-JP"/>
        </w:rPr>
        <w:t>Navia</w:t>
      </w:r>
      <w:proofErr w:type="spellEnd"/>
      <w:r w:rsidR="006B1CA7" w:rsidRPr="006B1CA7">
        <w:rPr>
          <w:rFonts w:eastAsia="MS Mincho" w:cs="Arial"/>
          <w:color w:val="000000"/>
          <w:lang w:val="fr-FR" w:eastAsia="ja-JP"/>
        </w:rPr>
        <w:t xml:space="preserve"> </w:t>
      </w:r>
      <w:r w:rsidR="006B1CA7" w:rsidRPr="006B1CA7">
        <w:rPr>
          <w:rFonts w:eastAsia="MS Mincho" w:cs="Arial"/>
          <w:i/>
          <w:color w:val="000000"/>
          <w:lang w:val="fr-FR" w:eastAsia="ja-JP"/>
        </w:rPr>
        <w:t>et coll.</w:t>
      </w:r>
      <w:r w:rsidR="006B1CA7" w:rsidRPr="006B1CA7">
        <w:rPr>
          <w:rFonts w:eastAsia="MS Mincho" w:cs="Arial"/>
          <w:color w:val="000000"/>
          <w:lang w:val="fr-FR" w:eastAsia="ja-JP"/>
        </w:rPr>
        <w:t xml:space="preserve"> 2016). De plus, les raies rhinos peuvent être une proie importante pour les grands prédateurs qui sont essentiels au fonctionnement des écosystèmes (Moore, 2017). L’analyse démographique de neuf espèces de raies rhinos a montré que la plupart des espèces ont une capacité modérée ou élevée de se rétablir rapidement du déclin des populations lorsque la mortalité par pêche est réduite à de faibles niveaux (D’Alberto </w:t>
      </w:r>
      <w:r w:rsidR="006B1CA7" w:rsidRPr="006B1CA7">
        <w:rPr>
          <w:rFonts w:eastAsia="MS Mincho" w:cs="Arial"/>
          <w:i/>
          <w:color w:val="000000"/>
          <w:lang w:val="fr-FR" w:eastAsia="ja-JP"/>
        </w:rPr>
        <w:t>et coll.</w:t>
      </w:r>
      <w:r w:rsidR="006B1CA7" w:rsidRPr="006B1CA7">
        <w:rPr>
          <w:rFonts w:eastAsia="MS Mincho" w:cs="Arial"/>
          <w:color w:val="000000"/>
          <w:lang w:val="fr-FR" w:eastAsia="ja-JP"/>
        </w:rPr>
        <w:t xml:space="preserve"> 2019). Ceci démontre que la présente Action concertée aura des avantages significatifs pour les populations de raies rhinos.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p>
    <w:p w:rsid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Pr>
          <w:rFonts w:eastAsia="MS Mincho" w:cs="Arial"/>
          <w:color w:val="000000"/>
          <w:lang w:val="fr-FR" w:eastAsia="ja-JP"/>
        </w:rPr>
        <w:tab/>
      </w:r>
      <w:r w:rsidR="006B1CA7" w:rsidRPr="006B1CA7">
        <w:rPr>
          <w:rFonts w:eastAsia="MS Mincho" w:cs="Arial"/>
          <w:color w:val="000000"/>
          <w:lang w:val="fr-FR" w:eastAsia="ja-JP"/>
        </w:rPr>
        <w:t xml:space="preserve">L’aire de répartition de nombreuses </w:t>
      </w:r>
      <w:proofErr w:type="spellStart"/>
      <w:r w:rsidR="006B1CA7" w:rsidRPr="006B1CA7">
        <w:rPr>
          <w:rFonts w:eastAsia="MS Mincho" w:cs="Arial"/>
          <w:color w:val="000000"/>
          <w:lang w:val="fr-FR" w:eastAsia="ja-JP"/>
        </w:rPr>
        <w:t>Rhinobatidae</w:t>
      </w:r>
      <w:proofErr w:type="spellEnd"/>
      <w:r w:rsidR="006B1CA7" w:rsidRPr="006B1CA7">
        <w:rPr>
          <w:rFonts w:eastAsia="MS Mincho" w:cs="Arial"/>
          <w:color w:val="000000"/>
          <w:lang w:val="fr-FR" w:eastAsia="ja-JP"/>
        </w:rPr>
        <w:t xml:space="preserve">, </w:t>
      </w:r>
      <w:proofErr w:type="spellStart"/>
      <w:r w:rsidR="006B1CA7" w:rsidRPr="006B1CA7">
        <w:rPr>
          <w:rFonts w:eastAsia="MS Mincho" w:cs="Arial"/>
          <w:color w:val="000000"/>
          <w:lang w:val="fr-FR" w:eastAsia="ja-JP"/>
        </w:rPr>
        <w:t>Rhinidae</w:t>
      </w:r>
      <w:proofErr w:type="spellEnd"/>
      <w:r w:rsidR="006B1CA7" w:rsidRPr="006B1CA7">
        <w:rPr>
          <w:rFonts w:eastAsia="MS Mincho" w:cs="Arial"/>
          <w:color w:val="000000"/>
          <w:lang w:val="fr-FR" w:eastAsia="ja-JP"/>
        </w:rPr>
        <w:t xml:space="preserve"> et </w:t>
      </w:r>
      <w:proofErr w:type="spellStart"/>
      <w:r w:rsidR="006B1CA7" w:rsidRPr="006B1CA7">
        <w:rPr>
          <w:rFonts w:eastAsia="MS Mincho" w:cs="Arial"/>
          <w:color w:val="000000"/>
          <w:lang w:val="fr-FR" w:eastAsia="ja-JP"/>
        </w:rPr>
        <w:t>Glaucostegidae</w:t>
      </w:r>
      <w:proofErr w:type="spellEnd"/>
      <w:r w:rsidR="006B1CA7" w:rsidRPr="006B1CA7">
        <w:rPr>
          <w:rFonts w:eastAsia="MS Mincho" w:cs="Arial"/>
          <w:color w:val="000000"/>
          <w:lang w:val="fr-FR" w:eastAsia="ja-JP"/>
        </w:rPr>
        <w:t xml:space="preserve"> chevauche celle d’une autre famille de raies rhinos en péril, la famille des </w:t>
      </w:r>
      <w:proofErr w:type="spellStart"/>
      <w:r w:rsidR="006B1CA7" w:rsidRPr="006B1CA7">
        <w:rPr>
          <w:rFonts w:eastAsia="MS Mincho" w:cs="Arial"/>
          <w:color w:val="000000"/>
          <w:lang w:val="fr-FR" w:eastAsia="ja-JP"/>
        </w:rPr>
        <w:t>Pristidae</w:t>
      </w:r>
      <w:proofErr w:type="spellEnd"/>
      <w:r w:rsidR="006B1CA7" w:rsidRPr="006B1CA7">
        <w:rPr>
          <w:rFonts w:eastAsia="MS Mincho" w:cs="Arial"/>
          <w:color w:val="000000"/>
          <w:lang w:val="fr-FR" w:eastAsia="ja-JP"/>
        </w:rPr>
        <w:t xml:space="preserve"> (composée de cinq espèces de </w:t>
      </w:r>
      <w:proofErr w:type="spellStart"/>
      <w:r w:rsidR="006B1CA7" w:rsidRPr="006B1CA7">
        <w:rPr>
          <w:rFonts w:eastAsia="MS Mincho" w:cs="Arial"/>
          <w:color w:val="000000"/>
          <w:lang w:val="fr-FR" w:eastAsia="ja-JP"/>
        </w:rPr>
        <w:t>poissons-scies</w:t>
      </w:r>
      <w:proofErr w:type="spellEnd"/>
      <w:r w:rsidR="006B1CA7" w:rsidRPr="006B1CA7">
        <w:rPr>
          <w:rFonts w:eastAsia="MS Mincho" w:cs="Arial"/>
          <w:color w:val="000000"/>
          <w:lang w:val="fr-FR" w:eastAsia="ja-JP"/>
        </w:rPr>
        <w:t xml:space="preserve">). Ainsi, les mesures de conservation qui ciblent ces familles peuvent également être avantageuses pour l’ensemble des </w:t>
      </w:r>
      <w:proofErr w:type="spellStart"/>
      <w:r w:rsidR="006B1CA7" w:rsidRPr="006B1CA7">
        <w:rPr>
          <w:rFonts w:eastAsia="MS Mincho" w:cs="Arial"/>
          <w:color w:val="000000"/>
          <w:lang w:val="fr-FR" w:eastAsia="ja-JP"/>
        </w:rPr>
        <w:t>Rhinopristiformes</w:t>
      </w:r>
      <w:proofErr w:type="spellEnd"/>
      <w:r w:rsidR="006B1CA7" w:rsidRPr="006B1CA7">
        <w:rPr>
          <w:rFonts w:eastAsia="MS Mincho" w:cs="Arial"/>
          <w:color w:val="000000"/>
          <w:lang w:val="fr-FR" w:eastAsia="ja-JP"/>
        </w:rPr>
        <w:t>. Les raies rhinos serviront également d’espèce phare pour un groupe plus large de sujets liés à la pêche côtière et aux prises accessoires, en particulier les actions et activités entreprises pour ce groupe bénéficieront à la surveillance et à la mise en œuvre des actions en faveur du poisson-scie.</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p>
    <w:p w:rsid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Pr>
          <w:rFonts w:eastAsia="MS Mincho" w:cs="Arial"/>
          <w:color w:val="000000"/>
          <w:lang w:val="fr-FR" w:eastAsia="ja-JP"/>
        </w:rPr>
        <w:tab/>
      </w:r>
      <w:r w:rsidR="006B1CA7" w:rsidRPr="006B1CA7">
        <w:rPr>
          <w:rFonts w:eastAsia="MS Mincho" w:cs="Arial"/>
          <w:color w:val="000000"/>
          <w:lang w:val="fr-FR" w:eastAsia="ja-JP"/>
        </w:rPr>
        <w:t>En outre, une mise en œuvre réussie pourrait entraîner :</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p>
    <w:p w:rsidR="006B1CA7" w:rsidRDefault="006B1CA7" w:rsidP="008C76C3">
      <w:pPr>
        <w:widowControl w:val="0"/>
        <w:numPr>
          <w:ilvl w:val="0"/>
          <w:numId w:val="15"/>
        </w:numPr>
        <w:pBdr>
          <w:top w:val="single" w:sz="6" w:space="0" w:color="FFFFFF"/>
          <w:left w:val="single" w:sz="6" w:space="0" w:color="FFFFFF"/>
          <w:bottom w:val="single" w:sz="6" w:space="0" w:color="FFFFFF"/>
          <w:right w:val="single" w:sz="6" w:space="0" w:color="FFFFFF"/>
        </w:pBdr>
        <w:autoSpaceDE w:val="0"/>
        <w:spacing w:after="0"/>
        <w:ind w:left="1134" w:hanging="567"/>
        <w:jc w:val="both"/>
        <w:outlineLvl w:val="1"/>
        <w:rPr>
          <w:rFonts w:eastAsia="MS Mincho" w:cs="Arial"/>
          <w:color w:val="000000"/>
          <w:lang w:val="fr-FR" w:eastAsia="ja-JP"/>
        </w:rPr>
      </w:pPr>
      <w:r w:rsidRPr="006B1CA7">
        <w:rPr>
          <w:rFonts w:eastAsia="MS Mincho" w:cs="Arial"/>
          <w:color w:val="000000"/>
          <w:lang w:val="fr-FR" w:eastAsia="ja-JP"/>
        </w:rPr>
        <w:t>des avantages pour la science grâce à l’augmentation des données et de l’information ;</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1134"/>
        <w:jc w:val="both"/>
        <w:outlineLvl w:val="1"/>
        <w:rPr>
          <w:rFonts w:eastAsia="MS Mincho" w:cs="Arial"/>
          <w:color w:val="000000"/>
          <w:lang w:val="fr-FR" w:eastAsia="ja-JP"/>
        </w:rPr>
      </w:pPr>
    </w:p>
    <w:p w:rsidR="008C76C3" w:rsidRDefault="006B1CA7" w:rsidP="008C76C3">
      <w:pPr>
        <w:widowControl w:val="0"/>
        <w:numPr>
          <w:ilvl w:val="0"/>
          <w:numId w:val="15"/>
        </w:numPr>
        <w:pBdr>
          <w:top w:val="single" w:sz="6" w:space="0" w:color="FFFFFF"/>
          <w:left w:val="single" w:sz="6" w:space="0" w:color="FFFFFF"/>
          <w:bottom w:val="single" w:sz="6" w:space="0" w:color="FFFFFF"/>
          <w:right w:val="single" w:sz="6" w:space="0" w:color="FFFFFF"/>
        </w:pBdr>
        <w:autoSpaceDE w:val="0"/>
        <w:spacing w:after="0"/>
        <w:ind w:left="1134" w:hanging="567"/>
        <w:jc w:val="both"/>
        <w:outlineLvl w:val="1"/>
        <w:rPr>
          <w:rFonts w:eastAsia="MS Mincho" w:cs="Arial"/>
          <w:color w:val="000000"/>
          <w:lang w:val="fr-FR" w:eastAsia="ja-JP"/>
        </w:rPr>
      </w:pPr>
      <w:r w:rsidRPr="006B1CA7">
        <w:rPr>
          <w:rFonts w:eastAsia="MS Mincho" w:cs="Arial"/>
          <w:color w:val="000000"/>
          <w:lang w:val="fr-FR" w:eastAsia="ja-JP"/>
        </w:rPr>
        <w:t>une meilleure communication et un réseau plus large de recherche grâce à un partage accru des connaissances et des techniques ;</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1134"/>
        <w:jc w:val="both"/>
        <w:outlineLvl w:val="1"/>
        <w:rPr>
          <w:rFonts w:eastAsia="MS Mincho" w:cs="Arial"/>
          <w:color w:val="000000"/>
          <w:lang w:val="fr-FR" w:eastAsia="ja-JP"/>
        </w:rPr>
      </w:pPr>
    </w:p>
    <w:p w:rsidR="006B1CA7" w:rsidRDefault="006B1CA7" w:rsidP="008C76C3">
      <w:pPr>
        <w:widowControl w:val="0"/>
        <w:numPr>
          <w:ilvl w:val="0"/>
          <w:numId w:val="15"/>
        </w:numPr>
        <w:pBdr>
          <w:top w:val="single" w:sz="6" w:space="0" w:color="FFFFFF"/>
          <w:left w:val="single" w:sz="6" w:space="0" w:color="FFFFFF"/>
          <w:bottom w:val="single" w:sz="6" w:space="0" w:color="FFFFFF"/>
          <w:right w:val="single" w:sz="6" w:space="0" w:color="FFFFFF"/>
        </w:pBdr>
        <w:autoSpaceDE w:val="0"/>
        <w:spacing w:after="0"/>
        <w:ind w:left="1134" w:hanging="567"/>
        <w:jc w:val="both"/>
        <w:outlineLvl w:val="1"/>
        <w:rPr>
          <w:rFonts w:eastAsia="MS Mincho" w:cs="Arial"/>
          <w:color w:val="000000"/>
          <w:lang w:val="fr-FR" w:eastAsia="ja-JP"/>
        </w:rPr>
      </w:pPr>
      <w:r w:rsidRPr="006B1CA7">
        <w:rPr>
          <w:rFonts w:eastAsia="MS Mincho" w:cs="Arial"/>
          <w:color w:val="000000"/>
          <w:lang w:val="fr-FR" w:eastAsia="ja-JP"/>
        </w:rPr>
        <w:t>une augmentation de la volonté politique et des ressources avec un engagement plus important de la part des États de l’aire de répartition ;</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1134"/>
        <w:jc w:val="both"/>
        <w:outlineLvl w:val="1"/>
        <w:rPr>
          <w:rFonts w:eastAsia="MS Mincho" w:cs="Arial"/>
          <w:color w:val="000000"/>
          <w:lang w:val="fr-FR" w:eastAsia="ja-JP"/>
        </w:rPr>
      </w:pPr>
    </w:p>
    <w:p w:rsidR="006B1CA7" w:rsidRDefault="006B1CA7" w:rsidP="008C76C3">
      <w:pPr>
        <w:widowControl w:val="0"/>
        <w:numPr>
          <w:ilvl w:val="0"/>
          <w:numId w:val="15"/>
        </w:numPr>
        <w:pBdr>
          <w:top w:val="single" w:sz="6" w:space="0" w:color="FFFFFF"/>
          <w:left w:val="single" w:sz="6" w:space="0" w:color="FFFFFF"/>
          <w:bottom w:val="single" w:sz="6" w:space="0" w:color="FFFFFF"/>
          <w:right w:val="single" w:sz="6" w:space="0" w:color="FFFFFF"/>
        </w:pBdr>
        <w:autoSpaceDE w:val="0"/>
        <w:spacing w:after="0"/>
        <w:ind w:left="1134" w:hanging="567"/>
        <w:jc w:val="both"/>
        <w:outlineLvl w:val="1"/>
        <w:rPr>
          <w:rFonts w:eastAsia="MS Mincho" w:cs="Arial"/>
          <w:color w:val="000000"/>
          <w:lang w:val="fr-FR" w:eastAsia="ja-JP"/>
        </w:rPr>
      </w:pPr>
      <w:r w:rsidRPr="006B1CA7">
        <w:rPr>
          <w:rFonts w:eastAsia="MS Mincho" w:cs="Arial"/>
          <w:color w:val="000000"/>
          <w:lang w:val="fr-FR" w:eastAsia="ja-JP"/>
        </w:rPr>
        <w:t>un renforcement de la capacité locale et régionale de s’attaquer aux prises accessoires.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1134"/>
        <w:jc w:val="both"/>
        <w:outlineLvl w:val="1"/>
        <w:rPr>
          <w:rFonts w:eastAsia="MS Mincho" w:cs="Arial"/>
          <w:color w:val="000000"/>
          <w:lang w:val="fr-FR" w:eastAsia="ja-JP"/>
        </w:rPr>
      </w:pPr>
    </w:p>
    <w:p w:rsidR="006B1CA7" w:rsidRPr="006B1CA7" w:rsidRDefault="006B1CA7" w:rsidP="006B1CA7">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r w:rsidRPr="006B1CA7">
        <w:rPr>
          <w:rFonts w:eastAsia="MS Mincho" w:cs="Arial"/>
          <w:b/>
          <w:color w:val="000000"/>
          <w:lang w:val="fr-FR" w:eastAsia="ja-JP"/>
        </w:rPr>
        <w:t>Rentabilité :</w:t>
      </w:r>
      <w:r w:rsidRPr="006B1CA7">
        <w:rPr>
          <w:rFonts w:eastAsia="MS Mincho" w:cs="Arial"/>
          <w:color w:val="000000"/>
          <w:lang w:val="fr-FR" w:eastAsia="ja-JP"/>
        </w:rPr>
        <w:t xml:space="preserve"> </w:t>
      </w: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Le financement requis est indiqué dans le tableau des activités ci-dessus. </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Aucun financement n’est nécessaire pour créer un réseau de chercheurs, lancer une campagne internationale pour obtenir le soutien du public en faveur de la protection des espèces ou pour accroître la protection fondée sur les politiques (respectivement activités 1, 3 et 9).</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L’activité 2, collecte et recherche de données accrues, nécessite un financement. Si des fonds sont obtenus et que la collecte et la recherche de données sont accrues, les résultats pourraient être directement intégrés aux plans d’action futurs et aux activités 6 (réduire au minimum la mortalité par pêche) et 7 (renforcer les capacités régionales). Les activités 6 et 7 nécessitent un financement, mais une grande partie des coûts de recherche se chevauchent, ce qui accroît l’impact et la portée de l’activité 2.  </w:t>
      </w:r>
    </w:p>
    <w:p w:rsidR="008C76C3"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Pr>
          <w:rFonts w:eastAsia="MS Mincho" w:cs="Arial"/>
          <w:color w:val="000000"/>
          <w:lang w:val="fr-FR" w:eastAsia="ja-JP"/>
        </w:rPr>
        <w:br w:type="page"/>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Un financement d’environ 40 000 USD sera nécessaire pour élaborer et produire un Plan d’action mondial pour les raies rhinos (activité 4). La production du présent document dynamisera les futurs plans d’action régionaux et, comme il peut servir de modèle, il permettra de les produire de manière beaucoup plus rentable et efficace. La promotion du présent Plan d’action contribuera également à renforcer le soutien du public pour la protection des espèces (activité 3).</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L’activité 5 concernant la production de guides d’identification et l’organisation d’ateliers d’identification nécessitera une collecte de fonds. En créant un réseau de chercheurs, nous espérons que de telles actions pourront être reproduites et partagées entre les États de l’aire de répartition afin que l’activité reste aussi rentable et reproductible que possible.</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Un financement d’environ 30 000 USD sera nécessaire pour chaque atelier régional (activité 8).  Cependant, il s’agit là d’une approche rentable pour toucher plusieurs parties prenantes et réaliser des actions spécifiques aux espèces et aux régions. En outre, la CSE de l’UICN a de l’expérience dans l’organisation d’ateliers réussis, de sorte que si elle participait à des ateliers régionaux, il y aurait des économies de coûts associées aux connaissances et à l’efficacité collectives existantes. Le financement acquis pour les ateliers régionaux permettra également d’accroître la capacité et la planification régionales.</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En encourageant la coopération entre les États de l’aire de répartition à travers la présente Action concertée, tout succès en matière de conservation peut être reproduit et les meilleures pratiques encouragées par la collaboration, ce qui sera plus rentable que si les États de l’aire de répartition travaillaient chacun de son côté.</w:t>
      </w:r>
    </w:p>
    <w:p w:rsidR="008C76C3" w:rsidRPr="006B1CA7" w:rsidRDefault="008C76C3"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p>
    <w:p w:rsidR="006B1CA7" w:rsidRPr="006B1CA7" w:rsidRDefault="006B1CA7" w:rsidP="008C76C3">
      <w:pPr>
        <w:widowControl w:val="0"/>
        <w:numPr>
          <w:ilvl w:val="0"/>
          <w:numId w:val="12"/>
        </w:numPr>
        <w:pBdr>
          <w:top w:val="single" w:sz="6" w:space="0" w:color="FFFFFF"/>
          <w:left w:val="single" w:sz="6" w:space="0" w:color="FFFFFF"/>
          <w:bottom w:val="single" w:sz="6" w:space="0" w:color="FFFFFF"/>
          <w:right w:val="single" w:sz="6" w:space="0" w:color="FFFFFF"/>
        </w:pBdr>
        <w:autoSpaceDE w:val="0"/>
        <w:spacing w:after="0"/>
        <w:ind w:left="567" w:hanging="567"/>
        <w:jc w:val="both"/>
        <w:outlineLvl w:val="1"/>
        <w:rPr>
          <w:rFonts w:eastAsia="MS Mincho" w:cs="Arial"/>
          <w:color w:val="000000"/>
          <w:lang w:val="fr-FR" w:eastAsia="ja-JP"/>
        </w:rPr>
      </w:pPr>
      <w:r w:rsidRPr="006B1CA7">
        <w:rPr>
          <w:rFonts w:eastAsia="MS Mincho" w:cs="Arial"/>
          <w:b/>
          <w:color w:val="000000"/>
          <w:lang w:val="fr-FR" w:eastAsia="ja-JP"/>
        </w:rPr>
        <w:t>Consultations planifiées / entreprises</w:t>
      </w:r>
      <w:r w:rsidRPr="006B1CA7">
        <w:rPr>
          <w:rFonts w:eastAsia="MS Mincho" w:cs="Arial"/>
          <w:color w:val="000000"/>
          <w:lang w:val="fr-FR" w:eastAsia="ja-JP"/>
        </w:rPr>
        <w:t xml:space="preserve"> </w:t>
      </w:r>
    </w:p>
    <w:p w:rsidR="006B1CA7" w:rsidRPr="006B1CA7" w:rsidRDefault="006B1CA7" w:rsidP="008C76C3">
      <w:pPr>
        <w:widowControl w:val="0"/>
        <w:pBdr>
          <w:top w:val="single" w:sz="6" w:space="0" w:color="FFFFFF"/>
          <w:left w:val="single" w:sz="6" w:space="0" w:color="FFFFFF"/>
          <w:bottom w:val="single" w:sz="6" w:space="0" w:color="FFFFFF"/>
          <w:right w:val="single" w:sz="6" w:space="0" w:color="FFFFFF"/>
        </w:pBdr>
        <w:autoSpaceDE w:val="0"/>
        <w:spacing w:after="0"/>
        <w:ind w:left="567"/>
        <w:jc w:val="both"/>
        <w:outlineLvl w:val="1"/>
        <w:rPr>
          <w:rFonts w:eastAsia="MS Mincho" w:cs="Arial"/>
          <w:color w:val="000000"/>
          <w:lang w:val="fr-FR" w:eastAsia="ja-JP"/>
        </w:rPr>
      </w:pPr>
      <w:r w:rsidRPr="006B1CA7">
        <w:rPr>
          <w:rFonts w:eastAsia="MS Mincho" w:cs="Arial"/>
          <w:color w:val="000000"/>
          <w:lang w:val="fr-FR" w:eastAsia="ja-JP"/>
        </w:rPr>
        <w:t xml:space="preserve">La CSE de l’UICN et le Gabon travaillent de concert pour assurer la communication et un partenariat efficace dans les futurs Plans d’action. La CSE a déjà fait circuler une enquête sur le Réseau des raies rhinos et le Secrétariat de la CMS l’a aidée dans cette entreprise en distribuant l’enquête aux Points focaux. Dans le cadre des ateliers existants sur la Liste rouge, la CSE de l’UICN a consulté des experts régionaux pour déterminer les niveaux d’intérêt potentiels et a continué à promouvoir l’enquête. En outre, le Réseau des raies rhinos a été annoncé à tous les membres de la CSE de l’UICN répartis dans 51 pays dans le Bulletin de la CSE et dans le Bulletin du Réseau des </w:t>
      </w:r>
      <w:proofErr w:type="spellStart"/>
      <w:r w:rsidRPr="006B1CA7">
        <w:rPr>
          <w:rFonts w:eastAsia="MS Mincho" w:cs="Arial"/>
          <w:color w:val="000000"/>
          <w:lang w:val="fr-FR" w:eastAsia="ja-JP"/>
        </w:rPr>
        <w:t>poissons-scies</w:t>
      </w:r>
      <w:proofErr w:type="spellEnd"/>
      <w:r w:rsidRPr="006B1CA7">
        <w:rPr>
          <w:rFonts w:eastAsia="MS Mincho" w:cs="Arial"/>
          <w:color w:val="000000"/>
          <w:lang w:val="fr-FR" w:eastAsia="ja-JP"/>
        </w:rPr>
        <w:t xml:space="preserve"> existant.</w:t>
      </w:r>
    </w:p>
    <w:p w:rsidR="006B1CA7" w:rsidRPr="006B1CA7" w:rsidRDefault="006B1CA7"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pPr>
    </w:p>
    <w:p w:rsidR="00A162A3" w:rsidRDefault="00A162A3" w:rsidP="006B1CA7">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lang w:val="fr-FR" w:eastAsia="ja-JP"/>
        </w:rPr>
        <w:sectPr w:rsidR="00A162A3">
          <w:headerReference w:type="default" r:id="rId29"/>
          <w:footerReference w:type="default" r:id="rId30"/>
          <w:headerReference w:type="first" r:id="rId31"/>
          <w:footerReference w:type="first" r:id="rId32"/>
          <w:endnotePr>
            <w:numFmt w:val="decimal"/>
          </w:endnotePr>
          <w:pgSz w:w="11905" w:h="16837"/>
          <w:pgMar w:top="1008" w:right="1411" w:bottom="1152" w:left="1411" w:header="432" w:footer="432" w:gutter="0"/>
          <w:cols w:space="720"/>
          <w:titlePg/>
        </w:sectPr>
      </w:pPr>
    </w:p>
    <w:p w:rsidR="00A162A3" w:rsidRPr="00C77D12" w:rsidRDefault="00A162A3" w:rsidP="00A162A3">
      <w:pPr>
        <w:pStyle w:val="NoSpacing"/>
        <w:rPr>
          <w:rFonts w:eastAsia="Arial" w:hAnsi="Arial"/>
          <w:b/>
        </w:rPr>
      </w:pPr>
      <w:proofErr w:type="spellStart"/>
      <w:r w:rsidRPr="00C77D12">
        <w:rPr>
          <w:rStyle w:val="CharAttribute39"/>
          <w:rFonts w:eastAsia="Batang"/>
          <w:szCs w:val="22"/>
        </w:rPr>
        <w:lastRenderedPageBreak/>
        <w:t>R</w:t>
      </w:r>
      <w:r>
        <w:rPr>
          <w:rStyle w:val="CharAttribute39"/>
          <w:rFonts w:eastAsia="Batang"/>
          <w:szCs w:val="22"/>
        </w:rPr>
        <w:t>é</w:t>
      </w:r>
      <w:r w:rsidRPr="00C77D12">
        <w:rPr>
          <w:rStyle w:val="CharAttribute39"/>
          <w:rFonts w:eastAsia="Batang"/>
          <w:szCs w:val="22"/>
        </w:rPr>
        <w:t>f</w:t>
      </w:r>
      <w:r>
        <w:rPr>
          <w:rStyle w:val="CharAttribute39"/>
          <w:rFonts w:eastAsia="Batang"/>
          <w:szCs w:val="22"/>
        </w:rPr>
        <w:t>é</w:t>
      </w:r>
      <w:r w:rsidRPr="00C77D12">
        <w:rPr>
          <w:rStyle w:val="CharAttribute39"/>
          <w:rFonts w:eastAsia="Batang"/>
          <w:szCs w:val="22"/>
        </w:rPr>
        <w:t>rences</w:t>
      </w:r>
      <w:proofErr w:type="spellEnd"/>
    </w:p>
    <w:p w:rsidR="00A162A3" w:rsidRPr="00C77D12" w:rsidRDefault="00A162A3" w:rsidP="00A162A3">
      <w:pPr>
        <w:pStyle w:val="NoSpacing"/>
        <w:rPr>
          <w:rFonts w:eastAsia="Arial" w:hAnsi="Arial"/>
        </w:rPr>
      </w:pPr>
    </w:p>
    <w:p w:rsidR="00A162A3" w:rsidRPr="00A162A3" w:rsidRDefault="00A162A3" w:rsidP="00A162A3">
      <w:pPr>
        <w:pStyle w:val="NoSpacing"/>
        <w:wordWrap/>
        <w:ind w:left="284" w:hanging="284"/>
        <w:rPr>
          <w:rFonts w:ascii="Arial" w:eastAsia="Arial" w:hAnsi="Arial" w:cs="Arial"/>
        </w:rPr>
      </w:pPr>
      <w:proofErr w:type="spellStart"/>
      <w:r w:rsidRPr="00A162A3">
        <w:rPr>
          <w:rStyle w:val="CharAttribute40"/>
          <w:rFonts w:hAnsi="Arial" w:cs="Arial"/>
          <w:sz w:val="20"/>
        </w:rPr>
        <w:t>D’Alberto</w:t>
      </w:r>
      <w:proofErr w:type="spellEnd"/>
      <w:r w:rsidRPr="00A162A3">
        <w:rPr>
          <w:rStyle w:val="CharAttribute40"/>
          <w:rFonts w:hAnsi="Arial" w:cs="Arial"/>
          <w:sz w:val="20"/>
        </w:rPr>
        <w:t xml:space="preserve">, B.M., Carlson, J.K., Pardo, S.A. and </w:t>
      </w:r>
      <w:proofErr w:type="spellStart"/>
      <w:r w:rsidRPr="00A162A3">
        <w:rPr>
          <w:rStyle w:val="CharAttribute40"/>
          <w:rFonts w:hAnsi="Arial" w:cs="Arial"/>
          <w:sz w:val="20"/>
        </w:rPr>
        <w:t>Simpfendorfer</w:t>
      </w:r>
      <w:proofErr w:type="spellEnd"/>
      <w:r w:rsidRPr="00A162A3">
        <w:rPr>
          <w:rStyle w:val="CharAttribute40"/>
          <w:rFonts w:hAnsi="Arial" w:cs="Arial"/>
          <w:sz w:val="20"/>
        </w:rPr>
        <w:t xml:space="preserve">, C.A. 2019. Population productivity of </w:t>
      </w:r>
      <w:proofErr w:type="spellStart"/>
      <w:r w:rsidRPr="00A162A3">
        <w:rPr>
          <w:rStyle w:val="CharAttribute40"/>
          <w:rFonts w:hAnsi="Arial" w:cs="Arial"/>
          <w:sz w:val="20"/>
        </w:rPr>
        <w:t>wedgefishes</w:t>
      </w:r>
      <w:proofErr w:type="spellEnd"/>
      <w:r w:rsidRPr="00A162A3">
        <w:rPr>
          <w:rStyle w:val="CharAttribute40"/>
          <w:rFonts w:hAnsi="Arial" w:cs="Arial"/>
          <w:sz w:val="20"/>
        </w:rPr>
        <w:t>, guitarfishes, and banjo rays: inferring the potential for recovery. Preprint available at: https://www.biorxiv.org/content/10.1101/584557v2</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proofErr w:type="spellStart"/>
      <w:r w:rsidRPr="00A162A3">
        <w:rPr>
          <w:rStyle w:val="CharAttribute40"/>
          <w:rFonts w:hAnsi="Arial" w:cs="Arial"/>
          <w:sz w:val="20"/>
        </w:rPr>
        <w:t>Dulvy</w:t>
      </w:r>
      <w:proofErr w:type="spellEnd"/>
      <w:r w:rsidRPr="00A162A3">
        <w:rPr>
          <w:rStyle w:val="CharAttribute40"/>
          <w:rFonts w:hAnsi="Arial" w:cs="Arial"/>
          <w:sz w:val="20"/>
        </w:rPr>
        <w:t xml:space="preserve">, N.K., Fowler, S.L., </w:t>
      </w:r>
      <w:proofErr w:type="spellStart"/>
      <w:r w:rsidRPr="00A162A3">
        <w:rPr>
          <w:rStyle w:val="CharAttribute40"/>
          <w:rFonts w:hAnsi="Arial" w:cs="Arial"/>
          <w:sz w:val="20"/>
        </w:rPr>
        <w:t>Musick</w:t>
      </w:r>
      <w:proofErr w:type="spellEnd"/>
      <w:r w:rsidRPr="00A162A3">
        <w:rPr>
          <w:rStyle w:val="CharAttribute40"/>
          <w:rFonts w:hAnsi="Arial" w:cs="Arial"/>
          <w:sz w:val="20"/>
        </w:rPr>
        <w:t xml:space="preserve">, J.A., Cavanagh, R.D., </w:t>
      </w:r>
      <w:proofErr w:type="spellStart"/>
      <w:r w:rsidRPr="00A162A3">
        <w:rPr>
          <w:rStyle w:val="CharAttribute40"/>
          <w:rFonts w:hAnsi="Arial" w:cs="Arial"/>
          <w:sz w:val="20"/>
        </w:rPr>
        <w:t>Kyne</w:t>
      </w:r>
      <w:proofErr w:type="spellEnd"/>
      <w:r w:rsidRPr="00A162A3">
        <w:rPr>
          <w:rStyle w:val="CharAttribute40"/>
          <w:rFonts w:hAnsi="Arial" w:cs="Arial"/>
          <w:sz w:val="20"/>
        </w:rPr>
        <w:t xml:space="preserve">, P.M., Harrison, L.R., Carlson J.K., Davidson, L.N.K., Fordham S.V., Francis, M.P., Pollock, C.M., </w:t>
      </w:r>
      <w:proofErr w:type="spellStart"/>
      <w:r w:rsidRPr="00A162A3">
        <w:rPr>
          <w:rStyle w:val="CharAttribute40"/>
          <w:rFonts w:hAnsi="Arial" w:cs="Arial"/>
          <w:sz w:val="20"/>
        </w:rPr>
        <w:t>Simpfendorfer</w:t>
      </w:r>
      <w:proofErr w:type="spellEnd"/>
      <w:r w:rsidRPr="00A162A3">
        <w:rPr>
          <w:rStyle w:val="CharAttribute40"/>
          <w:rFonts w:hAnsi="Arial" w:cs="Arial"/>
          <w:sz w:val="20"/>
        </w:rPr>
        <w:t xml:space="preserve">, C.A., Burgess, G.H., Carpenter, K.E., </w:t>
      </w:r>
      <w:proofErr w:type="spellStart"/>
      <w:r w:rsidRPr="00A162A3">
        <w:rPr>
          <w:rStyle w:val="CharAttribute40"/>
          <w:rFonts w:hAnsi="Arial" w:cs="Arial"/>
          <w:sz w:val="20"/>
        </w:rPr>
        <w:t>Compagno</w:t>
      </w:r>
      <w:proofErr w:type="spellEnd"/>
      <w:r w:rsidRPr="00A162A3">
        <w:rPr>
          <w:rStyle w:val="CharAttribute40"/>
          <w:rFonts w:hAnsi="Arial" w:cs="Arial"/>
          <w:sz w:val="20"/>
        </w:rPr>
        <w:t xml:space="preserve">, L.J.V., Ebert, D.A., Gibson C., </w:t>
      </w:r>
      <w:proofErr w:type="spellStart"/>
      <w:r w:rsidRPr="00A162A3">
        <w:rPr>
          <w:rStyle w:val="CharAttribute40"/>
          <w:rFonts w:hAnsi="Arial" w:cs="Arial"/>
          <w:sz w:val="20"/>
        </w:rPr>
        <w:t>Heupel</w:t>
      </w:r>
      <w:proofErr w:type="spellEnd"/>
      <w:r w:rsidRPr="00A162A3">
        <w:rPr>
          <w:rStyle w:val="CharAttribute40"/>
          <w:rFonts w:hAnsi="Arial" w:cs="Arial"/>
          <w:sz w:val="20"/>
        </w:rPr>
        <w:t xml:space="preserve">, M.R., Livingstone, S.R., </w:t>
      </w:r>
      <w:proofErr w:type="spellStart"/>
      <w:r w:rsidRPr="00A162A3">
        <w:rPr>
          <w:rStyle w:val="CharAttribute40"/>
          <w:rFonts w:hAnsi="Arial" w:cs="Arial"/>
          <w:sz w:val="20"/>
        </w:rPr>
        <w:t>Sanciangco</w:t>
      </w:r>
      <w:proofErr w:type="spellEnd"/>
      <w:r w:rsidRPr="00A162A3">
        <w:rPr>
          <w:rStyle w:val="CharAttribute40"/>
          <w:rFonts w:hAnsi="Arial" w:cs="Arial"/>
          <w:sz w:val="20"/>
        </w:rPr>
        <w:t xml:space="preserve">, J.C., Stevens, J.D., </w:t>
      </w:r>
      <w:proofErr w:type="spellStart"/>
      <w:r w:rsidRPr="00A162A3">
        <w:rPr>
          <w:rStyle w:val="CharAttribute40"/>
          <w:rFonts w:hAnsi="Arial" w:cs="Arial"/>
          <w:sz w:val="20"/>
        </w:rPr>
        <w:t>Valenti</w:t>
      </w:r>
      <w:proofErr w:type="spellEnd"/>
      <w:r w:rsidRPr="00A162A3">
        <w:rPr>
          <w:rStyle w:val="CharAttribute40"/>
          <w:rFonts w:hAnsi="Arial" w:cs="Arial"/>
          <w:sz w:val="20"/>
        </w:rPr>
        <w:t xml:space="preserve">, S. and White W.T. 2014. Extinction risk and conservation of the world’s sharks and rays. </w:t>
      </w:r>
      <w:proofErr w:type="spellStart"/>
      <w:r w:rsidRPr="00A162A3">
        <w:rPr>
          <w:rStyle w:val="CharAttribute51"/>
          <w:rFonts w:hAnsi="Arial" w:cs="Arial"/>
          <w:sz w:val="20"/>
        </w:rPr>
        <w:t>eLife</w:t>
      </w:r>
      <w:proofErr w:type="spellEnd"/>
      <w:r w:rsidRPr="00A162A3">
        <w:rPr>
          <w:rStyle w:val="CharAttribute40"/>
          <w:rFonts w:hAnsi="Arial" w:cs="Arial"/>
          <w:sz w:val="20"/>
        </w:rPr>
        <w:t xml:space="preserve"> 2014(3): e00590.</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i/>
        </w:rPr>
      </w:pPr>
      <w:r w:rsidRPr="00A162A3">
        <w:rPr>
          <w:rStyle w:val="CharAttribute40"/>
          <w:rFonts w:hAnsi="Arial" w:cs="Arial"/>
          <w:sz w:val="20"/>
        </w:rPr>
        <w:t xml:space="preserve">Fowler, S., Cavanagh, R., </w:t>
      </w:r>
      <w:proofErr w:type="spellStart"/>
      <w:r w:rsidRPr="00A162A3">
        <w:rPr>
          <w:rStyle w:val="CharAttribute40"/>
          <w:rFonts w:hAnsi="Arial" w:cs="Arial"/>
          <w:sz w:val="20"/>
        </w:rPr>
        <w:t>Camhi</w:t>
      </w:r>
      <w:proofErr w:type="spellEnd"/>
      <w:r w:rsidRPr="00A162A3">
        <w:rPr>
          <w:rStyle w:val="CharAttribute40"/>
          <w:rFonts w:hAnsi="Arial" w:cs="Arial"/>
          <w:sz w:val="20"/>
        </w:rPr>
        <w:t xml:space="preserve">, M., Burgess, G., </w:t>
      </w:r>
      <w:proofErr w:type="spellStart"/>
      <w:r w:rsidRPr="00A162A3">
        <w:rPr>
          <w:rStyle w:val="CharAttribute40"/>
          <w:rFonts w:hAnsi="Arial" w:cs="Arial"/>
          <w:sz w:val="20"/>
        </w:rPr>
        <w:t>Cailliet</w:t>
      </w:r>
      <w:proofErr w:type="spellEnd"/>
      <w:r w:rsidRPr="00A162A3">
        <w:rPr>
          <w:rStyle w:val="CharAttribute40"/>
          <w:rFonts w:hAnsi="Arial" w:cs="Arial"/>
          <w:sz w:val="20"/>
        </w:rPr>
        <w:t xml:space="preserve">, G., Fordham, S., </w:t>
      </w:r>
      <w:proofErr w:type="spellStart"/>
      <w:r w:rsidRPr="00A162A3">
        <w:rPr>
          <w:rStyle w:val="CharAttribute40"/>
          <w:rFonts w:hAnsi="Arial" w:cs="Arial"/>
          <w:sz w:val="20"/>
        </w:rPr>
        <w:t>Simpfendorfer</w:t>
      </w:r>
      <w:proofErr w:type="spellEnd"/>
      <w:r w:rsidRPr="00A162A3">
        <w:rPr>
          <w:rStyle w:val="CharAttribute40"/>
          <w:rFonts w:hAnsi="Arial" w:cs="Arial"/>
          <w:sz w:val="20"/>
        </w:rPr>
        <w:t xml:space="preserve">, C. and </w:t>
      </w:r>
      <w:proofErr w:type="spellStart"/>
      <w:r w:rsidRPr="00A162A3">
        <w:rPr>
          <w:rStyle w:val="CharAttribute40"/>
          <w:rFonts w:hAnsi="Arial" w:cs="Arial"/>
          <w:sz w:val="20"/>
        </w:rPr>
        <w:t>Musick</w:t>
      </w:r>
      <w:proofErr w:type="spellEnd"/>
      <w:r w:rsidRPr="00A162A3">
        <w:rPr>
          <w:rStyle w:val="CharAttribute40"/>
          <w:rFonts w:hAnsi="Arial" w:cs="Arial"/>
          <w:sz w:val="20"/>
        </w:rPr>
        <w:t xml:space="preserve">, J. 2005. </w:t>
      </w:r>
      <w:r w:rsidRPr="00A162A3">
        <w:rPr>
          <w:rStyle w:val="CharAttribute51"/>
          <w:rFonts w:hAnsi="Arial" w:cs="Arial"/>
          <w:sz w:val="20"/>
        </w:rPr>
        <w:t xml:space="preserve">Sharks, Rays and Chimaeras: </w:t>
      </w:r>
      <w:proofErr w:type="gramStart"/>
      <w:r w:rsidRPr="00A162A3">
        <w:rPr>
          <w:rStyle w:val="CharAttribute51"/>
          <w:rFonts w:hAnsi="Arial" w:cs="Arial"/>
          <w:sz w:val="20"/>
        </w:rPr>
        <w:t>the</w:t>
      </w:r>
      <w:proofErr w:type="gramEnd"/>
      <w:r w:rsidRPr="00A162A3">
        <w:rPr>
          <w:rStyle w:val="CharAttribute51"/>
          <w:rFonts w:hAnsi="Arial" w:cs="Arial"/>
          <w:sz w:val="20"/>
        </w:rPr>
        <w:t xml:space="preserve"> Status of the Chondrichthyan Fishes</w:t>
      </w:r>
      <w:r w:rsidRPr="00A162A3">
        <w:rPr>
          <w:rStyle w:val="CharAttribute40"/>
          <w:rFonts w:hAnsi="Arial" w:cs="Arial"/>
          <w:sz w:val="20"/>
        </w:rPr>
        <w:t>. IUCN Publication Services Unit, Cambridge, UK. Pp. 461.</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r w:rsidRPr="00A162A3">
        <w:rPr>
          <w:rStyle w:val="CharAttribute40"/>
          <w:rFonts w:hAnsi="Arial" w:cs="Arial"/>
          <w:sz w:val="20"/>
        </w:rPr>
        <w:t>Fowler, S. 2014. The Conservation Status of Migratory Sharks. UNEP /CMS Secretariat, Bonn, Germany.</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r w:rsidRPr="00A162A3">
        <w:rPr>
          <w:rStyle w:val="CharAttribute40"/>
          <w:rFonts w:hAnsi="Arial" w:cs="Arial"/>
          <w:sz w:val="20"/>
        </w:rPr>
        <w:t xml:space="preserve">Giles, J. L., </w:t>
      </w:r>
      <w:proofErr w:type="spellStart"/>
      <w:r w:rsidRPr="00A162A3">
        <w:rPr>
          <w:rStyle w:val="CharAttribute40"/>
          <w:rFonts w:hAnsi="Arial" w:cs="Arial"/>
          <w:sz w:val="20"/>
        </w:rPr>
        <w:t>Riginos</w:t>
      </w:r>
      <w:proofErr w:type="spellEnd"/>
      <w:r w:rsidRPr="00A162A3">
        <w:rPr>
          <w:rStyle w:val="CharAttribute40"/>
          <w:rFonts w:hAnsi="Arial" w:cs="Arial"/>
          <w:sz w:val="20"/>
        </w:rPr>
        <w:t xml:space="preserve">, C., Naylor, G.J.P., </w:t>
      </w:r>
      <w:proofErr w:type="spellStart"/>
      <w:r w:rsidRPr="00A162A3">
        <w:rPr>
          <w:rStyle w:val="CharAttribute40"/>
          <w:rFonts w:hAnsi="Arial" w:cs="Arial"/>
          <w:sz w:val="20"/>
        </w:rPr>
        <w:t>Dharmadi</w:t>
      </w:r>
      <w:proofErr w:type="spellEnd"/>
      <w:r w:rsidRPr="00A162A3">
        <w:rPr>
          <w:rStyle w:val="CharAttribute40"/>
          <w:rFonts w:hAnsi="Arial" w:cs="Arial"/>
          <w:sz w:val="20"/>
        </w:rPr>
        <w:t xml:space="preserve">, and Ovenden, J.R. 2016. Genetic and phenotypic diversity in the </w:t>
      </w:r>
      <w:proofErr w:type="spellStart"/>
      <w:r w:rsidRPr="00A162A3">
        <w:rPr>
          <w:rStyle w:val="CharAttribute40"/>
          <w:rFonts w:hAnsi="Arial" w:cs="Arial"/>
          <w:sz w:val="20"/>
        </w:rPr>
        <w:t>wedgefish</w:t>
      </w:r>
      <w:proofErr w:type="spellEnd"/>
      <w:r w:rsidRPr="00A162A3">
        <w:rPr>
          <w:rStyle w:val="CharAttribute40"/>
          <w:rFonts w:hAnsi="Arial" w:cs="Arial"/>
          <w:sz w:val="20"/>
        </w:rPr>
        <w:t xml:space="preserve"> </w:t>
      </w:r>
      <w:proofErr w:type="spellStart"/>
      <w:r w:rsidRPr="00A162A3">
        <w:rPr>
          <w:rStyle w:val="CharAttribute51"/>
          <w:rFonts w:hAnsi="Arial" w:cs="Arial"/>
          <w:sz w:val="20"/>
        </w:rPr>
        <w:t>Rhynchobatus</w:t>
      </w:r>
      <w:proofErr w:type="spellEnd"/>
      <w:r w:rsidRPr="00A162A3">
        <w:rPr>
          <w:rStyle w:val="CharAttribute51"/>
          <w:rFonts w:hAnsi="Arial" w:cs="Arial"/>
          <w:sz w:val="20"/>
        </w:rPr>
        <w:t xml:space="preserve"> </w:t>
      </w:r>
      <w:proofErr w:type="spellStart"/>
      <w:r w:rsidRPr="00A162A3">
        <w:rPr>
          <w:rStyle w:val="CharAttribute51"/>
          <w:rFonts w:hAnsi="Arial" w:cs="Arial"/>
          <w:sz w:val="20"/>
        </w:rPr>
        <w:t>australiae</w:t>
      </w:r>
      <w:proofErr w:type="spellEnd"/>
      <w:r w:rsidRPr="00A162A3">
        <w:rPr>
          <w:rStyle w:val="CharAttribute40"/>
          <w:rFonts w:hAnsi="Arial" w:cs="Arial"/>
          <w:sz w:val="20"/>
        </w:rPr>
        <w:t xml:space="preserve">, a threatened ray of high value in the shark fin trade. </w:t>
      </w:r>
      <w:r w:rsidRPr="00A162A3">
        <w:rPr>
          <w:rStyle w:val="CharAttribute51"/>
          <w:rFonts w:hAnsi="Arial" w:cs="Arial"/>
          <w:sz w:val="20"/>
        </w:rPr>
        <w:t>Marine Ecology Progress Series</w:t>
      </w:r>
      <w:r w:rsidRPr="00A162A3">
        <w:rPr>
          <w:rStyle w:val="CharAttribute40"/>
          <w:rFonts w:hAnsi="Arial" w:cs="Arial"/>
          <w:sz w:val="20"/>
        </w:rPr>
        <w:t xml:space="preserve"> 548: 165–180.</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proofErr w:type="spellStart"/>
      <w:r w:rsidRPr="00A162A3">
        <w:rPr>
          <w:rStyle w:val="CharAttribute40"/>
          <w:rFonts w:hAnsi="Arial" w:cs="Arial"/>
          <w:sz w:val="20"/>
        </w:rPr>
        <w:t>Jabado</w:t>
      </w:r>
      <w:proofErr w:type="spellEnd"/>
      <w:r w:rsidRPr="00A162A3">
        <w:rPr>
          <w:rStyle w:val="CharAttribute40"/>
          <w:rFonts w:hAnsi="Arial" w:cs="Arial"/>
          <w:sz w:val="20"/>
        </w:rPr>
        <w:t>, R.W., </w:t>
      </w:r>
      <w:proofErr w:type="spellStart"/>
      <w:r w:rsidRPr="00A162A3">
        <w:rPr>
          <w:rStyle w:val="CharAttribute40"/>
          <w:rFonts w:hAnsi="Arial" w:cs="Arial"/>
          <w:sz w:val="20"/>
        </w:rPr>
        <w:t>Kyne</w:t>
      </w:r>
      <w:proofErr w:type="spellEnd"/>
      <w:r w:rsidRPr="00A162A3">
        <w:rPr>
          <w:rStyle w:val="CharAttribute40"/>
          <w:rFonts w:hAnsi="Arial" w:cs="Arial"/>
          <w:sz w:val="20"/>
        </w:rPr>
        <w:t>, P.M., </w:t>
      </w:r>
      <w:proofErr w:type="spellStart"/>
      <w:r w:rsidRPr="00A162A3">
        <w:rPr>
          <w:rStyle w:val="CharAttribute40"/>
          <w:rFonts w:hAnsi="Arial" w:cs="Arial"/>
          <w:sz w:val="20"/>
        </w:rPr>
        <w:t>Pollom</w:t>
      </w:r>
      <w:proofErr w:type="spellEnd"/>
      <w:r w:rsidRPr="00A162A3">
        <w:rPr>
          <w:rStyle w:val="CharAttribute40"/>
          <w:rFonts w:hAnsi="Arial" w:cs="Arial"/>
          <w:sz w:val="20"/>
        </w:rPr>
        <w:t>, R.A., Ebert, D.A., </w:t>
      </w:r>
      <w:proofErr w:type="spellStart"/>
      <w:r w:rsidRPr="00A162A3">
        <w:rPr>
          <w:rStyle w:val="CharAttribute40"/>
          <w:rFonts w:hAnsi="Arial" w:cs="Arial"/>
          <w:sz w:val="20"/>
        </w:rPr>
        <w:t>Simpfendorfer</w:t>
      </w:r>
      <w:proofErr w:type="spellEnd"/>
      <w:r w:rsidRPr="00A162A3">
        <w:rPr>
          <w:rStyle w:val="CharAttribute40"/>
          <w:rFonts w:hAnsi="Arial" w:cs="Arial"/>
          <w:sz w:val="20"/>
        </w:rPr>
        <w:t xml:space="preserve">, C.A., Ralph, G.M., Al </w:t>
      </w:r>
      <w:proofErr w:type="spellStart"/>
      <w:r w:rsidRPr="00A162A3">
        <w:rPr>
          <w:rStyle w:val="CharAttribute40"/>
          <w:rFonts w:hAnsi="Arial" w:cs="Arial"/>
          <w:sz w:val="20"/>
        </w:rPr>
        <w:t>Dhaheri</w:t>
      </w:r>
      <w:proofErr w:type="spellEnd"/>
      <w:r w:rsidRPr="00A162A3">
        <w:rPr>
          <w:rStyle w:val="CharAttribute40"/>
          <w:rFonts w:hAnsi="Arial" w:cs="Arial"/>
          <w:sz w:val="20"/>
        </w:rPr>
        <w:t xml:space="preserve">, S.S., Akhilesh, K.V.,  Ali, K., Ali, M.H., Al </w:t>
      </w:r>
      <w:proofErr w:type="spellStart"/>
      <w:r w:rsidRPr="00A162A3">
        <w:rPr>
          <w:rStyle w:val="CharAttribute40"/>
          <w:rFonts w:hAnsi="Arial" w:cs="Arial"/>
          <w:sz w:val="20"/>
        </w:rPr>
        <w:t>Mamari</w:t>
      </w:r>
      <w:proofErr w:type="spellEnd"/>
      <w:r w:rsidRPr="00A162A3">
        <w:rPr>
          <w:rStyle w:val="CharAttribute40"/>
          <w:rFonts w:hAnsi="Arial" w:cs="Arial"/>
          <w:sz w:val="20"/>
        </w:rPr>
        <w:t xml:space="preserve">, T.M., </w:t>
      </w:r>
      <w:proofErr w:type="spellStart"/>
      <w:r w:rsidRPr="00A162A3">
        <w:rPr>
          <w:rStyle w:val="CharAttribute40"/>
          <w:rFonts w:hAnsi="Arial" w:cs="Arial"/>
          <w:sz w:val="20"/>
        </w:rPr>
        <w:t>Bineesh</w:t>
      </w:r>
      <w:proofErr w:type="spellEnd"/>
      <w:r w:rsidRPr="00A162A3">
        <w:rPr>
          <w:rStyle w:val="CharAttribute40"/>
          <w:rFonts w:hAnsi="Arial" w:cs="Arial"/>
          <w:sz w:val="20"/>
        </w:rPr>
        <w:t xml:space="preserve">, K.K., El Hassan I.S., Fernando, D., </w:t>
      </w:r>
      <w:proofErr w:type="spellStart"/>
      <w:r w:rsidRPr="00A162A3">
        <w:rPr>
          <w:rStyle w:val="CharAttribute40"/>
          <w:rFonts w:hAnsi="Arial" w:cs="Arial"/>
          <w:sz w:val="20"/>
        </w:rPr>
        <w:t>Grandcourt</w:t>
      </w:r>
      <w:proofErr w:type="spellEnd"/>
      <w:r w:rsidRPr="00A162A3">
        <w:rPr>
          <w:rStyle w:val="CharAttribute40"/>
          <w:rFonts w:hAnsi="Arial" w:cs="Arial"/>
          <w:sz w:val="20"/>
        </w:rPr>
        <w:t xml:space="preserve">, E.M., Moazzam Khan, M., Moore, A.B.M., </w:t>
      </w:r>
      <w:proofErr w:type="spellStart"/>
      <w:r w:rsidRPr="00A162A3">
        <w:rPr>
          <w:rStyle w:val="CharAttribute40"/>
          <w:rFonts w:hAnsi="Arial" w:cs="Arial"/>
          <w:sz w:val="20"/>
        </w:rPr>
        <w:t>Owfi</w:t>
      </w:r>
      <w:proofErr w:type="spellEnd"/>
      <w:r w:rsidRPr="00A162A3">
        <w:rPr>
          <w:rStyle w:val="CharAttribute40"/>
          <w:rFonts w:hAnsi="Arial" w:cs="Arial"/>
          <w:sz w:val="20"/>
        </w:rPr>
        <w:t xml:space="preserve">, F., Robinson, D.P., Romanov, E., Soares, A.-L., </w:t>
      </w:r>
      <w:proofErr w:type="spellStart"/>
      <w:r w:rsidRPr="00A162A3">
        <w:rPr>
          <w:rStyle w:val="CharAttribute40"/>
          <w:rFonts w:hAnsi="Arial" w:cs="Arial"/>
          <w:sz w:val="20"/>
        </w:rPr>
        <w:t>Spaet</w:t>
      </w:r>
      <w:proofErr w:type="spellEnd"/>
      <w:r w:rsidRPr="00A162A3">
        <w:rPr>
          <w:rStyle w:val="CharAttribute40"/>
          <w:rFonts w:hAnsi="Arial" w:cs="Arial"/>
          <w:sz w:val="20"/>
        </w:rPr>
        <w:t xml:space="preserve">, J.L.Y., </w:t>
      </w:r>
      <w:proofErr w:type="spellStart"/>
      <w:r w:rsidRPr="00A162A3">
        <w:rPr>
          <w:rStyle w:val="CharAttribute40"/>
          <w:rFonts w:hAnsi="Arial" w:cs="Arial"/>
          <w:sz w:val="20"/>
        </w:rPr>
        <w:t>Tesfamichael</w:t>
      </w:r>
      <w:proofErr w:type="spellEnd"/>
      <w:r w:rsidRPr="00A162A3">
        <w:rPr>
          <w:rStyle w:val="CharAttribute40"/>
          <w:rFonts w:hAnsi="Arial" w:cs="Arial"/>
          <w:sz w:val="20"/>
        </w:rPr>
        <w:t xml:space="preserve">, D., </w:t>
      </w:r>
      <w:proofErr w:type="spellStart"/>
      <w:r w:rsidRPr="00A162A3">
        <w:rPr>
          <w:rStyle w:val="CharAttribute40"/>
          <w:rFonts w:hAnsi="Arial" w:cs="Arial"/>
          <w:sz w:val="20"/>
        </w:rPr>
        <w:t>Valinassab</w:t>
      </w:r>
      <w:proofErr w:type="spellEnd"/>
      <w:r w:rsidRPr="00A162A3">
        <w:rPr>
          <w:rStyle w:val="CharAttribute40"/>
          <w:rFonts w:hAnsi="Arial" w:cs="Arial"/>
          <w:sz w:val="20"/>
        </w:rPr>
        <w:t xml:space="preserve">, T. and </w:t>
      </w:r>
      <w:proofErr w:type="spellStart"/>
      <w:r w:rsidRPr="00A162A3">
        <w:rPr>
          <w:rStyle w:val="CharAttribute40"/>
          <w:rFonts w:hAnsi="Arial" w:cs="Arial"/>
          <w:sz w:val="20"/>
        </w:rPr>
        <w:t>Dulvy</w:t>
      </w:r>
      <w:proofErr w:type="spellEnd"/>
      <w:r w:rsidRPr="00A162A3">
        <w:rPr>
          <w:rStyle w:val="CharAttribute40"/>
          <w:rFonts w:hAnsi="Arial" w:cs="Arial"/>
          <w:sz w:val="20"/>
        </w:rPr>
        <w:t xml:space="preserve">, N.K. 2018: Troubled waters: Threats and extinction risk of the sharks, rays and chimaeras of the Arabian Sea and adjacent waters. </w:t>
      </w:r>
      <w:r w:rsidRPr="00A162A3">
        <w:rPr>
          <w:rStyle w:val="CharAttribute51"/>
          <w:rFonts w:hAnsi="Arial" w:cs="Arial"/>
          <w:sz w:val="20"/>
        </w:rPr>
        <w:t>Fish and Fisheries</w:t>
      </w:r>
      <w:r w:rsidRPr="00A162A3">
        <w:rPr>
          <w:rStyle w:val="CharAttribute40"/>
          <w:rFonts w:hAnsi="Arial" w:cs="Arial"/>
          <w:sz w:val="20"/>
        </w:rPr>
        <w:t xml:space="preserve"> 19(6): 1043–1062.</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proofErr w:type="spellStart"/>
      <w:r w:rsidRPr="00A162A3">
        <w:rPr>
          <w:rStyle w:val="CharAttribute40"/>
          <w:rFonts w:hAnsi="Arial" w:cs="Arial"/>
          <w:sz w:val="20"/>
        </w:rPr>
        <w:t>Jabado</w:t>
      </w:r>
      <w:proofErr w:type="spellEnd"/>
      <w:r w:rsidRPr="00A162A3">
        <w:rPr>
          <w:rStyle w:val="CharAttribute40"/>
          <w:rFonts w:hAnsi="Arial" w:cs="Arial"/>
          <w:sz w:val="20"/>
        </w:rPr>
        <w:t>, R.W. 2018. The fate of the most threatened order of elasmobranchs: shark-like batoids (</w:t>
      </w:r>
      <w:proofErr w:type="spellStart"/>
      <w:r w:rsidRPr="00A162A3">
        <w:rPr>
          <w:rStyle w:val="CharAttribute40"/>
          <w:rFonts w:hAnsi="Arial" w:cs="Arial"/>
          <w:sz w:val="20"/>
        </w:rPr>
        <w:t>Rhinopristiformes</w:t>
      </w:r>
      <w:proofErr w:type="spellEnd"/>
      <w:r w:rsidRPr="00A162A3">
        <w:rPr>
          <w:rStyle w:val="CharAttribute40"/>
          <w:rFonts w:hAnsi="Arial" w:cs="Arial"/>
          <w:sz w:val="20"/>
        </w:rPr>
        <w:t xml:space="preserve">) in the Arabian Sea and adjacent waters. </w:t>
      </w:r>
      <w:r w:rsidRPr="00A162A3">
        <w:rPr>
          <w:rStyle w:val="CharAttribute51"/>
          <w:rFonts w:hAnsi="Arial" w:cs="Arial"/>
          <w:sz w:val="20"/>
        </w:rPr>
        <w:t>Fisheries Research</w:t>
      </w:r>
      <w:r w:rsidRPr="00A162A3">
        <w:rPr>
          <w:rStyle w:val="CharAttribute40"/>
          <w:rFonts w:hAnsi="Arial" w:cs="Arial"/>
          <w:sz w:val="20"/>
        </w:rPr>
        <w:t xml:space="preserve"> 204: 448-457. </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proofErr w:type="spellStart"/>
      <w:r w:rsidRPr="00A162A3">
        <w:rPr>
          <w:rStyle w:val="CharAttribute40"/>
          <w:rFonts w:hAnsi="Arial" w:cs="Arial"/>
          <w:sz w:val="20"/>
        </w:rPr>
        <w:t>Jabado</w:t>
      </w:r>
      <w:proofErr w:type="spellEnd"/>
      <w:r w:rsidRPr="00A162A3">
        <w:rPr>
          <w:rStyle w:val="CharAttribute40"/>
          <w:rFonts w:hAnsi="Arial" w:cs="Arial"/>
          <w:sz w:val="20"/>
        </w:rPr>
        <w:t xml:space="preserve">, R. W., </w:t>
      </w:r>
      <w:proofErr w:type="spellStart"/>
      <w:r w:rsidRPr="00A162A3">
        <w:rPr>
          <w:rStyle w:val="CharAttribute40"/>
          <w:rFonts w:hAnsi="Arial" w:cs="Arial"/>
          <w:sz w:val="20"/>
        </w:rPr>
        <w:t>Kyne</w:t>
      </w:r>
      <w:proofErr w:type="spellEnd"/>
      <w:r w:rsidRPr="00A162A3">
        <w:rPr>
          <w:rStyle w:val="CharAttribute40"/>
          <w:rFonts w:hAnsi="Arial" w:cs="Arial"/>
          <w:sz w:val="20"/>
        </w:rPr>
        <w:t xml:space="preserve">, P.M., </w:t>
      </w:r>
      <w:proofErr w:type="spellStart"/>
      <w:r w:rsidRPr="00A162A3">
        <w:rPr>
          <w:rStyle w:val="CharAttribute40"/>
          <w:rFonts w:hAnsi="Arial" w:cs="Arial"/>
          <w:sz w:val="20"/>
        </w:rPr>
        <w:t>Pollom</w:t>
      </w:r>
      <w:proofErr w:type="spellEnd"/>
      <w:r w:rsidRPr="00A162A3">
        <w:rPr>
          <w:rStyle w:val="CharAttribute40"/>
          <w:rFonts w:hAnsi="Arial" w:cs="Arial"/>
          <w:sz w:val="20"/>
        </w:rPr>
        <w:t xml:space="preserve">, R.A., Ebert, D.A., </w:t>
      </w:r>
      <w:proofErr w:type="spellStart"/>
      <w:r w:rsidRPr="00A162A3">
        <w:rPr>
          <w:rStyle w:val="CharAttribute40"/>
          <w:rFonts w:hAnsi="Arial" w:cs="Arial"/>
          <w:sz w:val="20"/>
        </w:rPr>
        <w:t>Simpfendorfer</w:t>
      </w:r>
      <w:proofErr w:type="spellEnd"/>
      <w:r w:rsidRPr="00A162A3">
        <w:rPr>
          <w:rStyle w:val="CharAttribute40"/>
          <w:rFonts w:hAnsi="Arial" w:cs="Arial"/>
          <w:sz w:val="20"/>
        </w:rPr>
        <w:t xml:space="preserve">, C.A., Ralph, G.M. and </w:t>
      </w:r>
      <w:proofErr w:type="spellStart"/>
      <w:r w:rsidRPr="00A162A3">
        <w:rPr>
          <w:rStyle w:val="CharAttribute40"/>
          <w:rFonts w:hAnsi="Arial" w:cs="Arial"/>
          <w:sz w:val="20"/>
        </w:rPr>
        <w:t>Dulvy</w:t>
      </w:r>
      <w:proofErr w:type="spellEnd"/>
      <w:r w:rsidRPr="00A162A3">
        <w:rPr>
          <w:rStyle w:val="CharAttribute40"/>
          <w:rFonts w:hAnsi="Arial" w:cs="Arial"/>
          <w:sz w:val="20"/>
        </w:rPr>
        <w:t xml:space="preserve">, N.K. 2017. The conservation status of sharks, rays, and chimaeras in the Arabian sea and adjacent waters. Environment Agency-Abu Dhabi, UAE and IUCN Species Survival Commission Shark Specialist Group. Vancouver, Canada. 236pp. </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proofErr w:type="spellStart"/>
      <w:r w:rsidRPr="00A162A3">
        <w:rPr>
          <w:rStyle w:val="CharAttribute40"/>
          <w:rFonts w:hAnsi="Arial" w:cs="Arial"/>
          <w:sz w:val="20"/>
        </w:rPr>
        <w:t>Kyne</w:t>
      </w:r>
      <w:proofErr w:type="spellEnd"/>
      <w:r w:rsidRPr="00A162A3">
        <w:rPr>
          <w:rStyle w:val="CharAttribute40"/>
          <w:rFonts w:hAnsi="Arial" w:cs="Arial"/>
          <w:sz w:val="20"/>
        </w:rPr>
        <w:t xml:space="preserve">, P.M., </w:t>
      </w:r>
      <w:proofErr w:type="spellStart"/>
      <w:r w:rsidRPr="00A162A3">
        <w:rPr>
          <w:rStyle w:val="CharAttribute40"/>
          <w:rFonts w:hAnsi="Arial" w:cs="Arial"/>
          <w:sz w:val="20"/>
        </w:rPr>
        <w:t>Jabado</w:t>
      </w:r>
      <w:proofErr w:type="spellEnd"/>
      <w:r w:rsidRPr="00A162A3">
        <w:rPr>
          <w:rStyle w:val="CharAttribute40"/>
          <w:rFonts w:hAnsi="Arial" w:cs="Arial"/>
          <w:sz w:val="20"/>
        </w:rPr>
        <w:t xml:space="preserve"> R.W., Rigby C.L., </w:t>
      </w:r>
      <w:proofErr w:type="spellStart"/>
      <w:r w:rsidRPr="00A162A3">
        <w:rPr>
          <w:rStyle w:val="CharAttribute40"/>
          <w:rFonts w:hAnsi="Arial" w:cs="Arial"/>
          <w:sz w:val="20"/>
        </w:rPr>
        <w:t>Dharmadi</w:t>
      </w:r>
      <w:proofErr w:type="spellEnd"/>
      <w:r w:rsidRPr="00A162A3">
        <w:rPr>
          <w:rStyle w:val="CharAttribute40"/>
          <w:rFonts w:hAnsi="Arial" w:cs="Arial"/>
          <w:sz w:val="20"/>
        </w:rPr>
        <w:t xml:space="preserve">, Gore M.A., Pollock C.M., Herman K.B., Cheok J., Ebert D.A., </w:t>
      </w:r>
      <w:proofErr w:type="spellStart"/>
      <w:r w:rsidRPr="00A162A3">
        <w:rPr>
          <w:rStyle w:val="CharAttribute40"/>
          <w:rFonts w:hAnsi="Arial" w:cs="Arial"/>
          <w:sz w:val="20"/>
        </w:rPr>
        <w:t>Simpfendorfer</w:t>
      </w:r>
      <w:proofErr w:type="spellEnd"/>
      <w:r w:rsidRPr="00A162A3">
        <w:rPr>
          <w:rStyle w:val="CharAttribute40"/>
          <w:rFonts w:hAnsi="Arial" w:cs="Arial"/>
          <w:sz w:val="20"/>
        </w:rPr>
        <w:t xml:space="preserve"> C.A</w:t>
      </w:r>
      <w:r w:rsidRPr="00A162A3">
        <w:rPr>
          <w:rStyle w:val="CharAttribute51"/>
          <w:rFonts w:hAnsi="Arial" w:cs="Arial"/>
          <w:sz w:val="20"/>
        </w:rPr>
        <w:t>.</w:t>
      </w:r>
      <w:r w:rsidRPr="00A162A3">
        <w:rPr>
          <w:rStyle w:val="CharAttribute40"/>
          <w:rFonts w:hAnsi="Arial" w:cs="Arial"/>
          <w:sz w:val="20"/>
        </w:rPr>
        <w:t xml:space="preserve"> and </w:t>
      </w:r>
      <w:proofErr w:type="spellStart"/>
      <w:r w:rsidRPr="00A162A3">
        <w:rPr>
          <w:rStyle w:val="CharAttribute40"/>
          <w:rFonts w:hAnsi="Arial" w:cs="Arial"/>
          <w:sz w:val="20"/>
        </w:rPr>
        <w:t>Dulvy</w:t>
      </w:r>
      <w:proofErr w:type="spellEnd"/>
      <w:r w:rsidRPr="00A162A3">
        <w:rPr>
          <w:rStyle w:val="CharAttribute40"/>
          <w:rFonts w:hAnsi="Arial" w:cs="Arial"/>
          <w:sz w:val="20"/>
        </w:rPr>
        <w:t xml:space="preserve">, N.K. 2019a. The thin edge of the wedge: extremely high extinction risk in </w:t>
      </w:r>
      <w:proofErr w:type="spellStart"/>
      <w:r w:rsidRPr="00A162A3">
        <w:rPr>
          <w:rStyle w:val="CharAttribute40"/>
          <w:rFonts w:hAnsi="Arial" w:cs="Arial"/>
          <w:sz w:val="20"/>
        </w:rPr>
        <w:t>wedgefishes</w:t>
      </w:r>
      <w:proofErr w:type="spellEnd"/>
      <w:r w:rsidRPr="00A162A3">
        <w:rPr>
          <w:rStyle w:val="CharAttribute40"/>
          <w:rFonts w:hAnsi="Arial" w:cs="Arial"/>
          <w:sz w:val="20"/>
        </w:rPr>
        <w:t xml:space="preserve"> and giant guitarfishes. </w:t>
      </w:r>
      <w:proofErr w:type="spellStart"/>
      <w:r w:rsidRPr="00A162A3">
        <w:rPr>
          <w:rStyle w:val="CharAttribute51"/>
          <w:rFonts w:hAnsi="Arial" w:cs="Arial"/>
          <w:sz w:val="20"/>
        </w:rPr>
        <w:t>bioRxiv</w:t>
      </w:r>
      <w:proofErr w:type="spellEnd"/>
      <w:r w:rsidRPr="00A162A3">
        <w:rPr>
          <w:rStyle w:val="CharAttribute40"/>
          <w:rFonts w:hAnsi="Arial" w:cs="Arial"/>
          <w:sz w:val="20"/>
        </w:rPr>
        <w:t xml:space="preserve"> 595462.</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proofErr w:type="spellStart"/>
      <w:r w:rsidRPr="00A162A3">
        <w:rPr>
          <w:rStyle w:val="CharAttribute40"/>
          <w:rFonts w:hAnsi="Arial" w:cs="Arial"/>
          <w:sz w:val="20"/>
        </w:rPr>
        <w:t>Kyne</w:t>
      </w:r>
      <w:proofErr w:type="spellEnd"/>
      <w:r w:rsidRPr="00A162A3">
        <w:rPr>
          <w:rStyle w:val="CharAttribute40"/>
          <w:rFonts w:hAnsi="Arial" w:cs="Arial"/>
          <w:sz w:val="20"/>
        </w:rPr>
        <w:t xml:space="preserve">, P.M., Rigby, C.L., </w:t>
      </w:r>
      <w:proofErr w:type="spellStart"/>
      <w:r w:rsidRPr="00A162A3">
        <w:rPr>
          <w:rStyle w:val="CharAttribute40"/>
          <w:rFonts w:hAnsi="Arial" w:cs="Arial"/>
          <w:sz w:val="20"/>
        </w:rPr>
        <w:t>Dharmadi</w:t>
      </w:r>
      <w:proofErr w:type="spellEnd"/>
      <w:r w:rsidRPr="00A162A3">
        <w:rPr>
          <w:rStyle w:val="CharAttribute40"/>
          <w:rFonts w:hAnsi="Arial" w:cs="Arial"/>
          <w:sz w:val="20"/>
        </w:rPr>
        <w:t xml:space="preserve"> and </w:t>
      </w:r>
      <w:proofErr w:type="spellStart"/>
      <w:r w:rsidRPr="00A162A3">
        <w:rPr>
          <w:rStyle w:val="CharAttribute40"/>
          <w:rFonts w:hAnsi="Arial" w:cs="Arial"/>
          <w:sz w:val="20"/>
        </w:rPr>
        <w:t>Jabado</w:t>
      </w:r>
      <w:proofErr w:type="spellEnd"/>
      <w:r w:rsidRPr="00A162A3">
        <w:rPr>
          <w:rStyle w:val="CharAttribute40"/>
          <w:rFonts w:hAnsi="Arial" w:cs="Arial"/>
          <w:sz w:val="20"/>
        </w:rPr>
        <w:t>, R.W. 2019b. </w:t>
      </w:r>
      <w:proofErr w:type="spellStart"/>
      <w:r w:rsidRPr="00A162A3">
        <w:rPr>
          <w:rStyle w:val="CharAttribute51"/>
          <w:rFonts w:hAnsi="Arial" w:cs="Arial"/>
          <w:sz w:val="20"/>
        </w:rPr>
        <w:t>Rhynchobatus</w:t>
      </w:r>
      <w:proofErr w:type="spellEnd"/>
      <w:r w:rsidRPr="00A162A3">
        <w:rPr>
          <w:rStyle w:val="CharAttribute51"/>
          <w:rFonts w:hAnsi="Arial" w:cs="Arial"/>
          <w:sz w:val="20"/>
        </w:rPr>
        <w:t xml:space="preserve"> </w:t>
      </w:r>
      <w:proofErr w:type="spellStart"/>
      <w:r w:rsidRPr="00A162A3">
        <w:rPr>
          <w:rStyle w:val="CharAttribute51"/>
          <w:rFonts w:hAnsi="Arial" w:cs="Arial"/>
          <w:sz w:val="20"/>
        </w:rPr>
        <w:t>australiae</w:t>
      </w:r>
      <w:proofErr w:type="spellEnd"/>
      <w:r w:rsidRPr="00A162A3">
        <w:rPr>
          <w:rStyle w:val="CharAttribute40"/>
          <w:rFonts w:hAnsi="Arial" w:cs="Arial"/>
          <w:sz w:val="20"/>
        </w:rPr>
        <w:t>. </w:t>
      </w:r>
      <w:r w:rsidRPr="00A162A3">
        <w:rPr>
          <w:rStyle w:val="CharAttribute51"/>
          <w:rFonts w:hAnsi="Arial" w:cs="Arial"/>
          <w:sz w:val="20"/>
        </w:rPr>
        <w:t>The IUCN Red List of Threatened Species</w:t>
      </w:r>
      <w:r w:rsidRPr="00A162A3">
        <w:rPr>
          <w:rStyle w:val="CharAttribute40"/>
          <w:rFonts w:hAnsi="Arial" w:cs="Arial"/>
          <w:sz w:val="20"/>
        </w:rPr>
        <w:t> 2019: e.T41853A68643043. </w:t>
      </w:r>
      <w:hyperlink r:id="rId33">
        <w:r w:rsidRPr="00A162A3">
          <w:rPr>
            <w:rStyle w:val="CharAttribute53"/>
            <w:rFonts w:hAnsi="Arial" w:cs="Arial"/>
            <w:sz w:val="20"/>
          </w:rPr>
          <w:t>http://dx.doi.org/10.2305/IUCN.UK.2019-2.RLTS.T41853A68643043.en</w:t>
        </w:r>
      </w:hyperlink>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proofErr w:type="spellStart"/>
      <w:r w:rsidRPr="00A162A3">
        <w:rPr>
          <w:rStyle w:val="CharAttribute40"/>
          <w:rFonts w:hAnsi="Arial" w:cs="Arial"/>
          <w:sz w:val="20"/>
        </w:rPr>
        <w:t>Lessa</w:t>
      </w:r>
      <w:proofErr w:type="spellEnd"/>
      <w:r w:rsidRPr="00A162A3">
        <w:rPr>
          <w:rStyle w:val="CharAttribute40"/>
          <w:rFonts w:hAnsi="Arial" w:cs="Arial"/>
          <w:sz w:val="20"/>
        </w:rPr>
        <w:t xml:space="preserve">, R. and </w:t>
      </w:r>
      <w:proofErr w:type="spellStart"/>
      <w:r w:rsidRPr="00A162A3">
        <w:rPr>
          <w:rStyle w:val="CharAttribute40"/>
          <w:rFonts w:hAnsi="Arial" w:cs="Arial"/>
          <w:sz w:val="20"/>
        </w:rPr>
        <w:t>Vooren</w:t>
      </w:r>
      <w:proofErr w:type="spellEnd"/>
      <w:r w:rsidRPr="00A162A3">
        <w:rPr>
          <w:rStyle w:val="CharAttribute40"/>
          <w:rFonts w:hAnsi="Arial" w:cs="Arial"/>
          <w:sz w:val="20"/>
        </w:rPr>
        <w:t xml:space="preserve">, C.M. 2007. </w:t>
      </w:r>
      <w:proofErr w:type="spellStart"/>
      <w:r w:rsidRPr="00A162A3">
        <w:rPr>
          <w:rStyle w:val="CharAttribute51"/>
          <w:rFonts w:hAnsi="Arial" w:cs="Arial"/>
          <w:sz w:val="20"/>
        </w:rPr>
        <w:t>Rhinobatos</w:t>
      </w:r>
      <w:proofErr w:type="spellEnd"/>
      <w:r w:rsidRPr="00A162A3">
        <w:rPr>
          <w:rStyle w:val="CharAttribute51"/>
          <w:rFonts w:hAnsi="Arial" w:cs="Arial"/>
          <w:sz w:val="20"/>
        </w:rPr>
        <w:t xml:space="preserve"> </w:t>
      </w:r>
      <w:proofErr w:type="spellStart"/>
      <w:r w:rsidRPr="00A162A3">
        <w:rPr>
          <w:rStyle w:val="CharAttribute51"/>
          <w:rFonts w:hAnsi="Arial" w:cs="Arial"/>
          <w:sz w:val="20"/>
        </w:rPr>
        <w:t>horkelii</w:t>
      </w:r>
      <w:proofErr w:type="spellEnd"/>
      <w:r w:rsidRPr="00A162A3">
        <w:rPr>
          <w:rStyle w:val="CharAttribute40"/>
          <w:rFonts w:hAnsi="Arial" w:cs="Arial"/>
          <w:sz w:val="20"/>
        </w:rPr>
        <w:t xml:space="preserve">. </w:t>
      </w:r>
      <w:r w:rsidRPr="00A162A3">
        <w:rPr>
          <w:rStyle w:val="CharAttribute51"/>
          <w:rFonts w:hAnsi="Arial" w:cs="Arial"/>
          <w:sz w:val="20"/>
        </w:rPr>
        <w:t>The IUCN Red List of Threatened Species</w:t>
      </w:r>
      <w:r w:rsidRPr="00A162A3">
        <w:rPr>
          <w:rStyle w:val="CharAttribute40"/>
          <w:rFonts w:hAnsi="Arial" w:cs="Arial"/>
          <w:sz w:val="20"/>
        </w:rPr>
        <w:t xml:space="preserve"> 2007: e.T41064A10396152. http://dx.doi.org/10.2305/IUCN.UK.2007.RLTS.T41064A10396152.en</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r w:rsidRPr="00A162A3">
        <w:rPr>
          <w:rStyle w:val="CharAttribute40"/>
          <w:rFonts w:hAnsi="Arial" w:cs="Arial"/>
          <w:sz w:val="20"/>
        </w:rPr>
        <w:t>Márquez-</w:t>
      </w:r>
      <w:proofErr w:type="spellStart"/>
      <w:r w:rsidRPr="00A162A3">
        <w:rPr>
          <w:rStyle w:val="CharAttribute40"/>
          <w:rFonts w:hAnsi="Arial" w:cs="Arial"/>
          <w:sz w:val="20"/>
        </w:rPr>
        <w:t>Farías</w:t>
      </w:r>
      <w:proofErr w:type="spellEnd"/>
      <w:r w:rsidRPr="00A162A3">
        <w:rPr>
          <w:rStyle w:val="CharAttribute40"/>
          <w:rFonts w:hAnsi="Arial" w:cs="Arial"/>
          <w:sz w:val="20"/>
        </w:rPr>
        <w:t xml:space="preserve">, J.F. 2007 Reproductive biology of shovelnose guitarfish </w:t>
      </w:r>
      <w:proofErr w:type="spellStart"/>
      <w:r w:rsidRPr="00A162A3">
        <w:rPr>
          <w:rStyle w:val="CharAttribute51"/>
          <w:rFonts w:hAnsi="Arial" w:cs="Arial"/>
          <w:sz w:val="20"/>
        </w:rPr>
        <w:t>Rhinobatos</w:t>
      </w:r>
      <w:proofErr w:type="spellEnd"/>
      <w:r w:rsidRPr="00A162A3">
        <w:rPr>
          <w:rStyle w:val="CharAttribute51"/>
          <w:rFonts w:hAnsi="Arial" w:cs="Arial"/>
          <w:sz w:val="20"/>
        </w:rPr>
        <w:t xml:space="preserve"> </w:t>
      </w:r>
      <w:proofErr w:type="spellStart"/>
      <w:r w:rsidRPr="00A162A3">
        <w:rPr>
          <w:rStyle w:val="CharAttribute51"/>
          <w:rFonts w:hAnsi="Arial" w:cs="Arial"/>
          <w:sz w:val="20"/>
        </w:rPr>
        <w:t>productus</w:t>
      </w:r>
      <w:proofErr w:type="spellEnd"/>
      <w:r w:rsidRPr="00A162A3">
        <w:rPr>
          <w:rStyle w:val="CharAttribute40"/>
          <w:rFonts w:hAnsi="Arial" w:cs="Arial"/>
          <w:sz w:val="20"/>
        </w:rPr>
        <w:t xml:space="preserve"> from the eastern Gulf of California México. </w:t>
      </w:r>
      <w:r w:rsidRPr="00A162A3">
        <w:rPr>
          <w:rStyle w:val="CharAttribute51"/>
          <w:rFonts w:hAnsi="Arial" w:cs="Arial"/>
          <w:sz w:val="20"/>
        </w:rPr>
        <w:t>Marine Biology</w:t>
      </w:r>
      <w:r w:rsidRPr="00A162A3">
        <w:rPr>
          <w:rStyle w:val="CharAttribute40"/>
          <w:rFonts w:hAnsi="Arial" w:cs="Arial"/>
          <w:sz w:val="20"/>
        </w:rPr>
        <w:t xml:space="preserve"> 151: 1445–1454.</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r w:rsidRPr="00A162A3">
        <w:rPr>
          <w:rStyle w:val="CharAttribute40"/>
          <w:rFonts w:hAnsi="Arial" w:cs="Arial"/>
          <w:sz w:val="20"/>
        </w:rPr>
        <w:t xml:space="preserve">Moore, A.B.N. 2017. Are guitarfishes the next sawfishes? Extinction risk and an urgent call for conservation action. </w:t>
      </w:r>
      <w:r w:rsidRPr="00A162A3">
        <w:rPr>
          <w:rStyle w:val="CharAttribute51"/>
          <w:rFonts w:hAnsi="Arial" w:cs="Arial"/>
          <w:sz w:val="20"/>
        </w:rPr>
        <w:t>Endangered Species Research</w:t>
      </w:r>
      <w:r w:rsidRPr="00A162A3">
        <w:rPr>
          <w:rStyle w:val="CharAttribute40"/>
          <w:rFonts w:hAnsi="Arial" w:cs="Arial"/>
          <w:sz w:val="20"/>
        </w:rPr>
        <w:t xml:space="preserve"> 34: 75–88.</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r w:rsidRPr="00A162A3">
        <w:rPr>
          <w:rStyle w:val="CharAttribute40"/>
          <w:rFonts w:hAnsi="Arial" w:cs="Arial"/>
          <w:sz w:val="20"/>
        </w:rPr>
        <w:t xml:space="preserve">Moore, A.B.M, </w:t>
      </w:r>
      <w:proofErr w:type="spellStart"/>
      <w:r w:rsidRPr="00A162A3">
        <w:rPr>
          <w:rStyle w:val="CharAttribute40"/>
          <w:rFonts w:hAnsi="Arial" w:cs="Arial"/>
          <w:sz w:val="20"/>
        </w:rPr>
        <w:t>Séret</w:t>
      </w:r>
      <w:proofErr w:type="spellEnd"/>
      <w:r w:rsidRPr="00A162A3">
        <w:rPr>
          <w:rStyle w:val="CharAttribute40"/>
          <w:rFonts w:hAnsi="Arial" w:cs="Arial"/>
          <w:sz w:val="20"/>
        </w:rPr>
        <w:t xml:space="preserve">, B. and Armstrong, R. 2019. Risks to biodiversity and coastal livelihoods from artisanal elasmobranch fisheries in a Least Developed Country: The Gambia (West Africa). </w:t>
      </w:r>
      <w:r w:rsidRPr="00A162A3">
        <w:rPr>
          <w:rStyle w:val="CharAttribute51"/>
          <w:rFonts w:hAnsi="Arial" w:cs="Arial"/>
          <w:sz w:val="20"/>
        </w:rPr>
        <w:t>Biodiversity and Conservation</w:t>
      </w:r>
      <w:r w:rsidRPr="00A162A3">
        <w:rPr>
          <w:rStyle w:val="CharAttribute40"/>
          <w:rFonts w:hAnsi="Arial" w:cs="Arial"/>
          <w:sz w:val="20"/>
        </w:rPr>
        <w:t>. 28: 1431–1450</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lang w:val="es-ES"/>
        </w:rPr>
      </w:pPr>
      <w:r w:rsidRPr="00A162A3">
        <w:rPr>
          <w:rStyle w:val="CharAttribute40"/>
          <w:rFonts w:hAnsi="Arial" w:cs="Arial"/>
          <w:sz w:val="20"/>
        </w:rPr>
        <w:t xml:space="preserve">Morey, G., Barker, J., Hood, A., Gordon, C., </w:t>
      </w:r>
      <w:proofErr w:type="spellStart"/>
      <w:r w:rsidRPr="00A162A3">
        <w:rPr>
          <w:rStyle w:val="CharAttribute40"/>
          <w:rFonts w:hAnsi="Arial" w:cs="Arial"/>
          <w:sz w:val="20"/>
        </w:rPr>
        <w:t>Bartolí</w:t>
      </w:r>
      <w:proofErr w:type="spellEnd"/>
      <w:r w:rsidRPr="00A162A3">
        <w:rPr>
          <w:rStyle w:val="CharAttribute40"/>
          <w:rFonts w:hAnsi="Arial" w:cs="Arial"/>
          <w:sz w:val="20"/>
        </w:rPr>
        <w:t xml:space="preserve">, A., Meyers, E.K.M., Ellis, J., Sharp, R., Jimenez-Alvarado, D. and </w:t>
      </w:r>
      <w:proofErr w:type="spellStart"/>
      <w:r w:rsidRPr="00A162A3">
        <w:rPr>
          <w:rStyle w:val="CharAttribute40"/>
          <w:rFonts w:hAnsi="Arial" w:cs="Arial"/>
          <w:sz w:val="20"/>
        </w:rPr>
        <w:t>Pollom</w:t>
      </w:r>
      <w:proofErr w:type="spellEnd"/>
      <w:r w:rsidRPr="00A162A3">
        <w:rPr>
          <w:rStyle w:val="CharAttribute40"/>
          <w:rFonts w:hAnsi="Arial" w:cs="Arial"/>
          <w:sz w:val="20"/>
        </w:rPr>
        <w:t>, R. 2019. </w:t>
      </w:r>
      <w:proofErr w:type="spellStart"/>
      <w:r w:rsidRPr="00A162A3">
        <w:rPr>
          <w:rStyle w:val="CharAttribute51"/>
          <w:rFonts w:hAnsi="Arial" w:cs="Arial"/>
          <w:sz w:val="20"/>
        </w:rPr>
        <w:t>Squatina</w:t>
      </w:r>
      <w:proofErr w:type="spellEnd"/>
      <w:r w:rsidRPr="00A162A3">
        <w:rPr>
          <w:rStyle w:val="CharAttribute51"/>
          <w:rFonts w:hAnsi="Arial" w:cs="Arial"/>
          <w:sz w:val="20"/>
        </w:rPr>
        <w:t xml:space="preserve"> </w:t>
      </w:r>
      <w:proofErr w:type="spellStart"/>
      <w:r w:rsidRPr="00A162A3">
        <w:rPr>
          <w:rStyle w:val="CharAttribute51"/>
          <w:rFonts w:hAnsi="Arial" w:cs="Arial"/>
          <w:sz w:val="20"/>
        </w:rPr>
        <w:t>squatina</w:t>
      </w:r>
      <w:proofErr w:type="spellEnd"/>
      <w:r w:rsidRPr="00A162A3">
        <w:rPr>
          <w:rStyle w:val="CharAttribute40"/>
          <w:rFonts w:hAnsi="Arial" w:cs="Arial"/>
          <w:sz w:val="20"/>
        </w:rPr>
        <w:t>. </w:t>
      </w:r>
      <w:r w:rsidRPr="00A162A3">
        <w:rPr>
          <w:rStyle w:val="CharAttribute51"/>
          <w:rFonts w:hAnsi="Arial" w:cs="Arial"/>
          <w:sz w:val="20"/>
        </w:rPr>
        <w:t>The IUCN Red List of Threatened Species</w:t>
      </w:r>
      <w:r w:rsidRPr="00A162A3">
        <w:rPr>
          <w:rStyle w:val="CharAttribute40"/>
          <w:rFonts w:hAnsi="Arial" w:cs="Arial"/>
          <w:sz w:val="20"/>
        </w:rPr>
        <w:t> 2019: e.T39332A117498371. </w:t>
      </w:r>
      <w:hyperlink r:id="rId34">
        <w:r w:rsidRPr="00A162A3">
          <w:rPr>
            <w:rStyle w:val="CharAttribute53"/>
            <w:rFonts w:hAnsi="Arial" w:cs="Arial"/>
            <w:sz w:val="20"/>
            <w:lang w:val="es-ES"/>
          </w:rPr>
          <w:t>http://dx.doi.org/10.2305/IUCN.UK.2019-1.RLTS.T39332A117498371.en</w:t>
        </w:r>
      </w:hyperlink>
      <w:r w:rsidRPr="00A162A3">
        <w:rPr>
          <w:rStyle w:val="CharAttribute40"/>
          <w:rFonts w:hAnsi="Arial" w:cs="Arial"/>
          <w:sz w:val="20"/>
          <w:lang w:val="es-ES"/>
        </w:rPr>
        <w:t>.</w:t>
      </w:r>
    </w:p>
    <w:p w:rsidR="00A162A3" w:rsidRDefault="00A162A3" w:rsidP="00A162A3">
      <w:pPr>
        <w:pStyle w:val="NoSpacing"/>
        <w:wordWrap/>
        <w:ind w:left="284" w:hanging="284"/>
        <w:rPr>
          <w:rFonts w:ascii="Arial" w:eastAsia="Arial" w:hAnsi="Arial" w:cs="Arial"/>
          <w:lang w:val="es-ES"/>
        </w:rPr>
      </w:pPr>
    </w:p>
    <w:p w:rsidR="00A162A3" w:rsidRDefault="00A162A3" w:rsidP="00A162A3">
      <w:pPr>
        <w:pStyle w:val="NoSpacing"/>
        <w:wordWrap/>
        <w:ind w:left="284" w:hanging="284"/>
        <w:rPr>
          <w:rFonts w:ascii="Arial" w:eastAsia="Arial" w:hAnsi="Arial" w:cs="Arial"/>
          <w:lang w:val="es-ES"/>
        </w:rPr>
      </w:pPr>
    </w:p>
    <w:p w:rsidR="00A162A3" w:rsidRPr="00A162A3" w:rsidRDefault="00A162A3" w:rsidP="00A162A3">
      <w:pPr>
        <w:pStyle w:val="NoSpacing"/>
        <w:wordWrap/>
        <w:ind w:left="284" w:hanging="284"/>
        <w:rPr>
          <w:rFonts w:ascii="Arial" w:eastAsia="Arial" w:hAnsi="Arial" w:cs="Arial"/>
          <w:lang w:val="es-ES"/>
        </w:rPr>
      </w:pPr>
    </w:p>
    <w:p w:rsidR="00A162A3" w:rsidRPr="00A162A3" w:rsidRDefault="00A162A3" w:rsidP="00A162A3">
      <w:pPr>
        <w:pStyle w:val="NoSpacing"/>
        <w:wordWrap/>
        <w:ind w:left="284" w:hanging="284"/>
        <w:rPr>
          <w:rFonts w:ascii="Arial" w:eastAsia="Arial" w:hAnsi="Arial" w:cs="Arial"/>
        </w:rPr>
      </w:pPr>
      <w:r w:rsidRPr="00A162A3">
        <w:rPr>
          <w:rStyle w:val="CharAttribute40"/>
          <w:rFonts w:hAnsi="Arial" w:cs="Arial"/>
          <w:sz w:val="20"/>
          <w:lang w:val="es-ES"/>
        </w:rPr>
        <w:t xml:space="preserve">Navia, A.F., Mejía-Falla, P.A., López-García, J., Giraldo, A. and Cruz-Escalona, V.H. 2016. </w:t>
      </w:r>
      <w:r w:rsidRPr="00A162A3">
        <w:rPr>
          <w:rStyle w:val="CharAttribute40"/>
          <w:rFonts w:hAnsi="Arial" w:cs="Arial"/>
          <w:sz w:val="20"/>
        </w:rPr>
        <w:t>How many trophic roles can elasmobranchs play in a marine tropical network</w:t>
      </w:r>
      <w:r w:rsidRPr="00A162A3">
        <w:rPr>
          <w:rStyle w:val="CharAttribute51"/>
          <w:rFonts w:hAnsi="Arial" w:cs="Arial"/>
          <w:sz w:val="20"/>
        </w:rPr>
        <w:t>? Marine and Freshwater Research</w:t>
      </w:r>
      <w:r w:rsidRPr="00A162A3">
        <w:rPr>
          <w:rStyle w:val="CharAttribute40"/>
          <w:rFonts w:hAnsi="Arial" w:cs="Arial"/>
          <w:sz w:val="20"/>
        </w:rPr>
        <w:t>. 68: 1–12.</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r w:rsidRPr="00A162A3">
        <w:rPr>
          <w:rStyle w:val="CharAttribute40"/>
          <w:rFonts w:hAnsi="Arial" w:cs="Arial"/>
          <w:sz w:val="20"/>
        </w:rPr>
        <w:t xml:space="preserve">Newell, B.M. 2017. Status Review Report of Two Species of Guitarfish: </w:t>
      </w:r>
      <w:proofErr w:type="spellStart"/>
      <w:r w:rsidRPr="00A162A3">
        <w:rPr>
          <w:rStyle w:val="CharAttribute40"/>
          <w:rFonts w:hAnsi="Arial" w:cs="Arial"/>
          <w:sz w:val="20"/>
        </w:rPr>
        <w:t>Rhinobatos</w:t>
      </w:r>
      <w:proofErr w:type="spellEnd"/>
      <w:r w:rsidRPr="00A162A3">
        <w:rPr>
          <w:rStyle w:val="CharAttribute40"/>
          <w:rFonts w:hAnsi="Arial" w:cs="Arial"/>
          <w:sz w:val="20"/>
        </w:rPr>
        <w:t xml:space="preserve"> </w:t>
      </w:r>
      <w:proofErr w:type="spellStart"/>
      <w:r w:rsidRPr="00A162A3">
        <w:rPr>
          <w:rStyle w:val="CharAttribute40"/>
          <w:rFonts w:hAnsi="Arial" w:cs="Arial"/>
          <w:sz w:val="20"/>
        </w:rPr>
        <w:t>rhinobatos</w:t>
      </w:r>
      <w:proofErr w:type="spellEnd"/>
      <w:r w:rsidRPr="00A162A3">
        <w:rPr>
          <w:rStyle w:val="CharAttribute40"/>
          <w:rFonts w:hAnsi="Arial" w:cs="Arial"/>
          <w:sz w:val="20"/>
        </w:rPr>
        <w:t xml:space="preserve"> and </w:t>
      </w:r>
      <w:proofErr w:type="spellStart"/>
      <w:r w:rsidRPr="00A162A3">
        <w:rPr>
          <w:rStyle w:val="CharAttribute40"/>
          <w:rFonts w:hAnsi="Arial" w:cs="Arial"/>
          <w:sz w:val="20"/>
        </w:rPr>
        <w:t>Rhinobatos</w:t>
      </w:r>
      <w:proofErr w:type="spellEnd"/>
      <w:r w:rsidRPr="00A162A3">
        <w:rPr>
          <w:rStyle w:val="CharAttribute40"/>
          <w:rFonts w:hAnsi="Arial" w:cs="Arial"/>
          <w:sz w:val="20"/>
        </w:rPr>
        <w:t xml:space="preserve"> </w:t>
      </w:r>
      <w:proofErr w:type="spellStart"/>
      <w:r w:rsidRPr="00A162A3">
        <w:rPr>
          <w:rStyle w:val="CharAttribute40"/>
          <w:rFonts w:hAnsi="Arial" w:cs="Arial"/>
          <w:sz w:val="20"/>
        </w:rPr>
        <w:t>cemiculus</w:t>
      </w:r>
      <w:proofErr w:type="spellEnd"/>
      <w:r w:rsidRPr="00A162A3">
        <w:rPr>
          <w:rStyle w:val="CharAttribute40"/>
          <w:rFonts w:hAnsi="Arial" w:cs="Arial"/>
          <w:sz w:val="20"/>
        </w:rPr>
        <w:t>. Report to National Marine Fisheries Service, Office of Protected Resources. 62 pp.</w:t>
      </w:r>
    </w:p>
    <w:p w:rsidR="00A162A3" w:rsidRPr="00A162A3" w:rsidRDefault="00A162A3" w:rsidP="00A162A3">
      <w:pPr>
        <w:pStyle w:val="NoSpacing"/>
        <w:wordWrap/>
        <w:ind w:left="284" w:hanging="284"/>
        <w:rPr>
          <w:rFonts w:ascii="Arial" w:eastAsia="Arial" w:hAnsi="Arial" w:cs="Arial"/>
        </w:rPr>
      </w:pPr>
    </w:p>
    <w:p w:rsidR="00A162A3" w:rsidRPr="00A162A3" w:rsidRDefault="00A162A3" w:rsidP="00A162A3">
      <w:pPr>
        <w:pStyle w:val="NoSpacing"/>
        <w:wordWrap/>
        <w:ind w:left="284" w:hanging="284"/>
        <w:rPr>
          <w:rFonts w:ascii="Arial" w:eastAsia="Arial" w:hAnsi="Arial" w:cs="Arial"/>
        </w:rPr>
      </w:pPr>
      <w:r w:rsidRPr="00A162A3">
        <w:rPr>
          <w:rStyle w:val="CharAttribute40"/>
          <w:rFonts w:hAnsi="Arial" w:cs="Arial"/>
          <w:sz w:val="20"/>
        </w:rPr>
        <w:t xml:space="preserve">Notarbartolo di Sciara, G., </w:t>
      </w:r>
      <w:proofErr w:type="spellStart"/>
      <w:r w:rsidRPr="00A162A3">
        <w:rPr>
          <w:rStyle w:val="CharAttribute40"/>
          <w:rFonts w:hAnsi="Arial" w:cs="Arial"/>
          <w:sz w:val="20"/>
        </w:rPr>
        <w:t>Bradai</w:t>
      </w:r>
      <w:proofErr w:type="spellEnd"/>
      <w:r w:rsidRPr="00A162A3">
        <w:rPr>
          <w:rStyle w:val="CharAttribute40"/>
          <w:rFonts w:hAnsi="Arial" w:cs="Arial"/>
          <w:sz w:val="20"/>
        </w:rPr>
        <w:t xml:space="preserve">, M.N., Morey, G., Marshall, A.D., </w:t>
      </w:r>
      <w:proofErr w:type="spellStart"/>
      <w:r w:rsidRPr="00A162A3">
        <w:rPr>
          <w:rStyle w:val="CharAttribute40"/>
          <w:rFonts w:hAnsi="Arial" w:cs="Arial"/>
          <w:sz w:val="20"/>
        </w:rPr>
        <w:t>Compagno</w:t>
      </w:r>
      <w:proofErr w:type="spellEnd"/>
      <w:r w:rsidRPr="00A162A3">
        <w:rPr>
          <w:rStyle w:val="CharAttribute40"/>
          <w:rFonts w:hAnsi="Arial" w:cs="Arial"/>
          <w:sz w:val="20"/>
        </w:rPr>
        <w:t xml:space="preserve">, L.J.V., </w:t>
      </w:r>
      <w:proofErr w:type="spellStart"/>
      <w:r w:rsidRPr="00A162A3">
        <w:rPr>
          <w:rStyle w:val="CharAttribute40"/>
          <w:rFonts w:hAnsi="Arial" w:cs="Arial"/>
          <w:sz w:val="20"/>
        </w:rPr>
        <w:t>Mouni</w:t>
      </w:r>
      <w:proofErr w:type="spellEnd"/>
      <w:r w:rsidRPr="00A162A3">
        <w:rPr>
          <w:rStyle w:val="CharAttribute40"/>
          <w:rFonts w:hAnsi="Arial" w:cs="Arial"/>
          <w:sz w:val="20"/>
        </w:rPr>
        <w:t xml:space="preserve">, A., Hicham, M., </w:t>
      </w:r>
      <w:proofErr w:type="spellStart"/>
      <w:r w:rsidRPr="00A162A3">
        <w:rPr>
          <w:rStyle w:val="CharAttribute40"/>
          <w:rFonts w:hAnsi="Arial" w:cs="Arial"/>
          <w:sz w:val="20"/>
        </w:rPr>
        <w:t>Bucal</w:t>
      </w:r>
      <w:proofErr w:type="spellEnd"/>
      <w:r w:rsidRPr="00A162A3">
        <w:rPr>
          <w:rStyle w:val="CharAttribute40"/>
          <w:rFonts w:hAnsi="Arial" w:cs="Arial"/>
          <w:sz w:val="20"/>
        </w:rPr>
        <w:t xml:space="preserve">, D., </w:t>
      </w:r>
      <w:proofErr w:type="spellStart"/>
      <w:r w:rsidRPr="00A162A3">
        <w:rPr>
          <w:rStyle w:val="CharAttribute40"/>
          <w:rFonts w:hAnsi="Arial" w:cs="Arial"/>
          <w:sz w:val="20"/>
        </w:rPr>
        <w:t>Dulvy</w:t>
      </w:r>
      <w:proofErr w:type="spellEnd"/>
      <w:r w:rsidRPr="00A162A3">
        <w:rPr>
          <w:rStyle w:val="CharAttribute40"/>
          <w:rFonts w:hAnsi="Arial" w:cs="Arial"/>
          <w:sz w:val="20"/>
        </w:rPr>
        <w:t xml:space="preserve">, N., </w:t>
      </w:r>
      <w:proofErr w:type="spellStart"/>
      <w:r w:rsidRPr="00A162A3">
        <w:rPr>
          <w:rStyle w:val="CharAttribute40"/>
          <w:rFonts w:hAnsi="Arial" w:cs="Arial"/>
          <w:sz w:val="20"/>
        </w:rPr>
        <w:t>Heenan</w:t>
      </w:r>
      <w:proofErr w:type="spellEnd"/>
      <w:r w:rsidRPr="00A162A3">
        <w:rPr>
          <w:rStyle w:val="CharAttribute40"/>
          <w:rFonts w:hAnsi="Arial" w:cs="Arial"/>
          <w:sz w:val="20"/>
        </w:rPr>
        <w:t xml:space="preserve">, A. and Rui Coelho. 2007. </w:t>
      </w:r>
      <w:proofErr w:type="spellStart"/>
      <w:r w:rsidRPr="00A162A3">
        <w:rPr>
          <w:rStyle w:val="CharAttribute51"/>
          <w:rFonts w:hAnsi="Arial" w:cs="Arial"/>
          <w:sz w:val="20"/>
        </w:rPr>
        <w:t>Rhinobatos</w:t>
      </w:r>
      <w:proofErr w:type="spellEnd"/>
      <w:r w:rsidRPr="00A162A3">
        <w:rPr>
          <w:rStyle w:val="CharAttribute51"/>
          <w:rFonts w:hAnsi="Arial" w:cs="Arial"/>
          <w:sz w:val="20"/>
        </w:rPr>
        <w:t xml:space="preserve"> </w:t>
      </w:r>
      <w:proofErr w:type="spellStart"/>
      <w:r w:rsidRPr="00A162A3">
        <w:rPr>
          <w:rStyle w:val="CharAttribute51"/>
          <w:rFonts w:hAnsi="Arial" w:cs="Arial"/>
          <w:sz w:val="20"/>
        </w:rPr>
        <w:t>rhinobatos</w:t>
      </w:r>
      <w:proofErr w:type="spellEnd"/>
      <w:r w:rsidRPr="00A162A3">
        <w:rPr>
          <w:rStyle w:val="CharAttribute51"/>
          <w:rFonts w:hAnsi="Arial" w:cs="Arial"/>
          <w:sz w:val="20"/>
        </w:rPr>
        <w:t xml:space="preserve">. The IUCN Red List of Threatened Species </w:t>
      </w:r>
      <w:r w:rsidRPr="00A162A3">
        <w:rPr>
          <w:rStyle w:val="CharAttribute40"/>
          <w:rFonts w:hAnsi="Arial" w:cs="Arial"/>
          <w:sz w:val="20"/>
        </w:rPr>
        <w:t>2007: e.T63131A12620901. http://dx.doi.org/10.2305/IUCN.UK.2007.RLTS.T63131A12620901.en.</w:t>
      </w:r>
    </w:p>
    <w:p w:rsidR="00A162A3" w:rsidRPr="00A162A3" w:rsidRDefault="00A162A3" w:rsidP="00A162A3">
      <w:pPr>
        <w:spacing w:after="0"/>
        <w:jc w:val="both"/>
        <w:rPr>
          <w:rFonts w:cs="Arial"/>
          <w:sz w:val="20"/>
          <w:szCs w:val="20"/>
        </w:rPr>
      </w:pPr>
    </w:p>
    <w:p w:rsidR="001F739F" w:rsidRPr="00A162A3" w:rsidRDefault="001F739F" w:rsidP="00A162A3">
      <w:pPr>
        <w:widowControl w:val="0"/>
        <w:pBdr>
          <w:top w:val="single" w:sz="6" w:space="0" w:color="FFFFFF"/>
          <w:left w:val="single" w:sz="6" w:space="0" w:color="FFFFFF"/>
          <w:bottom w:val="single" w:sz="6" w:space="0" w:color="FFFFFF"/>
          <w:right w:val="single" w:sz="6" w:space="0" w:color="FFFFFF"/>
        </w:pBdr>
        <w:autoSpaceDE w:val="0"/>
        <w:spacing w:after="0"/>
        <w:jc w:val="both"/>
        <w:outlineLvl w:val="1"/>
        <w:rPr>
          <w:rFonts w:eastAsia="MS Mincho" w:cs="Arial"/>
          <w:color w:val="000000"/>
          <w:sz w:val="20"/>
          <w:szCs w:val="20"/>
          <w:lang w:val="en-GB" w:eastAsia="ja-JP"/>
        </w:rPr>
      </w:pPr>
    </w:p>
    <w:sectPr w:rsidR="001F739F" w:rsidRPr="00A162A3" w:rsidSect="00A162A3">
      <w:headerReference w:type="default" r:id="rId35"/>
      <w:footerReference w:type="default" r:id="rId36"/>
      <w:headerReference w:type="first" r:id="rId37"/>
      <w:footerReference w:type="first" r:id="rId38"/>
      <w:endnotePr>
        <w:numFmt w:val="decimal"/>
      </w:endnotePr>
      <w:pgSz w:w="11905" w:h="16837" w:code="9"/>
      <w:pgMar w:top="1134" w:right="1134" w:bottom="1134" w:left="1134" w:header="432" w:footer="432"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12AD6" w:rsidRDefault="00EC3E83">
      <w:pPr>
        <w:spacing w:after="0"/>
      </w:pPr>
      <w:r>
        <w:separator/>
      </w:r>
    </w:p>
  </w:endnote>
  <w:endnote w:type="continuationSeparator" w:id="0">
    <w:p w:rsidR="00812AD6" w:rsidRDefault="00EC3E8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2AAF" w:rsidRDefault="00EC3E83">
    <w:pPr>
      <w:pStyle w:val="Footer"/>
      <w:jc w:val="center"/>
    </w:pPr>
    <w:r>
      <w:fldChar w:fldCharType="begin"/>
    </w:r>
    <w:r>
      <w:instrText xml:space="preserve"> PAGE </w:instrText>
    </w:r>
    <w:r>
      <w:fldChar w:fldCharType="separate"/>
    </w:r>
    <w:r>
      <w:t>13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2AAF" w:rsidRDefault="00A162A3">
    <w:pPr>
      <w:pStyle w:val="Footer"/>
      <w:ind w:right="-637"/>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01282211"/>
      <w:docPartObj>
        <w:docPartGallery w:val="Page Numbers (Bottom of Page)"/>
        <w:docPartUnique/>
      </w:docPartObj>
    </w:sdtPr>
    <w:sdtEndPr>
      <w:rPr>
        <w:noProof/>
      </w:rPr>
    </w:sdtEndPr>
    <w:sdtContent>
      <w:p w:rsidR="006B1CA7" w:rsidRPr="00267CB3" w:rsidRDefault="00267CB3" w:rsidP="00267CB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1CA7" w:rsidRPr="00267CB3" w:rsidRDefault="006B1CA7" w:rsidP="00267CB3">
    <w:pPr>
      <w:spacing w:after="0"/>
      <w:jc w:val="center"/>
      <w:rPr>
        <w:rFonts w:eastAsia="Arial"/>
        <w:sz w:val="18"/>
        <w:szCs w:val="18"/>
      </w:rPr>
    </w:pPr>
    <w:r w:rsidRPr="00267CB3">
      <w:rPr>
        <w:sz w:val="18"/>
        <w:szCs w:val="18"/>
      </w:rPr>
      <w:fldChar w:fldCharType="begin"/>
    </w:r>
    <w:r w:rsidRPr="00267CB3">
      <w:rPr>
        <w:sz w:val="18"/>
        <w:szCs w:val="18"/>
      </w:rPr>
      <w:instrText>PAGE</w:instrText>
    </w:r>
    <w:r w:rsidRPr="00267CB3">
      <w:rPr>
        <w:sz w:val="18"/>
        <w:szCs w:val="18"/>
      </w:rPr>
      <w:fldChar w:fldCharType="separate"/>
    </w:r>
    <w:r w:rsidRPr="00267CB3">
      <w:rPr>
        <w:sz w:val="18"/>
        <w:szCs w:val="18"/>
      </w:rPr>
      <w:t>2</w:t>
    </w:r>
    <w:r w:rsidRPr="00267CB3">
      <w:rPr>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82180366"/>
      <w:docPartObj>
        <w:docPartGallery w:val="Page Numbers (Bottom of Page)"/>
        <w:docPartUnique/>
      </w:docPartObj>
    </w:sdtPr>
    <w:sdtEndPr>
      <w:rPr>
        <w:noProof/>
      </w:rPr>
    </w:sdtEndPr>
    <w:sdtContent>
      <w:p w:rsidR="008C76C3" w:rsidRDefault="008C76C3" w:rsidP="008C76C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5E8C" w:rsidRDefault="00A162A3">
    <w:pPr>
      <w:pStyle w:val="Footer"/>
      <w:ind w:right="-367"/>
      <w:jc w:val="center"/>
    </w:pPr>
    <w:r>
      <w:rPr>
        <w:rFonts w:cs="Arial"/>
        <w:szCs w:val="18"/>
      </w:rPr>
      <w:fldChar w:fldCharType="begin"/>
    </w:r>
    <w:r>
      <w:rPr>
        <w:rFonts w:cs="Arial"/>
        <w:szCs w:val="18"/>
      </w:rPr>
      <w:instrText xml:space="preserve"> PAGE </w:instrText>
    </w:r>
    <w:r>
      <w:rPr>
        <w:rFonts w:cs="Arial"/>
        <w:szCs w:val="18"/>
      </w:rPr>
      <w:fldChar w:fldCharType="separate"/>
    </w:r>
    <w:r>
      <w:rPr>
        <w:rFonts w:cs="Arial"/>
        <w:szCs w:val="18"/>
      </w:rPr>
      <w:t>7</w:t>
    </w:r>
    <w:r>
      <w:rPr>
        <w:rFonts w:cs="Arial"/>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5E8C" w:rsidRDefault="00A162A3">
    <w:pPr>
      <w:pStyle w:val="Footer"/>
      <w:jc w:val="center"/>
    </w:pPr>
    <w:r>
      <w:rPr>
        <w:szCs w:val="18"/>
      </w:rPr>
      <w:fldChar w:fldCharType="begin"/>
    </w:r>
    <w:r>
      <w:rPr>
        <w:szCs w:val="18"/>
      </w:rPr>
      <w:instrText xml:space="preserve"> PAGE </w:instrText>
    </w:r>
    <w:r>
      <w:rPr>
        <w:szCs w:val="18"/>
      </w:rPr>
      <w:fldChar w:fldCharType="separate"/>
    </w:r>
    <w:r>
      <w:rPr>
        <w:szCs w:val="18"/>
      </w:rPr>
      <w:t>2</w:t>
    </w:r>
    <w:r>
      <w:rPr>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5E8C" w:rsidRDefault="00A162A3">
    <w:pPr>
      <w:pStyle w:val="Footer"/>
      <w:ind w:right="-367"/>
      <w:jc w:val="center"/>
    </w:pPr>
    <w:r>
      <w:rPr>
        <w:rFonts w:cs="Arial"/>
        <w:szCs w:val="18"/>
      </w:rPr>
      <w:fldChar w:fldCharType="begin"/>
    </w:r>
    <w:r>
      <w:rPr>
        <w:rFonts w:cs="Arial"/>
        <w:szCs w:val="18"/>
      </w:rPr>
      <w:instrText xml:space="preserve"> PAGE </w:instrText>
    </w:r>
    <w:r>
      <w:rPr>
        <w:rFonts w:cs="Arial"/>
        <w:szCs w:val="18"/>
      </w:rPr>
      <w:fldChar w:fldCharType="separate"/>
    </w:r>
    <w:r>
      <w:rPr>
        <w:rFonts w:cs="Arial"/>
        <w:szCs w:val="18"/>
      </w:rPr>
      <w:t>7</w:t>
    </w:r>
    <w:r>
      <w:rPr>
        <w:rFonts w:cs="Arial"/>
        <w:szCs w:val="1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5E8C" w:rsidRDefault="00A162A3">
    <w:pPr>
      <w:pStyle w:val="Footer"/>
      <w:jc w:val="center"/>
    </w:pPr>
    <w:r>
      <w:rPr>
        <w:szCs w:val="18"/>
      </w:rPr>
      <w:fldChar w:fldCharType="begin"/>
    </w:r>
    <w:r>
      <w:rPr>
        <w:szCs w:val="18"/>
      </w:rPr>
      <w:instrText xml:space="preserve"> PAGE </w:instrText>
    </w:r>
    <w:r>
      <w:rPr>
        <w:szCs w:val="18"/>
      </w:rPr>
      <w:fldChar w:fldCharType="separate"/>
    </w:r>
    <w:r>
      <w:rPr>
        <w:szCs w:val="18"/>
      </w:rPr>
      <w:t>2</w:t>
    </w:r>
    <w:r>
      <w:rPr>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12AD6" w:rsidRDefault="00EC3E83">
      <w:pPr>
        <w:spacing w:after="0"/>
      </w:pPr>
      <w:r>
        <w:rPr>
          <w:color w:val="000000"/>
        </w:rPr>
        <w:separator/>
      </w:r>
    </w:p>
  </w:footnote>
  <w:footnote w:type="continuationSeparator" w:id="0">
    <w:p w:rsidR="00812AD6" w:rsidRDefault="00EC3E8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76C3" w:rsidRPr="00267CB3" w:rsidRDefault="008C76C3" w:rsidP="008C76C3">
    <w:pPr>
      <w:widowControl w:val="0"/>
      <w:pBdr>
        <w:bottom w:val="single" w:sz="4" w:space="1" w:color="auto"/>
      </w:pBdr>
      <w:tabs>
        <w:tab w:val="left" w:pos="5040"/>
        <w:tab w:val="left" w:pos="5760"/>
        <w:tab w:val="left" w:pos="6008"/>
        <w:tab w:val="left" w:pos="6480"/>
        <w:tab w:val="left" w:pos="7200"/>
        <w:tab w:val="left" w:pos="7920"/>
        <w:tab w:val="left" w:pos="8640"/>
      </w:tabs>
      <w:autoSpaceDE w:val="0"/>
      <w:spacing w:after="0"/>
      <w:rPr>
        <w:rFonts w:eastAsia="Arial" w:cs="Arial"/>
        <w:i/>
        <w:sz w:val="18"/>
        <w:szCs w:val="18"/>
        <w:lang w:val="fr-FR"/>
      </w:rPr>
    </w:pPr>
    <w:r w:rsidRPr="00267CB3">
      <w:rPr>
        <w:rFonts w:eastAsia="Arial" w:cs="Arial"/>
        <w:i/>
        <w:sz w:val="18"/>
        <w:szCs w:val="18"/>
        <w:lang w:val="fr-FR"/>
      </w:rPr>
      <w:t>UNEP/CMS/COP13/Doc.28.2.9</w:t>
    </w:r>
  </w:p>
  <w:p w:rsidR="008C76C3" w:rsidRDefault="008C76C3">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5E8C" w:rsidRDefault="00A162A3">
    <w:pPr>
      <w:pStyle w:val="Header"/>
      <w:pBdr>
        <w:bottom w:val="single" w:sz="4" w:space="1" w:color="000000"/>
      </w:pBdr>
      <w:jc w:val="right"/>
    </w:pPr>
    <w:r>
      <w:rPr>
        <w:rFonts w:cs="Arial"/>
        <w:i/>
        <w:szCs w:val="18"/>
        <w:lang w:val="de-DE"/>
      </w:rPr>
      <w:t>UNEP/CMS/COP13/Doc.</w:t>
    </w:r>
    <w:r>
      <w:rPr>
        <w:rFonts w:cs="Arial"/>
        <w:i/>
        <w:szCs w:val="18"/>
        <w:lang w:val="de-DE"/>
      </w:rPr>
      <w:t>28.2.</w:t>
    </w:r>
    <w:r>
      <w:rPr>
        <w:rFonts w:cs="Arial"/>
        <w:i/>
        <w:szCs w:val="18"/>
        <w:lang w:val="de-DE"/>
      </w:rPr>
      <w:t>9</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5E8C" w:rsidRDefault="00A162A3" w:rsidP="004C5772">
    <w:pPr>
      <w:pStyle w:val="Header"/>
      <w:pBdr>
        <w:bottom w:val="single" w:sz="4" w:space="1" w:color="000000"/>
      </w:pBdr>
      <w:jc w:val="right"/>
    </w:pPr>
    <w:r>
      <w:rPr>
        <w:rFonts w:cs="Arial"/>
        <w:i/>
        <w:szCs w:val="18"/>
        <w:lang w:val="de-DE"/>
      </w:rPr>
      <w:t>UNEP/CMS/COP13/Doc.</w:t>
    </w:r>
    <w:r>
      <w:rPr>
        <w:rFonts w:cs="Arial"/>
        <w:i/>
        <w:szCs w:val="18"/>
        <w:lang w:val="de-DE"/>
      </w:rPr>
      <w:t>28.2.9</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2AAF" w:rsidRDefault="00EC3E83">
    <w:pPr>
      <w:pStyle w:val="Heading1"/>
      <w:keepNext w:val="0"/>
      <w:pBdr>
        <w:bottom w:val="single" w:sz="4" w:space="1" w:color="000000"/>
      </w:pBdr>
      <w:tabs>
        <w:tab w:val="clear" w:pos="-720"/>
      </w:tabs>
      <w:ind w:left="261" w:right="-277" w:hanging="261"/>
      <w:jc w:val="right"/>
    </w:pPr>
    <w:r>
      <w:rPr>
        <w:rFonts w:eastAsia="Arial" w:cs="Arial"/>
        <w:b w:val="0"/>
        <w:i/>
        <w:iCs/>
        <w:sz w:val="18"/>
        <w:szCs w:val="18"/>
        <w:lang w:val="fr-FR"/>
      </w:rPr>
      <w:t>UNEP/CMS/COP12/Doc14.1</w:t>
    </w:r>
  </w:p>
  <w:p w:rsidR="00E82AAF" w:rsidRDefault="00A162A3">
    <w:pPr>
      <w:jc w:val="right"/>
      <w:rPr>
        <w:i/>
        <w:szCs w:val="20"/>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82AAF" w:rsidRDefault="00EC3E83">
    <w:pPr>
      <w:pStyle w:val="Header"/>
      <w:ind w:right="-547"/>
      <w:jc w:val="right"/>
    </w:pPr>
    <w:r>
      <w:rPr>
        <w:noProof/>
        <w:lang w:val="en-US"/>
      </w:rPr>
      <w:drawing>
        <wp:anchor distT="0" distB="0" distL="114300" distR="114300" simplePos="0" relativeHeight="251659264" behindDoc="0" locked="0" layoutInCell="1" allowOverlap="1">
          <wp:simplePos x="0" y="0"/>
          <wp:positionH relativeFrom="column">
            <wp:posOffset>875666</wp:posOffset>
          </wp:positionH>
          <wp:positionV relativeFrom="paragraph">
            <wp:posOffset>1901</wp:posOffset>
          </wp:positionV>
          <wp:extent cx="431167" cy="440685"/>
          <wp:effectExtent l="0" t="0" r="6983" b="0"/>
          <wp:wrapTight wrapText="bothSides">
            <wp:wrapPolygon edited="0">
              <wp:start x="0" y="0"/>
              <wp:lineTo x="0" y="20542"/>
              <wp:lineTo x="20995" y="20542"/>
              <wp:lineTo x="20995" y="0"/>
              <wp:lineTo x="0" y="0"/>
            </wp:wrapPolygon>
          </wp:wrapTight>
          <wp:docPr id="1"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2780" t="-1236" r="60236" b="48836"/>
                  <a:stretch>
                    <a:fillRect/>
                  </a:stretch>
                </pic:blipFill>
                <pic:spPr>
                  <a:xfrm>
                    <a:off x="0" y="0"/>
                    <a:ext cx="431167" cy="440685"/>
                  </a:xfrm>
                  <a:prstGeom prst="rect">
                    <a:avLst/>
                  </a:prstGeom>
                  <a:noFill/>
                  <a:ln>
                    <a:noFill/>
                    <a:prstDash/>
                  </a:ln>
                </pic:spPr>
              </pic:pic>
            </a:graphicData>
          </a:graphic>
        </wp:anchor>
      </w:drawing>
    </w:r>
    <w:r>
      <w:rPr>
        <w:noProof/>
        <w:sz w:val="4"/>
        <w:szCs w:val="4"/>
      </w:rPr>
      <w:drawing>
        <wp:anchor distT="0" distB="0" distL="114300" distR="114300" simplePos="0" relativeHeight="251661312" behindDoc="0" locked="0" layoutInCell="1" allowOverlap="1">
          <wp:simplePos x="0" y="0"/>
          <wp:positionH relativeFrom="column">
            <wp:posOffset>5571494</wp:posOffset>
          </wp:positionH>
          <wp:positionV relativeFrom="paragraph">
            <wp:posOffset>161291</wp:posOffset>
          </wp:positionV>
          <wp:extent cx="590546" cy="278133"/>
          <wp:effectExtent l="0" t="0" r="4" b="7617"/>
          <wp:wrapTight wrapText="bothSides">
            <wp:wrapPolygon edited="0">
              <wp:start x="0" y="0"/>
              <wp:lineTo x="0" y="20712"/>
              <wp:lineTo x="20903" y="20712"/>
              <wp:lineTo x="20903" y="0"/>
              <wp:lineTo x="0" y="0"/>
            </wp:wrapPolygon>
          </wp:wrapTight>
          <wp:docPr id="2"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rcRect/>
                  <a:stretch>
                    <a:fillRect/>
                  </a:stretch>
                </pic:blipFill>
                <pic:spPr>
                  <a:xfrm>
                    <a:off x="0" y="0"/>
                    <a:ext cx="590546" cy="278133"/>
                  </a:xfrm>
                  <a:prstGeom prst="rect">
                    <a:avLst/>
                  </a:prstGeom>
                  <a:noFill/>
                  <a:ln>
                    <a:noFill/>
                    <a:prstDash/>
                  </a:ln>
                </pic:spPr>
              </pic:pic>
            </a:graphicData>
          </a:graphic>
        </wp:anchor>
      </w:drawing>
    </w:r>
    <w:r>
      <w:rPr>
        <w:noProof/>
        <w:lang w:val="en-US"/>
      </w:rPr>
      <w:drawing>
        <wp:anchor distT="0" distB="0" distL="114300" distR="114300" simplePos="0" relativeHeight="251660288" behindDoc="0" locked="0" layoutInCell="1" allowOverlap="1">
          <wp:simplePos x="0" y="0"/>
          <wp:positionH relativeFrom="column">
            <wp:posOffset>-67308</wp:posOffset>
          </wp:positionH>
          <wp:positionV relativeFrom="paragraph">
            <wp:posOffset>5084</wp:posOffset>
          </wp:positionV>
          <wp:extent cx="945517" cy="510536"/>
          <wp:effectExtent l="0" t="0" r="0" b="0"/>
          <wp:wrapTight wrapText="bothSides">
            <wp:wrapPolygon edited="0">
              <wp:start x="2176" y="2418"/>
              <wp:lineTo x="1306" y="14508"/>
              <wp:lineTo x="1306" y="18537"/>
              <wp:lineTo x="20019" y="18537"/>
              <wp:lineTo x="19584" y="5642"/>
              <wp:lineTo x="19148" y="2418"/>
              <wp:lineTo x="2176" y="2418"/>
            </wp:wrapPolygon>
          </wp:wrapTight>
          <wp:docPr id="3" name="Picture 18" descr="UNEnvironment_Logo_French_Short_black"/>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a:fillRect/>
                  </a:stretch>
                </pic:blipFill>
                <pic:spPr>
                  <a:xfrm>
                    <a:off x="0" y="0"/>
                    <a:ext cx="945517" cy="510536"/>
                  </a:xfrm>
                  <a:prstGeom prst="rect">
                    <a:avLst/>
                  </a:prstGeom>
                  <a:noFill/>
                  <a:ln>
                    <a:noFill/>
                    <a:prstDash/>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1CA7" w:rsidRPr="00267CB3" w:rsidRDefault="00267CB3" w:rsidP="00267CB3">
    <w:pPr>
      <w:widowControl w:val="0"/>
      <w:pBdr>
        <w:bottom w:val="single" w:sz="4" w:space="1" w:color="auto"/>
      </w:pBdr>
      <w:tabs>
        <w:tab w:val="left" w:pos="5040"/>
        <w:tab w:val="left" w:pos="5760"/>
        <w:tab w:val="left" w:pos="6008"/>
        <w:tab w:val="left" w:pos="6480"/>
        <w:tab w:val="left" w:pos="7200"/>
        <w:tab w:val="left" w:pos="7920"/>
        <w:tab w:val="left" w:pos="8640"/>
      </w:tabs>
      <w:autoSpaceDE w:val="0"/>
      <w:spacing w:after="0"/>
      <w:jc w:val="right"/>
      <w:rPr>
        <w:rFonts w:eastAsia="Arial" w:cs="Arial"/>
        <w:i/>
        <w:sz w:val="18"/>
        <w:szCs w:val="18"/>
        <w:lang w:val="fr-FR"/>
      </w:rPr>
    </w:pPr>
    <w:r w:rsidRPr="00267CB3">
      <w:rPr>
        <w:rFonts w:eastAsia="Arial" w:cs="Arial"/>
        <w:i/>
        <w:sz w:val="18"/>
        <w:szCs w:val="18"/>
        <w:lang w:val="fr-FR"/>
      </w:rPr>
      <w:t>UNEP/CMS/COP13/Doc.28.2.9</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7CB3" w:rsidRPr="00267CB3" w:rsidRDefault="00267CB3" w:rsidP="00267CB3">
    <w:pPr>
      <w:widowControl w:val="0"/>
      <w:pBdr>
        <w:bottom w:val="single" w:sz="4" w:space="1" w:color="auto"/>
      </w:pBdr>
      <w:tabs>
        <w:tab w:val="left" w:pos="5040"/>
        <w:tab w:val="left" w:pos="5760"/>
        <w:tab w:val="left" w:pos="6008"/>
        <w:tab w:val="left" w:pos="6480"/>
        <w:tab w:val="left" w:pos="7200"/>
        <w:tab w:val="left" w:pos="7920"/>
        <w:tab w:val="left" w:pos="8640"/>
      </w:tabs>
      <w:autoSpaceDE w:val="0"/>
      <w:spacing w:after="0"/>
      <w:rPr>
        <w:rFonts w:eastAsia="Arial" w:cs="Arial"/>
        <w:i/>
        <w:sz w:val="18"/>
        <w:szCs w:val="18"/>
        <w:lang w:val="fr-FR"/>
      </w:rPr>
    </w:pPr>
    <w:r w:rsidRPr="00267CB3">
      <w:rPr>
        <w:rFonts w:eastAsia="Arial" w:cs="Arial"/>
        <w:i/>
        <w:sz w:val="18"/>
        <w:szCs w:val="18"/>
        <w:lang w:val="fr-FR"/>
      </w:rPr>
      <w:t>UNEP/CMS/COP13/Doc.28.2.9</w:t>
    </w:r>
  </w:p>
  <w:p w:rsidR="006B1CA7" w:rsidRPr="006B1CA7" w:rsidRDefault="006B1CA7" w:rsidP="006B1CA7">
    <w:pPr>
      <w:pStyle w:val="Header"/>
      <w:rPr>
        <w:rFonts w:eastAsia="Arial"/>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76C3" w:rsidRPr="00267CB3" w:rsidRDefault="008C76C3" w:rsidP="008C76C3">
    <w:pPr>
      <w:widowControl w:val="0"/>
      <w:pBdr>
        <w:bottom w:val="single" w:sz="4" w:space="1" w:color="auto"/>
      </w:pBdr>
      <w:tabs>
        <w:tab w:val="left" w:pos="5040"/>
        <w:tab w:val="left" w:pos="5760"/>
        <w:tab w:val="left" w:pos="6008"/>
        <w:tab w:val="left" w:pos="6480"/>
        <w:tab w:val="left" w:pos="7200"/>
        <w:tab w:val="left" w:pos="7920"/>
        <w:tab w:val="left" w:pos="8640"/>
      </w:tabs>
      <w:autoSpaceDE w:val="0"/>
      <w:spacing w:after="0"/>
      <w:jc w:val="right"/>
      <w:rPr>
        <w:rFonts w:eastAsia="Arial" w:cs="Arial"/>
        <w:i/>
        <w:sz w:val="18"/>
        <w:szCs w:val="18"/>
        <w:lang w:val="fr-FR"/>
      </w:rPr>
    </w:pPr>
    <w:r w:rsidRPr="00267CB3">
      <w:rPr>
        <w:rFonts w:eastAsia="Arial" w:cs="Arial"/>
        <w:i/>
        <w:sz w:val="18"/>
        <w:szCs w:val="18"/>
        <w:lang w:val="fr-FR"/>
      </w:rPr>
      <w:t>UNEP/CMS/COP13/Doc.28.2.9</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162A3" w:rsidRPr="00267CB3" w:rsidRDefault="00A162A3" w:rsidP="00A162A3">
    <w:pPr>
      <w:widowControl w:val="0"/>
      <w:pBdr>
        <w:bottom w:val="single" w:sz="4" w:space="1" w:color="auto"/>
      </w:pBdr>
      <w:tabs>
        <w:tab w:val="left" w:pos="5040"/>
        <w:tab w:val="left" w:pos="5760"/>
        <w:tab w:val="left" w:pos="6008"/>
        <w:tab w:val="left" w:pos="6480"/>
        <w:tab w:val="left" w:pos="7200"/>
        <w:tab w:val="left" w:pos="7920"/>
        <w:tab w:val="left" w:pos="8640"/>
      </w:tabs>
      <w:autoSpaceDE w:val="0"/>
      <w:spacing w:after="0"/>
      <w:jc w:val="right"/>
      <w:rPr>
        <w:rFonts w:eastAsia="Arial" w:cs="Arial"/>
        <w:i/>
        <w:sz w:val="18"/>
        <w:szCs w:val="18"/>
        <w:lang w:val="fr-FR"/>
      </w:rPr>
    </w:pPr>
    <w:r w:rsidRPr="00267CB3">
      <w:rPr>
        <w:rFonts w:eastAsia="Arial" w:cs="Arial"/>
        <w:i/>
        <w:sz w:val="18"/>
        <w:szCs w:val="18"/>
        <w:lang w:val="fr-FR"/>
      </w:rPr>
      <w:t>UNEP/CMS/COP13/Doc.28.2.9</w:t>
    </w:r>
  </w:p>
  <w:p w:rsidR="00A162A3" w:rsidRPr="006B1CA7" w:rsidRDefault="00A162A3" w:rsidP="006B1CA7">
    <w:pPr>
      <w:pStyle w:val="Header"/>
      <w:rPr>
        <w:rFonts w:eastAsia="Arial"/>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5E8C" w:rsidRDefault="00A162A3">
    <w:pPr>
      <w:pStyle w:val="Header"/>
      <w:pBdr>
        <w:bottom w:val="single" w:sz="4" w:space="1" w:color="000000"/>
      </w:pBdr>
      <w:jc w:val="right"/>
    </w:pPr>
    <w:r>
      <w:rPr>
        <w:i/>
        <w:szCs w:val="18"/>
      </w:rPr>
      <w:t>UNEP/CMS/COP13/Doc.[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76C3" w:rsidRPr="00267CB3" w:rsidRDefault="008C76C3" w:rsidP="008C76C3">
    <w:pPr>
      <w:widowControl w:val="0"/>
      <w:pBdr>
        <w:bottom w:val="single" w:sz="4" w:space="1" w:color="auto"/>
      </w:pBdr>
      <w:tabs>
        <w:tab w:val="left" w:pos="5040"/>
        <w:tab w:val="left" w:pos="5760"/>
        <w:tab w:val="left" w:pos="6008"/>
        <w:tab w:val="left" w:pos="6480"/>
        <w:tab w:val="left" w:pos="7200"/>
        <w:tab w:val="left" w:pos="7920"/>
        <w:tab w:val="left" w:pos="8640"/>
      </w:tabs>
      <w:autoSpaceDE w:val="0"/>
      <w:spacing w:after="0"/>
      <w:jc w:val="right"/>
      <w:rPr>
        <w:rFonts w:eastAsia="Arial" w:cs="Arial"/>
        <w:i/>
        <w:sz w:val="18"/>
        <w:szCs w:val="18"/>
        <w:lang w:val="fr-FR"/>
      </w:rPr>
    </w:pPr>
    <w:r w:rsidRPr="00267CB3">
      <w:rPr>
        <w:rFonts w:eastAsia="Arial" w:cs="Arial"/>
        <w:i/>
        <w:sz w:val="18"/>
        <w:szCs w:val="18"/>
        <w:lang w:val="fr-FR"/>
      </w:rPr>
      <w:t>UNEP/CMS/COP13/Doc.28.2.9</w:t>
    </w:r>
  </w:p>
  <w:p w:rsidR="00BA5E8C" w:rsidRPr="008C76C3" w:rsidRDefault="00A162A3" w:rsidP="008C76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757BA8"/>
    <w:multiLevelType w:val="multilevel"/>
    <w:tmpl w:val="7B201EC6"/>
    <w:styleLink w:val="WWOutlineListStyle"/>
    <w:lvl w:ilvl="0">
      <w:start w:val="1456521968"/>
      <w:numFmt w:val="decimal"/>
      <w:lvlText w:val="%1."/>
      <w:lvlJc w:val="left"/>
      <w:rPr>
        <w:rFonts w:cs="Times New Roman"/>
      </w:rPr>
    </w:lvl>
    <w:lvl w:ilvl="1">
      <w:start w:val="1456523648"/>
      <w:numFmt w:val="decimal"/>
      <w:lvlText w:val="(%1.%2"/>
      <w:lvlJc w:val="left"/>
      <w:rPr>
        <w:rFonts w:cs="Times New Roman"/>
      </w:rPr>
    </w:lvl>
    <w:lvl w:ilvl="2">
      <w:start w:val="1456520768"/>
      <w:numFmt w:val="decimal"/>
      <w:lvlText w:val="(%1.%2.%3"/>
      <w:lvlJc w:val="left"/>
      <w:rPr>
        <w:rFonts w:cs="Times New Roman"/>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 w15:restartNumberingAfterBreak="0">
    <w:nsid w:val="19D5443F"/>
    <w:multiLevelType w:val="multilevel"/>
    <w:tmpl w:val="D8001428"/>
    <w:styleLink w:val="WWOutlineListStyle2"/>
    <w:lvl w:ilvl="0">
      <w:start w:val="1456521968"/>
      <w:numFmt w:val="decimal"/>
      <w:lvlText w:val="%1."/>
      <w:lvlJc w:val="left"/>
      <w:rPr>
        <w:rFonts w:cs="Times New Roman"/>
      </w:rPr>
    </w:lvl>
    <w:lvl w:ilvl="1">
      <w:start w:val="1456523648"/>
      <w:numFmt w:val="decimal"/>
      <w:lvlText w:val="(%1.%2"/>
      <w:lvlJc w:val="left"/>
      <w:rPr>
        <w:rFonts w:cs="Times New Roman"/>
      </w:rPr>
    </w:lvl>
    <w:lvl w:ilvl="2">
      <w:start w:val="1456520768"/>
      <w:numFmt w:val="decimal"/>
      <w:lvlText w:val="(%1.%2.%3"/>
      <w:lvlJc w:val="left"/>
      <w:rPr>
        <w:rFonts w:cs="Times New Roman"/>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 w15:restartNumberingAfterBreak="0">
    <w:nsid w:val="258E782C"/>
    <w:multiLevelType w:val="multilevel"/>
    <w:tmpl w:val="13283A3E"/>
    <w:lvl w:ilvl="0">
      <w:start w:val="1"/>
      <w:numFmt w:val="lowerRoman"/>
      <w:lvlText w:val="(%1)."/>
      <w:lvlJc w:val="left"/>
      <w:pPr>
        <w:ind w:left="720" w:hanging="360"/>
      </w:pPr>
      <w:rPr>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6013ABC"/>
    <w:multiLevelType w:val="multilevel"/>
    <w:tmpl w:val="017E78E0"/>
    <w:styleLink w:val="WWOutlineListStyle7"/>
    <w:lvl w:ilvl="0">
      <w:start w:val="1456521968"/>
      <w:numFmt w:val="decimal"/>
      <w:lvlText w:val="%1."/>
      <w:lvlJc w:val="left"/>
      <w:rPr>
        <w:rFonts w:cs="Times New Roman"/>
      </w:rPr>
    </w:lvl>
    <w:lvl w:ilvl="1">
      <w:start w:val="1456523648"/>
      <w:numFmt w:val="decimal"/>
      <w:lvlText w:val="(%1.%2"/>
      <w:lvlJc w:val="left"/>
      <w:rPr>
        <w:rFonts w:cs="Times New Roman"/>
      </w:rPr>
    </w:lvl>
    <w:lvl w:ilvl="2">
      <w:start w:val="1456520768"/>
      <w:numFmt w:val="decimal"/>
      <w:lvlText w:val="(%1.%2.%3"/>
      <w:lvlJc w:val="left"/>
      <w:rPr>
        <w:rFonts w:cs="Times New Roman"/>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 w15:restartNumberingAfterBreak="0">
    <w:nsid w:val="2BEF3E1B"/>
    <w:multiLevelType w:val="multilevel"/>
    <w:tmpl w:val="CAE44A34"/>
    <w:styleLink w:val="WWOutlineListStyle3"/>
    <w:lvl w:ilvl="0">
      <w:start w:val="1456521968"/>
      <w:numFmt w:val="decimal"/>
      <w:lvlText w:val="%1."/>
      <w:lvlJc w:val="left"/>
      <w:rPr>
        <w:rFonts w:cs="Times New Roman"/>
      </w:rPr>
    </w:lvl>
    <w:lvl w:ilvl="1">
      <w:start w:val="1456523648"/>
      <w:numFmt w:val="decimal"/>
      <w:lvlText w:val="(%1.%2"/>
      <w:lvlJc w:val="left"/>
      <w:rPr>
        <w:rFonts w:cs="Times New Roman"/>
      </w:rPr>
    </w:lvl>
    <w:lvl w:ilvl="2">
      <w:start w:val="1456520768"/>
      <w:numFmt w:val="decimal"/>
      <w:lvlText w:val="(%1.%2.%3"/>
      <w:lvlJc w:val="left"/>
      <w:rPr>
        <w:rFonts w:cs="Times New Roman"/>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 w15:restartNumberingAfterBreak="0">
    <w:nsid w:val="332428A9"/>
    <w:multiLevelType w:val="multilevel"/>
    <w:tmpl w:val="46741BAA"/>
    <w:styleLink w:val="WWOutlineListStyle9"/>
    <w:lvl w:ilvl="0">
      <w:start w:val="1456521968"/>
      <w:numFmt w:val="decimal"/>
      <w:pStyle w:val="Level1"/>
      <w:lvlText w:val="%1."/>
      <w:lvlJc w:val="left"/>
      <w:rPr>
        <w:rFonts w:cs="Times New Roman"/>
      </w:rPr>
    </w:lvl>
    <w:lvl w:ilvl="1">
      <w:start w:val="1456523648"/>
      <w:numFmt w:val="decimal"/>
      <w:pStyle w:val="Level2"/>
      <w:lvlText w:val="(%1.%2"/>
      <w:lvlJc w:val="left"/>
      <w:rPr>
        <w:rFonts w:cs="Times New Roman"/>
      </w:rPr>
    </w:lvl>
    <w:lvl w:ilvl="2">
      <w:start w:val="1456520768"/>
      <w:numFmt w:val="decimal"/>
      <w:pStyle w:val="Level3"/>
      <w:lvlText w:val="(%1.%2.%3"/>
      <w:lvlJc w:val="left"/>
      <w:rPr>
        <w:rFonts w:cs="Times New Roman"/>
      </w:rPr>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 w15:restartNumberingAfterBreak="0">
    <w:nsid w:val="409E298A"/>
    <w:multiLevelType w:val="multilevel"/>
    <w:tmpl w:val="86725094"/>
    <w:styleLink w:val="WWOutlineListStyle5"/>
    <w:lvl w:ilvl="0">
      <w:start w:val="1456521968"/>
      <w:numFmt w:val="decimal"/>
      <w:lvlText w:val="%1."/>
      <w:lvlJc w:val="left"/>
      <w:rPr>
        <w:rFonts w:cs="Times New Roman"/>
      </w:rPr>
    </w:lvl>
    <w:lvl w:ilvl="1">
      <w:start w:val="1456523648"/>
      <w:numFmt w:val="decimal"/>
      <w:lvlText w:val="(%1.%2"/>
      <w:lvlJc w:val="left"/>
      <w:rPr>
        <w:rFonts w:cs="Times New Roman"/>
      </w:rPr>
    </w:lvl>
    <w:lvl w:ilvl="2">
      <w:start w:val="1456520768"/>
      <w:numFmt w:val="decimal"/>
      <w:lvlText w:val="(%1.%2.%3"/>
      <w:lvlJc w:val="left"/>
      <w:rPr>
        <w:rFonts w:cs="Times New Roman"/>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 w15:restartNumberingAfterBreak="0">
    <w:nsid w:val="4D700574"/>
    <w:multiLevelType w:val="hybridMultilevel"/>
    <w:tmpl w:val="B86ED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C880982"/>
    <w:multiLevelType w:val="multilevel"/>
    <w:tmpl w:val="D0D2B180"/>
    <w:styleLink w:val="WWOutlineListStyle1"/>
    <w:lvl w:ilvl="0">
      <w:start w:val="1456521968"/>
      <w:numFmt w:val="decimal"/>
      <w:lvlText w:val="%1."/>
      <w:lvlJc w:val="left"/>
      <w:rPr>
        <w:rFonts w:cs="Times New Roman"/>
      </w:rPr>
    </w:lvl>
    <w:lvl w:ilvl="1">
      <w:start w:val="1456523648"/>
      <w:numFmt w:val="decimal"/>
      <w:lvlText w:val="(%1.%2"/>
      <w:lvlJc w:val="left"/>
      <w:rPr>
        <w:rFonts w:cs="Times New Roman"/>
      </w:rPr>
    </w:lvl>
    <w:lvl w:ilvl="2">
      <w:start w:val="1456520768"/>
      <w:numFmt w:val="decimal"/>
      <w:lvlText w:val="(%1.%2.%3"/>
      <w:lvlJc w:val="left"/>
      <w:rPr>
        <w:rFonts w:cs="Times New Roman"/>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9" w15:restartNumberingAfterBreak="0">
    <w:nsid w:val="5E1F245F"/>
    <w:multiLevelType w:val="multilevel"/>
    <w:tmpl w:val="F9A6174E"/>
    <w:styleLink w:val="WWOutlineListStyle4"/>
    <w:lvl w:ilvl="0">
      <w:start w:val="1456521968"/>
      <w:numFmt w:val="decimal"/>
      <w:lvlText w:val="%1."/>
      <w:lvlJc w:val="left"/>
      <w:rPr>
        <w:rFonts w:cs="Times New Roman"/>
      </w:rPr>
    </w:lvl>
    <w:lvl w:ilvl="1">
      <w:start w:val="1456523648"/>
      <w:numFmt w:val="decimal"/>
      <w:lvlText w:val="(%1.%2"/>
      <w:lvlJc w:val="left"/>
      <w:rPr>
        <w:rFonts w:cs="Times New Roman"/>
      </w:rPr>
    </w:lvl>
    <w:lvl w:ilvl="2">
      <w:start w:val="1456520768"/>
      <w:numFmt w:val="decimal"/>
      <w:lvlText w:val="(%1.%2.%3"/>
      <w:lvlJc w:val="left"/>
      <w:rPr>
        <w:rFonts w:cs="Times New Roman"/>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 w15:restartNumberingAfterBreak="0">
    <w:nsid w:val="60085390"/>
    <w:multiLevelType w:val="multilevel"/>
    <w:tmpl w:val="151A07F4"/>
    <w:styleLink w:val="WWOutlineListStyle6"/>
    <w:lvl w:ilvl="0">
      <w:start w:val="1456521968"/>
      <w:numFmt w:val="decimal"/>
      <w:lvlText w:val="%1."/>
      <w:lvlJc w:val="left"/>
      <w:rPr>
        <w:rFonts w:cs="Times New Roman"/>
      </w:rPr>
    </w:lvl>
    <w:lvl w:ilvl="1">
      <w:start w:val="1456523648"/>
      <w:numFmt w:val="decimal"/>
      <w:lvlText w:val="(%1.%2"/>
      <w:lvlJc w:val="left"/>
      <w:rPr>
        <w:rFonts w:cs="Times New Roman"/>
      </w:rPr>
    </w:lvl>
    <w:lvl w:ilvl="2">
      <w:start w:val="1456520768"/>
      <w:numFmt w:val="decimal"/>
      <w:lvlText w:val="(%1.%2.%3"/>
      <w:lvlJc w:val="left"/>
      <w:rPr>
        <w:rFonts w:cs="Times New Roman"/>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 w15:restartNumberingAfterBreak="0">
    <w:nsid w:val="687E7CDE"/>
    <w:multiLevelType w:val="multilevel"/>
    <w:tmpl w:val="6B5ABC5A"/>
    <w:styleLink w:val="WWOutlineListStyle8"/>
    <w:lvl w:ilvl="0">
      <w:start w:val="1456521968"/>
      <w:numFmt w:val="decimal"/>
      <w:lvlText w:val="%1."/>
      <w:lvlJc w:val="left"/>
      <w:rPr>
        <w:rFonts w:cs="Times New Roman"/>
      </w:rPr>
    </w:lvl>
    <w:lvl w:ilvl="1">
      <w:start w:val="1456523648"/>
      <w:numFmt w:val="decimal"/>
      <w:lvlText w:val="(%1.%2"/>
      <w:lvlJc w:val="left"/>
      <w:rPr>
        <w:rFonts w:cs="Times New Roman"/>
      </w:rPr>
    </w:lvl>
    <w:lvl w:ilvl="2">
      <w:start w:val="1456520768"/>
      <w:numFmt w:val="decimal"/>
      <w:lvlText w:val="(%1.%2.%3"/>
      <w:lvlJc w:val="left"/>
      <w:rPr>
        <w:rFonts w:cs="Times New Roman"/>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2" w15:restartNumberingAfterBreak="0">
    <w:nsid w:val="6D6F196F"/>
    <w:multiLevelType w:val="hybridMultilevel"/>
    <w:tmpl w:val="F1701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9324A74"/>
    <w:multiLevelType w:val="hybridMultilevel"/>
    <w:tmpl w:val="2D602EC6"/>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4" w15:restartNumberingAfterBreak="0">
    <w:nsid w:val="7C756C4A"/>
    <w:multiLevelType w:val="multilevel"/>
    <w:tmpl w:val="02F03134"/>
    <w:lvl w:ilvl="0">
      <w:start w:val="1"/>
      <w:numFmt w:val="lowerRoman"/>
      <w:lvlText w:val="(%1)."/>
      <w:lvlJc w:val="left"/>
      <w:pPr>
        <w:ind w:left="720" w:hanging="360"/>
      </w:pPr>
      <w:rPr>
        <w:color w:val="auto"/>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
  </w:num>
  <w:num w:numId="2">
    <w:abstractNumId w:val="11"/>
  </w:num>
  <w:num w:numId="3">
    <w:abstractNumId w:val="3"/>
  </w:num>
  <w:num w:numId="4">
    <w:abstractNumId w:val="10"/>
  </w:num>
  <w:num w:numId="5">
    <w:abstractNumId w:val="6"/>
  </w:num>
  <w:num w:numId="6">
    <w:abstractNumId w:val="9"/>
  </w:num>
  <w:num w:numId="7">
    <w:abstractNumId w:val="4"/>
  </w:num>
  <w:num w:numId="8">
    <w:abstractNumId w:val="1"/>
  </w:num>
  <w:num w:numId="9">
    <w:abstractNumId w:val="8"/>
  </w:num>
  <w:num w:numId="10">
    <w:abstractNumId w:val="0"/>
  </w:num>
  <w:num w:numId="11">
    <w:abstractNumId w:val="14"/>
  </w:num>
  <w:num w:numId="12">
    <w:abstractNumId w:val="2"/>
  </w:num>
  <w:num w:numId="13">
    <w:abstractNumId w:val="7"/>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autoHyphenation/>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739F"/>
    <w:rsid w:val="00081CF1"/>
    <w:rsid w:val="001056D5"/>
    <w:rsid w:val="001126E0"/>
    <w:rsid w:val="001F739F"/>
    <w:rsid w:val="00267CB3"/>
    <w:rsid w:val="006B1CA7"/>
    <w:rsid w:val="00803B8F"/>
    <w:rsid w:val="00812AD6"/>
    <w:rsid w:val="00846138"/>
    <w:rsid w:val="008C76C3"/>
    <w:rsid w:val="00A13B8C"/>
    <w:rsid w:val="00A162A3"/>
    <w:rsid w:val="00C5756A"/>
    <w:rsid w:val="00CF7BFF"/>
    <w:rsid w:val="00E16C9D"/>
    <w:rsid w:val="00E6765E"/>
    <w:rsid w:val="00EC3E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78592D"/>
  <w15:docId w15:val="{1F8F88D3-7C14-4E28-8F5B-ACFF08D7E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sz w:val="22"/>
        <w:szCs w:val="22"/>
        <w:lang w:val="en-US" w:eastAsia="en-US" w:bidi="ar-SA"/>
      </w:rPr>
    </w:rPrDefault>
    <w:pPrDefault>
      <w:pPr>
        <w:autoSpaceDN w:val="0"/>
        <w:spacing w:after="16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pPr>
  </w:style>
  <w:style w:type="paragraph" w:styleId="Heading1">
    <w:name w:val="heading 1"/>
    <w:basedOn w:val="Normal"/>
    <w:next w:val="Normal"/>
    <w:uiPriority w:val="9"/>
    <w:qFormat/>
    <w:pPr>
      <w:keepNext/>
      <w:widowControl w:val="0"/>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autoSpaceDE w:val="0"/>
      <w:spacing w:after="0"/>
      <w:outlineLvl w:val="0"/>
    </w:pPr>
    <w:rPr>
      <w:rFonts w:eastAsia="Times New Roman"/>
      <w:b/>
      <w:bCs/>
      <w:sz w:val="34"/>
      <w:szCs w:val="36"/>
      <w:lang w:val="en-GB"/>
    </w:rPr>
  </w:style>
  <w:style w:type="paragraph" w:styleId="Heading2">
    <w:name w:val="heading 2"/>
    <w:basedOn w:val="Normal"/>
    <w:next w:val="Normal"/>
    <w:uiPriority w:val="9"/>
    <w:semiHidden/>
    <w:unhideWhenUsed/>
    <w:qFormat/>
    <w:pPr>
      <w:keepNext/>
      <w:widowControl w:val="0"/>
      <w:pBdr>
        <w:top w:val="single" w:sz="6" w:space="0" w:color="FFFFFF"/>
        <w:left w:val="single" w:sz="6" w:space="0" w:color="FFFFFF"/>
        <w:bottom w:val="single" w:sz="6" w:space="0" w:color="FFFFFF"/>
        <w:right w:val="single" w:sz="6" w:space="0" w:color="FFFFFF"/>
      </w:pBdr>
      <w:autoSpaceDE w:val="0"/>
      <w:spacing w:after="0"/>
      <w:outlineLvl w:val="1"/>
    </w:pPr>
    <w:rPr>
      <w:rFonts w:eastAsia="Times New Roman"/>
      <w:b/>
      <w:bCs/>
      <w:sz w:val="36"/>
      <w:szCs w:val="24"/>
    </w:rPr>
  </w:style>
  <w:style w:type="paragraph" w:styleId="Heading3">
    <w:name w:val="heading 3"/>
    <w:basedOn w:val="Normal"/>
    <w:next w:val="Normal"/>
    <w:uiPriority w:val="9"/>
    <w:semiHidden/>
    <w:unhideWhenUsed/>
    <w:qFormat/>
    <w:pPr>
      <w:keepNext/>
      <w:widowControl w:val="0"/>
      <w:tabs>
        <w:tab w:val="left" w:pos="-1057"/>
        <w:tab w:val="left" w:pos="-720"/>
        <w:tab w:val="left" w:pos="0"/>
        <w:tab w:val="left" w:pos="141"/>
        <w:tab w:val="left" w:pos="720"/>
        <w:tab w:val="left" w:pos="1440"/>
        <w:tab w:val="left" w:pos="2755"/>
        <w:tab w:val="left" w:pos="2880"/>
        <w:tab w:val="left" w:pos="3600"/>
        <w:tab w:val="left" w:pos="4320"/>
        <w:tab w:val="left" w:pos="5040"/>
        <w:tab w:val="left" w:pos="5760"/>
        <w:tab w:val="left" w:pos="6008"/>
        <w:tab w:val="left" w:pos="6480"/>
        <w:tab w:val="left" w:pos="7200"/>
        <w:tab w:val="left" w:pos="7920"/>
        <w:tab w:val="left" w:pos="8640"/>
      </w:tabs>
      <w:autoSpaceDE w:val="0"/>
      <w:spacing w:after="0"/>
      <w:ind w:right="-756"/>
      <w:outlineLvl w:val="2"/>
    </w:pPr>
    <w:rPr>
      <w:rFonts w:eastAsia="Times New Roman"/>
      <w:sz w:val="24"/>
      <w:szCs w:val="24"/>
      <w:lang w:val="en-GB"/>
    </w:rPr>
  </w:style>
  <w:style w:type="paragraph" w:styleId="Heading4">
    <w:name w:val="heading 4"/>
    <w:basedOn w:val="Normal"/>
    <w:next w:val="Normal"/>
    <w:uiPriority w:val="9"/>
    <w:semiHidden/>
    <w:unhideWhenUsed/>
    <w:qFormat/>
    <w:pPr>
      <w:keepNext/>
      <w:widowControl w:val="0"/>
      <w:autoSpaceDE w:val="0"/>
      <w:spacing w:after="0"/>
      <w:outlineLvl w:val="3"/>
    </w:pPr>
    <w:rPr>
      <w:rFonts w:eastAsia="Times New Roman"/>
      <w:b/>
      <w:bCs/>
      <w:sz w:val="18"/>
      <w:szCs w:val="20"/>
      <w:lang w:val="en-GB"/>
    </w:rPr>
  </w:style>
  <w:style w:type="paragraph" w:styleId="Heading5">
    <w:name w:val="heading 5"/>
    <w:basedOn w:val="Normal"/>
    <w:next w:val="Normal"/>
    <w:uiPriority w:val="9"/>
    <w:semiHidden/>
    <w:unhideWhenUsed/>
    <w:qFormat/>
    <w:pPr>
      <w:keepNext/>
      <w:widowControl w:val="0"/>
      <w:autoSpaceDE w:val="0"/>
      <w:spacing w:after="0"/>
      <w:jc w:val="both"/>
      <w:outlineLvl w:val="4"/>
    </w:pPr>
    <w:rPr>
      <w:rFonts w:eastAsia="Times New Roman"/>
      <w:b/>
      <w:i/>
      <w:iCs/>
      <w:szCs w:val="24"/>
      <w:u w:val="single"/>
      <w:lang w:val="en-GB"/>
    </w:rPr>
  </w:style>
  <w:style w:type="paragraph" w:styleId="Heading6">
    <w:name w:val="heading 6"/>
    <w:basedOn w:val="Normal"/>
    <w:next w:val="Normal"/>
    <w:uiPriority w:val="9"/>
    <w:semiHidden/>
    <w:unhideWhenUsed/>
    <w:qFormat/>
    <w:pPr>
      <w:keepNext/>
      <w:widowControl w:val="0"/>
      <w:autoSpaceDE w:val="0"/>
      <w:spacing w:after="0"/>
      <w:outlineLvl w:val="5"/>
    </w:pPr>
    <w:rPr>
      <w:rFonts w:eastAsia="Times New Roman"/>
      <w:i/>
      <w:iCs/>
      <w:sz w:val="23"/>
      <w:szCs w:val="23"/>
      <w:lang w:val="en-GB"/>
    </w:rPr>
  </w:style>
  <w:style w:type="paragraph" w:styleId="Heading7">
    <w:name w:val="heading 7"/>
    <w:basedOn w:val="Normal"/>
    <w:next w:val="Normal"/>
    <w:pPr>
      <w:keepNext/>
      <w:widowControl w:val="0"/>
      <w:autoSpaceDE w:val="0"/>
      <w:spacing w:after="0"/>
      <w:jc w:val="center"/>
      <w:outlineLvl w:val="6"/>
    </w:pPr>
    <w:rPr>
      <w:rFonts w:eastAsia="Times New Roman"/>
      <w:b/>
      <w:bCs/>
      <w:sz w:val="26"/>
      <w:szCs w:val="26"/>
      <w:lang w:val="en-GB"/>
    </w:rPr>
  </w:style>
  <w:style w:type="paragraph" w:styleId="Heading8">
    <w:name w:val="heading 8"/>
    <w:basedOn w:val="Normal"/>
    <w:next w:val="Normal"/>
    <w:pPr>
      <w:keepNext/>
      <w:widowControl w:val="0"/>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autoSpaceDE w:val="0"/>
      <w:spacing w:after="0"/>
      <w:ind w:right="-108"/>
      <w:outlineLvl w:val="7"/>
    </w:pPr>
    <w:rPr>
      <w:rFonts w:eastAsia="Times New Roman" w:cs="Arial"/>
      <w:sz w:val="24"/>
      <w:szCs w:val="24"/>
      <w:lang w:val="en-GB"/>
    </w:rPr>
  </w:style>
  <w:style w:type="paragraph" w:styleId="Heading9">
    <w:name w:val="heading 9"/>
    <w:basedOn w:val="Normal"/>
    <w:next w:val="Normal"/>
    <w:pPr>
      <w:keepNext/>
      <w:widowControl w:val="0"/>
      <w:tabs>
        <w:tab w:val="left" w:pos="-1057"/>
        <w:tab w:val="left" w:pos="-720"/>
        <w:tab w:val="left" w:pos="0"/>
        <w:tab w:val="left" w:pos="141"/>
        <w:tab w:val="left" w:pos="720"/>
        <w:tab w:val="left" w:pos="1440"/>
        <w:tab w:val="left" w:pos="2160"/>
        <w:tab w:val="left" w:pos="2880"/>
        <w:tab w:val="right" w:pos="5426"/>
      </w:tabs>
      <w:autoSpaceDE w:val="0"/>
      <w:spacing w:after="0" w:line="300" w:lineRule="atLeast"/>
      <w:outlineLvl w:val="8"/>
    </w:pPr>
    <w:rPr>
      <w:rFonts w:eastAsia="Times New Roman" w:cs="Arial"/>
      <w:b/>
      <w:bCs/>
      <w:sz w:val="32"/>
      <w:szCs w:val="36"/>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9">
    <w:name w:val="WW_OutlineListStyle_9"/>
    <w:basedOn w:val="NoList"/>
    <w:pPr>
      <w:numPr>
        <w:numId w:val="1"/>
      </w:numPr>
    </w:pPr>
  </w:style>
  <w:style w:type="paragraph" w:customStyle="1" w:styleId="Level1">
    <w:name w:val="Level 1"/>
    <w:basedOn w:val="Normal"/>
    <w:pPr>
      <w:widowControl w:val="0"/>
      <w:numPr>
        <w:numId w:val="1"/>
      </w:numPr>
      <w:autoSpaceDE w:val="0"/>
      <w:spacing w:after="0"/>
      <w:outlineLvl w:val="0"/>
    </w:pPr>
    <w:rPr>
      <w:rFonts w:eastAsia="Times New Roman"/>
      <w:sz w:val="18"/>
      <w:szCs w:val="24"/>
    </w:rPr>
  </w:style>
  <w:style w:type="paragraph" w:customStyle="1" w:styleId="Level2">
    <w:name w:val="Level 2"/>
    <w:basedOn w:val="Normal"/>
    <w:pPr>
      <w:widowControl w:val="0"/>
      <w:numPr>
        <w:ilvl w:val="1"/>
        <w:numId w:val="1"/>
      </w:numPr>
      <w:autoSpaceDE w:val="0"/>
      <w:spacing w:after="0"/>
      <w:outlineLvl w:val="1"/>
    </w:pPr>
    <w:rPr>
      <w:rFonts w:eastAsia="Times New Roman"/>
      <w:sz w:val="18"/>
      <w:szCs w:val="24"/>
    </w:rPr>
  </w:style>
  <w:style w:type="paragraph" w:customStyle="1" w:styleId="Level3">
    <w:name w:val="Level 3"/>
    <w:basedOn w:val="Normal"/>
    <w:pPr>
      <w:widowControl w:val="0"/>
      <w:numPr>
        <w:ilvl w:val="2"/>
        <w:numId w:val="1"/>
      </w:numPr>
      <w:autoSpaceDE w:val="0"/>
      <w:spacing w:after="0"/>
      <w:outlineLvl w:val="2"/>
    </w:pPr>
    <w:rPr>
      <w:rFonts w:eastAsia="Times New Roman"/>
      <w:sz w:val="18"/>
      <w:szCs w:val="24"/>
    </w:rPr>
  </w:style>
  <w:style w:type="character" w:styleId="UnresolvedMention">
    <w:name w:val="Unresolved Mention"/>
    <w:basedOn w:val="DefaultParagraphFont"/>
    <w:rPr>
      <w:color w:val="605E5C"/>
      <w:shd w:val="clear" w:color="auto" w:fill="E1DFDD"/>
    </w:rPr>
  </w:style>
  <w:style w:type="character" w:customStyle="1" w:styleId="Heading1Char">
    <w:name w:val="Heading 1 Char"/>
    <w:basedOn w:val="DefaultParagraphFont"/>
    <w:rPr>
      <w:rFonts w:ascii="Arial" w:eastAsia="Times New Roman" w:hAnsi="Arial" w:cs="Times New Roman"/>
      <w:b/>
      <w:bCs/>
      <w:sz w:val="34"/>
      <w:szCs w:val="36"/>
      <w:lang w:val="en-GB"/>
    </w:rPr>
  </w:style>
  <w:style w:type="character" w:customStyle="1" w:styleId="Heading2Char">
    <w:name w:val="Heading 2 Char"/>
    <w:basedOn w:val="DefaultParagraphFont"/>
    <w:rPr>
      <w:rFonts w:ascii="Arial" w:eastAsia="Times New Roman" w:hAnsi="Arial" w:cs="Times New Roman"/>
      <w:b/>
      <w:bCs/>
      <w:sz w:val="36"/>
      <w:szCs w:val="24"/>
    </w:rPr>
  </w:style>
  <w:style w:type="character" w:customStyle="1" w:styleId="Heading3Char">
    <w:name w:val="Heading 3 Char"/>
    <w:basedOn w:val="DefaultParagraphFont"/>
    <w:rPr>
      <w:rFonts w:ascii="Arial" w:eastAsia="Times New Roman" w:hAnsi="Arial" w:cs="Times New Roman"/>
      <w:sz w:val="24"/>
      <w:szCs w:val="24"/>
      <w:lang w:val="en-GB"/>
    </w:rPr>
  </w:style>
  <w:style w:type="character" w:customStyle="1" w:styleId="Heading4Char">
    <w:name w:val="Heading 4 Char"/>
    <w:basedOn w:val="DefaultParagraphFont"/>
    <w:rPr>
      <w:rFonts w:ascii="Arial" w:eastAsia="Times New Roman" w:hAnsi="Arial" w:cs="Times New Roman"/>
      <w:b/>
      <w:bCs/>
      <w:sz w:val="18"/>
      <w:szCs w:val="20"/>
      <w:lang w:val="en-GB"/>
    </w:rPr>
  </w:style>
  <w:style w:type="character" w:customStyle="1" w:styleId="Heading5Char">
    <w:name w:val="Heading 5 Char"/>
    <w:basedOn w:val="DefaultParagraphFont"/>
    <w:rPr>
      <w:rFonts w:ascii="Arial" w:eastAsia="Times New Roman" w:hAnsi="Arial" w:cs="Times New Roman"/>
      <w:b/>
      <w:i/>
      <w:iCs/>
      <w:szCs w:val="24"/>
      <w:u w:val="single"/>
      <w:lang w:val="en-GB"/>
    </w:rPr>
  </w:style>
  <w:style w:type="character" w:customStyle="1" w:styleId="Heading6Char">
    <w:name w:val="Heading 6 Char"/>
    <w:basedOn w:val="DefaultParagraphFont"/>
    <w:rPr>
      <w:rFonts w:ascii="Arial" w:eastAsia="Times New Roman" w:hAnsi="Arial" w:cs="Times New Roman"/>
      <w:i/>
      <w:iCs/>
      <w:sz w:val="23"/>
      <w:szCs w:val="23"/>
      <w:lang w:val="en-GB"/>
    </w:rPr>
  </w:style>
  <w:style w:type="character" w:customStyle="1" w:styleId="Heading7Char">
    <w:name w:val="Heading 7 Char"/>
    <w:basedOn w:val="DefaultParagraphFont"/>
    <w:rPr>
      <w:rFonts w:ascii="Arial" w:eastAsia="Times New Roman" w:hAnsi="Arial" w:cs="Times New Roman"/>
      <w:b/>
      <w:bCs/>
      <w:sz w:val="26"/>
      <w:szCs w:val="26"/>
      <w:lang w:val="en-GB"/>
    </w:rPr>
  </w:style>
  <w:style w:type="character" w:customStyle="1" w:styleId="Heading8Char">
    <w:name w:val="Heading 8 Char"/>
    <w:basedOn w:val="DefaultParagraphFont"/>
    <w:rPr>
      <w:rFonts w:ascii="Arial" w:eastAsia="Times New Roman" w:hAnsi="Arial" w:cs="Arial"/>
      <w:sz w:val="24"/>
      <w:szCs w:val="24"/>
      <w:lang w:val="en-GB"/>
    </w:rPr>
  </w:style>
  <w:style w:type="character" w:customStyle="1" w:styleId="Heading9Char">
    <w:name w:val="Heading 9 Char"/>
    <w:basedOn w:val="DefaultParagraphFont"/>
    <w:rPr>
      <w:rFonts w:ascii="Arial" w:eastAsia="Times New Roman" w:hAnsi="Arial" w:cs="Arial"/>
      <w:b/>
      <w:bCs/>
      <w:sz w:val="32"/>
      <w:szCs w:val="36"/>
      <w:lang w:val="en-GB"/>
    </w:rPr>
  </w:style>
  <w:style w:type="character" w:styleId="FootnoteReference">
    <w:name w:val="footnote reference"/>
    <w:rPr>
      <w:rFonts w:cs="Times New Roman"/>
    </w:rPr>
  </w:style>
  <w:style w:type="paragraph" w:customStyle="1" w:styleId="1AutoList1">
    <w:name w:val="1AutoList1"/>
    <w:pPr>
      <w:widowControl w:val="0"/>
      <w:tabs>
        <w:tab w:val="left" w:pos="720"/>
      </w:tabs>
      <w:suppressAutoHyphens/>
      <w:autoSpaceDE w:val="0"/>
      <w:spacing w:after="0"/>
      <w:ind w:left="720" w:hanging="720"/>
      <w:jc w:val="both"/>
    </w:pPr>
    <w:rPr>
      <w:rFonts w:eastAsia="Times New Roman"/>
      <w:sz w:val="24"/>
      <w:szCs w:val="24"/>
      <w:lang w:val="en-GB"/>
    </w:rPr>
  </w:style>
  <w:style w:type="paragraph" w:customStyle="1" w:styleId="Preformatted">
    <w:name w:val="Preformatted"/>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suppressAutoHyphens/>
      <w:autoSpaceDE w:val="0"/>
      <w:spacing w:after="0"/>
    </w:pPr>
    <w:rPr>
      <w:rFonts w:ascii="Courier New" w:eastAsia="Times New Roman" w:hAnsi="Courier New" w:cs="Courier New"/>
      <w:sz w:val="18"/>
      <w:szCs w:val="24"/>
    </w:rPr>
  </w:style>
  <w:style w:type="paragraph" w:customStyle="1" w:styleId="footnotetex">
    <w:name w:val="footnote tex"/>
    <w:pPr>
      <w:widowControl w:val="0"/>
      <w:suppressAutoHyphens/>
      <w:autoSpaceDE w:val="0"/>
      <w:spacing w:after="0"/>
      <w:jc w:val="both"/>
    </w:pPr>
    <w:rPr>
      <w:rFonts w:eastAsia="Times New Roman"/>
      <w:sz w:val="18"/>
      <w:szCs w:val="24"/>
      <w:lang w:val="de-DE"/>
    </w:rPr>
  </w:style>
  <w:style w:type="character" w:styleId="PageNumber">
    <w:name w:val="page number"/>
    <w:rPr>
      <w:rFonts w:cs="Times New Roman"/>
    </w:rPr>
  </w:style>
  <w:style w:type="paragraph" w:styleId="Header">
    <w:name w:val="header"/>
    <w:basedOn w:val="Normal"/>
    <w:pPr>
      <w:widowControl w:val="0"/>
      <w:tabs>
        <w:tab w:val="center" w:pos="4153"/>
        <w:tab w:val="right" w:pos="8306"/>
      </w:tabs>
      <w:autoSpaceDE w:val="0"/>
      <w:spacing w:after="0"/>
    </w:pPr>
    <w:rPr>
      <w:rFonts w:eastAsia="Times New Roman"/>
      <w:sz w:val="18"/>
      <w:szCs w:val="20"/>
      <w:lang w:val="en-GB"/>
    </w:rPr>
  </w:style>
  <w:style w:type="character" w:customStyle="1" w:styleId="HeaderChar">
    <w:name w:val="Header Char"/>
    <w:basedOn w:val="DefaultParagraphFont"/>
    <w:rPr>
      <w:rFonts w:ascii="Arial" w:eastAsia="Times New Roman" w:hAnsi="Arial" w:cs="Times New Roman"/>
      <w:sz w:val="18"/>
      <w:szCs w:val="20"/>
      <w:lang w:val="en-GB"/>
    </w:rPr>
  </w:style>
  <w:style w:type="paragraph" w:styleId="Footer">
    <w:name w:val="footer"/>
    <w:basedOn w:val="Normal"/>
    <w:uiPriority w:val="99"/>
    <w:pPr>
      <w:widowControl w:val="0"/>
      <w:tabs>
        <w:tab w:val="center" w:pos="4320"/>
        <w:tab w:val="right" w:pos="8640"/>
      </w:tabs>
      <w:autoSpaceDE w:val="0"/>
      <w:spacing w:after="0"/>
    </w:pPr>
    <w:rPr>
      <w:rFonts w:eastAsia="Times New Roman"/>
      <w:sz w:val="18"/>
      <w:szCs w:val="24"/>
    </w:rPr>
  </w:style>
  <w:style w:type="character" w:customStyle="1" w:styleId="FooterChar">
    <w:name w:val="Footer Char"/>
    <w:basedOn w:val="DefaultParagraphFont"/>
    <w:uiPriority w:val="99"/>
    <w:rPr>
      <w:rFonts w:ascii="Arial" w:eastAsia="Times New Roman" w:hAnsi="Arial" w:cs="Times New Roman"/>
      <w:sz w:val="18"/>
      <w:szCs w:val="24"/>
    </w:rPr>
  </w:style>
  <w:style w:type="paragraph" w:styleId="BodyTextIndent">
    <w:name w:val="Body Text Indent"/>
    <w:basedOn w:val="Normal"/>
    <w:pPr>
      <w:widowControl w:val="0"/>
      <w:autoSpaceDE w:val="0"/>
      <w:spacing w:after="0"/>
      <w:ind w:left="720" w:hanging="720"/>
      <w:jc w:val="both"/>
    </w:pPr>
    <w:rPr>
      <w:rFonts w:eastAsia="Times New Roman"/>
      <w:szCs w:val="24"/>
      <w:lang w:val="en-GB"/>
    </w:rPr>
  </w:style>
  <w:style w:type="character" w:customStyle="1" w:styleId="BodyTextIndentChar">
    <w:name w:val="Body Text Indent Char"/>
    <w:basedOn w:val="DefaultParagraphFont"/>
    <w:rPr>
      <w:rFonts w:ascii="Arial" w:eastAsia="Times New Roman" w:hAnsi="Arial" w:cs="Times New Roman"/>
      <w:szCs w:val="24"/>
      <w:lang w:val="en-GB"/>
    </w:rPr>
  </w:style>
  <w:style w:type="paragraph" w:styleId="BodyText">
    <w:name w:val="Body Text"/>
    <w:basedOn w:val="Normal"/>
    <w:pPr>
      <w:widowControl w:val="0"/>
      <w:autoSpaceDE w:val="0"/>
      <w:spacing w:after="0"/>
      <w:jc w:val="both"/>
    </w:pPr>
    <w:rPr>
      <w:rFonts w:eastAsia="Times New Roman"/>
      <w:szCs w:val="24"/>
      <w:lang w:val="en-GB"/>
    </w:rPr>
  </w:style>
  <w:style w:type="character" w:customStyle="1" w:styleId="BodyTextChar">
    <w:name w:val="Body Text Char"/>
    <w:basedOn w:val="DefaultParagraphFont"/>
    <w:rPr>
      <w:rFonts w:ascii="Arial" w:eastAsia="Times New Roman" w:hAnsi="Arial" w:cs="Times New Roman"/>
      <w:szCs w:val="24"/>
      <w:lang w:val="en-GB"/>
    </w:rPr>
  </w:style>
  <w:style w:type="character" w:styleId="Hyperlink">
    <w:name w:val="Hyperlink"/>
    <w:rPr>
      <w:rFonts w:cs="Times New Roman"/>
      <w:color w:val="0000FF"/>
      <w:u w:val="single"/>
    </w:rPr>
  </w:style>
  <w:style w:type="paragraph" w:styleId="FootnoteText">
    <w:name w:val="footnote text"/>
    <w:basedOn w:val="Normal"/>
    <w:pPr>
      <w:widowControl w:val="0"/>
      <w:autoSpaceDE w:val="0"/>
      <w:spacing w:after="0"/>
    </w:pPr>
    <w:rPr>
      <w:rFonts w:eastAsia="Times New Roman"/>
      <w:sz w:val="18"/>
      <w:szCs w:val="20"/>
    </w:rPr>
  </w:style>
  <w:style w:type="character" w:customStyle="1" w:styleId="FootnoteTextChar">
    <w:name w:val="Footnote Text Char"/>
    <w:basedOn w:val="DefaultParagraphFont"/>
    <w:rPr>
      <w:rFonts w:ascii="Arial" w:eastAsia="Times New Roman" w:hAnsi="Arial" w:cs="Times New Roman"/>
      <w:sz w:val="18"/>
      <w:szCs w:val="20"/>
    </w:rPr>
  </w:style>
  <w:style w:type="paragraph" w:styleId="BodyText2">
    <w:name w:val="Body Text 2"/>
    <w:basedOn w:val="Normal"/>
    <w:pPr>
      <w:widowControl w:val="0"/>
      <w:autoSpaceDE w:val="0"/>
      <w:spacing w:after="0"/>
    </w:pPr>
    <w:rPr>
      <w:rFonts w:eastAsia="Times New Roman"/>
      <w:szCs w:val="24"/>
    </w:rPr>
  </w:style>
  <w:style w:type="character" w:customStyle="1" w:styleId="BodyText2Char">
    <w:name w:val="Body Text 2 Char"/>
    <w:basedOn w:val="DefaultParagraphFont"/>
    <w:rPr>
      <w:rFonts w:ascii="Arial" w:eastAsia="Times New Roman" w:hAnsi="Arial" w:cs="Times New Roman"/>
      <w:szCs w:val="24"/>
    </w:rPr>
  </w:style>
  <w:style w:type="paragraph" w:styleId="BalloonText">
    <w:name w:val="Balloon Text"/>
    <w:basedOn w:val="Normal"/>
    <w:pPr>
      <w:widowControl w:val="0"/>
      <w:autoSpaceDE w:val="0"/>
      <w:spacing w:after="0"/>
    </w:pPr>
    <w:rPr>
      <w:rFonts w:ascii="Tahoma" w:eastAsia="Times New Roman" w:hAnsi="Tahoma" w:cs="Tahoma"/>
      <w:sz w:val="16"/>
      <w:szCs w:val="16"/>
    </w:rPr>
  </w:style>
  <w:style w:type="character" w:customStyle="1" w:styleId="BalloonTextChar">
    <w:name w:val="Balloon Text Char"/>
    <w:basedOn w:val="DefaultParagraphFont"/>
    <w:rPr>
      <w:rFonts w:ascii="Tahoma" w:eastAsia="Times New Roman" w:hAnsi="Tahoma" w:cs="Tahoma"/>
      <w:sz w:val="16"/>
      <w:szCs w:val="16"/>
    </w:rPr>
  </w:style>
  <w:style w:type="paragraph" w:styleId="BodyText3">
    <w:name w:val="Body Text 3"/>
    <w:basedOn w:val="Normal"/>
    <w:pPr>
      <w:widowControl w:val="0"/>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autoSpaceDE w:val="0"/>
      <w:spacing w:after="0" w:line="228" w:lineRule="auto"/>
      <w:jc w:val="center"/>
    </w:pPr>
    <w:rPr>
      <w:rFonts w:eastAsia="Times New Roman"/>
      <w:b/>
      <w:bCs/>
      <w:sz w:val="24"/>
      <w:szCs w:val="24"/>
      <w:lang w:val="en-GB"/>
    </w:rPr>
  </w:style>
  <w:style w:type="character" w:customStyle="1" w:styleId="BodyText3Char">
    <w:name w:val="Body Text 3 Char"/>
    <w:basedOn w:val="DefaultParagraphFont"/>
    <w:rPr>
      <w:rFonts w:ascii="Arial" w:eastAsia="Times New Roman" w:hAnsi="Arial" w:cs="Times New Roman"/>
      <w:b/>
      <w:bCs/>
      <w:sz w:val="24"/>
      <w:szCs w:val="24"/>
      <w:lang w:val="en-GB"/>
    </w:rPr>
  </w:style>
  <w:style w:type="paragraph" w:styleId="BlockText">
    <w:name w:val="Block Text"/>
    <w:basedOn w:val="Normal"/>
    <w:pPr>
      <w:widowControl w:val="0"/>
      <w:autoSpaceDE w:val="0"/>
      <w:spacing w:after="0"/>
      <w:ind w:left="1418" w:right="283" w:hanging="709"/>
    </w:pPr>
    <w:rPr>
      <w:rFonts w:eastAsia="Times New Roman"/>
      <w:sz w:val="24"/>
      <w:szCs w:val="23"/>
    </w:rPr>
  </w:style>
  <w:style w:type="character" w:styleId="FollowedHyperlink">
    <w:name w:val="FollowedHyperlink"/>
    <w:rPr>
      <w:rFonts w:cs="Times New Roman"/>
      <w:color w:val="800080"/>
      <w:u w:val="single"/>
    </w:rPr>
  </w:style>
  <w:style w:type="paragraph" w:styleId="Title">
    <w:name w:val="Title"/>
    <w:basedOn w:val="Normal"/>
    <w:uiPriority w:val="10"/>
    <w:qFormat/>
    <w:pPr>
      <w:widowControl w:val="0"/>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autoSpaceDE w:val="0"/>
      <w:spacing w:after="0"/>
      <w:jc w:val="center"/>
    </w:pPr>
    <w:rPr>
      <w:rFonts w:eastAsia="Times New Roman" w:cs="Arial"/>
      <w:b/>
      <w:bCs/>
      <w:sz w:val="32"/>
      <w:lang w:val="en-GB"/>
    </w:rPr>
  </w:style>
  <w:style w:type="character" w:customStyle="1" w:styleId="TitleChar">
    <w:name w:val="Title Char"/>
    <w:basedOn w:val="DefaultParagraphFont"/>
    <w:rPr>
      <w:rFonts w:ascii="Arial" w:eastAsia="Times New Roman" w:hAnsi="Arial" w:cs="Arial"/>
      <w:b/>
      <w:bCs/>
      <w:sz w:val="32"/>
      <w:lang w:val="en-GB"/>
    </w:rPr>
  </w:style>
  <w:style w:type="paragraph" w:customStyle="1" w:styleId="ColorfulList-Accent11">
    <w:name w:val="Colorful List - Accent 11"/>
    <w:basedOn w:val="Normal"/>
    <w:pPr>
      <w:spacing w:after="0"/>
      <w:ind w:left="720"/>
    </w:pPr>
    <w:rPr>
      <w:rFonts w:eastAsia="Times New Roman"/>
      <w:sz w:val="24"/>
      <w:szCs w:val="24"/>
      <w:lang w:val="es-UY"/>
    </w:rPr>
  </w:style>
  <w:style w:type="character" w:styleId="CommentReference">
    <w:name w:val="annotation reference"/>
    <w:rPr>
      <w:rFonts w:cs="Times New Roman"/>
      <w:sz w:val="18"/>
    </w:rPr>
  </w:style>
  <w:style w:type="paragraph" w:styleId="CommentText">
    <w:name w:val="annotation text"/>
    <w:basedOn w:val="Normal"/>
    <w:pPr>
      <w:widowControl w:val="0"/>
      <w:autoSpaceDE w:val="0"/>
      <w:spacing w:after="0"/>
    </w:pPr>
    <w:rPr>
      <w:rFonts w:eastAsia="Times New Roman"/>
      <w:sz w:val="24"/>
      <w:szCs w:val="24"/>
    </w:rPr>
  </w:style>
  <w:style w:type="character" w:customStyle="1" w:styleId="CommentTextChar">
    <w:name w:val="Comment Text Char"/>
    <w:basedOn w:val="DefaultParagraphFont"/>
    <w:rPr>
      <w:rFonts w:ascii="Arial" w:eastAsia="Times New Roman" w:hAnsi="Arial" w:cs="Times New Roman"/>
      <w:sz w:val="24"/>
      <w:szCs w:val="24"/>
    </w:rPr>
  </w:style>
  <w:style w:type="paragraph" w:styleId="CommentSubject">
    <w:name w:val="annotation subject"/>
    <w:basedOn w:val="CommentText"/>
    <w:next w:val="CommentText"/>
    <w:rPr>
      <w:b/>
      <w:bCs/>
    </w:rPr>
  </w:style>
  <w:style w:type="character" w:customStyle="1" w:styleId="CommentSubjectChar">
    <w:name w:val="Comment Subject Char"/>
    <w:basedOn w:val="CommentTextChar"/>
    <w:rPr>
      <w:rFonts w:ascii="Arial" w:eastAsia="Times New Roman" w:hAnsi="Arial" w:cs="Times New Roman"/>
      <w:b/>
      <w:bCs/>
      <w:sz w:val="24"/>
      <w:szCs w:val="24"/>
    </w:rPr>
  </w:style>
  <w:style w:type="paragraph" w:styleId="ListParagraph">
    <w:name w:val="List Paragraph"/>
    <w:basedOn w:val="Normal"/>
    <w:pPr>
      <w:widowControl w:val="0"/>
      <w:autoSpaceDE w:val="0"/>
      <w:spacing w:after="0"/>
      <w:ind w:left="720"/>
    </w:pPr>
    <w:rPr>
      <w:rFonts w:eastAsia="Times New Roman"/>
      <w:sz w:val="18"/>
      <w:szCs w:val="24"/>
    </w:rPr>
  </w:style>
  <w:style w:type="character" w:styleId="Emphasis">
    <w:name w:val="Emphasis"/>
    <w:rPr>
      <w:rFonts w:cs="Times New Roman"/>
      <w:i/>
      <w:iCs/>
    </w:rPr>
  </w:style>
  <w:style w:type="paragraph" w:customStyle="1" w:styleId="Default">
    <w:name w:val="Default"/>
    <w:basedOn w:val="Normal"/>
    <w:pPr>
      <w:autoSpaceDE w:val="0"/>
      <w:spacing w:after="0"/>
    </w:pPr>
    <w:rPr>
      <w:rFonts w:eastAsia="Times New Roman"/>
      <w:color w:val="000000"/>
      <w:sz w:val="24"/>
      <w:szCs w:val="24"/>
      <w:lang w:val="en-GB" w:eastAsia="en-GB"/>
    </w:rPr>
  </w:style>
  <w:style w:type="paragraph" w:customStyle="1" w:styleId="msonormal0">
    <w:name w:val="msonormal"/>
    <w:basedOn w:val="Normal"/>
    <w:pPr>
      <w:spacing w:before="100" w:after="100"/>
    </w:pPr>
    <w:rPr>
      <w:rFonts w:ascii="Times New Roman" w:eastAsia="Times New Roman" w:hAnsi="Times New Roman"/>
      <w:sz w:val="24"/>
      <w:szCs w:val="24"/>
    </w:rPr>
  </w:style>
  <w:style w:type="paragraph" w:customStyle="1" w:styleId="font5">
    <w:name w:val="font5"/>
    <w:basedOn w:val="Normal"/>
    <w:pPr>
      <w:spacing w:before="100" w:after="100"/>
    </w:pPr>
    <w:rPr>
      <w:rFonts w:eastAsia="Times New Roman" w:cs="Arial"/>
      <w:b/>
      <w:bCs/>
      <w:color w:val="1F497D"/>
      <w:sz w:val="16"/>
      <w:szCs w:val="16"/>
    </w:rPr>
  </w:style>
  <w:style w:type="paragraph" w:customStyle="1" w:styleId="font6">
    <w:name w:val="font6"/>
    <w:basedOn w:val="Normal"/>
    <w:pPr>
      <w:spacing w:before="100" w:after="100"/>
    </w:pPr>
    <w:rPr>
      <w:rFonts w:eastAsia="Times New Roman" w:cs="Arial"/>
      <w:b/>
      <w:bCs/>
      <w:i/>
      <w:iCs/>
      <w:color w:val="1F497D"/>
      <w:sz w:val="16"/>
      <w:szCs w:val="16"/>
    </w:rPr>
  </w:style>
  <w:style w:type="paragraph" w:customStyle="1" w:styleId="font7">
    <w:name w:val="font7"/>
    <w:basedOn w:val="Normal"/>
    <w:pPr>
      <w:spacing w:before="100" w:after="100"/>
    </w:pPr>
    <w:rPr>
      <w:rFonts w:eastAsia="Times New Roman" w:cs="Arial"/>
      <w:color w:val="000000"/>
      <w:sz w:val="16"/>
      <w:szCs w:val="16"/>
    </w:rPr>
  </w:style>
  <w:style w:type="paragraph" w:customStyle="1" w:styleId="font8">
    <w:name w:val="font8"/>
    <w:basedOn w:val="Normal"/>
    <w:pPr>
      <w:spacing w:before="100" w:after="100"/>
    </w:pPr>
    <w:rPr>
      <w:rFonts w:eastAsia="Times New Roman" w:cs="Arial"/>
      <w:color w:val="000000"/>
      <w:sz w:val="16"/>
      <w:szCs w:val="16"/>
    </w:rPr>
  </w:style>
  <w:style w:type="paragraph" w:customStyle="1" w:styleId="xl71">
    <w:name w:val="xl71"/>
    <w:basedOn w:val="Normal"/>
    <w:pPr>
      <w:spacing w:before="100" w:after="100"/>
      <w:textAlignment w:val="top"/>
    </w:pPr>
    <w:rPr>
      <w:rFonts w:eastAsia="Times New Roman" w:cs="Arial"/>
      <w:b/>
      <w:bCs/>
      <w:sz w:val="16"/>
      <w:szCs w:val="16"/>
    </w:rPr>
  </w:style>
  <w:style w:type="paragraph" w:customStyle="1" w:styleId="xl72">
    <w:name w:val="xl72"/>
    <w:basedOn w:val="Normal"/>
    <w:pPr>
      <w:spacing w:before="100" w:after="100"/>
      <w:textAlignment w:val="top"/>
    </w:pPr>
    <w:rPr>
      <w:rFonts w:eastAsia="Times New Roman" w:cs="Arial"/>
      <w:sz w:val="16"/>
      <w:szCs w:val="16"/>
    </w:rPr>
  </w:style>
  <w:style w:type="paragraph" w:customStyle="1" w:styleId="xl73">
    <w:name w:val="xl73"/>
    <w:basedOn w:val="Normal"/>
    <w:pPr>
      <w:spacing w:before="100" w:after="100"/>
      <w:textAlignment w:val="top"/>
    </w:pPr>
    <w:rPr>
      <w:rFonts w:eastAsia="Times New Roman" w:cs="Arial"/>
      <w:sz w:val="16"/>
      <w:szCs w:val="16"/>
    </w:rPr>
  </w:style>
  <w:style w:type="paragraph" w:customStyle="1" w:styleId="xl74">
    <w:name w:val="xl74"/>
    <w:basedOn w:val="Normal"/>
    <w:pPr>
      <w:spacing w:before="100" w:after="100"/>
      <w:textAlignment w:val="top"/>
    </w:pPr>
    <w:rPr>
      <w:rFonts w:eastAsia="Times New Roman" w:cs="Arial"/>
      <w:sz w:val="16"/>
      <w:szCs w:val="16"/>
    </w:rPr>
  </w:style>
  <w:style w:type="paragraph" w:customStyle="1" w:styleId="xl75">
    <w:name w:val="xl75"/>
    <w:basedOn w:val="Normal"/>
    <w:pPr>
      <w:spacing w:before="100" w:after="100"/>
      <w:textAlignment w:val="top"/>
    </w:pPr>
    <w:rPr>
      <w:rFonts w:eastAsia="Times New Roman" w:cs="Arial"/>
      <w:b/>
      <w:bCs/>
      <w:sz w:val="16"/>
      <w:szCs w:val="16"/>
    </w:rPr>
  </w:style>
  <w:style w:type="paragraph" w:customStyle="1" w:styleId="xl76">
    <w:name w:val="xl76"/>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color w:val="000000"/>
      <w:sz w:val="16"/>
      <w:szCs w:val="16"/>
    </w:rPr>
  </w:style>
  <w:style w:type="paragraph" w:customStyle="1" w:styleId="xl77">
    <w:name w:val="xl77"/>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sz w:val="16"/>
      <w:szCs w:val="16"/>
    </w:rPr>
  </w:style>
  <w:style w:type="paragraph" w:customStyle="1" w:styleId="xl78">
    <w:name w:val="xl78"/>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color w:val="000000"/>
      <w:sz w:val="16"/>
      <w:szCs w:val="16"/>
    </w:rPr>
  </w:style>
  <w:style w:type="paragraph" w:customStyle="1" w:styleId="xl79">
    <w:name w:val="xl79"/>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sz w:val="16"/>
      <w:szCs w:val="16"/>
    </w:rPr>
  </w:style>
  <w:style w:type="paragraph" w:customStyle="1" w:styleId="xl80">
    <w:name w:val="xl80"/>
    <w:basedOn w:val="Normal"/>
    <w:pPr>
      <w:spacing w:before="100" w:after="100"/>
      <w:jc w:val="center"/>
      <w:textAlignment w:val="top"/>
    </w:pPr>
    <w:rPr>
      <w:rFonts w:eastAsia="Times New Roman" w:cs="Arial"/>
      <w:b/>
      <w:bCs/>
      <w:i/>
      <w:iCs/>
      <w:sz w:val="16"/>
      <w:szCs w:val="16"/>
    </w:rPr>
  </w:style>
  <w:style w:type="paragraph" w:customStyle="1" w:styleId="xl81">
    <w:name w:val="xl81"/>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sz w:val="16"/>
      <w:szCs w:val="16"/>
    </w:rPr>
  </w:style>
  <w:style w:type="paragraph" w:customStyle="1" w:styleId="xl82">
    <w:name w:val="xl82"/>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sz w:val="16"/>
      <w:szCs w:val="16"/>
    </w:rPr>
  </w:style>
  <w:style w:type="paragraph" w:customStyle="1" w:styleId="xl83">
    <w:name w:val="xl83"/>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color w:val="000000"/>
      <w:sz w:val="16"/>
      <w:szCs w:val="16"/>
    </w:rPr>
  </w:style>
  <w:style w:type="paragraph" w:customStyle="1" w:styleId="xl84">
    <w:name w:val="xl84"/>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color w:val="000000"/>
      <w:sz w:val="16"/>
      <w:szCs w:val="16"/>
    </w:rPr>
  </w:style>
  <w:style w:type="paragraph" w:customStyle="1" w:styleId="xl85">
    <w:name w:val="xl85"/>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color w:val="000000"/>
      <w:sz w:val="16"/>
      <w:szCs w:val="16"/>
    </w:rPr>
  </w:style>
  <w:style w:type="paragraph" w:customStyle="1" w:styleId="xl86">
    <w:name w:val="xl86"/>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sz w:val="16"/>
      <w:szCs w:val="16"/>
    </w:rPr>
  </w:style>
  <w:style w:type="paragraph" w:customStyle="1" w:styleId="xl87">
    <w:name w:val="xl87"/>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color w:val="000000"/>
      <w:sz w:val="16"/>
      <w:szCs w:val="16"/>
    </w:rPr>
  </w:style>
  <w:style w:type="paragraph" w:customStyle="1" w:styleId="xl88">
    <w:name w:val="xl88"/>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color w:val="000000"/>
      <w:sz w:val="16"/>
      <w:szCs w:val="16"/>
    </w:rPr>
  </w:style>
  <w:style w:type="paragraph" w:customStyle="1" w:styleId="xl89">
    <w:name w:val="xl89"/>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color w:val="000000"/>
      <w:sz w:val="16"/>
      <w:szCs w:val="16"/>
    </w:rPr>
  </w:style>
  <w:style w:type="paragraph" w:customStyle="1" w:styleId="xl90">
    <w:name w:val="xl90"/>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sz w:val="16"/>
      <w:szCs w:val="16"/>
    </w:rPr>
  </w:style>
  <w:style w:type="paragraph" w:customStyle="1" w:styleId="xl91">
    <w:name w:val="xl91"/>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center"/>
      <w:textAlignment w:val="top"/>
    </w:pPr>
    <w:rPr>
      <w:rFonts w:eastAsia="Times New Roman" w:cs="Arial"/>
      <w:b/>
      <w:bCs/>
      <w:sz w:val="16"/>
      <w:szCs w:val="16"/>
    </w:rPr>
  </w:style>
  <w:style w:type="paragraph" w:customStyle="1" w:styleId="xl92">
    <w:name w:val="xl92"/>
    <w:basedOn w:val="Normal"/>
    <w:pPr>
      <w:shd w:val="clear" w:color="auto" w:fill="DCE6F1"/>
      <w:spacing w:before="100" w:after="100"/>
      <w:jc w:val="center"/>
      <w:textAlignment w:val="top"/>
    </w:pPr>
    <w:rPr>
      <w:rFonts w:eastAsia="Times New Roman" w:cs="Arial"/>
      <w:b/>
      <w:bCs/>
      <w:sz w:val="16"/>
      <w:szCs w:val="16"/>
    </w:rPr>
  </w:style>
  <w:style w:type="paragraph" w:customStyle="1" w:styleId="xl93">
    <w:name w:val="xl93"/>
    <w:basedOn w:val="Normal"/>
    <w:pPr>
      <w:shd w:val="clear" w:color="auto" w:fill="DCE6F1"/>
      <w:spacing w:before="100" w:after="100"/>
      <w:jc w:val="center"/>
      <w:textAlignment w:val="top"/>
    </w:pPr>
    <w:rPr>
      <w:rFonts w:eastAsia="Times New Roman" w:cs="Arial"/>
      <w:b/>
      <w:bCs/>
      <w:sz w:val="16"/>
      <w:szCs w:val="16"/>
    </w:rPr>
  </w:style>
  <w:style w:type="paragraph" w:customStyle="1" w:styleId="xl94">
    <w:name w:val="xl94"/>
    <w:basedOn w:val="Normal"/>
    <w:pPr>
      <w:pBdr>
        <w:top w:val="single" w:sz="4" w:space="0" w:color="000000"/>
        <w:left w:val="single" w:sz="4" w:space="0" w:color="000000"/>
        <w:bottom w:val="single" w:sz="4" w:space="0" w:color="000000"/>
        <w:right w:val="single" w:sz="4" w:space="0" w:color="000000"/>
      </w:pBdr>
      <w:shd w:val="clear" w:color="auto" w:fill="DCE6F1"/>
      <w:spacing w:before="100" w:after="100"/>
      <w:jc w:val="center"/>
      <w:textAlignment w:val="top"/>
    </w:pPr>
    <w:rPr>
      <w:rFonts w:eastAsia="Times New Roman" w:cs="Arial"/>
      <w:b/>
      <w:bCs/>
      <w:i/>
      <w:iCs/>
      <w:color w:val="1F497D"/>
      <w:sz w:val="16"/>
      <w:szCs w:val="16"/>
    </w:rPr>
  </w:style>
  <w:style w:type="paragraph" w:customStyle="1" w:styleId="xl95">
    <w:name w:val="xl95"/>
    <w:basedOn w:val="Normal"/>
    <w:pPr>
      <w:pBdr>
        <w:top w:val="single" w:sz="4" w:space="0" w:color="000000"/>
        <w:left w:val="single" w:sz="4" w:space="0" w:color="000000"/>
        <w:bottom w:val="single" w:sz="4" w:space="0" w:color="000000"/>
        <w:right w:val="single" w:sz="4" w:space="0" w:color="000000"/>
      </w:pBdr>
      <w:shd w:val="clear" w:color="auto" w:fill="DCE6F1"/>
      <w:spacing w:before="100" w:after="100"/>
      <w:jc w:val="center"/>
      <w:textAlignment w:val="top"/>
    </w:pPr>
    <w:rPr>
      <w:rFonts w:eastAsia="Times New Roman" w:cs="Arial"/>
      <w:b/>
      <w:bCs/>
      <w:i/>
      <w:iCs/>
      <w:color w:val="1F497D"/>
      <w:sz w:val="16"/>
      <w:szCs w:val="16"/>
    </w:rPr>
  </w:style>
  <w:style w:type="paragraph" w:customStyle="1" w:styleId="xl96">
    <w:name w:val="xl96"/>
    <w:basedOn w:val="Normal"/>
    <w:pPr>
      <w:pBdr>
        <w:top w:val="single" w:sz="4" w:space="0" w:color="000000"/>
        <w:left w:val="single" w:sz="4" w:space="0" w:color="000000"/>
        <w:bottom w:val="single" w:sz="4" w:space="0" w:color="000000"/>
        <w:right w:val="single" w:sz="4" w:space="0" w:color="000000"/>
      </w:pBdr>
      <w:shd w:val="clear" w:color="auto" w:fill="DCE6F1"/>
      <w:spacing w:before="100" w:after="100"/>
      <w:jc w:val="center"/>
      <w:textAlignment w:val="top"/>
    </w:pPr>
    <w:rPr>
      <w:rFonts w:eastAsia="Times New Roman" w:cs="Arial"/>
      <w:b/>
      <w:bCs/>
      <w:sz w:val="16"/>
      <w:szCs w:val="16"/>
    </w:rPr>
  </w:style>
  <w:style w:type="paragraph" w:customStyle="1" w:styleId="xl97">
    <w:name w:val="xl97"/>
    <w:basedOn w:val="Normal"/>
    <w:pPr>
      <w:shd w:val="clear" w:color="auto" w:fill="DCE6F1"/>
      <w:spacing w:before="100" w:after="100"/>
      <w:jc w:val="center"/>
      <w:textAlignment w:val="top"/>
    </w:pPr>
    <w:rPr>
      <w:rFonts w:eastAsia="Times New Roman" w:cs="Arial"/>
      <w:b/>
      <w:bCs/>
      <w:sz w:val="16"/>
      <w:szCs w:val="16"/>
    </w:rPr>
  </w:style>
  <w:style w:type="paragraph" w:customStyle="1" w:styleId="xl98">
    <w:name w:val="xl98"/>
    <w:basedOn w:val="Normal"/>
    <w:pPr>
      <w:pBdr>
        <w:top w:val="single" w:sz="4" w:space="0" w:color="000000"/>
        <w:left w:val="single" w:sz="4" w:space="0" w:color="000000"/>
        <w:bottom w:val="single" w:sz="4" w:space="0" w:color="000000"/>
        <w:right w:val="single" w:sz="4" w:space="0" w:color="000000"/>
      </w:pBdr>
      <w:shd w:val="clear" w:color="auto" w:fill="DCE6F1"/>
      <w:spacing w:before="100" w:after="100"/>
      <w:jc w:val="center"/>
      <w:textAlignment w:val="top"/>
    </w:pPr>
    <w:rPr>
      <w:rFonts w:eastAsia="Times New Roman" w:cs="Arial"/>
      <w:b/>
      <w:bCs/>
      <w:i/>
      <w:iCs/>
      <w:color w:val="1F497D"/>
      <w:sz w:val="16"/>
      <w:szCs w:val="16"/>
    </w:rPr>
  </w:style>
  <w:style w:type="paragraph" w:customStyle="1" w:styleId="xl99">
    <w:name w:val="xl99"/>
    <w:basedOn w:val="Normal"/>
    <w:pPr>
      <w:pBdr>
        <w:top w:val="single" w:sz="4" w:space="0" w:color="000000"/>
        <w:left w:val="single" w:sz="4" w:space="0" w:color="000000"/>
        <w:bottom w:val="single" w:sz="4" w:space="0" w:color="000000"/>
        <w:right w:val="single" w:sz="4" w:space="0" w:color="000000"/>
      </w:pBdr>
      <w:shd w:val="clear" w:color="auto" w:fill="DCE6F1"/>
      <w:spacing w:before="100" w:after="100"/>
      <w:jc w:val="center"/>
      <w:textAlignment w:val="top"/>
    </w:pPr>
    <w:rPr>
      <w:rFonts w:eastAsia="Times New Roman" w:cs="Arial"/>
      <w:b/>
      <w:bCs/>
      <w:sz w:val="16"/>
      <w:szCs w:val="16"/>
    </w:rPr>
  </w:style>
  <w:style w:type="paragraph" w:customStyle="1" w:styleId="xl100">
    <w:name w:val="xl100"/>
    <w:basedOn w:val="Normal"/>
    <w:pPr>
      <w:spacing w:before="100" w:after="100"/>
      <w:jc w:val="center"/>
      <w:textAlignment w:val="top"/>
    </w:pPr>
    <w:rPr>
      <w:rFonts w:eastAsia="Times New Roman" w:cs="Arial"/>
      <w:sz w:val="16"/>
      <w:szCs w:val="16"/>
    </w:rPr>
  </w:style>
  <w:style w:type="paragraph" w:customStyle="1" w:styleId="xl101">
    <w:name w:val="xl101"/>
    <w:basedOn w:val="Normal"/>
    <w:pPr>
      <w:shd w:val="clear" w:color="auto" w:fill="DCE6F1"/>
      <w:spacing w:before="100" w:after="100"/>
      <w:jc w:val="center"/>
      <w:textAlignment w:val="top"/>
    </w:pPr>
    <w:rPr>
      <w:rFonts w:eastAsia="Times New Roman" w:cs="Arial"/>
      <w:b/>
      <w:bCs/>
      <w:sz w:val="16"/>
      <w:szCs w:val="16"/>
    </w:rPr>
  </w:style>
  <w:style w:type="paragraph" w:customStyle="1" w:styleId="xl102">
    <w:name w:val="xl102"/>
    <w:basedOn w:val="Normal"/>
    <w:pPr>
      <w:spacing w:before="100" w:after="100"/>
      <w:jc w:val="center"/>
      <w:textAlignment w:val="top"/>
    </w:pPr>
    <w:rPr>
      <w:rFonts w:eastAsia="Times New Roman" w:cs="Arial"/>
      <w:sz w:val="16"/>
      <w:szCs w:val="16"/>
    </w:rPr>
  </w:style>
  <w:style w:type="paragraph" w:customStyle="1" w:styleId="xl103">
    <w:name w:val="xl103"/>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b/>
      <w:bCs/>
      <w:color w:val="000000"/>
      <w:sz w:val="16"/>
      <w:szCs w:val="16"/>
    </w:rPr>
  </w:style>
  <w:style w:type="paragraph" w:customStyle="1" w:styleId="xl104">
    <w:name w:val="xl104"/>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b/>
      <w:bCs/>
      <w:color w:val="000000"/>
      <w:sz w:val="16"/>
      <w:szCs w:val="16"/>
    </w:rPr>
  </w:style>
  <w:style w:type="paragraph" w:customStyle="1" w:styleId="xl105">
    <w:name w:val="xl105"/>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06">
    <w:name w:val="xl106"/>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07">
    <w:name w:val="xl107"/>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08">
    <w:name w:val="xl108"/>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09">
    <w:name w:val="xl109"/>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10">
    <w:name w:val="xl110"/>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11">
    <w:name w:val="xl111"/>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12">
    <w:name w:val="xl112"/>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13">
    <w:name w:val="xl113"/>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b/>
      <w:bCs/>
      <w:sz w:val="16"/>
      <w:szCs w:val="16"/>
    </w:rPr>
  </w:style>
  <w:style w:type="paragraph" w:customStyle="1" w:styleId="xl114">
    <w:name w:val="xl114"/>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b/>
      <w:bCs/>
      <w:sz w:val="16"/>
      <w:szCs w:val="16"/>
    </w:rPr>
  </w:style>
  <w:style w:type="paragraph" w:customStyle="1" w:styleId="xl115">
    <w:name w:val="xl115"/>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16">
    <w:name w:val="xl116"/>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sz w:val="16"/>
      <w:szCs w:val="16"/>
    </w:rPr>
  </w:style>
  <w:style w:type="paragraph" w:customStyle="1" w:styleId="xl117">
    <w:name w:val="xl117"/>
    <w:basedOn w:val="Normal"/>
    <w:pPr>
      <w:spacing w:before="100" w:after="100"/>
      <w:textAlignment w:val="top"/>
    </w:pPr>
    <w:rPr>
      <w:rFonts w:eastAsia="Times New Roman" w:cs="Arial"/>
      <w:sz w:val="16"/>
      <w:szCs w:val="16"/>
    </w:rPr>
  </w:style>
  <w:style w:type="paragraph" w:customStyle="1" w:styleId="xl118">
    <w:name w:val="xl118"/>
    <w:basedOn w:val="Normal"/>
    <w:pPr>
      <w:spacing w:before="100" w:after="100"/>
      <w:jc w:val="right"/>
      <w:textAlignment w:val="top"/>
    </w:pPr>
    <w:rPr>
      <w:rFonts w:eastAsia="Times New Roman" w:cs="Arial"/>
      <w:color w:val="000000"/>
      <w:sz w:val="16"/>
      <w:szCs w:val="16"/>
    </w:rPr>
  </w:style>
  <w:style w:type="paragraph" w:customStyle="1" w:styleId="xl119">
    <w:name w:val="xl119"/>
    <w:basedOn w:val="Normal"/>
    <w:pPr>
      <w:spacing w:before="100" w:after="100"/>
      <w:textAlignment w:val="top"/>
    </w:pPr>
    <w:rPr>
      <w:rFonts w:eastAsia="Times New Roman" w:cs="Arial"/>
      <w:color w:val="000000"/>
      <w:sz w:val="16"/>
      <w:szCs w:val="16"/>
    </w:rPr>
  </w:style>
  <w:style w:type="paragraph" w:customStyle="1" w:styleId="xl120">
    <w:name w:val="xl120"/>
    <w:basedOn w:val="Normal"/>
    <w:pPr>
      <w:spacing w:before="100" w:after="100"/>
      <w:jc w:val="right"/>
      <w:textAlignment w:val="top"/>
    </w:pPr>
    <w:rPr>
      <w:rFonts w:eastAsia="Times New Roman" w:cs="Arial"/>
      <w:color w:val="000000"/>
      <w:sz w:val="16"/>
      <w:szCs w:val="16"/>
    </w:rPr>
  </w:style>
  <w:style w:type="paragraph" w:customStyle="1" w:styleId="xl121">
    <w:name w:val="xl121"/>
    <w:basedOn w:val="Normal"/>
    <w:pPr>
      <w:spacing w:before="100" w:after="100"/>
      <w:jc w:val="right"/>
      <w:textAlignment w:val="top"/>
    </w:pPr>
    <w:rPr>
      <w:rFonts w:eastAsia="Times New Roman" w:cs="Arial"/>
      <w:sz w:val="16"/>
      <w:szCs w:val="16"/>
    </w:rPr>
  </w:style>
  <w:style w:type="paragraph" w:customStyle="1" w:styleId="xl122">
    <w:name w:val="xl122"/>
    <w:basedOn w:val="Normal"/>
    <w:pPr>
      <w:spacing w:before="100" w:after="100"/>
      <w:jc w:val="right"/>
      <w:textAlignment w:val="top"/>
    </w:pPr>
    <w:rPr>
      <w:rFonts w:eastAsia="Times New Roman" w:cs="Arial"/>
      <w:color w:val="000000"/>
      <w:sz w:val="16"/>
      <w:szCs w:val="16"/>
    </w:rPr>
  </w:style>
  <w:style w:type="paragraph" w:customStyle="1" w:styleId="xl123">
    <w:name w:val="xl123"/>
    <w:basedOn w:val="Normal"/>
    <w:pPr>
      <w:spacing w:before="100" w:after="100"/>
      <w:jc w:val="right"/>
      <w:textAlignment w:val="top"/>
    </w:pPr>
    <w:rPr>
      <w:rFonts w:eastAsia="Times New Roman" w:cs="Arial"/>
      <w:color w:val="000000"/>
      <w:sz w:val="16"/>
      <w:szCs w:val="16"/>
    </w:rPr>
  </w:style>
  <w:style w:type="paragraph" w:customStyle="1" w:styleId="xl124">
    <w:name w:val="xl124"/>
    <w:basedOn w:val="Normal"/>
    <w:pPr>
      <w:spacing w:before="100" w:after="100"/>
      <w:jc w:val="right"/>
      <w:textAlignment w:val="top"/>
    </w:pPr>
    <w:rPr>
      <w:rFonts w:eastAsia="Times New Roman" w:cs="Arial"/>
      <w:color w:val="000000"/>
      <w:sz w:val="16"/>
      <w:szCs w:val="16"/>
    </w:rPr>
  </w:style>
  <w:style w:type="paragraph" w:customStyle="1" w:styleId="xl125">
    <w:name w:val="xl125"/>
    <w:basedOn w:val="Normal"/>
    <w:pPr>
      <w:spacing w:before="100" w:after="100"/>
      <w:jc w:val="right"/>
      <w:textAlignment w:val="top"/>
    </w:pPr>
    <w:rPr>
      <w:rFonts w:eastAsia="Times New Roman" w:cs="Arial"/>
      <w:sz w:val="16"/>
      <w:szCs w:val="16"/>
    </w:rPr>
  </w:style>
  <w:style w:type="paragraph" w:customStyle="1" w:styleId="xl126">
    <w:name w:val="xl126"/>
    <w:basedOn w:val="Normal"/>
    <w:pPr>
      <w:spacing w:before="100" w:after="100"/>
      <w:jc w:val="right"/>
      <w:textAlignment w:val="top"/>
    </w:pPr>
    <w:rPr>
      <w:rFonts w:eastAsia="Times New Roman" w:cs="Arial"/>
      <w:color w:val="000000"/>
      <w:sz w:val="16"/>
      <w:szCs w:val="16"/>
    </w:rPr>
  </w:style>
  <w:style w:type="paragraph" w:customStyle="1" w:styleId="xl127">
    <w:name w:val="xl127"/>
    <w:basedOn w:val="Normal"/>
    <w:pPr>
      <w:spacing w:before="100" w:after="100"/>
      <w:jc w:val="right"/>
      <w:textAlignment w:val="top"/>
    </w:pPr>
    <w:rPr>
      <w:rFonts w:eastAsia="Times New Roman" w:cs="Arial"/>
      <w:color w:val="000000"/>
      <w:sz w:val="16"/>
      <w:szCs w:val="16"/>
    </w:rPr>
  </w:style>
  <w:style w:type="paragraph" w:customStyle="1" w:styleId="xl128">
    <w:name w:val="xl128"/>
    <w:basedOn w:val="Normal"/>
    <w:pPr>
      <w:spacing w:before="100" w:after="100"/>
      <w:jc w:val="right"/>
      <w:textAlignment w:val="top"/>
    </w:pPr>
    <w:rPr>
      <w:rFonts w:eastAsia="Times New Roman" w:cs="Arial"/>
      <w:color w:val="000000"/>
      <w:sz w:val="16"/>
      <w:szCs w:val="16"/>
    </w:rPr>
  </w:style>
  <w:style w:type="paragraph" w:customStyle="1" w:styleId="xl129">
    <w:name w:val="xl129"/>
    <w:basedOn w:val="Normal"/>
    <w:pPr>
      <w:spacing w:before="100" w:after="100"/>
      <w:jc w:val="right"/>
      <w:textAlignment w:val="top"/>
    </w:pPr>
    <w:rPr>
      <w:rFonts w:eastAsia="Times New Roman" w:cs="Arial"/>
      <w:sz w:val="16"/>
      <w:szCs w:val="16"/>
    </w:rPr>
  </w:style>
  <w:style w:type="paragraph" w:customStyle="1" w:styleId="xl130">
    <w:name w:val="xl130"/>
    <w:basedOn w:val="Normal"/>
    <w:pPr>
      <w:spacing w:before="100" w:after="100"/>
      <w:jc w:val="right"/>
      <w:textAlignment w:val="top"/>
    </w:pPr>
    <w:rPr>
      <w:rFonts w:eastAsia="Times New Roman" w:cs="Arial"/>
      <w:color w:val="000000"/>
      <w:sz w:val="16"/>
      <w:szCs w:val="16"/>
    </w:rPr>
  </w:style>
  <w:style w:type="paragraph" w:customStyle="1" w:styleId="xl131">
    <w:name w:val="xl131"/>
    <w:basedOn w:val="Normal"/>
    <w:pPr>
      <w:spacing w:before="100" w:after="100"/>
      <w:jc w:val="right"/>
      <w:textAlignment w:val="top"/>
    </w:pPr>
    <w:rPr>
      <w:rFonts w:eastAsia="Times New Roman" w:cs="Arial"/>
      <w:color w:val="000000"/>
      <w:sz w:val="16"/>
      <w:szCs w:val="16"/>
    </w:rPr>
  </w:style>
  <w:style w:type="paragraph" w:customStyle="1" w:styleId="xl132">
    <w:name w:val="xl132"/>
    <w:basedOn w:val="Normal"/>
    <w:pPr>
      <w:spacing w:before="100" w:after="100"/>
      <w:textAlignment w:val="top"/>
    </w:pPr>
    <w:rPr>
      <w:rFonts w:eastAsia="Times New Roman" w:cs="Arial"/>
      <w:color w:val="000000"/>
      <w:sz w:val="16"/>
      <w:szCs w:val="16"/>
    </w:rPr>
  </w:style>
  <w:style w:type="paragraph" w:customStyle="1" w:styleId="xl133">
    <w:name w:val="xl133"/>
    <w:basedOn w:val="Normal"/>
    <w:pPr>
      <w:spacing w:before="100" w:after="100"/>
      <w:jc w:val="right"/>
      <w:textAlignment w:val="top"/>
    </w:pPr>
    <w:rPr>
      <w:rFonts w:eastAsia="Times New Roman" w:cs="Arial"/>
      <w:color w:val="000000"/>
      <w:sz w:val="16"/>
      <w:szCs w:val="16"/>
    </w:rPr>
  </w:style>
  <w:style w:type="paragraph" w:customStyle="1" w:styleId="xl134">
    <w:name w:val="xl134"/>
    <w:basedOn w:val="Normal"/>
    <w:pPr>
      <w:spacing w:before="100" w:after="100"/>
      <w:textAlignment w:val="top"/>
    </w:pPr>
    <w:rPr>
      <w:rFonts w:eastAsia="Times New Roman" w:cs="Arial"/>
      <w:color w:val="000000"/>
      <w:sz w:val="16"/>
      <w:szCs w:val="16"/>
    </w:rPr>
  </w:style>
  <w:style w:type="paragraph" w:customStyle="1" w:styleId="xl135">
    <w:name w:val="xl135"/>
    <w:basedOn w:val="Normal"/>
    <w:pPr>
      <w:spacing w:before="100" w:after="100"/>
      <w:jc w:val="right"/>
      <w:textAlignment w:val="top"/>
    </w:pPr>
    <w:rPr>
      <w:rFonts w:eastAsia="Times New Roman" w:cs="Arial"/>
      <w:color w:val="000000"/>
      <w:sz w:val="16"/>
      <w:szCs w:val="16"/>
    </w:rPr>
  </w:style>
  <w:style w:type="paragraph" w:customStyle="1" w:styleId="xl136">
    <w:name w:val="xl136"/>
    <w:basedOn w:val="Normal"/>
    <w:pPr>
      <w:spacing w:before="100" w:after="100"/>
      <w:jc w:val="right"/>
      <w:textAlignment w:val="top"/>
    </w:pPr>
    <w:rPr>
      <w:rFonts w:eastAsia="Times New Roman" w:cs="Arial"/>
      <w:color w:val="000000"/>
      <w:sz w:val="16"/>
      <w:szCs w:val="16"/>
    </w:rPr>
  </w:style>
  <w:style w:type="paragraph" w:customStyle="1" w:styleId="xl137">
    <w:name w:val="xl137"/>
    <w:basedOn w:val="Normal"/>
    <w:pPr>
      <w:spacing w:before="100" w:after="100"/>
      <w:jc w:val="right"/>
      <w:textAlignment w:val="top"/>
    </w:pPr>
    <w:rPr>
      <w:rFonts w:eastAsia="Times New Roman" w:cs="Arial"/>
      <w:color w:val="000000"/>
      <w:sz w:val="16"/>
      <w:szCs w:val="16"/>
    </w:rPr>
  </w:style>
  <w:style w:type="paragraph" w:customStyle="1" w:styleId="xl138">
    <w:name w:val="xl138"/>
    <w:basedOn w:val="Normal"/>
    <w:pPr>
      <w:spacing w:before="100" w:after="100"/>
      <w:jc w:val="right"/>
      <w:textAlignment w:val="top"/>
    </w:pPr>
    <w:rPr>
      <w:rFonts w:eastAsia="Times New Roman" w:cs="Arial"/>
      <w:color w:val="000000"/>
      <w:sz w:val="16"/>
      <w:szCs w:val="16"/>
    </w:rPr>
  </w:style>
  <w:style w:type="paragraph" w:customStyle="1" w:styleId="xl139">
    <w:name w:val="xl139"/>
    <w:basedOn w:val="Normal"/>
    <w:pPr>
      <w:spacing w:before="100" w:after="100"/>
      <w:jc w:val="right"/>
      <w:textAlignment w:val="top"/>
    </w:pPr>
    <w:rPr>
      <w:rFonts w:eastAsia="Times New Roman" w:cs="Arial"/>
      <w:color w:val="000000"/>
      <w:sz w:val="16"/>
      <w:szCs w:val="16"/>
    </w:rPr>
  </w:style>
  <w:style w:type="paragraph" w:customStyle="1" w:styleId="xl140">
    <w:name w:val="xl140"/>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textAlignment w:val="top"/>
    </w:pPr>
    <w:rPr>
      <w:rFonts w:eastAsia="Times New Roman" w:cs="Arial"/>
      <w:b/>
      <w:bCs/>
      <w:sz w:val="16"/>
      <w:szCs w:val="16"/>
    </w:rPr>
  </w:style>
  <w:style w:type="paragraph" w:customStyle="1" w:styleId="xl141">
    <w:name w:val="xl141"/>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textAlignment w:val="top"/>
    </w:pPr>
    <w:rPr>
      <w:rFonts w:eastAsia="Times New Roman" w:cs="Arial"/>
      <w:b/>
      <w:bCs/>
      <w:sz w:val="16"/>
      <w:szCs w:val="16"/>
    </w:rPr>
  </w:style>
  <w:style w:type="paragraph" w:customStyle="1" w:styleId="xl142">
    <w:name w:val="xl142"/>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43">
    <w:name w:val="xl143"/>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44">
    <w:name w:val="xl144"/>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45">
    <w:name w:val="xl145"/>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46">
    <w:name w:val="xl146"/>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47">
    <w:name w:val="xl147"/>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48">
    <w:name w:val="xl148"/>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49">
    <w:name w:val="xl149"/>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50">
    <w:name w:val="xl150"/>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51">
    <w:name w:val="xl151"/>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52">
    <w:name w:val="xl152"/>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53">
    <w:name w:val="xl153"/>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54">
    <w:name w:val="xl154"/>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color w:val="000000"/>
      <w:sz w:val="16"/>
      <w:szCs w:val="16"/>
    </w:rPr>
  </w:style>
  <w:style w:type="paragraph" w:customStyle="1" w:styleId="xl155">
    <w:name w:val="xl155"/>
    <w:basedOn w:val="Normal"/>
    <w:pPr>
      <w:spacing w:before="100" w:after="100"/>
      <w:textAlignment w:val="top"/>
    </w:pPr>
    <w:rPr>
      <w:rFonts w:eastAsia="Times New Roman" w:cs="Arial"/>
      <w:b/>
      <w:bCs/>
      <w:color w:val="000000"/>
      <w:sz w:val="16"/>
      <w:szCs w:val="16"/>
    </w:rPr>
  </w:style>
  <w:style w:type="paragraph" w:customStyle="1" w:styleId="xl156">
    <w:name w:val="xl156"/>
    <w:basedOn w:val="Normal"/>
    <w:pPr>
      <w:spacing w:before="100" w:after="100"/>
      <w:textAlignment w:val="top"/>
    </w:pPr>
    <w:rPr>
      <w:rFonts w:eastAsia="Times New Roman" w:cs="Arial"/>
      <w:b/>
      <w:bCs/>
      <w:color w:val="000000"/>
      <w:sz w:val="16"/>
      <w:szCs w:val="16"/>
    </w:rPr>
  </w:style>
  <w:style w:type="paragraph" w:customStyle="1" w:styleId="xl157">
    <w:name w:val="xl157"/>
    <w:basedOn w:val="Normal"/>
    <w:pPr>
      <w:spacing w:before="100" w:after="100"/>
      <w:textAlignment w:val="top"/>
    </w:pPr>
    <w:rPr>
      <w:rFonts w:eastAsia="Times New Roman" w:cs="Arial"/>
      <w:sz w:val="16"/>
      <w:szCs w:val="16"/>
    </w:rPr>
  </w:style>
  <w:style w:type="paragraph" w:customStyle="1" w:styleId="xl158">
    <w:name w:val="xl158"/>
    <w:basedOn w:val="Normal"/>
    <w:pPr>
      <w:spacing w:before="100" w:after="100"/>
      <w:textAlignment w:val="top"/>
    </w:pPr>
    <w:rPr>
      <w:rFonts w:eastAsia="Times New Roman" w:cs="Arial"/>
      <w:sz w:val="16"/>
      <w:szCs w:val="16"/>
    </w:rPr>
  </w:style>
  <w:style w:type="paragraph" w:customStyle="1" w:styleId="xl159">
    <w:name w:val="xl159"/>
    <w:basedOn w:val="Normal"/>
    <w:pPr>
      <w:spacing w:before="100" w:after="100"/>
      <w:textAlignment w:val="top"/>
    </w:pPr>
    <w:rPr>
      <w:rFonts w:eastAsia="Times New Roman" w:cs="Arial"/>
      <w:sz w:val="16"/>
      <w:szCs w:val="16"/>
    </w:rPr>
  </w:style>
  <w:style w:type="paragraph" w:customStyle="1" w:styleId="xl160">
    <w:name w:val="xl160"/>
    <w:basedOn w:val="Normal"/>
    <w:pPr>
      <w:spacing w:before="100" w:after="100"/>
      <w:textAlignment w:val="top"/>
    </w:pPr>
    <w:rPr>
      <w:rFonts w:eastAsia="Times New Roman" w:cs="Arial"/>
      <w:sz w:val="16"/>
      <w:szCs w:val="16"/>
    </w:rPr>
  </w:style>
  <w:style w:type="paragraph" w:customStyle="1" w:styleId="xl161">
    <w:name w:val="xl161"/>
    <w:basedOn w:val="Normal"/>
    <w:pPr>
      <w:spacing w:before="100" w:after="100"/>
      <w:textAlignment w:val="top"/>
    </w:pPr>
    <w:rPr>
      <w:rFonts w:eastAsia="Times New Roman" w:cs="Arial"/>
      <w:sz w:val="16"/>
      <w:szCs w:val="16"/>
    </w:rPr>
  </w:style>
  <w:style w:type="paragraph" w:customStyle="1" w:styleId="xl162">
    <w:name w:val="xl162"/>
    <w:basedOn w:val="Normal"/>
    <w:pPr>
      <w:spacing w:before="100" w:after="100"/>
      <w:textAlignment w:val="top"/>
    </w:pPr>
    <w:rPr>
      <w:rFonts w:eastAsia="Times New Roman" w:cs="Arial"/>
      <w:sz w:val="16"/>
      <w:szCs w:val="16"/>
    </w:rPr>
  </w:style>
  <w:style w:type="paragraph" w:customStyle="1" w:styleId="xl163">
    <w:name w:val="xl163"/>
    <w:basedOn w:val="Normal"/>
    <w:pPr>
      <w:spacing w:before="100" w:after="100"/>
      <w:textAlignment w:val="top"/>
    </w:pPr>
    <w:rPr>
      <w:rFonts w:eastAsia="Times New Roman" w:cs="Arial"/>
      <w:sz w:val="16"/>
      <w:szCs w:val="16"/>
    </w:rPr>
  </w:style>
  <w:style w:type="paragraph" w:customStyle="1" w:styleId="xl164">
    <w:name w:val="xl164"/>
    <w:basedOn w:val="Normal"/>
    <w:pPr>
      <w:spacing w:before="100" w:after="100"/>
      <w:textAlignment w:val="top"/>
    </w:pPr>
    <w:rPr>
      <w:rFonts w:eastAsia="Times New Roman" w:cs="Arial"/>
      <w:sz w:val="16"/>
      <w:szCs w:val="16"/>
    </w:rPr>
  </w:style>
  <w:style w:type="paragraph" w:customStyle="1" w:styleId="xl165">
    <w:name w:val="xl165"/>
    <w:basedOn w:val="Normal"/>
    <w:pPr>
      <w:spacing w:before="100" w:after="100"/>
      <w:textAlignment w:val="top"/>
    </w:pPr>
    <w:rPr>
      <w:rFonts w:eastAsia="Times New Roman" w:cs="Arial"/>
      <w:b/>
      <w:bCs/>
      <w:sz w:val="16"/>
      <w:szCs w:val="16"/>
    </w:rPr>
  </w:style>
  <w:style w:type="paragraph" w:customStyle="1" w:styleId="xl166">
    <w:name w:val="xl166"/>
    <w:basedOn w:val="Normal"/>
    <w:pPr>
      <w:spacing w:before="100" w:after="100"/>
      <w:textAlignment w:val="top"/>
    </w:pPr>
    <w:rPr>
      <w:rFonts w:eastAsia="Times New Roman" w:cs="Arial"/>
      <w:b/>
      <w:bCs/>
      <w:sz w:val="16"/>
      <w:szCs w:val="16"/>
    </w:rPr>
  </w:style>
  <w:style w:type="paragraph" w:customStyle="1" w:styleId="xl167">
    <w:name w:val="xl167"/>
    <w:basedOn w:val="Normal"/>
    <w:pPr>
      <w:spacing w:before="100" w:after="100"/>
      <w:textAlignment w:val="top"/>
    </w:pPr>
    <w:rPr>
      <w:rFonts w:eastAsia="Times New Roman" w:cs="Arial"/>
      <w:sz w:val="16"/>
      <w:szCs w:val="16"/>
    </w:rPr>
  </w:style>
  <w:style w:type="paragraph" w:customStyle="1" w:styleId="xl168">
    <w:name w:val="xl168"/>
    <w:basedOn w:val="Normal"/>
    <w:pPr>
      <w:spacing w:before="100" w:after="100"/>
      <w:textAlignment w:val="top"/>
    </w:pPr>
    <w:rPr>
      <w:rFonts w:eastAsia="Times New Roman" w:cs="Arial"/>
      <w:sz w:val="16"/>
      <w:szCs w:val="16"/>
    </w:rPr>
  </w:style>
  <w:style w:type="paragraph" w:customStyle="1" w:styleId="xl169">
    <w:name w:val="xl169"/>
    <w:basedOn w:val="Normal"/>
    <w:pPr>
      <w:spacing w:before="100" w:after="100"/>
      <w:textAlignment w:val="top"/>
    </w:pPr>
    <w:rPr>
      <w:rFonts w:eastAsia="Times New Roman" w:cs="Arial"/>
      <w:color w:val="000000"/>
      <w:sz w:val="16"/>
      <w:szCs w:val="16"/>
    </w:rPr>
  </w:style>
  <w:style w:type="paragraph" w:customStyle="1" w:styleId="xl170">
    <w:name w:val="xl170"/>
    <w:basedOn w:val="Normal"/>
    <w:pPr>
      <w:spacing w:before="100" w:after="100"/>
      <w:textAlignment w:val="top"/>
    </w:pPr>
    <w:rPr>
      <w:rFonts w:eastAsia="Times New Roman" w:cs="Arial"/>
      <w:color w:val="000000"/>
      <w:sz w:val="16"/>
      <w:szCs w:val="16"/>
    </w:rPr>
  </w:style>
  <w:style w:type="paragraph" w:customStyle="1" w:styleId="xl171">
    <w:name w:val="xl171"/>
    <w:basedOn w:val="Normal"/>
    <w:pPr>
      <w:spacing w:before="100" w:after="100"/>
      <w:jc w:val="right"/>
      <w:textAlignment w:val="top"/>
    </w:pPr>
    <w:rPr>
      <w:rFonts w:eastAsia="Times New Roman" w:cs="Arial"/>
      <w:b/>
      <w:bCs/>
      <w:sz w:val="16"/>
      <w:szCs w:val="16"/>
    </w:rPr>
  </w:style>
  <w:style w:type="paragraph" w:customStyle="1" w:styleId="xl172">
    <w:name w:val="xl172"/>
    <w:basedOn w:val="Normal"/>
    <w:pPr>
      <w:spacing w:before="100" w:after="100"/>
      <w:textAlignment w:val="top"/>
    </w:pPr>
    <w:rPr>
      <w:rFonts w:eastAsia="Times New Roman" w:cs="Arial"/>
      <w:sz w:val="16"/>
      <w:szCs w:val="16"/>
    </w:rPr>
  </w:style>
  <w:style w:type="paragraph" w:customStyle="1" w:styleId="xl173">
    <w:name w:val="xl173"/>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textAlignment w:val="top"/>
    </w:pPr>
    <w:rPr>
      <w:rFonts w:eastAsia="Times New Roman" w:cs="Arial"/>
      <w:b/>
      <w:bCs/>
      <w:sz w:val="16"/>
      <w:szCs w:val="16"/>
    </w:rPr>
  </w:style>
  <w:style w:type="paragraph" w:customStyle="1" w:styleId="xl174">
    <w:name w:val="xl174"/>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textAlignment w:val="top"/>
    </w:pPr>
    <w:rPr>
      <w:rFonts w:eastAsia="Times New Roman" w:cs="Arial"/>
      <w:b/>
      <w:bCs/>
      <w:sz w:val="16"/>
      <w:szCs w:val="16"/>
    </w:rPr>
  </w:style>
  <w:style w:type="paragraph" w:customStyle="1" w:styleId="xl175">
    <w:name w:val="xl175"/>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76">
    <w:name w:val="xl176"/>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77">
    <w:name w:val="xl177"/>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78">
    <w:name w:val="xl178"/>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79">
    <w:name w:val="xl179"/>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80">
    <w:name w:val="xl180"/>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81">
    <w:name w:val="xl181"/>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82">
    <w:name w:val="xl182"/>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183">
    <w:name w:val="xl183"/>
    <w:basedOn w:val="Normal"/>
    <w:pPr>
      <w:spacing w:before="100" w:after="100"/>
      <w:textAlignment w:val="top"/>
    </w:pPr>
    <w:rPr>
      <w:rFonts w:eastAsia="Times New Roman" w:cs="Arial"/>
      <w:b/>
      <w:bCs/>
      <w:sz w:val="16"/>
      <w:szCs w:val="16"/>
    </w:rPr>
  </w:style>
  <w:style w:type="paragraph" w:customStyle="1" w:styleId="xl184">
    <w:name w:val="xl184"/>
    <w:basedOn w:val="Normal"/>
    <w:pPr>
      <w:shd w:val="clear" w:color="auto" w:fill="FFFFFF"/>
      <w:spacing w:before="100" w:after="100"/>
      <w:textAlignment w:val="top"/>
    </w:pPr>
    <w:rPr>
      <w:rFonts w:eastAsia="Times New Roman" w:cs="Arial"/>
      <w:color w:val="000000"/>
      <w:sz w:val="16"/>
      <w:szCs w:val="16"/>
    </w:rPr>
  </w:style>
  <w:style w:type="paragraph" w:customStyle="1" w:styleId="xl185">
    <w:name w:val="xl185"/>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86">
    <w:name w:val="xl186"/>
    <w:basedOn w:val="Normal"/>
    <w:pPr>
      <w:shd w:val="clear" w:color="auto" w:fill="FFFFFF"/>
      <w:spacing w:before="100" w:after="100"/>
      <w:textAlignment w:val="top"/>
    </w:pPr>
    <w:rPr>
      <w:rFonts w:eastAsia="Times New Roman" w:cs="Arial"/>
      <w:color w:val="000000"/>
      <w:sz w:val="16"/>
      <w:szCs w:val="16"/>
    </w:rPr>
  </w:style>
  <w:style w:type="paragraph" w:customStyle="1" w:styleId="xl187">
    <w:name w:val="xl187"/>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88">
    <w:name w:val="xl188"/>
    <w:basedOn w:val="Normal"/>
    <w:pPr>
      <w:shd w:val="clear" w:color="auto" w:fill="FFFFFF"/>
      <w:spacing w:before="100" w:after="100"/>
      <w:jc w:val="right"/>
      <w:textAlignment w:val="top"/>
    </w:pPr>
    <w:rPr>
      <w:rFonts w:eastAsia="Times New Roman" w:cs="Arial"/>
      <w:sz w:val="16"/>
      <w:szCs w:val="16"/>
    </w:rPr>
  </w:style>
  <w:style w:type="paragraph" w:customStyle="1" w:styleId="xl189">
    <w:name w:val="xl189"/>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90">
    <w:name w:val="xl190"/>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91">
    <w:name w:val="xl191"/>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92">
    <w:name w:val="xl192"/>
    <w:basedOn w:val="Normal"/>
    <w:pPr>
      <w:shd w:val="clear" w:color="auto" w:fill="FFFFFF"/>
      <w:spacing w:before="100" w:after="100"/>
      <w:jc w:val="right"/>
      <w:textAlignment w:val="top"/>
    </w:pPr>
    <w:rPr>
      <w:rFonts w:eastAsia="Times New Roman" w:cs="Arial"/>
      <w:sz w:val="16"/>
      <w:szCs w:val="16"/>
    </w:rPr>
  </w:style>
  <w:style w:type="paragraph" w:customStyle="1" w:styleId="xl193">
    <w:name w:val="xl193"/>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94">
    <w:name w:val="xl194"/>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95">
    <w:name w:val="xl195"/>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96">
    <w:name w:val="xl196"/>
    <w:basedOn w:val="Normal"/>
    <w:pPr>
      <w:shd w:val="clear" w:color="auto" w:fill="FFFFFF"/>
      <w:spacing w:before="100" w:after="100"/>
      <w:jc w:val="right"/>
      <w:textAlignment w:val="top"/>
    </w:pPr>
    <w:rPr>
      <w:rFonts w:eastAsia="Times New Roman" w:cs="Arial"/>
      <w:sz w:val="16"/>
      <w:szCs w:val="16"/>
    </w:rPr>
  </w:style>
  <w:style w:type="paragraph" w:customStyle="1" w:styleId="xl197">
    <w:name w:val="xl197"/>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98">
    <w:name w:val="xl198"/>
    <w:basedOn w:val="Normal"/>
    <w:pPr>
      <w:shd w:val="clear" w:color="auto" w:fill="FFFFFF"/>
      <w:spacing w:before="100" w:after="100"/>
      <w:jc w:val="right"/>
      <w:textAlignment w:val="top"/>
    </w:pPr>
    <w:rPr>
      <w:rFonts w:eastAsia="Times New Roman" w:cs="Arial"/>
      <w:color w:val="000000"/>
      <w:sz w:val="16"/>
      <w:szCs w:val="16"/>
    </w:rPr>
  </w:style>
  <w:style w:type="paragraph" w:customStyle="1" w:styleId="xl199">
    <w:name w:val="xl199"/>
    <w:basedOn w:val="Normal"/>
    <w:pPr>
      <w:shd w:val="clear" w:color="auto" w:fill="FFFFFF"/>
      <w:spacing w:before="100" w:after="100"/>
      <w:textAlignment w:val="top"/>
    </w:pPr>
    <w:rPr>
      <w:rFonts w:eastAsia="Times New Roman" w:cs="Arial"/>
      <w:sz w:val="16"/>
      <w:szCs w:val="16"/>
    </w:rPr>
  </w:style>
  <w:style w:type="paragraph" w:customStyle="1" w:styleId="xl200">
    <w:name w:val="xl200"/>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201">
    <w:name w:val="xl201"/>
    <w:basedOn w:val="Normal"/>
    <w:pPr>
      <w:pBdr>
        <w:top w:val="single" w:sz="8" w:space="0" w:color="000000"/>
        <w:left w:val="single" w:sz="8" w:space="0" w:color="000000"/>
        <w:bottom w:val="single" w:sz="8" w:space="0" w:color="000000"/>
        <w:right w:val="single" w:sz="8" w:space="0" w:color="000000"/>
      </w:pBdr>
      <w:shd w:val="clear" w:color="auto" w:fill="DCE6F1"/>
      <w:spacing w:before="100" w:after="100"/>
      <w:jc w:val="right"/>
      <w:textAlignment w:val="top"/>
    </w:pPr>
    <w:rPr>
      <w:rFonts w:eastAsia="Times New Roman" w:cs="Arial"/>
      <w:b/>
      <w:bCs/>
      <w:sz w:val="16"/>
      <w:szCs w:val="16"/>
    </w:rPr>
  </w:style>
  <w:style w:type="paragraph" w:customStyle="1" w:styleId="xl202">
    <w:name w:val="xl202"/>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03">
    <w:name w:val="xl203"/>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04">
    <w:name w:val="xl204"/>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05">
    <w:name w:val="xl205"/>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06">
    <w:name w:val="xl206"/>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07">
    <w:name w:val="xl207"/>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08">
    <w:name w:val="xl208"/>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09">
    <w:name w:val="xl209"/>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10">
    <w:name w:val="xl210"/>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11">
    <w:name w:val="xl211"/>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12">
    <w:name w:val="xl212"/>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13">
    <w:name w:val="xl213"/>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14">
    <w:name w:val="xl214"/>
    <w:basedOn w:val="Normal"/>
    <w:pPr>
      <w:pBdr>
        <w:top w:val="single" w:sz="8" w:space="0" w:color="000000"/>
        <w:left w:val="single" w:sz="8" w:space="0" w:color="000000"/>
        <w:bottom w:val="single" w:sz="8" w:space="0" w:color="000000"/>
        <w:right w:val="single" w:sz="8" w:space="0" w:color="000000"/>
      </w:pBdr>
      <w:spacing w:before="100" w:after="100"/>
      <w:jc w:val="right"/>
      <w:textAlignment w:val="top"/>
    </w:pPr>
    <w:rPr>
      <w:rFonts w:eastAsia="Times New Roman" w:cs="Arial"/>
      <w:b/>
      <w:bCs/>
      <w:sz w:val="16"/>
      <w:szCs w:val="16"/>
    </w:rPr>
  </w:style>
  <w:style w:type="paragraph" w:customStyle="1" w:styleId="xl215">
    <w:name w:val="xl215"/>
    <w:basedOn w:val="Normal"/>
    <w:pPr>
      <w:spacing w:before="100" w:after="100"/>
      <w:jc w:val="right"/>
      <w:textAlignment w:val="top"/>
    </w:pPr>
    <w:rPr>
      <w:rFonts w:eastAsia="Times New Roman" w:cs="Arial"/>
      <w:b/>
      <w:bCs/>
      <w:sz w:val="16"/>
      <w:szCs w:val="16"/>
    </w:rPr>
  </w:style>
  <w:style w:type="paragraph" w:customStyle="1" w:styleId="xl216">
    <w:name w:val="xl216"/>
    <w:basedOn w:val="Normal"/>
    <w:pPr>
      <w:spacing w:before="100" w:after="100"/>
      <w:jc w:val="right"/>
      <w:textAlignment w:val="top"/>
    </w:pPr>
    <w:rPr>
      <w:rFonts w:eastAsia="Times New Roman" w:cs="Arial"/>
      <w:b/>
      <w:bCs/>
      <w:sz w:val="16"/>
      <w:szCs w:val="16"/>
    </w:rPr>
  </w:style>
  <w:style w:type="paragraph" w:customStyle="1" w:styleId="xl217">
    <w:name w:val="xl217"/>
    <w:basedOn w:val="Normal"/>
    <w:pPr>
      <w:spacing w:before="100" w:after="100"/>
      <w:jc w:val="right"/>
      <w:textAlignment w:val="top"/>
    </w:pPr>
    <w:rPr>
      <w:rFonts w:eastAsia="Times New Roman" w:cs="Arial"/>
      <w:b/>
      <w:bCs/>
      <w:sz w:val="16"/>
      <w:szCs w:val="16"/>
    </w:rPr>
  </w:style>
  <w:style w:type="paragraph" w:customStyle="1" w:styleId="xl218">
    <w:name w:val="xl218"/>
    <w:basedOn w:val="Normal"/>
    <w:pPr>
      <w:spacing w:before="100" w:after="100"/>
      <w:jc w:val="right"/>
      <w:textAlignment w:val="top"/>
    </w:pPr>
    <w:rPr>
      <w:rFonts w:eastAsia="Times New Roman" w:cs="Arial"/>
      <w:b/>
      <w:bCs/>
      <w:sz w:val="16"/>
      <w:szCs w:val="16"/>
    </w:rPr>
  </w:style>
  <w:style w:type="paragraph" w:customStyle="1" w:styleId="xl219">
    <w:name w:val="xl219"/>
    <w:basedOn w:val="Normal"/>
    <w:pPr>
      <w:spacing w:before="100" w:after="100"/>
      <w:jc w:val="right"/>
      <w:textAlignment w:val="top"/>
    </w:pPr>
    <w:rPr>
      <w:rFonts w:eastAsia="Times New Roman" w:cs="Arial"/>
      <w:b/>
      <w:bCs/>
      <w:sz w:val="16"/>
      <w:szCs w:val="16"/>
    </w:rPr>
  </w:style>
  <w:style w:type="paragraph" w:customStyle="1" w:styleId="xl220">
    <w:name w:val="xl220"/>
    <w:basedOn w:val="Normal"/>
    <w:pPr>
      <w:spacing w:before="100" w:after="100"/>
      <w:jc w:val="right"/>
      <w:textAlignment w:val="top"/>
    </w:pPr>
    <w:rPr>
      <w:rFonts w:eastAsia="Times New Roman" w:cs="Arial"/>
      <w:b/>
      <w:bCs/>
      <w:sz w:val="16"/>
      <w:szCs w:val="16"/>
    </w:rPr>
  </w:style>
  <w:style w:type="paragraph" w:customStyle="1" w:styleId="xl221">
    <w:name w:val="xl221"/>
    <w:basedOn w:val="Normal"/>
    <w:pPr>
      <w:spacing w:before="100" w:after="100"/>
      <w:jc w:val="right"/>
      <w:textAlignment w:val="top"/>
    </w:pPr>
    <w:rPr>
      <w:rFonts w:eastAsia="Times New Roman" w:cs="Arial"/>
      <w:b/>
      <w:bCs/>
      <w:sz w:val="16"/>
      <w:szCs w:val="16"/>
    </w:rPr>
  </w:style>
  <w:style w:type="paragraph" w:customStyle="1" w:styleId="xl222">
    <w:name w:val="xl222"/>
    <w:basedOn w:val="Normal"/>
    <w:pPr>
      <w:spacing w:before="100" w:after="100"/>
      <w:jc w:val="right"/>
      <w:textAlignment w:val="top"/>
    </w:pPr>
    <w:rPr>
      <w:rFonts w:eastAsia="Times New Roman" w:cs="Arial"/>
      <w:b/>
      <w:bCs/>
      <w:sz w:val="16"/>
      <w:szCs w:val="16"/>
    </w:rPr>
  </w:style>
  <w:style w:type="paragraph" w:customStyle="1" w:styleId="xl223">
    <w:name w:val="xl223"/>
    <w:basedOn w:val="Normal"/>
    <w:pPr>
      <w:spacing w:before="100" w:after="100"/>
      <w:jc w:val="right"/>
      <w:textAlignment w:val="top"/>
    </w:pPr>
    <w:rPr>
      <w:rFonts w:eastAsia="Times New Roman" w:cs="Arial"/>
      <w:b/>
      <w:bCs/>
      <w:sz w:val="16"/>
      <w:szCs w:val="16"/>
    </w:rPr>
  </w:style>
  <w:style w:type="paragraph" w:customStyle="1" w:styleId="xl224">
    <w:name w:val="xl224"/>
    <w:basedOn w:val="Normal"/>
    <w:pPr>
      <w:spacing w:before="100" w:after="100"/>
      <w:jc w:val="right"/>
      <w:textAlignment w:val="top"/>
    </w:pPr>
    <w:rPr>
      <w:rFonts w:eastAsia="Times New Roman" w:cs="Arial"/>
      <w:b/>
      <w:bCs/>
      <w:sz w:val="16"/>
      <w:szCs w:val="16"/>
    </w:rPr>
  </w:style>
  <w:style w:type="paragraph" w:customStyle="1" w:styleId="xl225">
    <w:name w:val="xl225"/>
    <w:basedOn w:val="Normal"/>
    <w:pPr>
      <w:spacing w:before="100" w:after="100"/>
      <w:jc w:val="right"/>
      <w:textAlignment w:val="top"/>
    </w:pPr>
    <w:rPr>
      <w:rFonts w:eastAsia="Times New Roman" w:cs="Arial"/>
      <w:b/>
      <w:bCs/>
      <w:sz w:val="16"/>
      <w:szCs w:val="16"/>
    </w:rPr>
  </w:style>
  <w:style w:type="paragraph" w:customStyle="1" w:styleId="xl226">
    <w:name w:val="xl226"/>
    <w:basedOn w:val="Normal"/>
    <w:pPr>
      <w:spacing w:before="100" w:after="100"/>
      <w:jc w:val="right"/>
      <w:textAlignment w:val="top"/>
    </w:pPr>
    <w:rPr>
      <w:rFonts w:eastAsia="Times New Roman" w:cs="Arial"/>
      <w:b/>
      <w:bCs/>
      <w:sz w:val="16"/>
      <w:szCs w:val="16"/>
    </w:rPr>
  </w:style>
  <w:style w:type="paragraph" w:customStyle="1" w:styleId="xl227">
    <w:name w:val="xl227"/>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b/>
      <w:bCs/>
      <w:sz w:val="16"/>
      <w:szCs w:val="16"/>
    </w:rPr>
  </w:style>
  <w:style w:type="paragraph" w:customStyle="1" w:styleId="xl228">
    <w:name w:val="xl228"/>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b/>
      <w:bCs/>
      <w:sz w:val="16"/>
      <w:szCs w:val="16"/>
    </w:rPr>
  </w:style>
  <w:style w:type="paragraph" w:customStyle="1" w:styleId="xl229">
    <w:name w:val="xl229"/>
    <w:basedOn w:val="Normal"/>
    <w:pPr>
      <w:pBdr>
        <w:top w:val="single" w:sz="8" w:space="0" w:color="000000"/>
        <w:left w:val="single" w:sz="8" w:space="0" w:color="000000"/>
        <w:bottom w:val="single" w:sz="8" w:space="0" w:color="000000"/>
        <w:right w:val="single" w:sz="8" w:space="0" w:color="000000"/>
      </w:pBdr>
      <w:spacing w:before="100" w:after="100"/>
      <w:textAlignment w:val="top"/>
    </w:pPr>
    <w:rPr>
      <w:rFonts w:eastAsia="Times New Roman" w:cs="Arial"/>
      <w:b/>
      <w:bCs/>
      <w:sz w:val="16"/>
      <w:szCs w:val="16"/>
    </w:rPr>
  </w:style>
  <w:style w:type="paragraph" w:customStyle="1" w:styleId="xl230">
    <w:name w:val="xl230"/>
    <w:basedOn w:val="Normal"/>
    <w:pPr>
      <w:spacing w:before="100" w:after="100"/>
      <w:jc w:val="center"/>
      <w:textAlignment w:val="top"/>
    </w:pPr>
    <w:rPr>
      <w:rFonts w:eastAsia="Times New Roman" w:cs="Arial"/>
      <w:b/>
      <w:bCs/>
      <w:i/>
      <w:iCs/>
      <w:sz w:val="16"/>
      <w:szCs w:val="16"/>
    </w:rPr>
  </w:style>
  <w:style w:type="paragraph" w:customStyle="1" w:styleId="xl231">
    <w:name w:val="xl231"/>
    <w:basedOn w:val="Normal"/>
    <w:pPr>
      <w:spacing w:before="100" w:after="100"/>
      <w:jc w:val="center"/>
      <w:textAlignment w:val="top"/>
    </w:pPr>
    <w:rPr>
      <w:rFonts w:eastAsia="Times New Roman" w:cs="Arial"/>
      <w:b/>
      <w:bCs/>
      <w:i/>
      <w:iCs/>
      <w:sz w:val="16"/>
      <w:szCs w:val="16"/>
    </w:rPr>
  </w:style>
  <w:style w:type="paragraph" w:customStyle="1" w:styleId="xl232">
    <w:name w:val="xl232"/>
    <w:basedOn w:val="Normal"/>
    <w:pPr>
      <w:spacing w:before="100" w:after="100"/>
      <w:jc w:val="center"/>
      <w:textAlignment w:val="top"/>
    </w:pPr>
    <w:rPr>
      <w:rFonts w:eastAsia="Times New Roman" w:cs="Arial"/>
      <w:b/>
      <w:bCs/>
      <w:i/>
      <w:iCs/>
      <w:sz w:val="16"/>
      <w:szCs w:val="16"/>
    </w:rPr>
  </w:style>
  <w:style w:type="paragraph" w:customStyle="1" w:styleId="xl233">
    <w:name w:val="xl233"/>
    <w:basedOn w:val="Normal"/>
    <w:pPr>
      <w:spacing w:before="100" w:after="100"/>
      <w:jc w:val="center"/>
      <w:textAlignment w:val="top"/>
    </w:pPr>
    <w:rPr>
      <w:rFonts w:eastAsia="Times New Roman" w:cs="Arial"/>
      <w:b/>
      <w:bCs/>
      <w:i/>
      <w:iCs/>
      <w:sz w:val="16"/>
      <w:szCs w:val="16"/>
    </w:rPr>
  </w:style>
  <w:style w:type="paragraph" w:customStyle="1" w:styleId="xl234">
    <w:name w:val="xl234"/>
    <w:basedOn w:val="Normal"/>
    <w:pPr>
      <w:spacing w:before="100" w:after="100"/>
      <w:jc w:val="center"/>
      <w:textAlignment w:val="top"/>
    </w:pPr>
    <w:rPr>
      <w:rFonts w:eastAsia="Times New Roman" w:cs="Arial"/>
      <w:b/>
      <w:bCs/>
      <w:i/>
      <w:iCs/>
      <w:sz w:val="16"/>
      <w:szCs w:val="16"/>
    </w:rPr>
  </w:style>
  <w:style w:type="character" w:styleId="Strong">
    <w:name w:val="Strong"/>
    <w:basedOn w:val="DefaultParagraphFont"/>
    <w:rPr>
      <w:b/>
      <w:bCs/>
    </w:rPr>
  </w:style>
  <w:style w:type="numbering" w:customStyle="1" w:styleId="WWOutlineListStyle8">
    <w:name w:val="WW_OutlineListStyle_8"/>
    <w:basedOn w:val="NoList"/>
    <w:pPr>
      <w:numPr>
        <w:numId w:val="2"/>
      </w:numPr>
    </w:pPr>
  </w:style>
  <w:style w:type="numbering" w:customStyle="1" w:styleId="WWOutlineListStyle7">
    <w:name w:val="WW_OutlineListStyle_7"/>
    <w:basedOn w:val="NoList"/>
    <w:pPr>
      <w:numPr>
        <w:numId w:val="3"/>
      </w:numPr>
    </w:pPr>
  </w:style>
  <w:style w:type="numbering" w:customStyle="1" w:styleId="WWOutlineListStyle6">
    <w:name w:val="WW_OutlineListStyle_6"/>
    <w:basedOn w:val="NoList"/>
    <w:pPr>
      <w:numPr>
        <w:numId w:val="4"/>
      </w:numPr>
    </w:pPr>
  </w:style>
  <w:style w:type="numbering" w:customStyle="1" w:styleId="WWOutlineListStyle5">
    <w:name w:val="WW_OutlineListStyle_5"/>
    <w:basedOn w:val="NoList"/>
    <w:pPr>
      <w:numPr>
        <w:numId w:val="5"/>
      </w:numPr>
    </w:pPr>
  </w:style>
  <w:style w:type="numbering" w:customStyle="1" w:styleId="WWOutlineListStyle4">
    <w:name w:val="WW_OutlineListStyle_4"/>
    <w:basedOn w:val="NoList"/>
    <w:pPr>
      <w:numPr>
        <w:numId w:val="6"/>
      </w:numPr>
    </w:pPr>
  </w:style>
  <w:style w:type="numbering" w:customStyle="1" w:styleId="WWOutlineListStyle3">
    <w:name w:val="WW_OutlineListStyle_3"/>
    <w:basedOn w:val="NoList"/>
    <w:pPr>
      <w:numPr>
        <w:numId w:val="7"/>
      </w:numPr>
    </w:pPr>
  </w:style>
  <w:style w:type="numbering" w:customStyle="1" w:styleId="WWOutlineListStyle2">
    <w:name w:val="WW_OutlineListStyle_2"/>
    <w:basedOn w:val="NoList"/>
    <w:pPr>
      <w:numPr>
        <w:numId w:val="8"/>
      </w:numPr>
    </w:pPr>
  </w:style>
  <w:style w:type="numbering" w:customStyle="1" w:styleId="WWOutlineListStyle1">
    <w:name w:val="WW_OutlineListStyle_1"/>
    <w:basedOn w:val="NoList"/>
    <w:pPr>
      <w:numPr>
        <w:numId w:val="9"/>
      </w:numPr>
    </w:pPr>
  </w:style>
  <w:style w:type="numbering" w:customStyle="1" w:styleId="WWOutlineListStyle">
    <w:name w:val="WW_OutlineListStyle"/>
    <w:basedOn w:val="NoList"/>
    <w:pPr>
      <w:numPr>
        <w:numId w:val="10"/>
      </w:numPr>
    </w:pPr>
  </w:style>
  <w:style w:type="character" w:customStyle="1" w:styleId="CharAttribute19">
    <w:name w:val="CharAttribute19"/>
    <w:rsid w:val="006B1CA7"/>
    <w:rPr>
      <w:rFonts w:ascii="Arial" w:eastAsia="Times New Roman"/>
      <w:b/>
      <w:sz w:val="22"/>
    </w:rPr>
  </w:style>
  <w:style w:type="character" w:customStyle="1" w:styleId="CharAttribute20">
    <w:name w:val="CharAttribute20"/>
    <w:rsid w:val="006B1CA7"/>
    <w:rPr>
      <w:rFonts w:ascii="Arial" w:eastAsia="Times New Roman"/>
      <w:b/>
      <w:i/>
      <w:sz w:val="22"/>
    </w:rPr>
  </w:style>
  <w:style w:type="paragraph" w:styleId="NoSpacing">
    <w:name w:val="No Spacing"/>
    <w:uiPriority w:val="1"/>
    <w:qFormat/>
    <w:rsid w:val="00A162A3"/>
    <w:pPr>
      <w:widowControl w:val="0"/>
      <w:wordWrap w:val="0"/>
      <w:autoSpaceDE w:val="0"/>
      <w:spacing w:after="0"/>
      <w:jc w:val="both"/>
      <w:textAlignment w:val="auto"/>
    </w:pPr>
    <w:rPr>
      <w:rFonts w:ascii="Batang" w:eastAsia="Batang" w:hAnsi="Times New Roman"/>
      <w:kern w:val="2"/>
      <w:sz w:val="20"/>
      <w:szCs w:val="20"/>
      <w:lang w:eastAsia="ko-KR"/>
    </w:rPr>
  </w:style>
  <w:style w:type="character" w:customStyle="1" w:styleId="CharAttribute39">
    <w:name w:val="CharAttribute39"/>
    <w:rsid w:val="00A162A3"/>
    <w:rPr>
      <w:rFonts w:ascii="Arial" w:eastAsia="Calibri"/>
      <w:b/>
      <w:sz w:val="22"/>
    </w:rPr>
  </w:style>
  <w:style w:type="character" w:customStyle="1" w:styleId="CharAttribute40">
    <w:name w:val="CharAttribute40"/>
    <w:rsid w:val="00A162A3"/>
    <w:rPr>
      <w:rFonts w:ascii="Arial" w:eastAsia="Calibri"/>
      <w:sz w:val="22"/>
    </w:rPr>
  </w:style>
  <w:style w:type="character" w:customStyle="1" w:styleId="CharAttribute51">
    <w:name w:val="CharAttribute51"/>
    <w:rsid w:val="00A162A3"/>
    <w:rPr>
      <w:rFonts w:ascii="Arial" w:eastAsia="Calibri"/>
      <w:i/>
      <w:sz w:val="22"/>
    </w:rPr>
  </w:style>
  <w:style w:type="character" w:customStyle="1" w:styleId="CharAttribute53">
    <w:name w:val="CharAttribute53"/>
    <w:rsid w:val="00A162A3"/>
    <w:rPr>
      <w:rFonts w:ascii="Arial" w:eastAsia="Calibri"/>
      <w:color w:val="0563C1"/>
      <w:sz w:val="2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2720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www.plan-actions-chiropteres.fr/sites/default/files/fichiers/1979_conv_bonn_text.pdf" TargetMode="External"/><Relationship Id="rId39" Type="http://schemas.openxmlformats.org/officeDocument/2006/relationships/fontTable" Target="fontTable.xml"/><Relationship Id="rId21" Type="http://schemas.openxmlformats.org/officeDocument/2006/relationships/footer" Target="footer4.xml"/><Relationship Id="rId34" Type="http://schemas.openxmlformats.org/officeDocument/2006/relationships/hyperlink" Target="http://dx.doi.org/10.2305/IUCN.UK.2019-1.RLTS.T39332A117498371.en"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www.iucnredlist.org/fr/species/41853/68643043" TargetMode="External"/><Relationship Id="rId25" Type="http://schemas.openxmlformats.org/officeDocument/2006/relationships/header" Target="header7.xml"/><Relationship Id="rId33" Type="http://schemas.openxmlformats.org/officeDocument/2006/relationships/hyperlink" Target="http://dx.doi.org/10.2305/IUCN.UK.2019-2.RLTS.T41853A68643043.en" TargetMode="External"/><Relationship Id="rId38"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image" Target="media/image6.tiff"/><Relationship Id="rId20" Type="http://schemas.openxmlformats.org/officeDocument/2006/relationships/header" Target="header5.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footer" Target="footer7.xml"/><Relationship Id="rId37" Type="http://schemas.openxmlformats.org/officeDocument/2006/relationships/header" Target="header1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iucnredlist.org/fr/species/63131/12620901" TargetMode="External"/><Relationship Id="rId23" Type="http://schemas.openxmlformats.org/officeDocument/2006/relationships/header" Target="header6.xml"/><Relationship Id="rId28" Type="http://schemas.openxmlformats.org/officeDocument/2006/relationships/hyperlink" Target="https://www.iucnredlist.org/fr/" TargetMode="External"/><Relationship Id="rId36" Type="http://schemas.openxmlformats.org/officeDocument/2006/relationships/footer" Target="footer8.xml"/><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header" Target="header9.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tiff"/><Relationship Id="rId22" Type="http://schemas.openxmlformats.org/officeDocument/2006/relationships/hyperlink" Target="file:///C:/Users/richa/Downloads/Harrison_Dulvy_2016_Sawfish_strategy_French.pdf" TargetMode="External"/><Relationship Id="rId27" Type="http://schemas.openxmlformats.org/officeDocument/2006/relationships/hyperlink" Target="https://www.cms.int/sites/default/files/document/Res_11_20_conservation_requins_raies_migrateurs_F_ap.pdf" TargetMode="External"/><Relationship Id="rId30" Type="http://schemas.openxmlformats.org/officeDocument/2006/relationships/footer" Target="footer6.xml"/><Relationship Id="rId35" Type="http://schemas.openxmlformats.org/officeDocument/2006/relationships/header" Target="header10.xml"/><Relationship Id="rId8" Type="http://schemas.openxmlformats.org/officeDocument/2006/relationships/image" Target="media/image1.wmf"/><Relationship Id="rId3" Type="http://schemas.openxmlformats.org/officeDocument/2006/relationships/styles" Target="styles.xml"/></Relationships>
</file>

<file path=word/_rels/header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4D1EDA-F0F8-416B-8255-DA87224B4D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6530</Words>
  <Characters>37225</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Cancino</dc:creator>
  <dc:description/>
  <cp:lastModifiedBy>UNEP/CMS Secretariat</cp:lastModifiedBy>
  <cp:revision>2</cp:revision>
  <dcterms:created xsi:type="dcterms:W3CDTF">2019-10-17T12:19:00Z</dcterms:created>
  <dcterms:modified xsi:type="dcterms:W3CDTF">2019-10-17T12:19:00Z</dcterms:modified>
</cp:coreProperties>
</file>