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Pr="00EB7548"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EB7548" w:rsidRDefault="00BF42FC" w:rsidP="00BF42FC">
      <w:pPr>
        <w:jc w:val="right"/>
        <w:rPr>
          <w:sz w:val="22"/>
          <w:szCs w:val="22"/>
          <w:lang w:val="en-GB"/>
        </w:rPr>
      </w:pPr>
    </w:p>
    <w:p w:rsidR="00BF42FC" w:rsidRPr="00EB7548" w:rsidRDefault="003E24AC" w:rsidP="000F1354">
      <w:pPr>
        <w:pStyle w:val="Heading2"/>
        <w:keepNext w:val="0"/>
        <w:ind w:left="-90" w:right="-367"/>
        <w:jc w:val="center"/>
        <w:rPr>
          <w:rFonts w:cs="Arial"/>
          <w:sz w:val="22"/>
          <w:szCs w:val="22"/>
          <w:lang w:val="en-GB"/>
        </w:rPr>
      </w:pPr>
      <w:r w:rsidRPr="00EB7548">
        <w:rPr>
          <w:rFonts w:cs="Arial"/>
          <w:sz w:val="22"/>
          <w:szCs w:val="22"/>
          <w:lang w:val="en-GB"/>
        </w:rPr>
        <w:t xml:space="preserve">SCIENTIFIC COUNCIL COMMENTS </w:t>
      </w:r>
    </w:p>
    <w:p w:rsidR="00BF42FC" w:rsidRPr="00EB7548" w:rsidRDefault="00BF42FC" w:rsidP="00BF42FC">
      <w:pPr>
        <w:pStyle w:val="Heading2"/>
        <w:keepNext w:val="0"/>
        <w:ind w:left="-90" w:right="-367"/>
        <w:jc w:val="center"/>
        <w:rPr>
          <w:rFonts w:cs="Arial"/>
          <w:b w:val="0"/>
          <w:sz w:val="22"/>
          <w:szCs w:val="22"/>
          <w:lang w:val="en-GB"/>
        </w:rPr>
      </w:pPr>
      <w:r w:rsidRPr="00EB7548">
        <w:rPr>
          <w:rFonts w:cs="Arial"/>
          <w:b w:val="0"/>
          <w:sz w:val="22"/>
          <w:szCs w:val="22"/>
          <w:lang w:val="en-GB"/>
        </w:rPr>
        <w:t xml:space="preserve">(arising from ScC-SC2) </w:t>
      </w:r>
    </w:p>
    <w:p w:rsidR="00BF42FC" w:rsidRPr="00EB7548" w:rsidRDefault="00BF42FC" w:rsidP="00BF42FC">
      <w:pPr>
        <w:rPr>
          <w:sz w:val="22"/>
          <w:szCs w:val="22"/>
          <w:lang w:val="en-GB"/>
        </w:rPr>
      </w:pPr>
    </w:p>
    <w:p w:rsidR="00BF42FC" w:rsidRPr="00EB7548" w:rsidRDefault="00BF42FC" w:rsidP="000F1354">
      <w:pPr>
        <w:pStyle w:val="Heading2"/>
        <w:keepNext w:val="0"/>
        <w:ind w:left="-90" w:right="-367"/>
        <w:jc w:val="center"/>
        <w:rPr>
          <w:rFonts w:cs="Arial"/>
          <w:sz w:val="22"/>
          <w:szCs w:val="22"/>
          <w:lang w:val="en-GB"/>
        </w:rPr>
      </w:pPr>
    </w:p>
    <w:p w:rsidR="00D904E9" w:rsidRPr="00EB7548" w:rsidRDefault="00EB7548" w:rsidP="000F1354">
      <w:pPr>
        <w:pStyle w:val="Heading2"/>
        <w:keepNext w:val="0"/>
        <w:ind w:left="-90" w:right="-367"/>
        <w:jc w:val="center"/>
        <w:rPr>
          <w:bCs w:val="0"/>
          <w:sz w:val="22"/>
          <w:szCs w:val="22"/>
          <w:lang w:val="en-GB"/>
        </w:rPr>
      </w:pPr>
      <w:r w:rsidRPr="00EB7548">
        <w:rPr>
          <w:bCs w:val="0"/>
          <w:sz w:val="22"/>
          <w:szCs w:val="22"/>
          <w:lang w:val="en-GB"/>
        </w:rPr>
        <w:t>PROPOSAL FOR INCLUSION OF THE CHIMPANZEE (</w:t>
      </w:r>
      <w:r>
        <w:rPr>
          <w:bCs w:val="0"/>
          <w:i/>
          <w:sz w:val="22"/>
          <w:szCs w:val="22"/>
        </w:rPr>
        <w:t>P</w:t>
      </w:r>
      <w:r w:rsidRPr="00EB7548">
        <w:rPr>
          <w:bCs w:val="0"/>
          <w:i/>
          <w:sz w:val="22"/>
          <w:szCs w:val="22"/>
        </w:rPr>
        <w:t>an troglodytes</w:t>
      </w:r>
      <w:r w:rsidRPr="00EB7548">
        <w:rPr>
          <w:bCs w:val="0"/>
          <w:sz w:val="22"/>
          <w:szCs w:val="22"/>
          <w:lang w:val="en-GB"/>
        </w:rPr>
        <w:t xml:space="preserve">) ON </w:t>
      </w:r>
    </w:p>
    <w:p w:rsidR="00D904E9" w:rsidRPr="00EB7548" w:rsidRDefault="00EB7548" w:rsidP="000F1354">
      <w:pPr>
        <w:pStyle w:val="Heading2"/>
        <w:keepNext w:val="0"/>
        <w:ind w:left="-90" w:right="-367"/>
        <w:jc w:val="center"/>
        <w:rPr>
          <w:bCs w:val="0"/>
          <w:sz w:val="22"/>
          <w:szCs w:val="22"/>
          <w:lang w:val="en-GB"/>
        </w:rPr>
      </w:pPr>
      <w:r w:rsidRPr="00EB7548">
        <w:rPr>
          <w:bCs w:val="0"/>
          <w:sz w:val="22"/>
          <w:szCs w:val="22"/>
          <w:lang w:val="en-GB"/>
        </w:rPr>
        <w:t>APPENDIX I AND II OF THE CONVENTION</w:t>
      </w:r>
    </w:p>
    <w:p w:rsidR="000F1354" w:rsidRPr="00EB7548" w:rsidRDefault="003E24AC" w:rsidP="000F1354">
      <w:pPr>
        <w:pStyle w:val="Heading2"/>
        <w:keepNext w:val="0"/>
        <w:ind w:left="-90" w:right="-367"/>
        <w:jc w:val="center"/>
        <w:rPr>
          <w:rFonts w:cs="Arial"/>
          <w:sz w:val="22"/>
          <w:szCs w:val="22"/>
          <w:lang w:val="en-GB"/>
        </w:rPr>
      </w:pPr>
      <w:r w:rsidRPr="00EB7548">
        <w:rPr>
          <w:rFonts w:cs="Arial"/>
          <w:sz w:val="22"/>
          <w:szCs w:val="22"/>
          <w:lang w:val="en-GB"/>
        </w:rPr>
        <w:t>UNEP/CMS/COP12</w:t>
      </w:r>
      <w:r w:rsidR="00D904E9" w:rsidRPr="00EB7548">
        <w:rPr>
          <w:rFonts w:cs="Arial"/>
          <w:sz w:val="22"/>
          <w:szCs w:val="22"/>
          <w:lang w:val="en-GB"/>
        </w:rPr>
        <w:t>/Doc.25.1.</w:t>
      </w:r>
      <w:r w:rsidR="002C4E2C" w:rsidRPr="00EB7548">
        <w:rPr>
          <w:rFonts w:cs="Arial"/>
          <w:sz w:val="22"/>
          <w:szCs w:val="22"/>
          <w:lang w:val="en-GB"/>
        </w:rPr>
        <w:t>1</w:t>
      </w:r>
    </w:p>
    <w:p w:rsidR="00BF42FC" w:rsidRPr="00EB7548" w:rsidRDefault="00BF42FC" w:rsidP="00BF42FC">
      <w:pPr>
        <w:jc w:val="center"/>
        <w:rPr>
          <w:b/>
          <w:sz w:val="22"/>
          <w:szCs w:val="22"/>
          <w:lang w:val="en-GB"/>
        </w:rPr>
      </w:pPr>
    </w:p>
    <w:p w:rsidR="00DF4423" w:rsidRPr="00EB7548" w:rsidRDefault="00DF4423" w:rsidP="000F1354">
      <w:pPr>
        <w:tabs>
          <w:tab w:val="left" w:pos="1020"/>
        </w:tabs>
        <w:rPr>
          <w:rFonts w:cs="Arial"/>
          <w:sz w:val="22"/>
          <w:szCs w:val="22"/>
        </w:rPr>
      </w:pPr>
    </w:p>
    <w:p w:rsidR="006356C5" w:rsidRPr="00EB7548" w:rsidRDefault="006356C5" w:rsidP="00DF4423">
      <w:pPr>
        <w:tabs>
          <w:tab w:val="left" w:pos="1020"/>
        </w:tabs>
        <w:rPr>
          <w:rFonts w:cs="Arial"/>
          <w:b/>
          <w:sz w:val="22"/>
          <w:szCs w:val="22"/>
        </w:rPr>
      </w:pPr>
    </w:p>
    <w:p w:rsidR="00DF4423" w:rsidRPr="00EB7548" w:rsidRDefault="00DF4423" w:rsidP="00DF4423">
      <w:pPr>
        <w:tabs>
          <w:tab w:val="left" w:pos="1020"/>
        </w:tabs>
        <w:rPr>
          <w:rFonts w:cs="Arial"/>
          <w:b/>
          <w:sz w:val="22"/>
          <w:szCs w:val="22"/>
        </w:rPr>
      </w:pPr>
      <w:r w:rsidRPr="00EB7548">
        <w:rPr>
          <w:rFonts w:cs="Arial"/>
          <w:b/>
          <w:sz w:val="22"/>
          <w:szCs w:val="22"/>
        </w:rPr>
        <w:t>GENERAL COMMENTS ON THE DOCUMENT</w:t>
      </w:r>
    </w:p>
    <w:p w:rsidR="00AE45FB" w:rsidRPr="00EB7548" w:rsidRDefault="00AE45FB" w:rsidP="00DF4423">
      <w:pPr>
        <w:tabs>
          <w:tab w:val="left" w:pos="1020"/>
        </w:tabs>
        <w:rPr>
          <w:rFonts w:cs="Arial"/>
          <w:b/>
          <w:sz w:val="22"/>
          <w:szCs w:val="22"/>
        </w:rPr>
      </w:pPr>
    </w:p>
    <w:p w:rsidR="006356C5" w:rsidRPr="00EB7548" w:rsidRDefault="00BB21C6" w:rsidP="00BB21C6">
      <w:pPr>
        <w:pStyle w:val="ListParagraph"/>
        <w:numPr>
          <w:ilvl w:val="0"/>
          <w:numId w:val="44"/>
        </w:numPr>
        <w:tabs>
          <w:tab w:val="left" w:pos="1020"/>
        </w:tabs>
        <w:rPr>
          <w:rFonts w:cs="Arial"/>
          <w:sz w:val="22"/>
          <w:szCs w:val="22"/>
        </w:rPr>
      </w:pPr>
      <w:r w:rsidRPr="00EB7548">
        <w:rPr>
          <w:rFonts w:cs="Arial"/>
          <w:sz w:val="22"/>
          <w:szCs w:val="22"/>
        </w:rPr>
        <w:t>The Working Group considered the proposal and agreed that it satisfies the lis</w:t>
      </w:r>
      <w:r w:rsidR="009072E4" w:rsidRPr="00EB7548">
        <w:rPr>
          <w:rFonts w:cs="Arial"/>
          <w:sz w:val="22"/>
          <w:szCs w:val="22"/>
        </w:rPr>
        <w:t xml:space="preserve">ting criteria of the Convention, following the conclusion of the Chair that the proposal is being submitted at a time when the species requires urgent protection. </w:t>
      </w:r>
    </w:p>
    <w:p w:rsidR="00DF4423" w:rsidRDefault="00DF4423" w:rsidP="00DF4423">
      <w:pPr>
        <w:tabs>
          <w:tab w:val="left" w:pos="1020"/>
        </w:tabs>
        <w:rPr>
          <w:rFonts w:cs="Arial"/>
          <w:b/>
          <w:sz w:val="22"/>
          <w:szCs w:val="22"/>
        </w:rPr>
      </w:pPr>
    </w:p>
    <w:p w:rsidR="00EB7548" w:rsidRPr="00EB7548" w:rsidRDefault="00EB7548" w:rsidP="00DF4423">
      <w:pPr>
        <w:tabs>
          <w:tab w:val="left" w:pos="1020"/>
        </w:tabs>
        <w:rPr>
          <w:rFonts w:cs="Arial"/>
          <w:b/>
          <w:sz w:val="22"/>
          <w:szCs w:val="22"/>
        </w:rPr>
      </w:pPr>
    </w:p>
    <w:p w:rsidR="008F20D3" w:rsidRPr="00EB7548" w:rsidRDefault="006356C5" w:rsidP="008F20D3">
      <w:pPr>
        <w:tabs>
          <w:tab w:val="left" w:pos="1020"/>
        </w:tabs>
        <w:rPr>
          <w:rFonts w:cs="Arial"/>
          <w:b/>
          <w:sz w:val="22"/>
          <w:szCs w:val="22"/>
        </w:rPr>
      </w:pPr>
      <w:r w:rsidRPr="00EB7548">
        <w:rPr>
          <w:rFonts w:cs="Arial"/>
          <w:b/>
          <w:sz w:val="22"/>
          <w:szCs w:val="22"/>
        </w:rPr>
        <w:t>COMMENTS ON SPECIFIC SECTIONS</w:t>
      </w:r>
      <w:r w:rsidR="008F20D3" w:rsidRPr="00EB7548">
        <w:rPr>
          <w:rFonts w:cs="Arial"/>
          <w:b/>
          <w:sz w:val="22"/>
          <w:szCs w:val="22"/>
        </w:rPr>
        <w:t xml:space="preserve">/ </w:t>
      </w:r>
      <w:r w:rsidR="00DF4423" w:rsidRPr="00EB7548">
        <w:rPr>
          <w:rFonts w:cs="Arial"/>
          <w:b/>
          <w:sz w:val="22"/>
          <w:szCs w:val="22"/>
        </w:rPr>
        <w:t>INCLUDING POSSI</w:t>
      </w:r>
      <w:r w:rsidR="008F20D3" w:rsidRPr="00EB7548">
        <w:rPr>
          <w:rFonts w:cs="Arial"/>
          <w:b/>
          <w:sz w:val="22"/>
          <w:szCs w:val="22"/>
        </w:rPr>
        <w:t>BLE PROPOSALS FOR TEXT REVISION</w:t>
      </w:r>
    </w:p>
    <w:p w:rsidR="008F20D3" w:rsidRPr="00EB7548" w:rsidRDefault="008F20D3" w:rsidP="008F20D3">
      <w:pPr>
        <w:tabs>
          <w:tab w:val="left" w:pos="1020"/>
        </w:tabs>
        <w:rPr>
          <w:rFonts w:cs="Arial"/>
          <w:b/>
          <w:sz w:val="22"/>
          <w:szCs w:val="22"/>
        </w:rPr>
      </w:pPr>
    </w:p>
    <w:p w:rsidR="00EB7548" w:rsidRDefault="00ED38DF" w:rsidP="00EB7548">
      <w:pPr>
        <w:pStyle w:val="ListParagraph"/>
        <w:tabs>
          <w:tab w:val="left" w:pos="1020"/>
        </w:tabs>
        <w:ind w:left="360"/>
        <w:jc w:val="both"/>
        <w:rPr>
          <w:rFonts w:cs="Arial"/>
          <w:sz w:val="22"/>
          <w:szCs w:val="22"/>
        </w:rPr>
      </w:pPr>
      <w:r w:rsidRPr="00EB7548">
        <w:rPr>
          <w:rFonts w:cs="Arial"/>
          <w:sz w:val="22"/>
          <w:szCs w:val="22"/>
        </w:rPr>
        <w:t>Page 3, para.3 (Migrations)</w:t>
      </w:r>
    </w:p>
    <w:p w:rsidR="00ED38DF" w:rsidRPr="00EB7548" w:rsidRDefault="00ED38DF" w:rsidP="00EB7548">
      <w:pPr>
        <w:pStyle w:val="ListParagraph"/>
        <w:numPr>
          <w:ilvl w:val="0"/>
          <w:numId w:val="44"/>
        </w:numPr>
        <w:tabs>
          <w:tab w:val="left" w:pos="1020"/>
        </w:tabs>
        <w:jc w:val="both"/>
        <w:rPr>
          <w:rFonts w:cs="Arial"/>
          <w:sz w:val="22"/>
          <w:szCs w:val="22"/>
        </w:rPr>
      </w:pPr>
      <w:r w:rsidRPr="00EB7548">
        <w:rPr>
          <w:rFonts w:cs="Arial"/>
          <w:sz w:val="22"/>
          <w:szCs w:val="22"/>
        </w:rPr>
        <w:t xml:space="preserve">In response to a question raised by the </w:t>
      </w:r>
      <w:r w:rsidR="00053F19" w:rsidRPr="00EB7548">
        <w:rPr>
          <w:rFonts w:cs="Arial"/>
          <w:sz w:val="22"/>
          <w:szCs w:val="22"/>
        </w:rPr>
        <w:t xml:space="preserve">Scientific Councilor of the </w:t>
      </w:r>
      <w:r w:rsidRPr="00EB7548">
        <w:rPr>
          <w:rFonts w:cs="Arial"/>
          <w:sz w:val="22"/>
          <w:szCs w:val="22"/>
        </w:rPr>
        <w:t xml:space="preserve">UK on the cyclical and predictable nature of the species’ migration patterns, as well as the on the significant proportion requirement, the </w:t>
      </w:r>
      <w:r w:rsidR="009072E4" w:rsidRPr="00EB7548">
        <w:rPr>
          <w:rFonts w:cs="Arial"/>
          <w:sz w:val="22"/>
          <w:szCs w:val="22"/>
        </w:rPr>
        <w:t>participant speaking on behalf of the proponents replied that all chimpanzee populations except for that of Tanzania were transboundary. Although little research had been done that could be used to quantify proportions of individuals crossing, anecdotal evidence exists about the DRC – Angola as well as the Burkina Faso – Central African Republic populations where species frequently cross the international borders in search of food.</w:t>
      </w:r>
    </w:p>
    <w:p w:rsidR="00ED38DF" w:rsidRPr="00EB7548" w:rsidRDefault="00ED38DF" w:rsidP="00ED38DF">
      <w:pPr>
        <w:pStyle w:val="ListParagraph"/>
        <w:tabs>
          <w:tab w:val="left" w:pos="1020"/>
        </w:tabs>
        <w:ind w:left="360"/>
        <w:rPr>
          <w:rFonts w:cs="Arial"/>
          <w:sz w:val="22"/>
          <w:szCs w:val="22"/>
        </w:rPr>
      </w:pPr>
    </w:p>
    <w:p w:rsidR="00ED38DF" w:rsidRPr="00EB7548" w:rsidRDefault="00ED38DF" w:rsidP="00ED38DF">
      <w:pPr>
        <w:pStyle w:val="ListParagraph"/>
        <w:tabs>
          <w:tab w:val="left" w:pos="1020"/>
        </w:tabs>
        <w:ind w:left="360"/>
        <w:rPr>
          <w:rFonts w:cs="Arial"/>
          <w:b/>
          <w:sz w:val="22"/>
          <w:szCs w:val="22"/>
        </w:rPr>
      </w:pPr>
    </w:p>
    <w:p w:rsidR="00DF4423" w:rsidRPr="00EB7548" w:rsidRDefault="00DF4423" w:rsidP="00DF4423">
      <w:pPr>
        <w:tabs>
          <w:tab w:val="left" w:pos="1020"/>
        </w:tabs>
        <w:rPr>
          <w:rFonts w:cs="Arial"/>
          <w:b/>
          <w:sz w:val="22"/>
          <w:szCs w:val="22"/>
        </w:rPr>
      </w:pPr>
      <w:r w:rsidRPr="00EB7548">
        <w:rPr>
          <w:rFonts w:cs="Arial"/>
          <w:b/>
          <w:sz w:val="22"/>
          <w:szCs w:val="22"/>
        </w:rPr>
        <w:t>RECOMMENDATIONS TO COP12</w:t>
      </w:r>
    </w:p>
    <w:p w:rsidR="000F1354" w:rsidRPr="00EB7548" w:rsidRDefault="000F1354" w:rsidP="00EB7548">
      <w:pPr>
        <w:rPr>
          <w:rFonts w:cs="Arial"/>
          <w:sz w:val="22"/>
          <w:szCs w:val="22"/>
          <w:lang w:val="fr-FR"/>
        </w:rPr>
      </w:pPr>
    </w:p>
    <w:p w:rsidR="001D582E" w:rsidRPr="00EB7548" w:rsidRDefault="00AC7065" w:rsidP="001D582E">
      <w:pPr>
        <w:pStyle w:val="ListParagraph"/>
        <w:numPr>
          <w:ilvl w:val="0"/>
          <w:numId w:val="43"/>
        </w:numPr>
        <w:tabs>
          <w:tab w:val="left" w:pos="1020"/>
        </w:tabs>
        <w:rPr>
          <w:rFonts w:cs="Arial"/>
          <w:sz w:val="22"/>
          <w:szCs w:val="22"/>
        </w:rPr>
      </w:pPr>
      <w:r w:rsidRPr="00EB7548">
        <w:rPr>
          <w:rFonts w:cs="Arial"/>
          <w:sz w:val="22"/>
          <w:szCs w:val="22"/>
        </w:rPr>
        <w:t>Recommended for adoption</w:t>
      </w:r>
      <w:r w:rsidR="00EB7548">
        <w:rPr>
          <w:rFonts w:cs="Arial"/>
          <w:sz w:val="22"/>
          <w:szCs w:val="22"/>
        </w:rPr>
        <w:t>.</w:t>
      </w:r>
    </w:p>
    <w:p w:rsidR="00397D2C" w:rsidRPr="00EB7548" w:rsidRDefault="00397D2C" w:rsidP="00397D2C">
      <w:pPr>
        <w:rPr>
          <w:rFonts w:cs="Arial"/>
          <w:sz w:val="22"/>
          <w:szCs w:val="22"/>
        </w:rPr>
      </w:pPr>
      <w:bookmarkStart w:id="0" w:name="_GoBack"/>
      <w:bookmarkEnd w:id="0"/>
    </w:p>
    <w:sectPr w:rsidR="00397D2C" w:rsidRPr="00EB7548" w:rsidSect="0052082F">
      <w:headerReference w:type="first" r:id="rId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C5" w:rsidRDefault="009147C5">
      <w:r>
        <w:separator/>
      </w:r>
    </w:p>
  </w:endnote>
  <w:endnote w:type="continuationSeparator" w:id="0">
    <w:p w:rsidR="009147C5" w:rsidRDefault="0091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C5" w:rsidRDefault="009147C5">
      <w:r>
        <w:separator/>
      </w:r>
    </w:p>
  </w:footnote>
  <w:footnote w:type="continuationSeparator" w:id="0">
    <w:p w:rsidR="009147C5" w:rsidRDefault="00914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EB7548" w:rsidRDefault="00BF42FC" w:rsidP="00EB7548">
    <w:pPr>
      <w:pStyle w:val="Header"/>
      <w:pBdr>
        <w:bottom w:val="single" w:sz="4" w:space="1" w:color="auto"/>
      </w:pBdr>
      <w:rPr>
        <w:rFonts w:cs="Arial"/>
        <w:i/>
        <w:szCs w:val="18"/>
        <w:lang w:val="fr-FR"/>
      </w:rPr>
    </w:pPr>
    <w:r w:rsidRPr="00EB7548">
      <w:rPr>
        <w:rFonts w:cs="Arial"/>
        <w:i/>
        <w:szCs w:val="18"/>
        <w:lang w:val="fr-FR"/>
      </w:rPr>
      <w:t>UNEP/CMS/COP12/Doc</w:t>
    </w:r>
    <w:r w:rsidR="00EB7548" w:rsidRPr="00EB7548">
      <w:rPr>
        <w:rFonts w:cs="Arial"/>
        <w:i/>
        <w:szCs w:val="18"/>
        <w:lang w:val="fr-FR"/>
      </w:rPr>
      <w:t>.25.1.1</w:t>
    </w:r>
    <w:r w:rsidR="002300CE" w:rsidRPr="00EB7548">
      <w:rPr>
        <w:rFonts w:cs="Arial"/>
        <w:i/>
        <w:szCs w:val="18"/>
        <w:lang w:val="fr-FR"/>
      </w:rPr>
      <w:t>/</w:t>
    </w:r>
    <w:r w:rsidRPr="00EB7548">
      <w:rPr>
        <w:rFonts w:cs="Arial"/>
        <w:i/>
        <w:szCs w:val="18"/>
        <w:lang w:val="fr-FR"/>
      </w:rPr>
      <w:t>Add.In-S.1</w:t>
    </w:r>
    <w:r w:rsidR="00EB7548" w:rsidRPr="00EB7548">
      <w:rPr>
        <w:rFonts w:cs="Arial"/>
        <w:i/>
        <w:szCs w:val="18"/>
        <w:lang w:val="fr-FR"/>
      </w:rPr>
      <w:t>/T</w:t>
    </w:r>
  </w:p>
  <w:p w:rsidR="00D605A4" w:rsidRPr="00EB7548" w:rsidRDefault="00D605A4" w:rsidP="000F135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9DB297C"/>
    <w:multiLevelType w:val="hybridMultilevel"/>
    <w:tmpl w:val="357C66CE"/>
    <w:lvl w:ilvl="0" w:tplc="1F78878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3"/>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2"/>
  </w:num>
  <w:num w:numId="11">
    <w:abstractNumId w:val="37"/>
  </w:num>
  <w:num w:numId="12">
    <w:abstractNumId w:val="3"/>
  </w:num>
  <w:num w:numId="13">
    <w:abstractNumId w:val="19"/>
  </w:num>
  <w:num w:numId="14">
    <w:abstractNumId w:val="35"/>
  </w:num>
  <w:num w:numId="15">
    <w:abstractNumId w:val="2"/>
  </w:num>
  <w:num w:numId="16">
    <w:abstractNumId w:val="10"/>
  </w:num>
  <w:num w:numId="17">
    <w:abstractNumId w:val="38"/>
  </w:num>
  <w:num w:numId="18">
    <w:abstractNumId w:val="21"/>
  </w:num>
  <w:num w:numId="19">
    <w:abstractNumId w:val="36"/>
  </w:num>
  <w:num w:numId="20">
    <w:abstractNumId w:val="42"/>
  </w:num>
  <w:num w:numId="21">
    <w:abstractNumId w:val="4"/>
  </w:num>
  <w:num w:numId="22">
    <w:abstractNumId w:val="17"/>
  </w:num>
  <w:num w:numId="23">
    <w:abstractNumId w:val="25"/>
  </w:num>
  <w:num w:numId="24">
    <w:abstractNumId w:val="16"/>
  </w:num>
  <w:num w:numId="25">
    <w:abstractNumId w:val="30"/>
  </w:num>
  <w:num w:numId="26">
    <w:abstractNumId w:val="0"/>
  </w:num>
  <w:num w:numId="27">
    <w:abstractNumId w:val="39"/>
  </w:num>
  <w:num w:numId="28">
    <w:abstractNumId w:val="6"/>
  </w:num>
  <w:num w:numId="29">
    <w:abstractNumId w:val="20"/>
  </w:num>
  <w:num w:numId="30">
    <w:abstractNumId w:val="13"/>
  </w:num>
  <w:num w:numId="31">
    <w:abstractNumId w:val="28"/>
  </w:num>
  <w:num w:numId="32">
    <w:abstractNumId w:val="26"/>
  </w:num>
  <w:num w:numId="33">
    <w:abstractNumId w:val="5"/>
  </w:num>
  <w:num w:numId="34">
    <w:abstractNumId w:val="18"/>
  </w:num>
  <w:num w:numId="35">
    <w:abstractNumId w:val="15"/>
  </w:num>
  <w:num w:numId="36">
    <w:abstractNumId w:val="31"/>
  </w:num>
  <w:num w:numId="37">
    <w:abstractNumId w:val="34"/>
  </w:num>
  <w:num w:numId="38">
    <w:abstractNumId w:val="9"/>
  </w:num>
  <w:num w:numId="39">
    <w:abstractNumId w:val="29"/>
  </w:num>
  <w:num w:numId="40">
    <w:abstractNumId w:val="40"/>
  </w:num>
  <w:num w:numId="41">
    <w:abstractNumId w:val="24"/>
  </w:num>
  <w:num w:numId="42">
    <w:abstractNumId w:val="8"/>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518C2"/>
    <w:rsid w:val="00053F19"/>
    <w:rsid w:val="00056DC1"/>
    <w:rsid w:val="00060156"/>
    <w:rsid w:val="00070BBC"/>
    <w:rsid w:val="00073C92"/>
    <w:rsid w:val="00080F03"/>
    <w:rsid w:val="000900E1"/>
    <w:rsid w:val="0009076A"/>
    <w:rsid w:val="000B6220"/>
    <w:rsid w:val="000C21B1"/>
    <w:rsid w:val="000C3C87"/>
    <w:rsid w:val="000C7460"/>
    <w:rsid w:val="000E01C1"/>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A33B6"/>
    <w:rsid w:val="001B24A9"/>
    <w:rsid w:val="001B3576"/>
    <w:rsid w:val="001C6038"/>
    <w:rsid w:val="001D582E"/>
    <w:rsid w:val="001F60A1"/>
    <w:rsid w:val="00200A67"/>
    <w:rsid w:val="00201F88"/>
    <w:rsid w:val="00202332"/>
    <w:rsid w:val="002210F4"/>
    <w:rsid w:val="002300CE"/>
    <w:rsid w:val="00234857"/>
    <w:rsid w:val="00247EC6"/>
    <w:rsid w:val="00254721"/>
    <w:rsid w:val="00260772"/>
    <w:rsid w:val="00263159"/>
    <w:rsid w:val="002779F7"/>
    <w:rsid w:val="00281007"/>
    <w:rsid w:val="00292D7D"/>
    <w:rsid w:val="002B6DC8"/>
    <w:rsid w:val="002C187A"/>
    <w:rsid w:val="002C20F1"/>
    <w:rsid w:val="002C4E2C"/>
    <w:rsid w:val="002D2863"/>
    <w:rsid w:val="002D5EC0"/>
    <w:rsid w:val="002E3DEA"/>
    <w:rsid w:val="002E7CC2"/>
    <w:rsid w:val="002F6F9B"/>
    <w:rsid w:val="00305783"/>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54913"/>
    <w:rsid w:val="00454CCF"/>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355E0"/>
    <w:rsid w:val="00542FCC"/>
    <w:rsid w:val="00553795"/>
    <w:rsid w:val="00554CE5"/>
    <w:rsid w:val="0055762E"/>
    <w:rsid w:val="00565445"/>
    <w:rsid w:val="0057533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494D"/>
    <w:rsid w:val="00667726"/>
    <w:rsid w:val="006815B2"/>
    <w:rsid w:val="00682B31"/>
    <w:rsid w:val="006864E1"/>
    <w:rsid w:val="006874FA"/>
    <w:rsid w:val="006B1037"/>
    <w:rsid w:val="006C0FC6"/>
    <w:rsid w:val="006E56AD"/>
    <w:rsid w:val="006E5763"/>
    <w:rsid w:val="006F450A"/>
    <w:rsid w:val="006F6A33"/>
    <w:rsid w:val="007101BB"/>
    <w:rsid w:val="00713308"/>
    <w:rsid w:val="00720178"/>
    <w:rsid w:val="00727E01"/>
    <w:rsid w:val="00757614"/>
    <w:rsid w:val="00762825"/>
    <w:rsid w:val="00771A11"/>
    <w:rsid w:val="007728B4"/>
    <w:rsid w:val="0077622E"/>
    <w:rsid w:val="00777913"/>
    <w:rsid w:val="00777FE4"/>
    <w:rsid w:val="0079075D"/>
    <w:rsid w:val="007C1468"/>
    <w:rsid w:val="007C41D7"/>
    <w:rsid w:val="007E6F28"/>
    <w:rsid w:val="007F16FB"/>
    <w:rsid w:val="007F1BBA"/>
    <w:rsid w:val="0081600F"/>
    <w:rsid w:val="0082722D"/>
    <w:rsid w:val="008274F7"/>
    <w:rsid w:val="008441F9"/>
    <w:rsid w:val="00846A99"/>
    <w:rsid w:val="008641D1"/>
    <w:rsid w:val="008648EB"/>
    <w:rsid w:val="00872F67"/>
    <w:rsid w:val="00893346"/>
    <w:rsid w:val="008A0D8D"/>
    <w:rsid w:val="008B1A69"/>
    <w:rsid w:val="008C1A39"/>
    <w:rsid w:val="008E7DFB"/>
    <w:rsid w:val="008F20D3"/>
    <w:rsid w:val="008F7327"/>
    <w:rsid w:val="009072E4"/>
    <w:rsid w:val="009076C8"/>
    <w:rsid w:val="009147C5"/>
    <w:rsid w:val="00915BBE"/>
    <w:rsid w:val="00921D62"/>
    <w:rsid w:val="00922791"/>
    <w:rsid w:val="00927CD6"/>
    <w:rsid w:val="00933572"/>
    <w:rsid w:val="009363C7"/>
    <w:rsid w:val="00945FFB"/>
    <w:rsid w:val="00971F31"/>
    <w:rsid w:val="00972D36"/>
    <w:rsid w:val="00974ECB"/>
    <w:rsid w:val="00980406"/>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27BE3"/>
    <w:rsid w:val="00A339B9"/>
    <w:rsid w:val="00A404C3"/>
    <w:rsid w:val="00A40EDF"/>
    <w:rsid w:val="00A568DF"/>
    <w:rsid w:val="00A73A79"/>
    <w:rsid w:val="00A854E8"/>
    <w:rsid w:val="00A91596"/>
    <w:rsid w:val="00A93C52"/>
    <w:rsid w:val="00AA024D"/>
    <w:rsid w:val="00AA7368"/>
    <w:rsid w:val="00AA7A90"/>
    <w:rsid w:val="00AB4FF9"/>
    <w:rsid w:val="00AC7065"/>
    <w:rsid w:val="00AC7ABB"/>
    <w:rsid w:val="00AE45FB"/>
    <w:rsid w:val="00AE7B21"/>
    <w:rsid w:val="00AF1980"/>
    <w:rsid w:val="00AF2021"/>
    <w:rsid w:val="00B21ABD"/>
    <w:rsid w:val="00B471BD"/>
    <w:rsid w:val="00B50C2D"/>
    <w:rsid w:val="00B64904"/>
    <w:rsid w:val="00BA60CE"/>
    <w:rsid w:val="00BA7C3C"/>
    <w:rsid w:val="00BB21C6"/>
    <w:rsid w:val="00BC5607"/>
    <w:rsid w:val="00BE0D1D"/>
    <w:rsid w:val="00BE2448"/>
    <w:rsid w:val="00BE24D4"/>
    <w:rsid w:val="00BF2BE7"/>
    <w:rsid w:val="00BF42FC"/>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6EDD"/>
    <w:rsid w:val="00D05922"/>
    <w:rsid w:val="00D24EF1"/>
    <w:rsid w:val="00D42AE1"/>
    <w:rsid w:val="00D466CE"/>
    <w:rsid w:val="00D605A4"/>
    <w:rsid w:val="00D61B13"/>
    <w:rsid w:val="00D7746A"/>
    <w:rsid w:val="00D838FE"/>
    <w:rsid w:val="00D8406F"/>
    <w:rsid w:val="00D859C7"/>
    <w:rsid w:val="00D9021F"/>
    <w:rsid w:val="00D904E9"/>
    <w:rsid w:val="00DA1080"/>
    <w:rsid w:val="00DA12C2"/>
    <w:rsid w:val="00DB30A6"/>
    <w:rsid w:val="00DD6A9E"/>
    <w:rsid w:val="00DF38F9"/>
    <w:rsid w:val="00DF4423"/>
    <w:rsid w:val="00DF5AD1"/>
    <w:rsid w:val="00E23367"/>
    <w:rsid w:val="00E30B00"/>
    <w:rsid w:val="00E31B92"/>
    <w:rsid w:val="00E475D4"/>
    <w:rsid w:val="00E74D1C"/>
    <w:rsid w:val="00E8776E"/>
    <w:rsid w:val="00E9237A"/>
    <w:rsid w:val="00EA0B88"/>
    <w:rsid w:val="00EA3031"/>
    <w:rsid w:val="00EB2285"/>
    <w:rsid w:val="00EB7548"/>
    <w:rsid w:val="00EC3A09"/>
    <w:rsid w:val="00EC4294"/>
    <w:rsid w:val="00EC681E"/>
    <w:rsid w:val="00ED02D3"/>
    <w:rsid w:val="00ED38DF"/>
    <w:rsid w:val="00ED5E31"/>
    <w:rsid w:val="00EE64C1"/>
    <w:rsid w:val="00F05AA0"/>
    <w:rsid w:val="00F061CB"/>
    <w:rsid w:val="00F24050"/>
    <w:rsid w:val="00F248AA"/>
    <w:rsid w:val="00F31539"/>
    <w:rsid w:val="00F444EC"/>
    <w:rsid w:val="00F45FE3"/>
    <w:rsid w:val="00F46143"/>
    <w:rsid w:val="00F54D03"/>
    <w:rsid w:val="00F6347A"/>
    <w:rsid w:val="00F7503A"/>
    <w:rsid w:val="00F81FEF"/>
    <w:rsid w:val="00F84C80"/>
    <w:rsid w:val="00F901E4"/>
    <w:rsid w:val="00F91CAB"/>
    <w:rsid w:val="00F978B9"/>
    <w:rsid w:val="00FA288C"/>
    <w:rsid w:val="00FA61AF"/>
    <w:rsid w:val="00FD3A06"/>
    <w:rsid w:val="00FD7D14"/>
    <w:rsid w:val="00FE79B8"/>
    <w:rsid w:val="00FF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2843E3"/>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CMS Secretariat</cp:lastModifiedBy>
  <cp:revision>2</cp:revision>
  <cp:lastPrinted>2017-07-07T11:51:00Z</cp:lastPrinted>
  <dcterms:created xsi:type="dcterms:W3CDTF">2017-07-12T11:43:00Z</dcterms:created>
  <dcterms:modified xsi:type="dcterms:W3CDTF">2017-07-12T11:43:00Z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