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02557" w14:textId="77777777" w:rsidR="00682B31" w:rsidRPr="00682B31" w:rsidRDefault="00682B31" w:rsidP="00682B31">
      <w:pPr>
        <w:tabs>
          <w:tab w:val="left" w:pos="-1057"/>
          <w:tab w:val="left" w:pos="-720"/>
        </w:tabs>
        <w:ind w:left="-90"/>
        <w:rPr>
          <w:rFonts w:cs="Arial"/>
          <w:spacing w:val="-8"/>
          <w:sz w:val="12"/>
          <w:szCs w:val="12"/>
          <w:lang w:val="en-GB"/>
        </w:rPr>
      </w:pPr>
    </w:p>
    <w:p w14:paraId="7A954B60" w14:textId="77777777" w:rsidR="0081600F" w:rsidRPr="00420040" w:rsidRDefault="00921D62" w:rsidP="009E72D7">
      <w:pPr>
        <w:tabs>
          <w:tab w:val="left" w:pos="-1057"/>
          <w:tab w:val="left" w:pos="-720"/>
        </w:tabs>
        <w:rPr>
          <w:rFonts w:cs="Arial"/>
          <w:sz w:val="22"/>
          <w:szCs w:val="22"/>
          <w:lang w:val="en-GB"/>
        </w:rPr>
      </w:pPr>
      <w:r w:rsidRPr="00420040">
        <w:rPr>
          <w:rFonts w:cs="Arial"/>
          <w:sz w:val="22"/>
          <w:szCs w:val="22"/>
          <w:lang w:val="en-GB"/>
        </w:rPr>
        <w:t>1</w:t>
      </w:r>
      <w:r w:rsidR="00ED02D3" w:rsidRPr="00420040">
        <w:rPr>
          <w:rFonts w:cs="Arial"/>
          <w:sz w:val="22"/>
          <w:szCs w:val="22"/>
          <w:lang w:val="en-GB"/>
        </w:rPr>
        <w:t>2</w:t>
      </w:r>
      <w:r w:rsidR="005F3989" w:rsidRPr="00420040">
        <w:rPr>
          <w:rFonts w:cs="Arial"/>
          <w:sz w:val="22"/>
          <w:szCs w:val="22"/>
          <w:vertAlign w:val="superscript"/>
          <w:lang w:val="en-GB"/>
        </w:rPr>
        <w:t>th</w:t>
      </w:r>
      <w:r w:rsidR="0081600F" w:rsidRPr="00420040">
        <w:rPr>
          <w:rFonts w:cs="Arial"/>
          <w:sz w:val="22"/>
          <w:szCs w:val="22"/>
          <w:lang w:val="en-GB"/>
        </w:rPr>
        <w:t xml:space="preserve"> MEETING OF THE</w:t>
      </w:r>
      <w:r w:rsidRPr="00420040">
        <w:rPr>
          <w:rFonts w:cs="Arial"/>
          <w:sz w:val="22"/>
          <w:szCs w:val="22"/>
          <w:lang w:val="en-GB"/>
        </w:rPr>
        <w:t xml:space="preserve"> CONFERENCE OF THE PARTIES</w:t>
      </w:r>
    </w:p>
    <w:p w14:paraId="4C799ABC" w14:textId="77777777" w:rsidR="0081600F" w:rsidRPr="00420040" w:rsidRDefault="003909E4" w:rsidP="009E72D7">
      <w:pPr>
        <w:pStyle w:val="Heading2"/>
        <w:keepNext w:val="0"/>
        <w:spacing w:line="228" w:lineRule="auto"/>
        <w:rPr>
          <w:rFonts w:cs="Arial"/>
          <w:b w:val="0"/>
          <w:bCs w:val="0"/>
          <w:sz w:val="22"/>
          <w:szCs w:val="22"/>
          <w:lang w:val="pt-PT"/>
        </w:rPr>
      </w:pPr>
      <w:r w:rsidRPr="00420040">
        <w:rPr>
          <w:rFonts w:cs="Arial"/>
          <w:b w:val="0"/>
          <w:sz w:val="22"/>
          <w:szCs w:val="22"/>
          <w:lang w:val="pt-PT"/>
        </w:rPr>
        <w:t>Manil</w:t>
      </w:r>
      <w:r w:rsidR="00ED02D3" w:rsidRPr="00420040">
        <w:rPr>
          <w:rFonts w:cs="Arial"/>
          <w:b w:val="0"/>
          <w:sz w:val="22"/>
          <w:szCs w:val="22"/>
          <w:lang w:val="pt-PT"/>
        </w:rPr>
        <w:t>a</w:t>
      </w:r>
      <w:r w:rsidR="00921D62" w:rsidRPr="00420040">
        <w:rPr>
          <w:rFonts w:cs="Arial"/>
          <w:b w:val="0"/>
          <w:sz w:val="22"/>
          <w:szCs w:val="22"/>
          <w:lang w:val="pt-PT"/>
        </w:rPr>
        <w:t xml:space="preserve">, </w:t>
      </w:r>
      <w:r w:rsidR="00ED02D3" w:rsidRPr="00420040">
        <w:rPr>
          <w:rFonts w:cs="Arial"/>
          <w:b w:val="0"/>
          <w:sz w:val="22"/>
          <w:szCs w:val="22"/>
          <w:lang w:val="pt-PT"/>
        </w:rPr>
        <w:t>Philippines</w:t>
      </w:r>
      <w:r w:rsidR="00F7503A" w:rsidRPr="00420040">
        <w:rPr>
          <w:rFonts w:cs="Arial"/>
          <w:b w:val="0"/>
          <w:sz w:val="22"/>
          <w:szCs w:val="22"/>
          <w:lang w:val="pt-PT"/>
        </w:rPr>
        <w:t>,</w:t>
      </w:r>
      <w:r w:rsidR="00ED02D3" w:rsidRPr="00420040">
        <w:rPr>
          <w:rFonts w:cs="Arial"/>
          <w:b w:val="0"/>
          <w:sz w:val="22"/>
          <w:szCs w:val="22"/>
          <w:lang w:val="pt-PT"/>
        </w:rPr>
        <w:t xml:space="preserve"> 23 - 28</w:t>
      </w:r>
      <w:r w:rsidR="009F450E" w:rsidRPr="00420040">
        <w:rPr>
          <w:rFonts w:cs="Arial"/>
          <w:b w:val="0"/>
          <w:sz w:val="22"/>
          <w:szCs w:val="22"/>
          <w:lang w:val="pt-PT"/>
        </w:rPr>
        <w:t xml:space="preserve"> </w:t>
      </w:r>
      <w:r w:rsidR="00ED02D3" w:rsidRPr="00420040">
        <w:rPr>
          <w:rFonts w:cs="Arial"/>
          <w:b w:val="0"/>
          <w:sz w:val="22"/>
          <w:szCs w:val="22"/>
          <w:lang w:val="pt-PT"/>
        </w:rPr>
        <w:t>October</w:t>
      </w:r>
      <w:r w:rsidR="009F450E" w:rsidRPr="00420040">
        <w:rPr>
          <w:rFonts w:cs="Arial"/>
          <w:b w:val="0"/>
          <w:sz w:val="22"/>
          <w:szCs w:val="22"/>
          <w:lang w:val="pt-PT"/>
        </w:rPr>
        <w:t xml:space="preserve"> 201</w:t>
      </w:r>
      <w:r w:rsidR="00EA0B88">
        <w:rPr>
          <w:rFonts w:cs="Arial"/>
          <w:b w:val="0"/>
          <w:sz w:val="22"/>
          <w:szCs w:val="22"/>
          <w:lang w:val="pt-PT"/>
        </w:rPr>
        <w:t>7</w:t>
      </w:r>
    </w:p>
    <w:p w14:paraId="7031F7AF" w14:textId="4E311CCD" w:rsidR="0081600F" w:rsidRPr="00420040" w:rsidRDefault="0081600F" w:rsidP="009E72D7">
      <w:pPr>
        <w:spacing w:line="228" w:lineRule="auto"/>
        <w:rPr>
          <w:rFonts w:cs="Arial"/>
          <w:iCs/>
          <w:sz w:val="22"/>
          <w:szCs w:val="22"/>
          <w:lang w:val="pt-PT"/>
        </w:rPr>
      </w:pPr>
      <w:r w:rsidRPr="00420040">
        <w:rPr>
          <w:rFonts w:cs="Arial"/>
          <w:iCs/>
          <w:sz w:val="22"/>
          <w:szCs w:val="22"/>
          <w:lang w:val="pt-PT"/>
        </w:rPr>
        <w:t xml:space="preserve">Agenda Item </w:t>
      </w:r>
      <w:r w:rsidR="005E5021">
        <w:rPr>
          <w:rFonts w:cs="Arial"/>
          <w:iCs/>
          <w:sz w:val="22"/>
          <w:szCs w:val="22"/>
          <w:lang w:val="pt-PT"/>
        </w:rPr>
        <w:t>24.4.12</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26118B12"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7F7E92A"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cs="Arial"/>
                <w:sz w:val="22"/>
                <w:szCs w:val="22"/>
                <w:lang w:val="en-GB"/>
              </w:rPr>
            </w:pPr>
            <w:r>
              <w:rPr>
                <w:rFonts w:cs="Arial"/>
                <w:b/>
                <w:sz w:val="28"/>
                <w:szCs w:val="28"/>
                <w:lang w:val="en-GB"/>
              </w:rPr>
              <w:tab/>
            </w:r>
            <w:r>
              <w:rPr>
                <w:rFonts w:cs="Arial"/>
                <w:b/>
                <w:sz w:val="28"/>
                <w:szCs w:val="28"/>
                <w:lang w:val="en-GB"/>
              </w:rPr>
              <w:tab/>
            </w:r>
            <w:r>
              <w:rPr>
                <w:rFonts w:cs="Arial"/>
                <w:b/>
                <w:sz w:val="28"/>
                <w:szCs w:val="28"/>
                <w:lang w:val="en-GB"/>
              </w:rPr>
              <w:tab/>
            </w:r>
            <w:r>
              <w:rPr>
                <w:rFonts w:cs="Arial"/>
                <w:b/>
                <w:sz w:val="28"/>
                <w:szCs w:val="28"/>
                <w:lang w:val="en-GB"/>
              </w:rPr>
              <w:tab/>
            </w:r>
            <w:r w:rsidR="00FA61AF" w:rsidRPr="002F6F9B">
              <w:rPr>
                <w:rFonts w:cs="Arial"/>
                <w:b/>
                <w:sz w:val="28"/>
                <w:szCs w:val="28"/>
                <w:lang w:val="en-GB"/>
              </w:rPr>
              <w:t>CMS</w:t>
            </w:r>
          </w:p>
          <w:p w14:paraId="0CB8BC04" w14:textId="77777777" w:rsidR="00FA61AF" w:rsidRPr="002F6F9B" w:rsidRDefault="00FA61AF" w:rsidP="00972D36">
            <w:pPr>
              <w:tabs>
                <w:tab w:val="left" w:pos="-1057"/>
                <w:tab w:val="left" w:pos="-720"/>
                <w:tab w:val="left" w:pos="0"/>
                <w:tab w:val="left" w:pos="141"/>
                <w:tab w:val="left" w:pos="720"/>
                <w:tab w:val="right" w:pos="9072"/>
              </w:tabs>
              <w:rPr>
                <w:rFonts w:cs="Arial"/>
                <w:sz w:val="22"/>
                <w:szCs w:val="22"/>
                <w:lang w:val="en-GB"/>
              </w:rPr>
            </w:pPr>
          </w:p>
        </w:tc>
      </w:tr>
      <w:tr w:rsidR="0081600F" w:rsidRPr="00682B31" w14:paraId="709A3B7C"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0A10EC10" w14:textId="77777777" w:rsidR="0081600F" w:rsidRPr="00682B31" w:rsidRDefault="00745222">
            <w:pPr>
              <w:rPr>
                <w:rFonts w:cs="Arial"/>
                <w:sz w:val="22"/>
                <w:szCs w:val="22"/>
                <w:lang w:val="en-GB"/>
              </w:rPr>
            </w:pPr>
            <w:r w:rsidRPr="00682B31">
              <w:rPr>
                <w:rFonts w:cs="Arial"/>
                <w:noProof/>
                <w:sz w:val="22"/>
                <w:szCs w:val="22"/>
              </w:rPr>
              <w:drawing>
                <wp:inline distT="0" distB="0" distL="0" distR="0" wp14:anchorId="0B6CCA60" wp14:editId="679C840A">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463CCFF8" w14:textId="77777777" w:rsidR="0081600F" w:rsidRPr="00682B31" w:rsidRDefault="0081600F">
            <w:pPr>
              <w:rPr>
                <w:rFonts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260332BD"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14:paraId="63BE47BD"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972D36">
              <w:rPr>
                <w:rFonts w:cs="Arial"/>
                <w:bCs w:val="0"/>
                <w:sz w:val="32"/>
                <w:szCs w:val="32"/>
              </w:rPr>
              <w:t>CONVENTION ON</w:t>
            </w:r>
          </w:p>
          <w:p w14:paraId="15D2F7A7"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972D36">
              <w:rPr>
                <w:rFonts w:cs="Arial"/>
                <w:bCs w:val="0"/>
                <w:sz w:val="32"/>
                <w:szCs w:val="32"/>
              </w:rPr>
              <w:t>MIGRATORY</w:t>
            </w:r>
          </w:p>
          <w:p w14:paraId="59737AE9"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en-GB"/>
              </w:rPr>
            </w:pPr>
            <w:r w:rsidRPr="00972D36">
              <w:rPr>
                <w:rFonts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3E3F3428" w14:textId="77777777" w:rsidR="00682B31" w:rsidRPr="00682B31" w:rsidRDefault="00682B31" w:rsidP="000C21B1">
            <w:pPr>
              <w:tabs>
                <w:tab w:val="left" w:pos="5040"/>
                <w:tab w:val="left" w:pos="5760"/>
                <w:tab w:val="left" w:pos="6008"/>
                <w:tab w:val="left" w:pos="6480"/>
                <w:tab w:val="left" w:pos="7200"/>
                <w:tab w:val="left" w:pos="7920"/>
                <w:tab w:val="left" w:pos="8640"/>
              </w:tabs>
              <w:rPr>
                <w:rFonts w:cs="Arial"/>
                <w:sz w:val="12"/>
                <w:szCs w:val="12"/>
                <w:lang w:val="en-GB"/>
              </w:rPr>
            </w:pPr>
          </w:p>
          <w:p w14:paraId="19C0B182" w14:textId="77777777" w:rsidR="0081600F" w:rsidRPr="00420040" w:rsidRDefault="0081600F" w:rsidP="000C21B1">
            <w:pPr>
              <w:tabs>
                <w:tab w:val="left" w:pos="5040"/>
                <w:tab w:val="left" w:pos="5760"/>
                <w:tab w:val="left" w:pos="6008"/>
                <w:tab w:val="left" w:pos="6480"/>
                <w:tab w:val="left" w:pos="7200"/>
                <w:tab w:val="left" w:pos="7920"/>
                <w:tab w:val="left" w:pos="8640"/>
              </w:tabs>
              <w:rPr>
                <w:rFonts w:cs="Arial"/>
                <w:sz w:val="22"/>
                <w:szCs w:val="22"/>
                <w:lang w:val="en-GB"/>
              </w:rPr>
            </w:pPr>
            <w:r w:rsidRPr="00420040">
              <w:rPr>
                <w:rFonts w:cs="Arial"/>
                <w:sz w:val="22"/>
                <w:szCs w:val="22"/>
                <w:lang w:val="en-GB"/>
              </w:rPr>
              <w:t>Distribution: General</w:t>
            </w:r>
          </w:p>
          <w:p w14:paraId="10668CF0" w14:textId="77777777"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cs="Arial"/>
                <w:sz w:val="12"/>
                <w:szCs w:val="12"/>
                <w:lang w:val="en-GB"/>
              </w:rPr>
            </w:pPr>
          </w:p>
          <w:p w14:paraId="49399C51" w14:textId="031B51A4" w:rsidR="0081600F" w:rsidRPr="00420040" w:rsidRDefault="00921D62" w:rsidP="000C21B1">
            <w:pPr>
              <w:tabs>
                <w:tab w:val="left" w:pos="5040"/>
                <w:tab w:val="left" w:pos="5760"/>
                <w:tab w:val="left" w:pos="6008"/>
                <w:tab w:val="left" w:pos="6480"/>
                <w:tab w:val="left" w:pos="7200"/>
                <w:tab w:val="left" w:pos="7920"/>
                <w:tab w:val="left" w:pos="8640"/>
              </w:tabs>
              <w:rPr>
                <w:rFonts w:cs="Arial"/>
                <w:sz w:val="22"/>
                <w:szCs w:val="22"/>
                <w:lang w:val="en-GB"/>
              </w:rPr>
            </w:pPr>
            <w:r w:rsidRPr="00420040">
              <w:rPr>
                <w:rFonts w:cs="Arial"/>
                <w:sz w:val="22"/>
                <w:szCs w:val="22"/>
                <w:lang w:val="en-GB"/>
              </w:rPr>
              <w:t>UNEP/CMS/</w:t>
            </w:r>
            <w:r w:rsidR="00ED02D3" w:rsidRPr="00420040">
              <w:rPr>
                <w:rFonts w:cs="Arial"/>
                <w:sz w:val="22"/>
                <w:szCs w:val="22"/>
                <w:lang w:val="en-GB"/>
              </w:rPr>
              <w:t>COP12</w:t>
            </w:r>
            <w:r w:rsidR="00A27BE3" w:rsidRPr="00420040">
              <w:rPr>
                <w:rFonts w:cs="Arial"/>
                <w:sz w:val="22"/>
                <w:szCs w:val="22"/>
                <w:lang w:val="en-GB"/>
              </w:rPr>
              <w:t>/</w:t>
            </w:r>
            <w:r w:rsidR="0079075D" w:rsidRPr="00420040">
              <w:rPr>
                <w:rFonts w:cs="Arial"/>
                <w:sz w:val="22"/>
                <w:szCs w:val="22"/>
                <w:lang w:val="en-GB"/>
              </w:rPr>
              <w:t>Doc.</w:t>
            </w:r>
            <w:r w:rsidR="005E5021">
              <w:rPr>
                <w:rFonts w:cs="Arial"/>
                <w:sz w:val="22"/>
                <w:szCs w:val="22"/>
                <w:lang w:val="en-GB"/>
              </w:rPr>
              <w:t>24.4.12</w:t>
            </w:r>
          </w:p>
          <w:p w14:paraId="422EB40E" w14:textId="31ECBD27" w:rsidR="0081600F" w:rsidRPr="00420040" w:rsidRDefault="009617A6" w:rsidP="000C21B1">
            <w:pPr>
              <w:tabs>
                <w:tab w:val="left" w:pos="5040"/>
                <w:tab w:val="left" w:pos="5760"/>
                <w:tab w:val="left" w:pos="6008"/>
                <w:tab w:val="left" w:pos="6480"/>
                <w:tab w:val="left" w:pos="7200"/>
                <w:tab w:val="left" w:pos="7920"/>
                <w:tab w:val="left" w:pos="8640"/>
              </w:tabs>
              <w:rPr>
                <w:rFonts w:cs="Arial"/>
                <w:sz w:val="22"/>
                <w:szCs w:val="22"/>
                <w:lang w:val="en-GB"/>
              </w:rPr>
            </w:pPr>
            <w:r w:rsidRPr="009617A6">
              <w:rPr>
                <w:rFonts w:cs="Arial"/>
                <w:sz w:val="22"/>
                <w:szCs w:val="22"/>
                <w:lang w:val="en-GB"/>
              </w:rPr>
              <w:t xml:space="preserve">28 July </w:t>
            </w:r>
            <w:r w:rsidR="00EA0B88">
              <w:rPr>
                <w:rFonts w:cs="Arial"/>
                <w:sz w:val="22"/>
                <w:szCs w:val="22"/>
                <w:lang w:val="en-GB"/>
              </w:rPr>
              <w:t>2017</w:t>
            </w:r>
          </w:p>
          <w:p w14:paraId="64C63785" w14:textId="77777777" w:rsidR="00E8776E" w:rsidRPr="00420040" w:rsidRDefault="00E8776E" w:rsidP="000C21B1">
            <w:pPr>
              <w:rPr>
                <w:rFonts w:cs="Arial"/>
                <w:sz w:val="12"/>
                <w:szCs w:val="12"/>
                <w:lang w:val="en-GB"/>
              </w:rPr>
            </w:pPr>
          </w:p>
          <w:p w14:paraId="234CC721" w14:textId="77777777" w:rsidR="0081600F" w:rsidRPr="00420040" w:rsidRDefault="0081600F" w:rsidP="000C21B1">
            <w:pPr>
              <w:rPr>
                <w:rFonts w:cs="Arial"/>
                <w:sz w:val="22"/>
                <w:szCs w:val="22"/>
                <w:lang w:val="en-GB"/>
              </w:rPr>
            </w:pPr>
            <w:r w:rsidRPr="00420040">
              <w:rPr>
                <w:rFonts w:cs="Arial"/>
                <w:sz w:val="22"/>
                <w:szCs w:val="22"/>
                <w:lang w:val="en-GB"/>
              </w:rPr>
              <w:t>Original: English</w:t>
            </w:r>
          </w:p>
          <w:p w14:paraId="53800059" w14:textId="77777777" w:rsidR="00682B31" w:rsidRPr="00682B31" w:rsidRDefault="00682B31" w:rsidP="000C21B1">
            <w:pPr>
              <w:rPr>
                <w:rFonts w:cs="Arial"/>
                <w:sz w:val="12"/>
                <w:szCs w:val="12"/>
                <w:lang w:val="en-GB"/>
              </w:rPr>
            </w:pPr>
          </w:p>
        </w:tc>
      </w:tr>
    </w:tbl>
    <w:p w14:paraId="6CD150FC" w14:textId="77777777" w:rsidR="00354A9C" w:rsidRPr="00682B31" w:rsidRDefault="00354A9C" w:rsidP="00922791">
      <w:pPr>
        <w:tabs>
          <w:tab w:val="left" w:pos="7020"/>
        </w:tabs>
        <w:rPr>
          <w:rFonts w:cs="Arial"/>
          <w:sz w:val="22"/>
          <w:szCs w:val="22"/>
        </w:rPr>
      </w:pPr>
    </w:p>
    <w:p w14:paraId="351CBAF3" w14:textId="620FDC92" w:rsidR="0052082F" w:rsidRDefault="0052082F" w:rsidP="00354A9C">
      <w:pPr>
        <w:rPr>
          <w:rFonts w:cs="Arial"/>
          <w:sz w:val="22"/>
          <w:szCs w:val="22"/>
        </w:rPr>
      </w:pPr>
    </w:p>
    <w:p w14:paraId="158DB93D" w14:textId="77777777" w:rsidR="009617A6" w:rsidRPr="00682B31" w:rsidRDefault="009617A6" w:rsidP="00354A9C">
      <w:pPr>
        <w:rPr>
          <w:rFonts w:cs="Arial"/>
          <w:sz w:val="22"/>
          <w:szCs w:val="22"/>
        </w:rPr>
      </w:pPr>
    </w:p>
    <w:p w14:paraId="7900A4D0" w14:textId="3B1A9390" w:rsidR="00593736" w:rsidRDefault="00D9185A" w:rsidP="005E5021">
      <w:pPr>
        <w:jc w:val="center"/>
        <w:rPr>
          <w:rFonts w:cs="Arial"/>
          <w:b/>
          <w:bCs/>
          <w:sz w:val="22"/>
          <w:szCs w:val="22"/>
        </w:rPr>
      </w:pPr>
      <w:r>
        <w:rPr>
          <w:rFonts w:cs="Arial"/>
          <w:b/>
          <w:bCs/>
          <w:sz w:val="22"/>
          <w:szCs w:val="22"/>
        </w:rPr>
        <w:t>TRANSFRONTIER CONSERVATION AREAS FOR MIGRATORY SPECIES</w:t>
      </w:r>
    </w:p>
    <w:p w14:paraId="6F65A2E1" w14:textId="77777777" w:rsidR="005E5021" w:rsidRPr="004D0936" w:rsidRDefault="005E5021" w:rsidP="005E5021">
      <w:pPr>
        <w:jc w:val="center"/>
        <w:rPr>
          <w:sz w:val="8"/>
          <w:szCs w:val="8"/>
          <w:lang w:val="en-GB"/>
        </w:rPr>
      </w:pPr>
    </w:p>
    <w:p w14:paraId="28BFAB3C" w14:textId="77777777" w:rsidR="00B64904" w:rsidRDefault="00B64904" w:rsidP="00B64904">
      <w:pPr>
        <w:jc w:val="center"/>
        <w:rPr>
          <w:rFonts w:cs="Arial"/>
          <w:i/>
          <w:sz w:val="22"/>
          <w:szCs w:val="22"/>
          <w:lang w:val="en-GB"/>
        </w:rPr>
      </w:pPr>
      <w:r w:rsidRPr="005E5021">
        <w:rPr>
          <w:rFonts w:cs="Arial"/>
          <w:i/>
          <w:sz w:val="22"/>
          <w:szCs w:val="22"/>
          <w:lang w:val="en-GB"/>
        </w:rPr>
        <w:t>(</w:t>
      </w:r>
      <w:r w:rsidR="00F11793" w:rsidRPr="005E5021">
        <w:rPr>
          <w:rFonts w:cs="Arial"/>
          <w:i/>
          <w:sz w:val="22"/>
          <w:szCs w:val="22"/>
          <w:lang w:val="en-GB"/>
        </w:rPr>
        <w:t>P</w:t>
      </w:r>
      <w:r w:rsidR="0079075D" w:rsidRPr="005E5021">
        <w:rPr>
          <w:rFonts w:cs="Arial"/>
          <w:i/>
          <w:sz w:val="22"/>
          <w:szCs w:val="22"/>
          <w:lang w:val="en-GB"/>
        </w:rPr>
        <w:t xml:space="preserve">repared by </w:t>
      </w:r>
      <w:r w:rsidR="00870FB9" w:rsidRPr="005E5021">
        <w:rPr>
          <w:rFonts w:cs="Arial"/>
          <w:i/>
          <w:sz w:val="22"/>
          <w:szCs w:val="22"/>
          <w:lang w:val="en-GB"/>
        </w:rPr>
        <w:t>the Secretariat</w:t>
      </w:r>
      <w:r w:rsidRPr="005E5021">
        <w:rPr>
          <w:rFonts w:cs="Arial"/>
          <w:i/>
          <w:sz w:val="22"/>
          <w:szCs w:val="22"/>
          <w:lang w:val="en-GB"/>
        </w:rPr>
        <w:t>)</w:t>
      </w:r>
      <w:r w:rsidR="00497E66">
        <w:rPr>
          <w:rFonts w:cs="Arial"/>
          <w:i/>
          <w:sz w:val="22"/>
          <w:szCs w:val="22"/>
          <w:lang w:val="en-GB"/>
        </w:rPr>
        <w:t xml:space="preserve"> </w:t>
      </w:r>
    </w:p>
    <w:p w14:paraId="5C18F762" w14:textId="77777777" w:rsidR="00870FB9" w:rsidRPr="004D0936" w:rsidRDefault="00870FB9" w:rsidP="00870FB9">
      <w:pPr>
        <w:rPr>
          <w:sz w:val="8"/>
          <w:szCs w:val="8"/>
          <w:lang w:val="en-GB"/>
        </w:rPr>
      </w:pPr>
    </w:p>
    <w:p w14:paraId="30AD86D0" w14:textId="77777777" w:rsidR="001764E6" w:rsidRPr="00C169ED" w:rsidRDefault="001764E6" w:rsidP="001764E6">
      <w:pPr>
        <w:jc w:val="both"/>
        <w:rPr>
          <w:rFonts w:cs="Arial"/>
          <w:sz w:val="21"/>
          <w:szCs w:val="21"/>
          <w:lang w:val="en-GB"/>
        </w:rPr>
      </w:pPr>
    </w:p>
    <w:p w14:paraId="0C19A877" w14:textId="77777777" w:rsidR="001764E6" w:rsidRPr="00C169ED" w:rsidRDefault="001764E6" w:rsidP="00D605A4">
      <w:pPr>
        <w:tabs>
          <w:tab w:val="left" w:pos="8295"/>
        </w:tabs>
        <w:jc w:val="both"/>
        <w:rPr>
          <w:rFonts w:cs="Arial"/>
          <w:sz w:val="21"/>
          <w:szCs w:val="21"/>
        </w:rPr>
      </w:pPr>
    </w:p>
    <w:p w14:paraId="4F609AF9" w14:textId="77777777" w:rsidR="00D605A4" w:rsidRPr="00C169ED" w:rsidRDefault="00745222" w:rsidP="00D605A4">
      <w:pPr>
        <w:rPr>
          <w:rFonts w:cs="Arial"/>
          <w:sz w:val="21"/>
          <w:szCs w:val="21"/>
        </w:rPr>
      </w:pPr>
      <w:r w:rsidRPr="00C169ED">
        <w:rPr>
          <w:rFonts w:cs="Arial"/>
          <w:noProof/>
          <w:sz w:val="21"/>
          <w:szCs w:val="21"/>
        </w:rPr>
        <mc:AlternateContent>
          <mc:Choice Requires="wps">
            <w:drawing>
              <wp:anchor distT="0" distB="0" distL="114300" distR="114300" simplePos="0" relativeHeight="251657728" behindDoc="0" locked="0" layoutInCell="1" allowOverlap="1" wp14:anchorId="7A825230" wp14:editId="36843442">
                <wp:simplePos x="0" y="0"/>
                <wp:positionH relativeFrom="column">
                  <wp:posOffset>780415</wp:posOffset>
                </wp:positionH>
                <wp:positionV relativeFrom="paragraph">
                  <wp:posOffset>149225</wp:posOffset>
                </wp:positionV>
                <wp:extent cx="4305300" cy="290512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905125"/>
                        </a:xfrm>
                        <a:prstGeom prst="rect">
                          <a:avLst/>
                        </a:prstGeom>
                        <a:solidFill>
                          <a:srgbClr val="FFFFFF"/>
                        </a:solidFill>
                        <a:ln w="3175">
                          <a:solidFill>
                            <a:srgbClr val="000000"/>
                          </a:solidFill>
                          <a:miter lim="800000"/>
                          <a:headEnd/>
                          <a:tailEnd/>
                        </a:ln>
                      </wps:spPr>
                      <wps:txbx>
                        <w:txbxContent>
                          <w:p w14:paraId="22DE6AB6" w14:textId="77777777" w:rsidR="00447AB1" w:rsidRPr="00420040" w:rsidRDefault="00447AB1" w:rsidP="009617A6">
                            <w:pPr>
                              <w:jc w:val="both"/>
                              <w:rPr>
                                <w:rFonts w:cs="Arial"/>
                                <w:sz w:val="22"/>
                                <w:szCs w:val="22"/>
                              </w:rPr>
                            </w:pPr>
                            <w:r w:rsidRPr="00420040">
                              <w:rPr>
                                <w:rFonts w:cs="Arial"/>
                                <w:sz w:val="22"/>
                                <w:szCs w:val="22"/>
                              </w:rPr>
                              <w:t>Summary:</w:t>
                            </w:r>
                          </w:p>
                          <w:p w14:paraId="49B07BE4" w14:textId="77777777" w:rsidR="00447AB1" w:rsidRDefault="00447AB1" w:rsidP="009617A6">
                            <w:pPr>
                              <w:jc w:val="both"/>
                              <w:rPr>
                                <w:rFonts w:cs="Arial"/>
                                <w:i/>
                                <w:sz w:val="22"/>
                                <w:szCs w:val="22"/>
                                <w:lang w:val="en-GB"/>
                              </w:rPr>
                            </w:pPr>
                          </w:p>
                          <w:p w14:paraId="642676C7" w14:textId="6A515E1C" w:rsidR="00447AB1" w:rsidRPr="00314203" w:rsidRDefault="00447AB1" w:rsidP="009617A6">
                            <w:pPr>
                              <w:jc w:val="both"/>
                              <w:rPr>
                                <w:rFonts w:cs="Arial"/>
                                <w:sz w:val="22"/>
                                <w:szCs w:val="22"/>
                                <w:lang w:val="en-GB"/>
                              </w:rPr>
                            </w:pPr>
                            <w:r>
                              <w:rPr>
                                <w:rFonts w:cs="Arial"/>
                                <w:sz w:val="22"/>
                                <w:szCs w:val="22"/>
                                <w:lang w:val="en-GB"/>
                              </w:rPr>
                              <w:t xml:space="preserve">Resolution 10.3 on </w:t>
                            </w:r>
                            <w:r w:rsidRPr="00314203">
                              <w:rPr>
                                <w:rFonts w:cs="Arial"/>
                                <w:i/>
                                <w:iCs/>
                                <w:sz w:val="22"/>
                                <w:szCs w:val="22"/>
                              </w:rPr>
                              <w:t>The Role of Ecological Networks in the Conservation of Migratory Species</w:t>
                            </w:r>
                            <w:r>
                              <w:rPr>
                                <w:rFonts w:cs="Arial"/>
                                <w:iCs/>
                                <w:sz w:val="22"/>
                                <w:szCs w:val="22"/>
                              </w:rPr>
                              <w:t xml:space="preserve"> and Resolution</w:t>
                            </w:r>
                            <w:r w:rsidRPr="00314203">
                              <w:rPr>
                                <w:rFonts w:cs="Arial"/>
                                <w:iCs/>
                                <w:sz w:val="22"/>
                                <w:szCs w:val="22"/>
                              </w:rPr>
                              <w:t xml:space="preserve"> </w:t>
                            </w:r>
                            <w:r>
                              <w:rPr>
                                <w:rFonts w:cs="Arial"/>
                                <w:sz w:val="22"/>
                                <w:szCs w:val="22"/>
                                <w:lang w:val="en-GB"/>
                              </w:rPr>
                              <w:t xml:space="preserve">11.25 on </w:t>
                            </w:r>
                            <w:r w:rsidRPr="00314203">
                              <w:rPr>
                                <w:rFonts w:cs="Arial"/>
                                <w:i/>
                                <w:iCs/>
                                <w:sz w:val="22"/>
                                <w:szCs w:val="22"/>
                              </w:rPr>
                              <w:t>Advancing Ecological Networks to Address the Needs of Migratory Species</w:t>
                            </w:r>
                            <w:r>
                              <w:rPr>
                                <w:rFonts w:cs="Arial"/>
                                <w:iCs/>
                                <w:sz w:val="22"/>
                                <w:szCs w:val="22"/>
                              </w:rPr>
                              <w:t xml:space="preserve"> (being proposed for consolidation in document UNEP/CMS/COP12/Doc.21.2.11), set out a series of recommendations to advance the establishment of ecological networks. The draft decisions, contained in this document build on the recommendations of the Resolutions by requesting Parties with the support of the Secretariat to establish Transfrontier Conservation Areas.</w:t>
                            </w:r>
                          </w:p>
                          <w:p w14:paraId="32A7A662" w14:textId="77777777" w:rsidR="00447AB1" w:rsidRPr="00F11793" w:rsidRDefault="00447AB1" w:rsidP="009617A6">
                            <w:pPr>
                              <w:jc w:val="both"/>
                              <w:rPr>
                                <w:rFonts w:cs="Arial"/>
                                <w:sz w:val="22"/>
                                <w:szCs w:val="22"/>
                                <w:lang w:val="en-GB"/>
                              </w:rPr>
                            </w:pPr>
                          </w:p>
                          <w:p w14:paraId="2BCCECA5" w14:textId="4D3B5800" w:rsidR="00447AB1" w:rsidRPr="00B025B7" w:rsidRDefault="00447AB1" w:rsidP="009617A6">
                            <w:pPr>
                              <w:jc w:val="both"/>
                              <w:rPr>
                                <w:rFonts w:cs="Arial"/>
                                <w:sz w:val="22"/>
                                <w:szCs w:val="22"/>
                              </w:rPr>
                            </w:pPr>
                            <w:r>
                              <w:rPr>
                                <w:rFonts w:cs="Arial"/>
                                <w:sz w:val="22"/>
                                <w:szCs w:val="22"/>
                              </w:rPr>
                              <w:t>Implementation of the</w:t>
                            </w:r>
                            <w:r w:rsidRPr="00C82C02">
                              <w:rPr>
                                <w:rFonts w:cs="Arial"/>
                                <w:sz w:val="22"/>
                                <w:szCs w:val="22"/>
                              </w:rPr>
                              <w:t xml:space="preserve"> attached draft </w:t>
                            </w:r>
                            <w:r>
                              <w:rPr>
                                <w:rFonts w:cs="Arial"/>
                                <w:sz w:val="22"/>
                                <w:szCs w:val="22"/>
                              </w:rPr>
                              <w:t xml:space="preserve">Decisions </w:t>
                            </w:r>
                            <w:r w:rsidRPr="00C82C02">
                              <w:rPr>
                                <w:rFonts w:cs="Arial"/>
                                <w:sz w:val="22"/>
                                <w:szCs w:val="22"/>
                              </w:rPr>
                              <w:t>will contribute towards the implementation of targets 1-3, 5, 7-11 and 14 of the Strategic Plan for Migratory Species 2015 – 2023.</w:t>
                            </w:r>
                            <w:r w:rsidRPr="00B025B7">
                              <w:rPr>
                                <w:rFonts w:cs="Arial"/>
                                <w:sz w:val="22"/>
                                <w:szCs w:val="22"/>
                              </w:rPr>
                              <w:t xml:space="preserve"> </w:t>
                            </w:r>
                          </w:p>
                          <w:p w14:paraId="6F9F3614" w14:textId="77777777" w:rsidR="00447AB1" w:rsidRDefault="00447AB1" w:rsidP="00E475D4">
                            <w:pPr>
                              <w:rPr>
                                <w:rFonts w:cs="Arial"/>
                                <w:sz w:val="21"/>
                                <w:szCs w:val="21"/>
                              </w:rPr>
                            </w:pPr>
                          </w:p>
                          <w:p w14:paraId="313974D4" w14:textId="77777777" w:rsidR="00447AB1" w:rsidRDefault="00447AB1" w:rsidP="00E475D4">
                            <w:pPr>
                              <w:rPr>
                                <w:rFonts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25230" id="_x0000_t202" coordsize="21600,21600" o:spt="202" path="m,l,21600r21600,l21600,xe">
                <v:stroke joinstyle="miter"/>
                <v:path gradientshapeok="t" o:connecttype="rect"/>
              </v:shapetype>
              <v:shape id="Text Box 4" o:spid="_x0000_s1026" type="#_x0000_t202" style="position:absolute;margin-left:61.45pt;margin-top:11.75pt;width:339pt;height:22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" strokeweight=".25pt">
                <v:textbox>
                  <w:txbxContent>
                    <w:p w14:paraId="22DE6AB6" w14:textId="77777777" w:rsidR="00447AB1" w:rsidRPr="00420040" w:rsidRDefault="00447AB1" w:rsidP="009617A6">
                      <w:pPr>
                        <w:jc w:val="both"/>
                        <w:rPr>
                          <w:rFonts w:cs="Arial"/>
                          <w:sz w:val="22"/>
                          <w:szCs w:val="22"/>
                        </w:rPr>
                      </w:pPr>
                      <w:r w:rsidRPr="00420040">
                        <w:rPr>
                          <w:rFonts w:cs="Arial"/>
                          <w:sz w:val="22"/>
                          <w:szCs w:val="22"/>
                        </w:rPr>
                        <w:t>Summary:</w:t>
                      </w:r>
                    </w:p>
                    <w:p w14:paraId="49B07BE4" w14:textId="77777777" w:rsidR="00447AB1" w:rsidRDefault="00447AB1" w:rsidP="009617A6">
                      <w:pPr>
                        <w:jc w:val="both"/>
                        <w:rPr>
                          <w:rFonts w:cs="Arial"/>
                          <w:i/>
                          <w:sz w:val="22"/>
                          <w:szCs w:val="22"/>
                          <w:lang w:val="en-GB"/>
                        </w:rPr>
                      </w:pPr>
                    </w:p>
                    <w:p w14:paraId="642676C7" w14:textId="6A515E1C" w:rsidR="00447AB1" w:rsidRPr="00314203" w:rsidRDefault="00447AB1" w:rsidP="009617A6">
                      <w:pPr>
                        <w:jc w:val="both"/>
                        <w:rPr>
                          <w:rFonts w:cs="Arial"/>
                          <w:sz w:val="22"/>
                          <w:szCs w:val="22"/>
                          <w:lang w:val="en-GB"/>
                        </w:rPr>
                      </w:pPr>
                      <w:r>
                        <w:rPr>
                          <w:rFonts w:cs="Arial"/>
                          <w:sz w:val="22"/>
                          <w:szCs w:val="22"/>
                          <w:lang w:val="en-GB"/>
                        </w:rPr>
                        <w:t xml:space="preserve">Resolution 10.3 on </w:t>
                      </w:r>
                      <w:r w:rsidRPr="00314203">
                        <w:rPr>
                          <w:rFonts w:cs="Arial"/>
                          <w:i/>
                          <w:iCs/>
                          <w:sz w:val="22"/>
                          <w:szCs w:val="22"/>
                        </w:rPr>
                        <w:t>The Role of Ecological Networks in the Conservation of Migratory Species</w:t>
                      </w:r>
                      <w:r>
                        <w:rPr>
                          <w:rFonts w:cs="Arial"/>
                          <w:iCs/>
                          <w:sz w:val="22"/>
                          <w:szCs w:val="22"/>
                        </w:rPr>
                        <w:t xml:space="preserve"> and Resolution</w:t>
                      </w:r>
                      <w:r w:rsidRPr="00314203">
                        <w:rPr>
                          <w:rFonts w:cs="Arial"/>
                          <w:iCs/>
                          <w:sz w:val="22"/>
                          <w:szCs w:val="22"/>
                        </w:rPr>
                        <w:t xml:space="preserve"> </w:t>
                      </w:r>
                      <w:r>
                        <w:rPr>
                          <w:rFonts w:cs="Arial"/>
                          <w:sz w:val="22"/>
                          <w:szCs w:val="22"/>
                          <w:lang w:val="en-GB"/>
                        </w:rPr>
                        <w:t xml:space="preserve">11.25 on </w:t>
                      </w:r>
                      <w:r w:rsidRPr="00314203">
                        <w:rPr>
                          <w:rFonts w:cs="Arial"/>
                          <w:i/>
                          <w:iCs/>
                          <w:sz w:val="22"/>
                          <w:szCs w:val="22"/>
                        </w:rPr>
                        <w:t>Advancing Ecological Networks to Address the Needs of Migratory Species</w:t>
                      </w:r>
                      <w:r>
                        <w:rPr>
                          <w:rFonts w:cs="Arial"/>
                          <w:iCs/>
                          <w:sz w:val="22"/>
                          <w:szCs w:val="22"/>
                        </w:rPr>
                        <w:t xml:space="preserve"> (being proposed for consolidation in document UNEP/CMS/COP12/Doc.21.2.11), set out a series of recommendations to advance the establishment of ecological networks. The draft decisions, contained in this document build on the recommendations of the Resolutions by requesting Parties with the support of the Secretariat to establish Transfrontier Conservation Areas.</w:t>
                      </w:r>
                    </w:p>
                    <w:p w14:paraId="32A7A662" w14:textId="77777777" w:rsidR="00447AB1" w:rsidRPr="00F11793" w:rsidRDefault="00447AB1" w:rsidP="009617A6">
                      <w:pPr>
                        <w:jc w:val="both"/>
                        <w:rPr>
                          <w:rFonts w:cs="Arial"/>
                          <w:sz w:val="22"/>
                          <w:szCs w:val="22"/>
                          <w:lang w:val="en-GB"/>
                        </w:rPr>
                      </w:pPr>
                    </w:p>
                    <w:p w14:paraId="2BCCECA5" w14:textId="4D3B5800" w:rsidR="00447AB1" w:rsidRPr="00B025B7" w:rsidRDefault="00447AB1" w:rsidP="009617A6">
                      <w:pPr>
                        <w:jc w:val="both"/>
                        <w:rPr>
                          <w:rFonts w:cs="Arial"/>
                          <w:sz w:val="22"/>
                          <w:szCs w:val="22"/>
                        </w:rPr>
                      </w:pPr>
                      <w:r>
                        <w:rPr>
                          <w:rFonts w:cs="Arial"/>
                          <w:sz w:val="22"/>
                          <w:szCs w:val="22"/>
                        </w:rPr>
                        <w:t>Implementation of the</w:t>
                      </w:r>
                      <w:r w:rsidRPr="00C82C02">
                        <w:rPr>
                          <w:rFonts w:cs="Arial"/>
                          <w:sz w:val="22"/>
                          <w:szCs w:val="22"/>
                        </w:rPr>
                        <w:t xml:space="preserve"> attached draft </w:t>
                      </w:r>
                      <w:r>
                        <w:rPr>
                          <w:rFonts w:cs="Arial"/>
                          <w:sz w:val="22"/>
                          <w:szCs w:val="22"/>
                        </w:rPr>
                        <w:t xml:space="preserve">Decisions </w:t>
                      </w:r>
                      <w:r w:rsidRPr="00C82C02">
                        <w:rPr>
                          <w:rFonts w:cs="Arial"/>
                          <w:sz w:val="22"/>
                          <w:szCs w:val="22"/>
                        </w:rPr>
                        <w:t>will contribute towards the implementation of targets 1-3, 5, 7-11 and 14 of the Strategic Plan for Migratory Species 2015 – 2023.</w:t>
                      </w:r>
                      <w:r w:rsidRPr="00B025B7">
                        <w:rPr>
                          <w:rFonts w:cs="Arial"/>
                          <w:sz w:val="22"/>
                          <w:szCs w:val="22"/>
                        </w:rPr>
                        <w:t xml:space="preserve"> </w:t>
                      </w:r>
                    </w:p>
                    <w:p w14:paraId="6F9F3614" w14:textId="77777777" w:rsidR="00447AB1" w:rsidRDefault="00447AB1" w:rsidP="00E475D4">
                      <w:pPr>
                        <w:rPr>
                          <w:rFonts w:cs="Arial"/>
                          <w:sz w:val="21"/>
                          <w:szCs w:val="21"/>
                        </w:rPr>
                      </w:pPr>
                    </w:p>
                    <w:p w14:paraId="313974D4" w14:textId="77777777" w:rsidR="00447AB1" w:rsidRDefault="00447AB1" w:rsidP="00E475D4">
                      <w:pPr>
                        <w:rPr>
                          <w:rFonts w:cs="Arial"/>
                          <w:sz w:val="21"/>
                          <w:szCs w:val="21"/>
                        </w:rPr>
                      </w:pPr>
                    </w:p>
                  </w:txbxContent>
                </v:textbox>
              </v:shape>
            </w:pict>
          </mc:Fallback>
        </mc:AlternateContent>
      </w:r>
    </w:p>
    <w:p w14:paraId="48260FB5" w14:textId="77777777" w:rsidR="00D605A4" w:rsidRPr="00C169ED" w:rsidRDefault="00D605A4" w:rsidP="00D605A4">
      <w:pPr>
        <w:rPr>
          <w:rFonts w:cs="Arial"/>
          <w:sz w:val="21"/>
          <w:szCs w:val="21"/>
        </w:rPr>
      </w:pPr>
    </w:p>
    <w:p w14:paraId="77357701" w14:textId="77777777" w:rsidR="00D605A4" w:rsidRPr="00C169ED" w:rsidRDefault="00D605A4" w:rsidP="00D605A4">
      <w:pPr>
        <w:rPr>
          <w:rFonts w:cs="Arial"/>
          <w:sz w:val="21"/>
          <w:szCs w:val="21"/>
        </w:rPr>
      </w:pPr>
    </w:p>
    <w:p w14:paraId="592362EA" w14:textId="77777777" w:rsidR="00D605A4" w:rsidRPr="00C169ED" w:rsidRDefault="00D605A4" w:rsidP="00D605A4">
      <w:pPr>
        <w:rPr>
          <w:rFonts w:cs="Arial"/>
          <w:sz w:val="21"/>
          <w:szCs w:val="21"/>
        </w:rPr>
      </w:pPr>
    </w:p>
    <w:p w14:paraId="3D968718" w14:textId="77777777" w:rsidR="00D605A4" w:rsidRPr="00C169ED" w:rsidRDefault="00D605A4" w:rsidP="00D605A4">
      <w:pPr>
        <w:rPr>
          <w:rFonts w:cs="Arial"/>
          <w:sz w:val="21"/>
          <w:szCs w:val="21"/>
        </w:rPr>
      </w:pPr>
    </w:p>
    <w:p w14:paraId="52C986A0" w14:textId="77777777" w:rsidR="00D605A4" w:rsidRPr="00C169ED" w:rsidRDefault="00D605A4" w:rsidP="00D605A4">
      <w:pPr>
        <w:rPr>
          <w:rFonts w:cs="Arial"/>
          <w:sz w:val="21"/>
          <w:szCs w:val="21"/>
        </w:rPr>
      </w:pPr>
    </w:p>
    <w:p w14:paraId="183E78FA" w14:textId="77777777" w:rsidR="00D605A4" w:rsidRPr="00C169ED" w:rsidRDefault="00D605A4" w:rsidP="00D605A4">
      <w:pPr>
        <w:rPr>
          <w:rFonts w:cs="Arial"/>
          <w:sz w:val="21"/>
          <w:szCs w:val="21"/>
        </w:rPr>
      </w:pPr>
    </w:p>
    <w:p w14:paraId="2FB3C1EC" w14:textId="77777777" w:rsidR="00D605A4" w:rsidRPr="00C169ED" w:rsidRDefault="00D605A4" w:rsidP="00D605A4">
      <w:pPr>
        <w:rPr>
          <w:rFonts w:cs="Arial"/>
          <w:sz w:val="21"/>
          <w:szCs w:val="21"/>
        </w:rPr>
      </w:pPr>
    </w:p>
    <w:p w14:paraId="1E234FEE" w14:textId="77777777" w:rsidR="00D605A4" w:rsidRPr="00C169ED" w:rsidRDefault="00D605A4" w:rsidP="00D605A4">
      <w:pPr>
        <w:rPr>
          <w:rFonts w:cs="Arial"/>
          <w:sz w:val="21"/>
          <w:szCs w:val="21"/>
        </w:rPr>
      </w:pPr>
    </w:p>
    <w:p w14:paraId="4BBE2518" w14:textId="77777777" w:rsidR="00D605A4" w:rsidRPr="00C169ED" w:rsidRDefault="00D605A4" w:rsidP="00D605A4">
      <w:pPr>
        <w:rPr>
          <w:rFonts w:cs="Arial"/>
          <w:sz w:val="21"/>
          <w:szCs w:val="21"/>
        </w:rPr>
      </w:pPr>
    </w:p>
    <w:p w14:paraId="58A1D612" w14:textId="77777777" w:rsidR="00D605A4" w:rsidRPr="00C169ED" w:rsidRDefault="00D605A4" w:rsidP="00D605A4">
      <w:pPr>
        <w:rPr>
          <w:rFonts w:cs="Arial"/>
          <w:sz w:val="21"/>
          <w:szCs w:val="21"/>
        </w:rPr>
      </w:pPr>
    </w:p>
    <w:p w14:paraId="539E4DE6" w14:textId="77777777" w:rsidR="00D605A4" w:rsidRPr="00C169ED" w:rsidRDefault="00D605A4" w:rsidP="00D605A4">
      <w:pPr>
        <w:rPr>
          <w:rFonts w:cs="Arial"/>
          <w:sz w:val="21"/>
          <w:szCs w:val="21"/>
        </w:rPr>
      </w:pPr>
    </w:p>
    <w:p w14:paraId="7B1F56D4" w14:textId="77777777" w:rsidR="00D605A4" w:rsidRPr="00C169ED" w:rsidRDefault="00D605A4" w:rsidP="00D605A4">
      <w:pPr>
        <w:rPr>
          <w:rFonts w:cs="Arial"/>
          <w:sz w:val="21"/>
          <w:szCs w:val="21"/>
        </w:rPr>
      </w:pPr>
    </w:p>
    <w:p w14:paraId="7C5300E4" w14:textId="77777777" w:rsidR="00D605A4" w:rsidRPr="00C169ED" w:rsidRDefault="00D605A4" w:rsidP="00D605A4">
      <w:pPr>
        <w:rPr>
          <w:rFonts w:cs="Arial"/>
          <w:sz w:val="21"/>
          <w:szCs w:val="21"/>
        </w:rPr>
      </w:pPr>
    </w:p>
    <w:p w14:paraId="17563107" w14:textId="77777777" w:rsidR="00D605A4" w:rsidRPr="00C169ED" w:rsidRDefault="00D605A4" w:rsidP="00D605A4">
      <w:pPr>
        <w:rPr>
          <w:rFonts w:cs="Arial"/>
          <w:sz w:val="21"/>
          <w:szCs w:val="21"/>
        </w:rPr>
      </w:pPr>
    </w:p>
    <w:p w14:paraId="60A3994E" w14:textId="77777777" w:rsidR="00D605A4" w:rsidRPr="00C169ED" w:rsidRDefault="00D605A4" w:rsidP="00D605A4">
      <w:pPr>
        <w:rPr>
          <w:rFonts w:cs="Arial"/>
          <w:sz w:val="21"/>
          <w:szCs w:val="21"/>
        </w:rPr>
      </w:pPr>
    </w:p>
    <w:p w14:paraId="7F3D3546" w14:textId="77777777" w:rsidR="00D605A4" w:rsidRPr="00C169ED" w:rsidRDefault="00D605A4" w:rsidP="00D605A4">
      <w:pPr>
        <w:rPr>
          <w:rFonts w:cs="Arial"/>
          <w:sz w:val="21"/>
          <w:szCs w:val="21"/>
        </w:rPr>
      </w:pPr>
    </w:p>
    <w:p w14:paraId="6A31CCDE" w14:textId="77777777" w:rsidR="00D605A4" w:rsidRPr="00C169ED" w:rsidRDefault="00D605A4" w:rsidP="00D605A4">
      <w:pPr>
        <w:rPr>
          <w:rFonts w:cs="Arial"/>
          <w:sz w:val="21"/>
          <w:szCs w:val="21"/>
        </w:rPr>
      </w:pPr>
    </w:p>
    <w:p w14:paraId="138D4608" w14:textId="77777777" w:rsidR="00D605A4" w:rsidRPr="00C169ED" w:rsidRDefault="00D605A4" w:rsidP="00D605A4">
      <w:pPr>
        <w:rPr>
          <w:rFonts w:cs="Arial"/>
          <w:sz w:val="21"/>
          <w:szCs w:val="21"/>
        </w:rPr>
      </w:pPr>
    </w:p>
    <w:p w14:paraId="2DC44B2B" w14:textId="77777777" w:rsidR="00D605A4" w:rsidRDefault="00D605A4" w:rsidP="00D605A4">
      <w:pPr>
        <w:rPr>
          <w:rFonts w:cs="Arial"/>
          <w:sz w:val="22"/>
          <w:szCs w:val="22"/>
        </w:rPr>
      </w:pPr>
    </w:p>
    <w:p w14:paraId="5E84752E" w14:textId="77777777" w:rsidR="00031A88" w:rsidRDefault="00031A88" w:rsidP="00D605A4">
      <w:pPr>
        <w:rPr>
          <w:rFonts w:cs="Arial"/>
          <w:sz w:val="22"/>
          <w:szCs w:val="22"/>
        </w:rPr>
      </w:pPr>
    </w:p>
    <w:p w14:paraId="1A904745" w14:textId="77777777" w:rsidR="00031A88" w:rsidRDefault="00031A88" w:rsidP="00D605A4">
      <w:pPr>
        <w:rPr>
          <w:rFonts w:cs="Arial"/>
          <w:sz w:val="22"/>
          <w:szCs w:val="22"/>
        </w:rPr>
      </w:pPr>
    </w:p>
    <w:p w14:paraId="2C0AE893" w14:textId="77777777" w:rsidR="00031A88" w:rsidRDefault="00031A88" w:rsidP="00D605A4">
      <w:pPr>
        <w:rPr>
          <w:rFonts w:cs="Arial"/>
          <w:sz w:val="22"/>
          <w:szCs w:val="22"/>
        </w:rPr>
      </w:pPr>
    </w:p>
    <w:p w14:paraId="39892652" w14:textId="77777777" w:rsidR="00031A88" w:rsidRDefault="00031A88" w:rsidP="00D605A4">
      <w:pPr>
        <w:rPr>
          <w:rFonts w:cs="Arial"/>
          <w:sz w:val="22"/>
          <w:szCs w:val="22"/>
        </w:rPr>
      </w:pPr>
    </w:p>
    <w:p w14:paraId="5D8FE63D" w14:textId="77777777" w:rsidR="00031A88" w:rsidRDefault="00031A88" w:rsidP="00D605A4">
      <w:pPr>
        <w:rPr>
          <w:rFonts w:cs="Arial"/>
          <w:sz w:val="22"/>
          <w:szCs w:val="22"/>
        </w:rPr>
      </w:pPr>
    </w:p>
    <w:p w14:paraId="748092D1" w14:textId="77777777" w:rsidR="00031A88" w:rsidRDefault="00031A88" w:rsidP="00D605A4">
      <w:pPr>
        <w:rPr>
          <w:rFonts w:cs="Arial"/>
          <w:sz w:val="22"/>
          <w:szCs w:val="22"/>
        </w:rPr>
      </w:pPr>
    </w:p>
    <w:p w14:paraId="038D41E8" w14:textId="77777777" w:rsidR="00031A88" w:rsidRDefault="00031A88" w:rsidP="00D605A4">
      <w:pPr>
        <w:rPr>
          <w:rFonts w:cs="Arial"/>
          <w:sz w:val="22"/>
          <w:szCs w:val="22"/>
        </w:rPr>
      </w:pPr>
    </w:p>
    <w:p w14:paraId="5D261CFF" w14:textId="77777777" w:rsidR="00031A88" w:rsidRDefault="00031A88" w:rsidP="00D605A4">
      <w:pPr>
        <w:rPr>
          <w:rFonts w:cs="Arial"/>
          <w:sz w:val="22"/>
          <w:szCs w:val="22"/>
        </w:rPr>
      </w:pPr>
    </w:p>
    <w:p w14:paraId="1A3359ED" w14:textId="77777777" w:rsidR="00031A88" w:rsidRDefault="00031A88" w:rsidP="00D605A4">
      <w:pPr>
        <w:rPr>
          <w:rFonts w:cs="Arial"/>
          <w:sz w:val="22"/>
          <w:szCs w:val="22"/>
        </w:rPr>
      </w:pPr>
    </w:p>
    <w:p w14:paraId="3F0D932B" w14:textId="77777777" w:rsidR="00031A88" w:rsidRDefault="00031A88" w:rsidP="00D605A4">
      <w:pPr>
        <w:rPr>
          <w:rFonts w:cs="Arial"/>
          <w:sz w:val="22"/>
          <w:szCs w:val="22"/>
        </w:rPr>
      </w:pPr>
    </w:p>
    <w:p w14:paraId="06D3A9B3" w14:textId="77777777" w:rsidR="00031A88" w:rsidRPr="00D605A4" w:rsidRDefault="00031A88" w:rsidP="00D605A4">
      <w:pPr>
        <w:rPr>
          <w:rFonts w:cs="Arial"/>
          <w:sz w:val="22"/>
          <w:szCs w:val="22"/>
        </w:rPr>
      </w:pPr>
    </w:p>
    <w:p w14:paraId="0AA86451" w14:textId="4AB9B684" w:rsidR="00D605A4" w:rsidRDefault="00D605A4" w:rsidP="00D605A4">
      <w:pPr>
        <w:tabs>
          <w:tab w:val="left" w:pos="1020"/>
        </w:tabs>
        <w:rPr>
          <w:rFonts w:cs="Arial"/>
          <w:sz w:val="22"/>
          <w:szCs w:val="22"/>
        </w:rPr>
        <w:sectPr w:rsidR="00D605A4" w:rsidSect="0052082F">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08" w:right="1411" w:bottom="1152" w:left="1411" w:header="432" w:footer="432" w:gutter="0"/>
          <w:cols w:space="720"/>
          <w:noEndnote/>
          <w:titlePg/>
          <w:docGrid w:linePitch="272"/>
        </w:sectPr>
      </w:pPr>
    </w:p>
    <w:p w14:paraId="17CBECAF" w14:textId="5C796E00" w:rsidR="00D9185A" w:rsidRDefault="00D9185A" w:rsidP="009617A6">
      <w:pPr>
        <w:jc w:val="center"/>
        <w:rPr>
          <w:rFonts w:cs="Arial"/>
          <w:b/>
          <w:bCs/>
          <w:sz w:val="22"/>
          <w:szCs w:val="22"/>
        </w:rPr>
      </w:pPr>
      <w:r>
        <w:rPr>
          <w:rFonts w:cs="Arial"/>
          <w:b/>
          <w:bCs/>
          <w:sz w:val="22"/>
          <w:szCs w:val="22"/>
        </w:rPr>
        <w:lastRenderedPageBreak/>
        <w:t>TRANSFRONTIER CONSERVATION AREAS FOR MIGRATORY SPECIES</w:t>
      </w:r>
    </w:p>
    <w:p w14:paraId="65767B9E" w14:textId="0F59309D" w:rsidR="009617A6" w:rsidRPr="009617A6" w:rsidRDefault="009617A6" w:rsidP="009617A6">
      <w:pPr>
        <w:rPr>
          <w:rFonts w:cs="Arial"/>
          <w:sz w:val="22"/>
          <w:szCs w:val="22"/>
        </w:rPr>
      </w:pPr>
    </w:p>
    <w:p w14:paraId="0B7DEEB3" w14:textId="49F3F153" w:rsidR="007910DD" w:rsidRPr="00CD0FE9" w:rsidRDefault="007910DD" w:rsidP="007910DD">
      <w:pPr>
        <w:jc w:val="both"/>
        <w:rPr>
          <w:rFonts w:cs="Arial"/>
          <w:sz w:val="22"/>
          <w:szCs w:val="22"/>
          <w:u w:val="single"/>
          <w:lang w:val="en-GB"/>
        </w:rPr>
      </w:pPr>
      <w:r w:rsidRPr="00CD0FE9">
        <w:rPr>
          <w:rFonts w:cs="Arial"/>
          <w:sz w:val="22"/>
          <w:szCs w:val="22"/>
          <w:u w:val="single"/>
          <w:lang w:val="en-GB"/>
        </w:rPr>
        <w:t>Background</w:t>
      </w:r>
    </w:p>
    <w:p w14:paraId="793B0D8C" w14:textId="77777777" w:rsidR="007910DD" w:rsidRPr="00CD0FE9" w:rsidRDefault="007910DD" w:rsidP="007910DD">
      <w:pPr>
        <w:jc w:val="both"/>
        <w:rPr>
          <w:rFonts w:cs="Arial"/>
          <w:sz w:val="22"/>
          <w:szCs w:val="22"/>
          <w:lang w:val="en-GB"/>
        </w:rPr>
      </w:pPr>
    </w:p>
    <w:p w14:paraId="77A1E231" w14:textId="32D00086" w:rsidR="004D74D1" w:rsidRPr="005A3ADC" w:rsidRDefault="00A41836" w:rsidP="0052408C">
      <w:pPr>
        <w:pStyle w:val="ListParagraph"/>
        <w:numPr>
          <w:ilvl w:val="0"/>
          <w:numId w:val="2"/>
        </w:numPr>
        <w:jc w:val="both"/>
        <w:rPr>
          <w:rFonts w:cs="Arial"/>
          <w:sz w:val="22"/>
          <w:szCs w:val="22"/>
          <w:lang w:val="en-GB"/>
        </w:rPr>
      </w:pPr>
      <w:r>
        <w:rPr>
          <w:rFonts w:cs="Arial"/>
          <w:sz w:val="22"/>
          <w:szCs w:val="22"/>
          <w:lang w:val="en-GB"/>
        </w:rPr>
        <w:t>Among</w:t>
      </w:r>
      <w:r w:rsidR="004D74D1" w:rsidRPr="005A3ADC">
        <w:rPr>
          <w:rFonts w:cs="Arial"/>
          <w:sz w:val="22"/>
          <w:szCs w:val="22"/>
          <w:lang w:val="en-GB"/>
        </w:rPr>
        <w:t xml:space="preserve"> the greatest drivers of species’ decline </w:t>
      </w:r>
      <w:r>
        <w:rPr>
          <w:rFonts w:cs="Arial"/>
          <w:sz w:val="22"/>
          <w:szCs w:val="22"/>
          <w:lang w:val="en-GB"/>
        </w:rPr>
        <w:t>are</w:t>
      </w:r>
      <w:r w:rsidRPr="005A3ADC">
        <w:rPr>
          <w:rFonts w:cs="Arial"/>
          <w:sz w:val="22"/>
          <w:szCs w:val="22"/>
          <w:lang w:val="en-GB"/>
        </w:rPr>
        <w:t xml:space="preserve"> </w:t>
      </w:r>
      <w:r w:rsidR="004D74D1" w:rsidRPr="005A3ADC">
        <w:rPr>
          <w:rFonts w:cs="Arial"/>
          <w:sz w:val="22"/>
          <w:szCs w:val="22"/>
          <w:lang w:val="en-GB"/>
        </w:rPr>
        <w:t xml:space="preserve">habitat </w:t>
      </w:r>
      <w:r w:rsidR="00EC077A" w:rsidRPr="005A3ADC">
        <w:rPr>
          <w:rFonts w:cs="Arial"/>
          <w:sz w:val="22"/>
          <w:szCs w:val="22"/>
          <w:lang w:val="en-GB"/>
        </w:rPr>
        <w:t xml:space="preserve">fragmentation and </w:t>
      </w:r>
      <w:r w:rsidR="004D74D1" w:rsidRPr="005A3ADC">
        <w:rPr>
          <w:rFonts w:cs="Arial"/>
          <w:sz w:val="22"/>
          <w:szCs w:val="22"/>
          <w:lang w:val="en-GB"/>
        </w:rPr>
        <w:t>loss.</w:t>
      </w:r>
      <w:r w:rsidR="005A3ADC">
        <w:rPr>
          <w:rFonts w:cs="Arial"/>
          <w:sz w:val="22"/>
          <w:szCs w:val="22"/>
          <w:lang w:val="en-GB"/>
        </w:rPr>
        <w:t xml:space="preserve"> Ap</w:t>
      </w:r>
      <w:r w:rsidR="005A3ADC" w:rsidRPr="005A3ADC">
        <w:rPr>
          <w:rFonts w:cs="Arial"/>
          <w:sz w:val="22"/>
          <w:szCs w:val="22"/>
          <w:lang w:val="en-GB"/>
        </w:rPr>
        <w:t xml:space="preserve">art from </w:t>
      </w:r>
      <w:r w:rsidR="005C2B7D">
        <w:rPr>
          <w:rFonts w:cs="Arial"/>
          <w:sz w:val="22"/>
          <w:szCs w:val="22"/>
          <w:lang w:val="en-GB"/>
        </w:rPr>
        <w:t xml:space="preserve">human </w:t>
      </w:r>
      <w:r w:rsidR="005A3ADC" w:rsidRPr="005A3ADC">
        <w:rPr>
          <w:rFonts w:cs="Arial"/>
          <w:sz w:val="22"/>
          <w:szCs w:val="22"/>
          <w:lang w:val="en-GB"/>
        </w:rPr>
        <w:t>population growth,</w:t>
      </w:r>
      <w:r w:rsidR="005A3ADC" w:rsidRPr="005A3ADC">
        <w:rPr>
          <w:rFonts w:ascii="Times New Roman" w:hAnsi="Times New Roman"/>
          <w:sz w:val="14"/>
          <w:szCs w:val="14"/>
        </w:rPr>
        <w:t xml:space="preserve"> </w:t>
      </w:r>
      <w:r w:rsidR="005A3ADC" w:rsidRPr="005A3ADC">
        <w:rPr>
          <w:rFonts w:cs="Arial"/>
          <w:sz w:val="22"/>
          <w:szCs w:val="22"/>
        </w:rPr>
        <w:t xml:space="preserve">common causes are unsustainable agriculture, logging, </w:t>
      </w:r>
      <w:r w:rsidRPr="005A3ADC">
        <w:rPr>
          <w:rFonts w:cs="Arial"/>
          <w:sz w:val="22"/>
          <w:szCs w:val="22"/>
        </w:rPr>
        <w:t>transport</w:t>
      </w:r>
      <w:r>
        <w:rPr>
          <w:rFonts w:cs="Arial"/>
          <w:sz w:val="22"/>
          <w:szCs w:val="22"/>
        </w:rPr>
        <w:t xml:space="preserve"> infrastructure</w:t>
      </w:r>
      <w:r w:rsidR="005A3ADC" w:rsidRPr="005A3ADC">
        <w:rPr>
          <w:rFonts w:cs="Arial"/>
          <w:sz w:val="22"/>
          <w:szCs w:val="22"/>
        </w:rPr>
        <w:t>, residential or commercial development, energy production and mining.</w:t>
      </w:r>
      <w:r w:rsidR="004D74D1" w:rsidRPr="004D74D1">
        <w:rPr>
          <w:vertAlign w:val="superscript"/>
          <w:lang w:val="en-GB"/>
        </w:rPr>
        <w:footnoteReference w:id="1"/>
      </w:r>
      <w:r w:rsidR="004D74D1" w:rsidRPr="005A3ADC">
        <w:rPr>
          <w:rFonts w:cs="Arial"/>
          <w:sz w:val="22"/>
          <w:szCs w:val="22"/>
          <w:lang w:val="en-GB"/>
        </w:rPr>
        <w:t xml:space="preserve"> </w:t>
      </w:r>
    </w:p>
    <w:p w14:paraId="3019A95E" w14:textId="77777777" w:rsidR="004D74D1" w:rsidRPr="004D74D1" w:rsidRDefault="004D74D1" w:rsidP="0052408C">
      <w:pPr>
        <w:pStyle w:val="ListParagraph"/>
        <w:ind w:left="360" w:hanging="360"/>
        <w:jc w:val="both"/>
        <w:rPr>
          <w:rFonts w:cs="Arial"/>
          <w:sz w:val="22"/>
          <w:szCs w:val="22"/>
          <w:lang w:val="en-GB"/>
        </w:rPr>
      </w:pPr>
    </w:p>
    <w:p w14:paraId="57370991" w14:textId="41D59F85" w:rsidR="00827623" w:rsidRDefault="00827623" w:rsidP="0052408C">
      <w:pPr>
        <w:numPr>
          <w:ilvl w:val="0"/>
          <w:numId w:val="2"/>
        </w:numPr>
        <w:contextualSpacing/>
        <w:jc w:val="both"/>
        <w:rPr>
          <w:rFonts w:cs="Arial"/>
          <w:sz w:val="22"/>
          <w:szCs w:val="22"/>
          <w:lang w:val="en-GB"/>
        </w:rPr>
      </w:pPr>
      <w:r w:rsidRPr="00827623">
        <w:rPr>
          <w:rFonts w:cs="Arial"/>
          <w:sz w:val="22"/>
          <w:szCs w:val="22"/>
          <w:lang w:val="en-GB"/>
        </w:rPr>
        <w:t xml:space="preserve">By joining CMS, Parties have acknowledged the importance </w:t>
      </w:r>
      <w:r w:rsidR="00A41836">
        <w:rPr>
          <w:rFonts w:cs="Arial"/>
          <w:sz w:val="22"/>
          <w:szCs w:val="22"/>
          <w:lang w:val="en-GB"/>
        </w:rPr>
        <w:t>of</w:t>
      </w:r>
      <w:r w:rsidR="00A41836" w:rsidRPr="00827623">
        <w:rPr>
          <w:rFonts w:cs="Arial"/>
          <w:sz w:val="22"/>
          <w:szCs w:val="22"/>
          <w:lang w:val="en-GB"/>
        </w:rPr>
        <w:t xml:space="preserve"> </w:t>
      </w:r>
      <w:r w:rsidRPr="00827623">
        <w:rPr>
          <w:rFonts w:cs="Arial"/>
          <w:sz w:val="22"/>
          <w:szCs w:val="22"/>
          <w:lang w:val="en-GB"/>
        </w:rPr>
        <w:t>conserv</w:t>
      </w:r>
      <w:r w:rsidR="00A41836">
        <w:rPr>
          <w:rFonts w:cs="Arial"/>
          <w:sz w:val="22"/>
          <w:szCs w:val="22"/>
          <w:lang w:val="en-GB"/>
        </w:rPr>
        <w:t>ing</w:t>
      </w:r>
      <w:r w:rsidRPr="00827623">
        <w:rPr>
          <w:rFonts w:cs="Arial"/>
          <w:sz w:val="22"/>
          <w:szCs w:val="22"/>
          <w:lang w:val="en-GB"/>
        </w:rPr>
        <w:t xml:space="preserve"> species </w:t>
      </w:r>
      <w:r w:rsidRPr="00D31F76">
        <w:rPr>
          <w:rFonts w:cs="Arial"/>
          <w:sz w:val="22"/>
          <w:szCs w:val="22"/>
          <w:lang w:val="en-GB"/>
        </w:rPr>
        <w:t>and</w:t>
      </w:r>
      <w:r w:rsidRPr="00827623">
        <w:rPr>
          <w:rFonts w:cs="Arial"/>
          <w:sz w:val="22"/>
          <w:szCs w:val="22"/>
          <w:lang w:val="en-GB"/>
        </w:rPr>
        <w:t xml:space="preserve"> their habitats (Article II). </w:t>
      </w:r>
      <w:r>
        <w:rPr>
          <w:rFonts w:cs="Arial"/>
          <w:sz w:val="22"/>
          <w:szCs w:val="22"/>
          <w:lang w:val="en-GB"/>
        </w:rPr>
        <w:t xml:space="preserve">Furthermore, </w:t>
      </w:r>
      <w:r w:rsidRPr="005A3ADC">
        <w:rPr>
          <w:rFonts w:cs="Arial"/>
          <w:sz w:val="22"/>
          <w:szCs w:val="22"/>
          <w:lang w:val="en-GB"/>
        </w:rPr>
        <w:t>Parties that are Range States of a migratory species listed in Appendix I</w:t>
      </w:r>
      <w:r w:rsidRPr="00827623">
        <w:rPr>
          <w:rFonts w:cs="Arial"/>
          <w:i/>
          <w:sz w:val="22"/>
          <w:szCs w:val="22"/>
          <w:lang w:val="en-GB"/>
        </w:rPr>
        <w:t xml:space="preserve"> </w:t>
      </w:r>
      <w:r w:rsidR="00A41836">
        <w:rPr>
          <w:rFonts w:cs="Arial"/>
          <w:i/>
          <w:sz w:val="22"/>
          <w:szCs w:val="22"/>
          <w:lang w:val="en-GB"/>
        </w:rPr>
        <w:t>“</w:t>
      </w:r>
      <w:r w:rsidRPr="00827623">
        <w:rPr>
          <w:rFonts w:cs="Arial"/>
          <w:i/>
          <w:sz w:val="22"/>
          <w:szCs w:val="22"/>
          <w:lang w:val="en-GB"/>
        </w:rPr>
        <w:t>shall endeavour to conserve and, where feasible and appropriate, restore those habitats of the species which are of importance in removing the species from danger of extinction</w:t>
      </w:r>
      <w:r w:rsidR="00A41836">
        <w:rPr>
          <w:rFonts w:cs="Arial"/>
          <w:i/>
          <w:sz w:val="22"/>
          <w:szCs w:val="22"/>
          <w:lang w:val="en-GB"/>
        </w:rPr>
        <w:t>”</w:t>
      </w:r>
      <w:r w:rsidRPr="00827623">
        <w:rPr>
          <w:rFonts w:cs="Arial"/>
          <w:sz w:val="22"/>
          <w:szCs w:val="22"/>
          <w:lang w:val="en-GB"/>
        </w:rPr>
        <w:t xml:space="preserve"> (Article III</w:t>
      </w:r>
      <w:r>
        <w:rPr>
          <w:rFonts w:cs="Arial"/>
          <w:sz w:val="22"/>
          <w:szCs w:val="22"/>
          <w:lang w:val="en-GB"/>
        </w:rPr>
        <w:t>. 4. b</w:t>
      </w:r>
      <w:r w:rsidRPr="00827623">
        <w:rPr>
          <w:rFonts w:cs="Arial"/>
          <w:sz w:val="22"/>
          <w:szCs w:val="22"/>
          <w:lang w:val="en-GB"/>
        </w:rPr>
        <w:t xml:space="preserve">). </w:t>
      </w:r>
    </w:p>
    <w:p w14:paraId="107F4ABD" w14:textId="77777777" w:rsidR="00827623" w:rsidRDefault="00827623" w:rsidP="0052408C">
      <w:pPr>
        <w:pStyle w:val="ListParagraph"/>
        <w:ind w:left="360" w:hanging="360"/>
        <w:rPr>
          <w:rFonts w:cs="Arial"/>
          <w:sz w:val="22"/>
          <w:szCs w:val="22"/>
          <w:lang w:val="en-GB"/>
        </w:rPr>
      </w:pPr>
    </w:p>
    <w:p w14:paraId="619795EA" w14:textId="77E3AA4F" w:rsidR="00827623" w:rsidRDefault="00827623" w:rsidP="0052408C">
      <w:pPr>
        <w:numPr>
          <w:ilvl w:val="0"/>
          <w:numId w:val="2"/>
        </w:numPr>
        <w:contextualSpacing/>
        <w:jc w:val="both"/>
        <w:rPr>
          <w:rFonts w:cs="Arial"/>
          <w:sz w:val="22"/>
          <w:szCs w:val="22"/>
          <w:lang w:val="en-GB"/>
        </w:rPr>
      </w:pPr>
      <w:r w:rsidRPr="00827623">
        <w:rPr>
          <w:rFonts w:cs="Arial"/>
          <w:sz w:val="22"/>
          <w:szCs w:val="22"/>
          <w:lang w:val="en-GB"/>
        </w:rPr>
        <w:t xml:space="preserve">The object of Agreements concluded for species listed on Appendix II </w:t>
      </w:r>
      <w:r w:rsidR="00A41836">
        <w:rPr>
          <w:rFonts w:cs="Arial"/>
          <w:sz w:val="22"/>
          <w:szCs w:val="22"/>
          <w:lang w:val="en-GB"/>
        </w:rPr>
        <w:t>“</w:t>
      </w:r>
      <w:r w:rsidRPr="00827623">
        <w:rPr>
          <w:rFonts w:cs="Arial"/>
          <w:i/>
          <w:sz w:val="22"/>
          <w:szCs w:val="22"/>
          <w:lang w:val="en-GB"/>
        </w:rPr>
        <w:t>should provide for conservation and, where required and feasible, restoration of the habitats of importance in maintaining a favourable conservation status of that species, and protection of such habitats from disturbances, including strict control of the introduction of, or control of already introduced, exotic species detrimental to the migratory species</w:t>
      </w:r>
      <w:r w:rsidR="00A41836">
        <w:rPr>
          <w:rFonts w:cs="Arial"/>
          <w:i/>
          <w:sz w:val="22"/>
          <w:szCs w:val="22"/>
          <w:lang w:val="en-GB"/>
        </w:rPr>
        <w:t>”</w:t>
      </w:r>
      <w:r w:rsidRPr="00827623">
        <w:rPr>
          <w:rFonts w:cs="Arial"/>
          <w:sz w:val="22"/>
          <w:szCs w:val="22"/>
          <w:lang w:val="en-GB"/>
        </w:rPr>
        <w:t xml:space="preserve"> (Article V).</w:t>
      </w:r>
    </w:p>
    <w:p w14:paraId="571CE93D" w14:textId="77777777" w:rsidR="00452D96" w:rsidRDefault="00452D96" w:rsidP="0052408C">
      <w:pPr>
        <w:pStyle w:val="ListParagraph"/>
        <w:ind w:left="360" w:hanging="360"/>
        <w:rPr>
          <w:rFonts w:cs="Arial"/>
          <w:sz w:val="22"/>
          <w:szCs w:val="22"/>
          <w:lang w:val="en-GB"/>
        </w:rPr>
      </w:pPr>
    </w:p>
    <w:p w14:paraId="639B11BF" w14:textId="3B5595DF" w:rsidR="007910DD" w:rsidRPr="00B3409B" w:rsidRDefault="006D7505" w:rsidP="0052408C">
      <w:pPr>
        <w:numPr>
          <w:ilvl w:val="0"/>
          <w:numId w:val="2"/>
        </w:numPr>
        <w:contextualSpacing/>
        <w:jc w:val="both"/>
        <w:rPr>
          <w:rFonts w:cs="Arial"/>
          <w:sz w:val="22"/>
          <w:szCs w:val="22"/>
          <w:u w:val="single"/>
          <w:lang w:val="en-GB"/>
        </w:rPr>
      </w:pPr>
      <w:r w:rsidRPr="00DA00BD">
        <w:rPr>
          <w:rFonts w:cs="Arial"/>
          <w:sz w:val="22"/>
          <w:szCs w:val="22"/>
          <w:lang w:val="en-GB"/>
        </w:rPr>
        <w:t xml:space="preserve">The CMS Conference of the Parties further refined their approaches to habitat conservation through a number of </w:t>
      </w:r>
      <w:r w:rsidR="00C37506" w:rsidRPr="00DA00BD">
        <w:rPr>
          <w:rFonts w:cs="Arial"/>
          <w:sz w:val="22"/>
          <w:szCs w:val="22"/>
          <w:lang w:val="en-GB"/>
        </w:rPr>
        <w:t>Resolutions</w:t>
      </w:r>
      <w:r w:rsidRPr="00DA00BD">
        <w:rPr>
          <w:rFonts w:cs="Arial"/>
          <w:sz w:val="22"/>
          <w:szCs w:val="22"/>
          <w:lang w:val="en-GB"/>
        </w:rPr>
        <w:t>. Resolution 10.3 on</w:t>
      </w:r>
      <w:r w:rsidR="00C37506" w:rsidRPr="00DA00BD">
        <w:rPr>
          <w:rFonts w:cs="Arial"/>
          <w:sz w:val="22"/>
          <w:szCs w:val="22"/>
          <w:lang w:val="en-GB"/>
        </w:rPr>
        <w:t xml:space="preserve"> </w:t>
      </w:r>
      <w:r w:rsidRPr="00DA00BD">
        <w:rPr>
          <w:rFonts w:cs="Arial"/>
          <w:i/>
          <w:sz w:val="22"/>
          <w:szCs w:val="22"/>
          <w:lang w:val="en-GB"/>
        </w:rPr>
        <w:t>The role of ecological networks in the conservation of migratory species</w:t>
      </w:r>
      <w:r w:rsidRPr="00DA00BD">
        <w:rPr>
          <w:rFonts w:cs="Arial"/>
          <w:sz w:val="22"/>
          <w:szCs w:val="22"/>
          <w:lang w:val="en-GB"/>
        </w:rPr>
        <w:t xml:space="preserve"> urges Parties </w:t>
      </w:r>
      <w:r w:rsidR="00A41836">
        <w:rPr>
          <w:rFonts w:cs="Arial"/>
          <w:sz w:val="22"/>
          <w:szCs w:val="22"/>
          <w:lang w:val="en-GB"/>
        </w:rPr>
        <w:t>“</w:t>
      </w:r>
      <w:r w:rsidRPr="00DA00BD">
        <w:rPr>
          <w:rFonts w:cs="Arial"/>
          <w:i/>
          <w:sz w:val="22"/>
          <w:szCs w:val="22"/>
          <w:lang w:val="en-GB"/>
        </w:rPr>
        <w:t>to collaborate to identify, designate and maintain comprehensive and coherent ecological networks of protected sites and other adequately managed sites of international and national importance for migratory animals</w:t>
      </w:r>
      <w:r w:rsidR="00A41836">
        <w:rPr>
          <w:rFonts w:cs="Arial"/>
          <w:i/>
          <w:sz w:val="22"/>
          <w:szCs w:val="22"/>
          <w:lang w:val="en-GB"/>
        </w:rPr>
        <w:t>”</w:t>
      </w:r>
      <w:r w:rsidRPr="00DA00BD">
        <w:rPr>
          <w:rFonts w:cs="Arial"/>
          <w:sz w:val="22"/>
          <w:szCs w:val="22"/>
          <w:lang w:val="en-GB"/>
        </w:rPr>
        <w:t>.</w:t>
      </w:r>
      <w:r w:rsidR="00DA00BD" w:rsidRPr="00DA00BD">
        <w:rPr>
          <w:rFonts w:cs="Arial"/>
          <w:sz w:val="22"/>
          <w:szCs w:val="22"/>
          <w:lang w:val="en-GB"/>
        </w:rPr>
        <w:t xml:space="preserve"> </w:t>
      </w:r>
      <w:r w:rsidRPr="00DA00BD">
        <w:rPr>
          <w:rFonts w:cs="Arial"/>
          <w:sz w:val="22"/>
          <w:szCs w:val="22"/>
          <w:lang w:val="en-GB"/>
        </w:rPr>
        <w:t xml:space="preserve">CMS Resolution 11.14 on the </w:t>
      </w:r>
      <w:r w:rsidRPr="00DA00BD">
        <w:rPr>
          <w:rFonts w:cs="Arial"/>
          <w:i/>
          <w:sz w:val="22"/>
          <w:szCs w:val="22"/>
          <w:lang w:val="en-GB"/>
        </w:rPr>
        <w:t>Programme of Work on Migratory Birds and Flyways</w:t>
      </w:r>
      <w:r w:rsidRPr="00DA00BD">
        <w:rPr>
          <w:rFonts w:cs="Arial"/>
          <w:sz w:val="22"/>
          <w:szCs w:val="22"/>
          <w:lang w:val="en-GB"/>
        </w:rPr>
        <w:t xml:space="preserve"> encourages </w:t>
      </w:r>
      <w:r w:rsidR="00A41836">
        <w:rPr>
          <w:rFonts w:cs="Arial"/>
          <w:sz w:val="22"/>
          <w:szCs w:val="22"/>
          <w:lang w:val="en-GB"/>
        </w:rPr>
        <w:t>R</w:t>
      </w:r>
      <w:r w:rsidRPr="00DA00BD">
        <w:rPr>
          <w:rFonts w:cs="Arial"/>
          <w:sz w:val="22"/>
          <w:szCs w:val="22"/>
          <w:lang w:val="en-GB"/>
        </w:rPr>
        <w:t>ange States to participate in flyway conservation initiatives for all birds listed under CM</w:t>
      </w:r>
      <w:r w:rsidR="00DA00BD">
        <w:rPr>
          <w:rFonts w:cs="Arial"/>
          <w:sz w:val="22"/>
          <w:szCs w:val="22"/>
          <w:lang w:val="en-GB"/>
        </w:rPr>
        <w:t xml:space="preserve">S and its daughter instruments, while </w:t>
      </w:r>
      <w:r w:rsidRPr="00DA00BD">
        <w:rPr>
          <w:rFonts w:cs="Arial"/>
          <w:sz w:val="22"/>
          <w:szCs w:val="22"/>
          <w:lang w:val="en-GB"/>
        </w:rPr>
        <w:t xml:space="preserve">CMS Resolution 11.25 on </w:t>
      </w:r>
      <w:r w:rsidRPr="00DA00BD">
        <w:rPr>
          <w:rFonts w:cs="Arial"/>
          <w:i/>
          <w:sz w:val="22"/>
          <w:szCs w:val="22"/>
          <w:lang w:val="en-GB"/>
        </w:rPr>
        <w:t xml:space="preserve">Advancing ecological networks to address the needs of migratory species </w:t>
      </w:r>
      <w:r w:rsidRPr="00DA00BD">
        <w:rPr>
          <w:rFonts w:cs="Arial"/>
          <w:sz w:val="22"/>
          <w:szCs w:val="22"/>
          <w:lang w:val="en-GB"/>
        </w:rPr>
        <w:t>sets out standards to be applied in designing and implementing ecological networks.</w:t>
      </w:r>
    </w:p>
    <w:p w14:paraId="38C5C675" w14:textId="77777777" w:rsidR="00B3409B" w:rsidRDefault="00B3409B" w:rsidP="0052408C">
      <w:pPr>
        <w:pStyle w:val="ListParagraph"/>
        <w:ind w:left="360" w:hanging="360"/>
        <w:rPr>
          <w:rFonts w:cs="Arial"/>
          <w:sz w:val="22"/>
          <w:szCs w:val="22"/>
          <w:u w:val="single"/>
          <w:lang w:val="en-GB"/>
        </w:rPr>
      </w:pPr>
    </w:p>
    <w:p w14:paraId="1C550A82" w14:textId="4C0E88A8" w:rsidR="00B3409B" w:rsidRDefault="00B3409B" w:rsidP="0052408C">
      <w:pPr>
        <w:numPr>
          <w:ilvl w:val="0"/>
          <w:numId w:val="2"/>
        </w:numPr>
        <w:contextualSpacing/>
        <w:jc w:val="both"/>
        <w:rPr>
          <w:rFonts w:cs="Arial"/>
          <w:sz w:val="22"/>
          <w:szCs w:val="22"/>
        </w:rPr>
      </w:pPr>
      <w:r>
        <w:rPr>
          <w:rFonts w:cs="Arial"/>
          <w:sz w:val="22"/>
          <w:szCs w:val="22"/>
          <w:lang w:val="en-GB"/>
        </w:rPr>
        <w:t>By</w:t>
      </w:r>
      <w:r w:rsidRPr="00F97623">
        <w:rPr>
          <w:rFonts w:cs="Arial"/>
          <w:sz w:val="22"/>
          <w:szCs w:val="22"/>
          <w:lang w:val="en-GB"/>
        </w:rPr>
        <w:t xml:space="preserve"> Resolution 11.25 the Conference of the Parties at its 11</w:t>
      </w:r>
      <w:r w:rsidRPr="00F97623">
        <w:rPr>
          <w:rFonts w:cs="Arial"/>
          <w:sz w:val="22"/>
          <w:szCs w:val="22"/>
          <w:vertAlign w:val="superscript"/>
          <w:lang w:val="en-GB"/>
        </w:rPr>
        <w:t>th</w:t>
      </w:r>
      <w:r w:rsidRPr="00F97623">
        <w:rPr>
          <w:rFonts w:cs="Arial"/>
          <w:sz w:val="22"/>
          <w:szCs w:val="22"/>
          <w:lang w:val="en-GB"/>
        </w:rPr>
        <w:t xml:space="preserve"> meeting </w:t>
      </w:r>
      <w:r w:rsidRPr="00F97623">
        <w:rPr>
          <w:rFonts w:cs="Arial"/>
          <w:sz w:val="22"/>
          <w:szCs w:val="22"/>
        </w:rPr>
        <w:t xml:space="preserve">acknowledged </w:t>
      </w:r>
      <w:r w:rsidR="00A41836">
        <w:rPr>
          <w:rFonts w:cs="Arial"/>
          <w:sz w:val="22"/>
          <w:szCs w:val="22"/>
        </w:rPr>
        <w:t>“</w:t>
      </w:r>
      <w:r w:rsidRPr="00F97623">
        <w:rPr>
          <w:rFonts w:cs="Arial"/>
          <w:i/>
          <w:sz w:val="22"/>
          <w:szCs w:val="22"/>
        </w:rPr>
        <w:t>progress made by some Parties and other Range States with the establishment of transboundary area-based conservation measures as a basis for ecological networks and promoting connectivity</w:t>
      </w:r>
      <w:r w:rsidR="00A41836">
        <w:rPr>
          <w:rFonts w:cs="Arial"/>
          <w:i/>
          <w:sz w:val="22"/>
          <w:szCs w:val="22"/>
        </w:rPr>
        <w:t>”</w:t>
      </w:r>
      <w:r w:rsidRPr="00F97623">
        <w:rPr>
          <w:rFonts w:cs="Arial"/>
          <w:sz w:val="22"/>
          <w:szCs w:val="22"/>
        </w:rPr>
        <w:t>, highlighting the KAZA Treaty on Tr</w:t>
      </w:r>
      <w:r>
        <w:rPr>
          <w:rFonts w:cs="Arial"/>
          <w:sz w:val="22"/>
          <w:szCs w:val="22"/>
        </w:rPr>
        <w:t>ansfrontier Conservation Areas</w:t>
      </w:r>
      <w:r w:rsidRPr="00F97623">
        <w:rPr>
          <w:rFonts w:cs="Arial"/>
          <w:sz w:val="22"/>
          <w:szCs w:val="22"/>
        </w:rPr>
        <w:t>, signed by Angola, Botswana, Namibia, Zambia and Zimbabwe on 18 August 2011, which is home to at least 50</w:t>
      </w:r>
      <w:r w:rsidR="00A41836">
        <w:rPr>
          <w:rFonts w:cs="Arial"/>
          <w:sz w:val="22"/>
          <w:szCs w:val="22"/>
        </w:rPr>
        <w:t xml:space="preserve"> per cent</w:t>
      </w:r>
      <w:r w:rsidRPr="00F97623">
        <w:rPr>
          <w:rFonts w:cs="Arial"/>
          <w:sz w:val="22"/>
          <w:szCs w:val="22"/>
        </w:rPr>
        <w:t xml:space="preserve"> of all African </w:t>
      </w:r>
      <w:r w:rsidR="00A41836">
        <w:rPr>
          <w:rFonts w:cs="Arial"/>
          <w:sz w:val="22"/>
          <w:szCs w:val="22"/>
        </w:rPr>
        <w:t>E</w:t>
      </w:r>
      <w:r w:rsidRPr="00F97623">
        <w:rPr>
          <w:rFonts w:cs="Arial"/>
          <w:sz w:val="22"/>
          <w:szCs w:val="22"/>
        </w:rPr>
        <w:t>lephants (Appendix II), 25</w:t>
      </w:r>
      <w:r w:rsidR="00A41836">
        <w:rPr>
          <w:rFonts w:cs="Arial"/>
          <w:sz w:val="22"/>
          <w:szCs w:val="22"/>
        </w:rPr>
        <w:t xml:space="preserve"> per cent</w:t>
      </w:r>
      <w:r w:rsidRPr="00F97623">
        <w:rPr>
          <w:rFonts w:cs="Arial"/>
          <w:sz w:val="22"/>
          <w:szCs w:val="22"/>
        </w:rPr>
        <w:t xml:space="preserve"> of African </w:t>
      </w:r>
      <w:r w:rsidR="00A41836">
        <w:rPr>
          <w:rFonts w:cs="Arial"/>
          <w:sz w:val="22"/>
          <w:szCs w:val="22"/>
        </w:rPr>
        <w:t>W</w:t>
      </w:r>
      <w:r w:rsidRPr="00F97623">
        <w:rPr>
          <w:rFonts w:cs="Arial"/>
          <w:sz w:val="22"/>
          <w:szCs w:val="22"/>
        </w:rPr>
        <w:t xml:space="preserve">ild </w:t>
      </w:r>
      <w:r w:rsidR="00A41836">
        <w:rPr>
          <w:rFonts w:cs="Arial"/>
          <w:sz w:val="22"/>
          <w:szCs w:val="22"/>
        </w:rPr>
        <w:t>D</w:t>
      </w:r>
      <w:r w:rsidRPr="00F97623">
        <w:rPr>
          <w:rFonts w:cs="Arial"/>
          <w:sz w:val="22"/>
          <w:szCs w:val="22"/>
        </w:rPr>
        <w:t>ogs (Appendix II) and substantial numbers of migratory birds and other CMS-listed species</w:t>
      </w:r>
      <w:r>
        <w:rPr>
          <w:rFonts w:cs="Arial"/>
          <w:sz w:val="22"/>
          <w:szCs w:val="22"/>
        </w:rPr>
        <w:t xml:space="preserve">. </w:t>
      </w:r>
    </w:p>
    <w:p w14:paraId="4F04AFAB" w14:textId="77777777" w:rsidR="007910DD" w:rsidRPr="00CD0FE9" w:rsidRDefault="007910DD" w:rsidP="009617A6">
      <w:pPr>
        <w:jc w:val="both"/>
        <w:rPr>
          <w:rFonts w:cs="Arial"/>
          <w:sz w:val="22"/>
          <w:szCs w:val="22"/>
          <w:lang w:val="en-GB"/>
        </w:rPr>
      </w:pPr>
    </w:p>
    <w:p w14:paraId="49EFD735" w14:textId="60C5B4C8" w:rsidR="007910DD" w:rsidRPr="00CD0FE9" w:rsidRDefault="00C37506" w:rsidP="00E52C99">
      <w:pPr>
        <w:jc w:val="both"/>
        <w:rPr>
          <w:rFonts w:cs="Arial"/>
          <w:sz w:val="22"/>
          <w:szCs w:val="22"/>
          <w:u w:val="single"/>
          <w:lang w:val="en-GB"/>
        </w:rPr>
      </w:pPr>
      <w:r>
        <w:rPr>
          <w:rFonts w:cs="Arial"/>
          <w:sz w:val="22"/>
          <w:szCs w:val="22"/>
          <w:u w:val="single"/>
          <w:lang w:val="en-GB"/>
        </w:rPr>
        <w:t>Transfrontier Conservation Areas</w:t>
      </w:r>
    </w:p>
    <w:p w14:paraId="111FF3CF" w14:textId="77777777" w:rsidR="007910DD" w:rsidRPr="00CD0FE9" w:rsidRDefault="007910DD" w:rsidP="00E52C99">
      <w:pPr>
        <w:jc w:val="both"/>
        <w:rPr>
          <w:rFonts w:cs="Arial"/>
          <w:sz w:val="22"/>
          <w:szCs w:val="22"/>
          <w:lang w:val="en-GB"/>
        </w:rPr>
      </w:pPr>
    </w:p>
    <w:p w14:paraId="12B5828A" w14:textId="719DF6EC" w:rsidR="0057386C" w:rsidRDefault="005C2B7D" w:rsidP="0052408C">
      <w:pPr>
        <w:numPr>
          <w:ilvl w:val="0"/>
          <w:numId w:val="2"/>
        </w:numPr>
        <w:contextualSpacing/>
        <w:jc w:val="both"/>
        <w:rPr>
          <w:rFonts w:cs="Arial"/>
          <w:sz w:val="22"/>
          <w:szCs w:val="22"/>
        </w:rPr>
      </w:pPr>
      <w:r>
        <w:rPr>
          <w:rFonts w:cs="Arial"/>
          <w:sz w:val="22"/>
          <w:szCs w:val="22"/>
        </w:rPr>
        <w:t>Many m</w:t>
      </w:r>
      <w:r w:rsidR="0057386C">
        <w:rPr>
          <w:rFonts w:cs="Arial"/>
          <w:sz w:val="22"/>
          <w:szCs w:val="22"/>
        </w:rPr>
        <w:t>igratory species occupy large ranges</w:t>
      </w:r>
      <w:r w:rsidR="00A41836">
        <w:rPr>
          <w:rFonts w:cs="Arial"/>
          <w:sz w:val="22"/>
          <w:szCs w:val="22"/>
        </w:rPr>
        <w:t>, but g</w:t>
      </w:r>
      <w:r w:rsidR="0057386C">
        <w:rPr>
          <w:rFonts w:cs="Arial"/>
          <w:sz w:val="22"/>
          <w:szCs w:val="22"/>
        </w:rPr>
        <w:t xml:space="preserve">enerally, protected areas provide insufficient space for </w:t>
      </w:r>
      <w:r w:rsidR="00A41836">
        <w:rPr>
          <w:rFonts w:cs="Arial"/>
          <w:sz w:val="22"/>
          <w:szCs w:val="22"/>
        </w:rPr>
        <w:t>these animals</w:t>
      </w:r>
      <w:r w:rsidR="0057386C">
        <w:rPr>
          <w:rFonts w:cs="Arial"/>
          <w:sz w:val="22"/>
          <w:szCs w:val="22"/>
        </w:rPr>
        <w:t xml:space="preserve">. Ecological corridors or flyways are needed to </w:t>
      </w:r>
      <w:r w:rsidR="00822788">
        <w:rPr>
          <w:rFonts w:cs="Arial"/>
          <w:sz w:val="22"/>
          <w:szCs w:val="22"/>
        </w:rPr>
        <w:t>enable</w:t>
      </w:r>
      <w:r w:rsidR="0057386C">
        <w:rPr>
          <w:rFonts w:cs="Arial"/>
          <w:sz w:val="22"/>
          <w:szCs w:val="22"/>
        </w:rPr>
        <w:t xml:space="preserve"> migratory species </w:t>
      </w:r>
      <w:r w:rsidR="00A41836">
        <w:rPr>
          <w:rFonts w:cs="Arial"/>
          <w:sz w:val="22"/>
          <w:szCs w:val="22"/>
        </w:rPr>
        <w:t xml:space="preserve">to </w:t>
      </w:r>
      <w:r w:rsidR="00822788">
        <w:rPr>
          <w:rFonts w:cs="Arial"/>
          <w:sz w:val="22"/>
          <w:szCs w:val="22"/>
        </w:rPr>
        <w:t>mov</w:t>
      </w:r>
      <w:r w:rsidR="00A41836">
        <w:rPr>
          <w:rFonts w:cs="Arial"/>
          <w:sz w:val="22"/>
          <w:szCs w:val="22"/>
        </w:rPr>
        <w:t>e</w:t>
      </w:r>
      <w:r w:rsidR="0057386C">
        <w:rPr>
          <w:rFonts w:cs="Arial"/>
          <w:sz w:val="22"/>
          <w:szCs w:val="22"/>
        </w:rPr>
        <w:t xml:space="preserve"> between their habitats, </w:t>
      </w:r>
      <w:r w:rsidR="00822788">
        <w:rPr>
          <w:rFonts w:cs="Arial"/>
          <w:sz w:val="22"/>
          <w:szCs w:val="22"/>
        </w:rPr>
        <w:t>including</w:t>
      </w:r>
      <w:r w:rsidR="0057386C">
        <w:rPr>
          <w:rFonts w:cs="Arial"/>
          <w:sz w:val="22"/>
          <w:szCs w:val="22"/>
        </w:rPr>
        <w:t xml:space="preserve"> breeding, resting or feeding</w:t>
      </w:r>
      <w:r w:rsidR="00822788">
        <w:rPr>
          <w:rFonts w:cs="Arial"/>
          <w:sz w:val="22"/>
          <w:szCs w:val="22"/>
        </w:rPr>
        <w:t xml:space="preserve"> places</w:t>
      </w:r>
      <w:r w:rsidR="0057386C">
        <w:rPr>
          <w:rFonts w:cs="Arial"/>
          <w:sz w:val="22"/>
          <w:szCs w:val="22"/>
        </w:rPr>
        <w:t xml:space="preserve">. </w:t>
      </w:r>
      <w:r w:rsidR="00B3409B">
        <w:rPr>
          <w:rFonts w:cs="Arial"/>
          <w:sz w:val="22"/>
          <w:szCs w:val="22"/>
        </w:rPr>
        <w:t>At a time when</w:t>
      </w:r>
      <w:r w:rsidR="0057386C">
        <w:rPr>
          <w:rFonts w:cs="Arial"/>
          <w:sz w:val="22"/>
          <w:szCs w:val="22"/>
        </w:rPr>
        <w:t xml:space="preserve"> </w:t>
      </w:r>
      <w:r w:rsidR="00426FAA">
        <w:rPr>
          <w:rFonts w:cs="Arial"/>
          <w:sz w:val="22"/>
          <w:szCs w:val="22"/>
        </w:rPr>
        <w:t xml:space="preserve">human </w:t>
      </w:r>
      <w:r w:rsidR="00B3409B">
        <w:rPr>
          <w:rFonts w:cs="Arial"/>
          <w:sz w:val="22"/>
          <w:szCs w:val="22"/>
        </w:rPr>
        <w:t xml:space="preserve">population growth and agricultural expansion </w:t>
      </w:r>
      <w:r w:rsidR="00A41836">
        <w:rPr>
          <w:rFonts w:cs="Arial"/>
          <w:sz w:val="22"/>
          <w:szCs w:val="22"/>
        </w:rPr>
        <w:t xml:space="preserve">are </w:t>
      </w:r>
      <w:r w:rsidR="00B3409B">
        <w:rPr>
          <w:rFonts w:cs="Arial"/>
          <w:sz w:val="22"/>
          <w:szCs w:val="22"/>
        </w:rPr>
        <w:t xml:space="preserve">rapidly </w:t>
      </w:r>
      <w:r w:rsidR="00A41836">
        <w:rPr>
          <w:rFonts w:cs="Arial"/>
          <w:sz w:val="22"/>
          <w:szCs w:val="22"/>
        </w:rPr>
        <w:t>reducing</w:t>
      </w:r>
      <w:r w:rsidR="00B3409B">
        <w:rPr>
          <w:rFonts w:cs="Arial"/>
          <w:sz w:val="22"/>
          <w:szCs w:val="22"/>
        </w:rPr>
        <w:t xml:space="preserve"> wildlife habitats</w:t>
      </w:r>
      <w:r w:rsidR="00A41836">
        <w:rPr>
          <w:rFonts w:cs="Arial"/>
          <w:sz w:val="22"/>
          <w:szCs w:val="22"/>
        </w:rPr>
        <w:t>,</w:t>
      </w:r>
      <w:r w:rsidR="00B3409B">
        <w:rPr>
          <w:rFonts w:cs="Arial"/>
          <w:sz w:val="22"/>
          <w:szCs w:val="22"/>
        </w:rPr>
        <w:t xml:space="preserve"> </w:t>
      </w:r>
      <w:r w:rsidR="00822788">
        <w:rPr>
          <w:rFonts w:cs="Arial"/>
          <w:sz w:val="22"/>
          <w:szCs w:val="22"/>
        </w:rPr>
        <w:t xml:space="preserve">it </w:t>
      </w:r>
      <w:r w:rsidR="00B3409B">
        <w:rPr>
          <w:rFonts w:cs="Arial"/>
          <w:sz w:val="22"/>
          <w:szCs w:val="22"/>
        </w:rPr>
        <w:t xml:space="preserve">is crucial to adopt approaches that accommodate the conservation needs of wildlife and the development needs of local communities. </w:t>
      </w:r>
    </w:p>
    <w:p w14:paraId="62FBD21C" w14:textId="7DED9D7D" w:rsidR="009617A6" w:rsidRDefault="009617A6" w:rsidP="0052408C">
      <w:pPr>
        <w:ind w:left="360" w:hanging="360"/>
        <w:contextualSpacing/>
        <w:jc w:val="both"/>
        <w:rPr>
          <w:rFonts w:cs="Arial"/>
          <w:sz w:val="22"/>
          <w:szCs w:val="22"/>
        </w:rPr>
      </w:pPr>
    </w:p>
    <w:p w14:paraId="145662E2" w14:textId="250D9481" w:rsidR="001A4768" w:rsidRPr="003232AB" w:rsidRDefault="00B3409B" w:rsidP="0052408C">
      <w:pPr>
        <w:numPr>
          <w:ilvl w:val="0"/>
          <w:numId w:val="2"/>
        </w:numPr>
        <w:contextualSpacing/>
        <w:jc w:val="both"/>
        <w:rPr>
          <w:rFonts w:cs="Arial"/>
          <w:sz w:val="22"/>
          <w:szCs w:val="22"/>
        </w:rPr>
      </w:pPr>
      <w:r w:rsidRPr="003232AB">
        <w:rPr>
          <w:rFonts w:cs="Arial"/>
          <w:sz w:val="22"/>
          <w:szCs w:val="22"/>
        </w:rPr>
        <w:t>Transfrontier Conservation Areas (</w:t>
      </w:r>
      <w:r w:rsidR="00472220" w:rsidRPr="003232AB">
        <w:rPr>
          <w:rFonts w:cs="Arial"/>
          <w:sz w:val="22"/>
          <w:szCs w:val="22"/>
        </w:rPr>
        <w:t>TFCAs</w:t>
      </w:r>
      <w:r w:rsidRPr="003232AB">
        <w:rPr>
          <w:rFonts w:cs="Arial"/>
          <w:sz w:val="22"/>
          <w:szCs w:val="22"/>
        </w:rPr>
        <w:t>)</w:t>
      </w:r>
      <w:r w:rsidR="00472220" w:rsidRPr="003232AB">
        <w:rPr>
          <w:rFonts w:cs="Arial"/>
          <w:sz w:val="22"/>
          <w:szCs w:val="22"/>
        </w:rPr>
        <w:t xml:space="preserve"> have been defined in the Protocol on Wildlife Conservation and Law Enforcement of the Southern African Development Community (SADC) as </w:t>
      </w:r>
      <w:r w:rsidR="00A41836">
        <w:rPr>
          <w:rFonts w:cs="Arial"/>
          <w:sz w:val="22"/>
          <w:szCs w:val="22"/>
        </w:rPr>
        <w:t>“</w:t>
      </w:r>
      <w:r w:rsidR="00472220" w:rsidRPr="003232AB">
        <w:rPr>
          <w:rFonts w:cs="Arial"/>
          <w:i/>
          <w:sz w:val="22"/>
          <w:szCs w:val="22"/>
        </w:rPr>
        <w:t>the area or the component of a large ecological region that straddles the boundaries of two or more countries, encompassing one or more protected areas, as well as multiple resource use areas</w:t>
      </w:r>
      <w:r w:rsidR="00A41836">
        <w:rPr>
          <w:rFonts w:cs="Arial"/>
          <w:i/>
          <w:sz w:val="22"/>
          <w:szCs w:val="22"/>
        </w:rPr>
        <w:t>’</w:t>
      </w:r>
      <w:r w:rsidR="00472220" w:rsidRPr="003232AB">
        <w:rPr>
          <w:rFonts w:cs="Arial"/>
          <w:sz w:val="22"/>
          <w:szCs w:val="22"/>
        </w:rPr>
        <w:t>.</w:t>
      </w:r>
      <w:r w:rsidR="00CD480B" w:rsidRPr="003232AB">
        <w:rPr>
          <w:rFonts w:cs="Arial"/>
          <w:sz w:val="22"/>
          <w:szCs w:val="22"/>
        </w:rPr>
        <w:t xml:space="preserve"> </w:t>
      </w:r>
      <w:r w:rsidR="00BB4F0D" w:rsidRPr="003232AB">
        <w:rPr>
          <w:rFonts w:cs="Arial"/>
          <w:sz w:val="22"/>
          <w:szCs w:val="22"/>
        </w:rPr>
        <w:t xml:space="preserve">The TFCA </w:t>
      </w:r>
      <w:r w:rsidR="003232AB" w:rsidRPr="003232AB">
        <w:rPr>
          <w:rFonts w:cs="Arial"/>
          <w:sz w:val="22"/>
          <w:szCs w:val="22"/>
        </w:rPr>
        <w:t xml:space="preserve">approach </w:t>
      </w:r>
      <w:r w:rsidR="00BB4F0D" w:rsidRPr="003232AB">
        <w:rPr>
          <w:rFonts w:cs="Arial"/>
          <w:sz w:val="22"/>
          <w:szCs w:val="22"/>
        </w:rPr>
        <w:t xml:space="preserve">combines policies on wildlife conservation, community development and the promotion of culture and peace under one </w:t>
      </w:r>
      <w:r w:rsidR="00BB4F0D" w:rsidRPr="003232AB">
        <w:rPr>
          <w:rFonts w:cs="Arial"/>
          <w:sz w:val="22"/>
          <w:szCs w:val="22"/>
        </w:rPr>
        <w:lastRenderedPageBreak/>
        <w:t xml:space="preserve">roof. </w:t>
      </w:r>
      <w:r w:rsidR="00D61536">
        <w:rPr>
          <w:rFonts w:cs="Arial"/>
          <w:sz w:val="22"/>
          <w:szCs w:val="22"/>
        </w:rPr>
        <w:t>Through the creation of TFCAs,</w:t>
      </w:r>
      <w:r w:rsidR="00BB4F0D" w:rsidRPr="003232AB">
        <w:rPr>
          <w:rFonts w:cs="Arial"/>
          <w:sz w:val="22"/>
          <w:szCs w:val="22"/>
        </w:rPr>
        <w:t xml:space="preserve"> a complex and diverse mosaic of land uses </w:t>
      </w:r>
      <w:r w:rsidR="003232AB" w:rsidRPr="003232AB">
        <w:rPr>
          <w:rFonts w:cs="Arial"/>
          <w:sz w:val="22"/>
          <w:szCs w:val="22"/>
        </w:rPr>
        <w:t xml:space="preserve">is brought </w:t>
      </w:r>
      <w:r w:rsidR="00BB4F0D" w:rsidRPr="003232AB">
        <w:rPr>
          <w:rFonts w:cs="Arial"/>
          <w:sz w:val="22"/>
          <w:szCs w:val="22"/>
        </w:rPr>
        <w:t>under one shared or joint management structure.</w:t>
      </w:r>
      <w:r w:rsidR="00BB4F0D" w:rsidRPr="00082A92">
        <w:rPr>
          <w:rStyle w:val="FootnoteReference"/>
          <w:sz w:val="22"/>
          <w:szCs w:val="22"/>
          <w:vertAlign w:val="superscript"/>
        </w:rPr>
        <w:footnoteReference w:id="2"/>
      </w:r>
      <w:r w:rsidR="00082A92" w:rsidRPr="003232AB">
        <w:rPr>
          <w:rFonts w:cs="Arial"/>
          <w:sz w:val="22"/>
          <w:szCs w:val="22"/>
        </w:rPr>
        <w:t xml:space="preserve"> </w:t>
      </w:r>
      <w:r w:rsidR="001A4768" w:rsidRPr="003232AB">
        <w:rPr>
          <w:rFonts w:cs="Arial"/>
          <w:sz w:val="22"/>
          <w:szCs w:val="22"/>
        </w:rPr>
        <w:t xml:space="preserve">The </w:t>
      </w:r>
      <w:r w:rsidR="003232AB">
        <w:rPr>
          <w:rFonts w:cs="Arial"/>
          <w:sz w:val="22"/>
          <w:szCs w:val="22"/>
        </w:rPr>
        <w:t>establishment of TFCAs</w:t>
      </w:r>
      <w:r w:rsidR="001A4768" w:rsidRPr="003232AB">
        <w:rPr>
          <w:rFonts w:cs="Arial"/>
          <w:sz w:val="22"/>
          <w:szCs w:val="22"/>
        </w:rPr>
        <w:t xml:space="preserve"> </w:t>
      </w:r>
      <w:r w:rsidR="00BB4F0D" w:rsidRPr="003232AB">
        <w:rPr>
          <w:rFonts w:cs="Arial"/>
          <w:sz w:val="22"/>
          <w:szCs w:val="22"/>
        </w:rPr>
        <w:t>allows</w:t>
      </w:r>
      <w:r w:rsidR="001A4768" w:rsidRPr="003232AB">
        <w:rPr>
          <w:rFonts w:cs="Arial"/>
          <w:sz w:val="22"/>
          <w:szCs w:val="22"/>
        </w:rPr>
        <w:t xml:space="preserve"> </w:t>
      </w:r>
      <w:r w:rsidR="00D61536">
        <w:rPr>
          <w:rFonts w:cs="Arial"/>
          <w:sz w:val="22"/>
          <w:szCs w:val="22"/>
        </w:rPr>
        <w:t xml:space="preserve">Governments </w:t>
      </w:r>
      <w:r w:rsidR="001A4768" w:rsidRPr="003232AB">
        <w:rPr>
          <w:rFonts w:cs="Arial"/>
          <w:sz w:val="22"/>
          <w:szCs w:val="22"/>
        </w:rPr>
        <w:t>to plan and undertake both conservation and development at the scale of landscapes that incorporate entire ecosystems. This enables more effective conservation, more efficient use of natural resources, and a greater social and economic involvement of communities.</w:t>
      </w:r>
      <w:r w:rsidR="003232AB" w:rsidRPr="003232AB">
        <w:rPr>
          <w:rStyle w:val="FootnoteReference"/>
          <w:sz w:val="22"/>
          <w:szCs w:val="22"/>
          <w:vertAlign w:val="superscript"/>
        </w:rPr>
        <w:footnoteReference w:id="3"/>
      </w:r>
      <w:r w:rsidR="003232AB" w:rsidRPr="003232AB">
        <w:rPr>
          <w:rFonts w:cs="Arial"/>
          <w:sz w:val="22"/>
          <w:szCs w:val="22"/>
        </w:rPr>
        <w:t xml:space="preserve"> </w:t>
      </w:r>
      <w:r w:rsidR="001A4768" w:rsidRPr="003232AB">
        <w:rPr>
          <w:rFonts w:cs="Arial"/>
          <w:sz w:val="22"/>
          <w:szCs w:val="22"/>
          <w:vertAlign w:val="superscript"/>
        </w:rPr>
        <w:t xml:space="preserve"> </w:t>
      </w:r>
    </w:p>
    <w:p w14:paraId="511C3B63" w14:textId="335F30F2" w:rsidR="001A4768" w:rsidRDefault="001A4768" w:rsidP="0052408C">
      <w:pPr>
        <w:ind w:left="360" w:hanging="360"/>
        <w:jc w:val="both"/>
        <w:rPr>
          <w:rFonts w:cs="Arial"/>
          <w:sz w:val="22"/>
          <w:szCs w:val="22"/>
        </w:rPr>
      </w:pPr>
    </w:p>
    <w:p w14:paraId="65E58F1A" w14:textId="7AC65448" w:rsidR="00294692" w:rsidRDefault="00294692" w:rsidP="0052408C">
      <w:pPr>
        <w:pStyle w:val="ListParagraph"/>
        <w:numPr>
          <w:ilvl w:val="0"/>
          <w:numId w:val="2"/>
        </w:numPr>
        <w:jc w:val="both"/>
        <w:rPr>
          <w:rFonts w:cs="Arial"/>
          <w:sz w:val="22"/>
          <w:szCs w:val="22"/>
        </w:rPr>
      </w:pPr>
      <w:r>
        <w:rPr>
          <w:rFonts w:cs="Arial"/>
          <w:sz w:val="22"/>
          <w:szCs w:val="22"/>
        </w:rPr>
        <w:t xml:space="preserve">TFCAs are established through the conclusion of bi- or multilateral agreements of the Parties sharing a transboundary, ecologically connected region. </w:t>
      </w:r>
      <w:r w:rsidR="002B2A36">
        <w:rPr>
          <w:rFonts w:cs="Arial"/>
          <w:sz w:val="22"/>
          <w:szCs w:val="22"/>
        </w:rPr>
        <w:t xml:space="preserve">The conclusion of agreements also provides the opportunity to establish governance systems for the TFCAs, which allow local communities to participate in decision-making and management processes. </w:t>
      </w:r>
      <w:r>
        <w:rPr>
          <w:rFonts w:cs="Arial"/>
          <w:sz w:val="22"/>
          <w:szCs w:val="22"/>
        </w:rPr>
        <w:t xml:space="preserve">Jointly developed conservation and management plans </w:t>
      </w:r>
      <w:r w:rsidR="002B2A36">
        <w:rPr>
          <w:rFonts w:cs="Arial"/>
          <w:sz w:val="22"/>
          <w:szCs w:val="22"/>
        </w:rPr>
        <w:t xml:space="preserve">and strategies can </w:t>
      </w:r>
      <w:r w:rsidR="002B2A36" w:rsidRPr="002B2A36">
        <w:rPr>
          <w:rFonts w:cs="Arial"/>
          <w:sz w:val="22"/>
          <w:szCs w:val="22"/>
        </w:rPr>
        <w:t>determine</w:t>
      </w:r>
      <w:r w:rsidRPr="002B2A36">
        <w:rPr>
          <w:rFonts w:cs="Arial"/>
          <w:sz w:val="22"/>
          <w:szCs w:val="22"/>
        </w:rPr>
        <w:t xml:space="preserve"> further details </w:t>
      </w:r>
      <w:r w:rsidR="002B2A36" w:rsidRPr="002B2A36">
        <w:rPr>
          <w:rFonts w:cs="Arial"/>
          <w:sz w:val="22"/>
          <w:szCs w:val="22"/>
        </w:rPr>
        <w:t>to</w:t>
      </w:r>
      <w:r w:rsidRPr="002B2A36">
        <w:rPr>
          <w:rFonts w:cs="Arial"/>
          <w:sz w:val="22"/>
          <w:szCs w:val="22"/>
        </w:rPr>
        <w:t xml:space="preserve"> the im</w:t>
      </w:r>
      <w:r w:rsidR="002B2A36" w:rsidRPr="002B2A36">
        <w:rPr>
          <w:rFonts w:cs="Arial"/>
          <w:sz w:val="22"/>
          <w:szCs w:val="22"/>
        </w:rPr>
        <w:t xml:space="preserve">plementation of the agreements and set a long-term vision for conservation action and sustainable development within a TFCA. </w:t>
      </w:r>
    </w:p>
    <w:p w14:paraId="1AAA7954" w14:textId="77777777" w:rsidR="00447AB1" w:rsidRPr="00447AB1" w:rsidRDefault="00447AB1" w:rsidP="0052408C">
      <w:pPr>
        <w:pStyle w:val="ListParagraph"/>
        <w:ind w:left="360" w:hanging="360"/>
        <w:jc w:val="both"/>
        <w:rPr>
          <w:rFonts w:cs="Arial"/>
          <w:sz w:val="22"/>
          <w:szCs w:val="22"/>
        </w:rPr>
      </w:pPr>
    </w:p>
    <w:p w14:paraId="56F6202C" w14:textId="42C5982A" w:rsidR="00DA6880" w:rsidRDefault="00447AB1" w:rsidP="0052408C">
      <w:pPr>
        <w:pStyle w:val="ListParagraph"/>
        <w:numPr>
          <w:ilvl w:val="0"/>
          <w:numId w:val="2"/>
        </w:numPr>
        <w:jc w:val="both"/>
        <w:rPr>
          <w:rFonts w:cs="Arial"/>
          <w:sz w:val="22"/>
          <w:szCs w:val="22"/>
        </w:rPr>
      </w:pPr>
      <w:r>
        <w:rPr>
          <w:rFonts w:cs="Arial"/>
          <w:sz w:val="22"/>
          <w:szCs w:val="22"/>
        </w:rPr>
        <w:t xml:space="preserve">There are currently </w:t>
      </w:r>
      <w:r w:rsidR="00DA6880">
        <w:rPr>
          <w:rFonts w:cs="Arial"/>
          <w:sz w:val="22"/>
          <w:szCs w:val="22"/>
        </w:rPr>
        <w:t>a number of</w:t>
      </w:r>
      <w:r>
        <w:rPr>
          <w:rFonts w:cs="Arial"/>
          <w:sz w:val="22"/>
          <w:szCs w:val="22"/>
        </w:rPr>
        <w:t xml:space="preserve"> TFCAs </w:t>
      </w:r>
      <w:r w:rsidR="00DA6880">
        <w:rPr>
          <w:rFonts w:cs="Arial"/>
          <w:sz w:val="22"/>
          <w:szCs w:val="22"/>
        </w:rPr>
        <w:t xml:space="preserve">conceptualized in Africa, some of which, such as KAZA and Great Limpopo, already have advanced governance systems in place. The 15 TFCAs that have been conceptualized to date are: The </w:t>
      </w:r>
      <w:r w:rsidR="00DA6880" w:rsidRPr="00DA6880">
        <w:rPr>
          <w:rFonts w:cs="Arial"/>
          <w:sz w:val="22"/>
          <w:szCs w:val="22"/>
        </w:rPr>
        <w:t xml:space="preserve">Kavango-Zambezi (Angola, Namibia, Botswana, Zambia and Zimbabwe); Great Limpopo and Lubombo (Mozambique, Zambia and Swaziland); Kgalagadi TFNP (Botswana and Zambia); Lower Zambezi-Mana Pools (Zambia and Zimbabwe), Malawi-Zambia including North and South Luangwa (Malawi and Zambia); Luambe-Lukusizi-Kusungu (Malawi and Zambia); Iona-Skeleton Coast (Angola and Namibia); Mara-Serengeti-Ngorongoro (Kenya and </w:t>
      </w:r>
      <w:r w:rsidR="00A41836">
        <w:rPr>
          <w:rFonts w:cs="Arial"/>
          <w:sz w:val="22"/>
          <w:szCs w:val="22"/>
        </w:rPr>
        <w:t xml:space="preserve">the United Republic of </w:t>
      </w:r>
      <w:r w:rsidR="00DA6880" w:rsidRPr="00DA6880">
        <w:rPr>
          <w:rFonts w:cs="Arial"/>
          <w:sz w:val="22"/>
          <w:szCs w:val="22"/>
        </w:rPr>
        <w:t xml:space="preserve">Tanzania); Rift Valley Lakes WHS-Natron (Kenya and </w:t>
      </w:r>
      <w:r w:rsidR="00A41836">
        <w:rPr>
          <w:rFonts w:cs="Arial"/>
          <w:sz w:val="22"/>
          <w:szCs w:val="22"/>
        </w:rPr>
        <w:t xml:space="preserve">the United Republic of </w:t>
      </w:r>
      <w:r w:rsidR="00DA6880" w:rsidRPr="00DA6880">
        <w:rPr>
          <w:rFonts w:cs="Arial"/>
          <w:sz w:val="22"/>
          <w:szCs w:val="22"/>
        </w:rPr>
        <w:t xml:space="preserve">Tanzania); Greater Kilimanjaro (Kenya and </w:t>
      </w:r>
      <w:r w:rsidR="00A41836">
        <w:rPr>
          <w:rFonts w:cs="Arial"/>
          <w:sz w:val="22"/>
          <w:szCs w:val="22"/>
        </w:rPr>
        <w:t xml:space="preserve">the United Republic of </w:t>
      </w:r>
      <w:r w:rsidR="00DA6880" w:rsidRPr="00DA6880">
        <w:rPr>
          <w:rFonts w:cs="Arial"/>
          <w:sz w:val="22"/>
          <w:szCs w:val="22"/>
        </w:rPr>
        <w:t>Tanzania); Niassa-Selous (</w:t>
      </w:r>
      <w:r w:rsidR="00A41836">
        <w:rPr>
          <w:rFonts w:cs="Arial"/>
          <w:sz w:val="22"/>
          <w:szCs w:val="22"/>
        </w:rPr>
        <w:t xml:space="preserve">the United Republic of </w:t>
      </w:r>
      <w:r w:rsidR="00DA6880" w:rsidRPr="00DA6880">
        <w:rPr>
          <w:rFonts w:cs="Arial"/>
          <w:sz w:val="22"/>
          <w:szCs w:val="22"/>
        </w:rPr>
        <w:t>Tanzania and Mozambique); Sudd-Badingilu-Boma-Gambella (Ethiopia and South Sudan); Imatongs-Kidepo (South Sudan and Uganda); Lake Tanganyika (</w:t>
      </w:r>
      <w:r w:rsidR="00A41836">
        <w:rPr>
          <w:rFonts w:cs="Arial"/>
          <w:sz w:val="22"/>
          <w:szCs w:val="22"/>
        </w:rPr>
        <w:t xml:space="preserve">the United Republic of </w:t>
      </w:r>
      <w:r w:rsidR="00DA6880" w:rsidRPr="00DA6880">
        <w:rPr>
          <w:rFonts w:cs="Arial"/>
          <w:sz w:val="22"/>
          <w:szCs w:val="22"/>
        </w:rPr>
        <w:t>Tanzania, Burundi, Democratic Republic of Congo,  Zambia, Malawi and Mozambique); and the Greater Virunga (Democratic Republic of Congo, Rwanda and Uganda).</w:t>
      </w:r>
    </w:p>
    <w:p w14:paraId="4288EE69" w14:textId="77777777" w:rsidR="00DA6880" w:rsidRPr="00DA6880" w:rsidRDefault="00DA6880" w:rsidP="0052408C">
      <w:pPr>
        <w:pStyle w:val="ListParagraph"/>
        <w:ind w:left="360" w:hanging="360"/>
        <w:rPr>
          <w:rFonts w:cs="Arial"/>
          <w:sz w:val="22"/>
          <w:szCs w:val="22"/>
        </w:rPr>
      </w:pPr>
    </w:p>
    <w:p w14:paraId="259C3629" w14:textId="057AFE16" w:rsidR="00447AB1" w:rsidRPr="002B2A36" w:rsidRDefault="00DA6880" w:rsidP="0052408C">
      <w:pPr>
        <w:pStyle w:val="ListParagraph"/>
        <w:numPr>
          <w:ilvl w:val="0"/>
          <w:numId w:val="2"/>
        </w:numPr>
        <w:jc w:val="both"/>
        <w:rPr>
          <w:rFonts w:cs="Arial"/>
          <w:sz w:val="22"/>
          <w:szCs w:val="22"/>
        </w:rPr>
      </w:pPr>
      <w:r>
        <w:rPr>
          <w:rFonts w:cs="Arial"/>
          <w:sz w:val="22"/>
          <w:szCs w:val="22"/>
        </w:rPr>
        <w:t xml:space="preserve">While the concept of TFCAs has been most advanced and implemented in Southern Africa, it provides a useful approach </w:t>
      </w:r>
      <w:r w:rsidR="000B4454">
        <w:rPr>
          <w:rFonts w:cs="Arial"/>
          <w:sz w:val="22"/>
          <w:szCs w:val="22"/>
        </w:rPr>
        <w:t>for</w:t>
      </w:r>
      <w:r>
        <w:rPr>
          <w:rFonts w:cs="Arial"/>
          <w:sz w:val="22"/>
          <w:szCs w:val="22"/>
        </w:rPr>
        <w:t xml:space="preserve"> </w:t>
      </w:r>
      <w:r w:rsidR="000B4454">
        <w:rPr>
          <w:rFonts w:cs="Arial"/>
          <w:sz w:val="22"/>
          <w:szCs w:val="22"/>
        </w:rPr>
        <w:t xml:space="preserve">combining wildlife conservation and sustainable development in </w:t>
      </w:r>
      <w:r>
        <w:rPr>
          <w:rFonts w:cs="Arial"/>
          <w:sz w:val="22"/>
          <w:szCs w:val="22"/>
        </w:rPr>
        <w:t xml:space="preserve">other regions </w:t>
      </w:r>
      <w:r w:rsidR="000B4454">
        <w:rPr>
          <w:rFonts w:cs="Arial"/>
          <w:sz w:val="22"/>
          <w:szCs w:val="22"/>
        </w:rPr>
        <w:t>of</w:t>
      </w:r>
      <w:r>
        <w:rPr>
          <w:rFonts w:cs="Arial"/>
          <w:sz w:val="22"/>
          <w:szCs w:val="22"/>
        </w:rPr>
        <w:t xml:space="preserve"> the world as well.</w:t>
      </w:r>
      <w:r w:rsidR="00D71A55">
        <w:rPr>
          <w:rFonts w:cs="Arial"/>
          <w:sz w:val="22"/>
          <w:szCs w:val="22"/>
        </w:rPr>
        <w:t xml:space="preserve"> Most TFCAs have been conceptualized for terrestrial areas. The only TFCA conceptualized </w:t>
      </w:r>
      <w:r w:rsidR="00D01FD8">
        <w:rPr>
          <w:rFonts w:cs="Arial"/>
          <w:sz w:val="22"/>
          <w:szCs w:val="22"/>
        </w:rPr>
        <w:t xml:space="preserve">to date </w:t>
      </w:r>
      <w:r w:rsidR="0062580D">
        <w:rPr>
          <w:rFonts w:cs="Arial"/>
          <w:sz w:val="22"/>
          <w:szCs w:val="22"/>
        </w:rPr>
        <w:t xml:space="preserve">to include a </w:t>
      </w:r>
      <w:r w:rsidR="00D71A55">
        <w:rPr>
          <w:rFonts w:cs="Arial"/>
          <w:sz w:val="22"/>
          <w:szCs w:val="22"/>
        </w:rPr>
        <w:t>coastal area is Iona-Skeleton coast in Angola/Namibia.</w:t>
      </w:r>
    </w:p>
    <w:p w14:paraId="3B2532E0" w14:textId="77777777" w:rsidR="00294692" w:rsidRPr="002B2A36" w:rsidRDefault="00294692" w:rsidP="00DA6880">
      <w:pPr>
        <w:jc w:val="both"/>
        <w:rPr>
          <w:rFonts w:cs="Arial"/>
          <w:sz w:val="22"/>
          <w:szCs w:val="22"/>
        </w:rPr>
      </w:pPr>
    </w:p>
    <w:p w14:paraId="62476D1A" w14:textId="77777777" w:rsidR="007910DD" w:rsidRPr="002B2A36" w:rsidRDefault="007910DD" w:rsidP="00DA6880">
      <w:pPr>
        <w:jc w:val="both"/>
        <w:rPr>
          <w:rFonts w:cs="Arial"/>
          <w:sz w:val="22"/>
          <w:szCs w:val="22"/>
          <w:u w:val="single"/>
          <w:lang w:val="en-GB"/>
        </w:rPr>
      </w:pPr>
      <w:r w:rsidRPr="002B2A36">
        <w:rPr>
          <w:rFonts w:cs="Arial"/>
          <w:sz w:val="22"/>
          <w:szCs w:val="22"/>
          <w:u w:val="single"/>
          <w:lang w:val="en-GB"/>
        </w:rPr>
        <w:t>Discussion and analysis</w:t>
      </w:r>
    </w:p>
    <w:p w14:paraId="69315CDA" w14:textId="77777777" w:rsidR="007910DD" w:rsidRPr="002B2A36" w:rsidRDefault="007910DD" w:rsidP="00DA6880">
      <w:pPr>
        <w:jc w:val="both"/>
        <w:rPr>
          <w:rFonts w:cs="Arial"/>
          <w:sz w:val="22"/>
          <w:szCs w:val="22"/>
          <w:lang w:val="en-GB"/>
        </w:rPr>
      </w:pPr>
    </w:p>
    <w:p w14:paraId="6DFEFE85" w14:textId="33F990E9" w:rsidR="00D46C91" w:rsidRPr="002B2A36" w:rsidRDefault="00EA6901" w:rsidP="0052408C">
      <w:pPr>
        <w:numPr>
          <w:ilvl w:val="0"/>
          <w:numId w:val="2"/>
        </w:numPr>
        <w:contextualSpacing/>
        <w:jc w:val="both"/>
        <w:rPr>
          <w:rFonts w:cs="Arial"/>
          <w:sz w:val="22"/>
          <w:szCs w:val="22"/>
          <w:lang w:val="en-GB"/>
        </w:rPr>
      </w:pPr>
      <w:r w:rsidRPr="002B2A36">
        <w:rPr>
          <w:rFonts w:cs="Arial"/>
          <w:sz w:val="22"/>
          <w:szCs w:val="22"/>
        </w:rPr>
        <w:t>By definition, CMS-listed species cross</w:t>
      </w:r>
      <w:r w:rsidRPr="002B2A36">
        <w:rPr>
          <w:rFonts w:ascii="Calibri" w:hAnsi="Calibri"/>
          <w:sz w:val="22"/>
          <w:szCs w:val="22"/>
        </w:rPr>
        <w:t xml:space="preserve"> </w:t>
      </w:r>
      <w:r w:rsidRPr="002B2A36">
        <w:rPr>
          <w:rFonts w:cs="Arial"/>
          <w:sz w:val="22"/>
          <w:szCs w:val="22"/>
        </w:rPr>
        <w:t>one or more national jurisdictional boundaries. The establishment of TFCAs</w:t>
      </w:r>
      <w:r w:rsidR="002B2A36" w:rsidRPr="002B2A36">
        <w:rPr>
          <w:rFonts w:cs="Arial"/>
          <w:sz w:val="22"/>
          <w:szCs w:val="22"/>
        </w:rPr>
        <w:t>, which incorporate habitat of CMS-listed species</w:t>
      </w:r>
      <w:r w:rsidRPr="002B2A36">
        <w:rPr>
          <w:rFonts w:cs="Arial"/>
          <w:sz w:val="22"/>
          <w:szCs w:val="22"/>
        </w:rPr>
        <w:t xml:space="preserve"> therefore supports the objective of CMS to conserve migratory species and their habitats. </w:t>
      </w:r>
      <w:r w:rsidR="00426FAA" w:rsidRPr="002B2A36">
        <w:rPr>
          <w:rFonts w:cs="Arial"/>
          <w:sz w:val="22"/>
          <w:szCs w:val="22"/>
        </w:rPr>
        <w:t xml:space="preserve">CMS has supported Parties </w:t>
      </w:r>
      <w:r w:rsidR="002B2A36" w:rsidRPr="002B2A36">
        <w:rPr>
          <w:rFonts w:cs="Arial"/>
          <w:sz w:val="22"/>
          <w:szCs w:val="22"/>
        </w:rPr>
        <w:t xml:space="preserve">in </w:t>
      </w:r>
      <w:r w:rsidR="00426FAA" w:rsidRPr="002B2A36">
        <w:rPr>
          <w:rFonts w:cs="Arial"/>
          <w:sz w:val="22"/>
          <w:szCs w:val="22"/>
        </w:rPr>
        <w:t>develop</w:t>
      </w:r>
      <w:r w:rsidR="002B2A36" w:rsidRPr="002B2A36">
        <w:rPr>
          <w:rFonts w:cs="Arial"/>
          <w:sz w:val="22"/>
          <w:szCs w:val="22"/>
        </w:rPr>
        <w:t>ing</w:t>
      </w:r>
      <w:r w:rsidR="00426FAA" w:rsidRPr="002B2A36">
        <w:rPr>
          <w:rFonts w:cs="Arial"/>
          <w:sz w:val="22"/>
          <w:szCs w:val="22"/>
        </w:rPr>
        <w:t xml:space="preserve"> and implement</w:t>
      </w:r>
      <w:r w:rsidR="002B2A36" w:rsidRPr="002B2A36">
        <w:rPr>
          <w:rFonts w:cs="Arial"/>
          <w:sz w:val="22"/>
          <w:szCs w:val="22"/>
        </w:rPr>
        <w:t>ing</w:t>
      </w:r>
      <w:r w:rsidR="00426FAA" w:rsidRPr="002B2A36">
        <w:rPr>
          <w:rFonts w:cs="Arial"/>
          <w:sz w:val="22"/>
          <w:szCs w:val="22"/>
        </w:rPr>
        <w:t xml:space="preserve"> seven legally binding Agreements and 19 Memoranda of Understanding</w:t>
      </w:r>
      <w:r w:rsidR="002B2A36" w:rsidRPr="002B2A36">
        <w:rPr>
          <w:rFonts w:cs="Arial"/>
          <w:sz w:val="22"/>
          <w:szCs w:val="22"/>
        </w:rPr>
        <w:t xml:space="preserve"> with numbers of contracting Parties ranging between two and over 80. CMS has also provided support to Parties with the development of numerous conservation and management plans to implement the Convention, Agreements and Memoranda of Understanding. </w:t>
      </w:r>
      <w:r w:rsidR="007813A1">
        <w:rPr>
          <w:rFonts w:cs="Arial"/>
          <w:sz w:val="22"/>
          <w:szCs w:val="22"/>
        </w:rPr>
        <w:t>The Convention is therefore well-placed to assist Parties with the establishment of TFCAs.</w:t>
      </w:r>
    </w:p>
    <w:p w14:paraId="691718A2" w14:textId="77777777" w:rsidR="007910DD" w:rsidRDefault="007910DD" w:rsidP="00294692">
      <w:pPr>
        <w:jc w:val="both"/>
        <w:rPr>
          <w:rFonts w:cs="Arial"/>
          <w:sz w:val="22"/>
          <w:szCs w:val="22"/>
          <w:lang w:val="en-GB"/>
        </w:rPr>
      </w:pPr>
    </w:p>
    <w:p w14:paraId="751DAEDD" w14:textId="77777777" w:rsidR="007910DD" w:rsidRPr="00CD0FE9" w:rsidRDefault="0090059C" w:rsidP="00294692">
      <w:pPr>
        <w:jc w:val="both"/>
        <w:rPr>
          <w:rFonts w:cs="Arial"/>
          <w:sz w:val="22"/>
          <w:szCs w:val="22"/>
          <w:lang w:val="en-GB"/>
        </w:rPr>
      </w:pPr>
      <w:r w:rsidRPr="00CD0FE9">
        <w:rPr>
          <w:rFonts w:cs="Arial"/>
          <w:sz w:val="22"/>
          <w:szCs w:val="22"/>
          <w:u w:val="single"/>
          <w:lang w:val="en-GB"/>
        </w:rPr>
        <w:t>Recommended actions</w:t>
      </w:r>
    </w:p>
    <w:p w14:paraId="0ECA40DC" w14:textId="77777777" w:rsidR="007910DD" w:rsidRPr="00CD0FE9" w:rsidRDefault="007910DD" w:rsidP="00294692">
      <w:pPr>
        <w:jc w:val="both"/>
        <w:rPr>
          <w:rFonts w:cs="Arial"/>
          <w:sz w:val="22"/>
          <w:szCs w:val="22"/>
          <w:lang w:val="en-GB"/>
        </w:rPr>
      </w:pPr>
    </w:p>
    <w:p w14:paraId="57B4DFE5" w14:textId="4A84BCDD" w:rsidR="007910DD" w:rsidRPr="00020BD6" w:rsidRDefault="007910DD" w:rsidP="0052408C">
      <w:pPr>
        <w:numPr>
          <w:ilvl w:val="0"/>
          <w:numId w:val="2"/>
        </w:numPr>
        <w:jc w:val="both"/>
        <w:rPr>
          <w:rFonts w:cs="Arial"/>
          <w:sz w:val="22"/>
          <w:szCs w:val="22"/>
          <w:lang w:val="en-GB"/>
        </w:rPr>
      </w:pPr>
      <w:r w:rsidRPr="00CD0FE9">
        <w:rPr>
          <w:rFonts w:cs="Arial"/>
          <w:sz w:val="22"/>
          <w:szCs w:val="22"/>
          <w:lang w:val="en-GB" w:eastAsia="en-GB"/>
        </w:rPr>
        <w:t xml:space="preserve">The Conference of the Parties is </w:t>
      </w:r>
      <w:r w:rsidR="00691001" w:rsidRPr="00CD0FE9">
        <w:rPr>
          <w:rFonts w:cs="Arial"/>
          <w:sz w:val="22"/>
          <w:szCs w:val="22"/>
          <w:lang w:val="en-GB" w:eastAsia="en-GB"/>
        </w:rPr>
        <w:t>recommended</w:t>
      </w:r>
      <w:r w:rsidRPr="00CD0FE9">
        <w:rPr>
          <w:rFonts w:cs="Arial"/>
          <w:sz w:val="22"/>
          <w:szCs w:val="22"/>
          <w:lang w:val="en-GB" w:eastAsia="en-GB"/>
        </w:rPr>
        <w:t xml:space="preserve"> to</w:t>
      </w:r>
      <w:r w:rsidR="00020BD6">
        <w:rPr>
          <w:rFonts w:cs="Arial"/>
          <w:sz w:val="22"/>
          <w:szCs w:val="22"/>
          <w:lang w:val="en-GB"/>
        </w:rPr>
        <w:t xml:space="preserve"> </w:t>
      </w:r>
      <w:r w:rsidRPr="00020BD6">
        <w:rPr>
          <w:rFonts w:cs="Arial"/>
          <w:sz w:val="22"/>
          <w:szCs w:val="22"/>
          <w:lang w:val="en-GB"/>
        </w:rPr>
        <w:t xml:space="preserve">adopt the draft Decisions contained in Annex </w:t>
      </w:r>
      <w:r w:rsidR="00020BD6" w:rsidRPr="00020BD6">
        <w:rPr>
          <w:rFonts w:cs="Arial"/>
          <w:sz w:val="22"/>
          <w:szCs w:val="22"/>
          <w:lang w:val="en-GB"/>
        </w:rPr>
        <w:t>1</w:t>
      </w:r>
      <w:r w:rsidR="002B2A36">
        <w:rPr>
          <w:rFonts w:cs="Arial"/>
          <w:sz w:val="22"/>
          <w:szCs w:val="22"/>
          <w:lang w:val="en-GB"/>
        </w:rPr>
        <w:t xml:space="preserve"> of this document.</w:t>
      </w:r>
    </w:p>
    <w:p w14:paraId="485748B1" w14:textId="77777777" w:rsidR="009617A6" w:rsidRDefault="009617A6" w:rsidP="009617A6">
      <w:pPr>
        <w:widowControl/>
        <w:autoSpaceDE/>
        <w:adjustRightInd/>
        <w:contextualSpacing/>
        <w:jc w:val="both"/>
        <w:rPr>
          <w:rFonts w:cs="Arial"/>
          <w:sz w:val="22"/>
          <w:szCs w:val="22"/>
          <w:lang w:val="en-GB"/>
        </w:rPr>
        <w:sectPr w:rsidR="009617A6" w:rsidSect="00620809">
          <w:headerReference w:type="first" r:id="rId15"/>
          <w:footerReference w:type="first" r:id="rId16"/>
          <w:endnotePr>
            <w:numFmt w:val="decimal"/>
          </w:endnotePr>
          <w:pgSz w:w="11905" w:h="16837" w:code="9"/>
          <w:pgMar w:top="1008" w:right="1411" w:bottom="1152" w:left="1411" w:header="432" w:footer="432" w:gutter="0"/>
          <w:cols w:space="720"/>
          <w:noEndnote/>
          <w:titlePg/>
          <w:docGrid w:linePitch="272"/>
        </w:sectPr>
      </w:pPr>
    </w:p>
    <w:p w14:paraId="334B3B97" w14:textId="5CAF1F39" w:rsidR="007910DD" w:rsidRPr="00CD0FE9" w:rsidRDefault="007910DD" w:rsidP="009617A6">
      <w:pPr>
        <w:widowControl/>
        <w:autoSpaceDE/>
        <w:adjustRightInd/>
        <w:jc w:val="right"/>
        <w:rPr>
          <w:rFonts w:cs="Arial"/>
          <w:b/>
          <w:bCs/>
          <w:caps/>
          <w:sz w:val="22"/>
          <w:szCs w:val="22"/>
          <w:lang w:val="en-GB"/>
        </w:rPr>
      </w:pPr>
      <w:r w:rsidRPr="00CD0FE9">
        <w:rPr>
          <w:rFonts w:cs="Arial"/>
          <w:b/>
          <w:caps/>
          <w:sz w:val="22"/>
          <w:szCs w:val="22"/>
          <w:lang w:val="en-GB"/>
        </w:rPr>
        <w:lastRenderedPageBreak/>
        <w:t xml:space="preserve">Annex </w:t>
      </w:r>
      <w:r w:rsidR="005E5021">
        <w:rPr>
          <w:rFonts w:cs="Arial"/>
          <w:b/>
          <w:caps/>
          <w:sz w:val="22"/>
          <w:szCs w:val="22"/>
          <w:lang w:val="en-GB"/>
        </w:rPr>
        <w:t>1</w:t>
      </w:r>
    </w:p>
    <w:p w14:paraId="6839D589" w14:textId="77777777" w:rsidR="007910DD" w:rsidRPr="00CD0FE9" w:rsidRDefault="007910DD" w:rsidP="007910DD">
      <w:pPr>
        <w:rPr>
          <w:rFonts w:cs="Arial"/>
          <w:sz w:val="22"/>
          <w:szCs w:val="22"/>
          <w:lang w:val="en-GB"/>
        </w:rPr>
      </w:pPr>
    </w:p>
    <w:p w14:paraId="0DC1E621" w14:textId="69060425" w:rsidR="007910DD" w:rsidRPr="00CD0FE9" w:rsidRDefault="00725A91" w:rsidP="007910DD">
      <w:pPr>
        <w:jc w:val="center"/>
        <w:rPr>
          <w:rFonts w:cs="Arial"/>
          <w:sz w:val="22"/>
          <w:szCs w:val="22"/>
          <w:lang w:val="en-GB"/>
        </w:rPr>
      </w:pPr>
      <w:r>
        <w:rPr>
          <w:rFonts w:cs="Arial"/>
          <w:sz w:val="22"/>
          <w:szCs w:val="22"/>
          <w:lang w:val="en-GB"/>
        </w:rPr>
        <w:t>DRAFT</w:t>
      </w:r>
      <w:r w:rsidR="00F463E0">
        <w:rPr>
          <w:rFonts w:cs="Arial"/>
          <w:sz w:val="22"/>
          <w:szCs w:val="22"/>
          <w:lang w:val="en-GB"/>
        </w:rPr>
        <w:t xml:space="preserve"> DECISIONS</w:t>
      </w:r>
    </w:p>
    <w:p w14:paraId="62A62F0B" w14:textId="77777777" w:rsidR="007910DD" w:rsidRPr="00CD0FE9" w:rsidRDefault="007910DD" w:rsidP="007910DD">
      <w:pPr>
        <w:jc w:val="center"/>
        <w:rPr>
          <w:rFonts w:cs="Arial"/>
          <w:sz w:val="22"/>
          <w:szCs w:val="22"/>
          <w:lang w:val="en-GB"/>
        </w:rPr>
      </w:pPr>
    </w:p>
    <w:p w14:paraId="3353E4D0" w14:textId="77777777" w:rsidR="00BE1818" w:rsidRDefault="00BE1818" w:rsidP="00BE1818">
      <w:pPr>
        <w:jc w:val="center"/>
        <w:rPr>
          <w:rFonts w:cs="Arial"/>
          <w:b/>
          <w:bCs/>
          <w:sz w:val="22"/>
          <w:szCs w:val="22"/>
        </w:rPr>
      </w:pPr>
      <w:r>
        <w:rPr>
          <w:rFonts w:cs="Arial"/>
          <w:b/>
          <w:bCs/>
          <w:sz w:val="22"/>
          <w:szCs w:val="22"/>
        </w:rPr>
        <w:t>TRANSFRONTIER CONSERVATION AREAS FOR MIGRATORY SPECIES</w:t>
      </w:r>
    </w:p>
    <w:p w14:paraId="4CE068C2" w14:textId="77777777" w:rsidR="00D46C91" w:rsidRDefault="00D46C91" w:rsidP="007910DD">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en-GB"/>
        </w:rPr>
      </w:pPr>
    </w:p>
    <w:p w14:paraId="3A36A54E" w14:textId="77777777" w:rsidR="00DE49BA" w:rsidRDefault="00DE49BA" w:rsidP="007910DD">
      <w:pPr>
        <w:jc w:val="both"/>
        <w:rPr>
          <w:rFonts w:cs="Arial"/>
          <w:b/>
          <w:i/>
          <w:sz w:val="22"/>
          <w:szCs w:val="22"/>
          <w:lang w:val="en-GB"/>
        </w:rPr>
      </w:pPr>
    </w:p>
    <w:p w14:paraId="2C7AD849" w14:textId="2D41390E" w:rsidR="007910DD" w:rsidRPr="00CD0FE9" w:rsidRDefault="007910DD" w:rsidP="007910DD">
      <w:pPr>
        <w:jc w:val="both"/>
        <w:rPr>
          <w:rFonts w:cs="Arial"/>
          <w:b/>
          <w:i/>
          <w:sz w:val="22"/>
          <w:szCs w:val="22"/>
          <w:lang w:val="en-GB"/>
        </w:rPr>
      </w:pPr>
      <w:r w:rsidRPr="00CD0FE9">
        <w:rPr>
          <w:rFonts w:cs="Arial"/>
          <w:b/>
          <w:i/>
          <w:sz w:val="22"/>
          <w:szCs w:val="22"/>
          <w:lang w:val="en-GB"/>
        </w:rPr>
        <w:t xml:space="preserve">Directed to Parties </w:t>
      </w:r>
    </w:p>
    <w:p w14:paraId="7FC82AD4" w14:textId="77777777" w:rsidR="007910DD" w:rsidRPr="00CD0FE9" w:rsidRDefault="007910DD" w:rsidP="007910DD">
      <w:pPr>
        <w:jc w:val="both"/>
        <w:rPr>
          <w:rFonts w:cs="Arial"/>
          <w:sz w:val="22"/>
          <w:szCs w:val="22"/>
          <w:lang w:val="en-GB"/>
        </w:rPr>
      </w:pPr>
    </w:p>
    <w:p w14:paraId="3D1FFDB4" w14:textId="77777777" w:rsidR="007910DD" w:rsidRPr="00CD0FE9" w:rsidRDefault="007910DD" w:rsidP="007910DD">
      <w:pPr>
        <w:ind w:left="720" w:hanging="720"/>
        <w:jc w:val="both"/>
        <w:rPr>
          <w:rFonts w:cs="Arial"/>
          <w:iCs/>
          <w:sz w:val="22"/>
          <w:szCs w:val="22"/>
          <w:lang w:val="en-GB"/>
        </w:rPr>
      </w:pPr>
      <w:r w:rsidRPr="00CD0FE9">
        <w:rPr>
          <w:rFonts w:cs="Arial"/>
          <w:sz w:val="22"/>
          <w:szCs w:val="22"/>
          <w:lang w:val="en-GB"/>
        </w:rPr>
        <w:t>12.AA</w:t>
      </w:r>
      <w:r w:rsidRPr="00CD0FE9">
        <w:rPr>
          <w:rFonts w:cs="Arial"/>
          <w:sz w:val="22"/>
          <w:szCs w:val="22"/>
          <w:lang w:val="en-GB"/>
        </w:rPr>
        <w:tab/>
      </w:r>
      <w:r w:rsidRPr="00CD0FE9">
        <w:rPr>
          <w:rFonts w:cs="Arial"/>
          <w:iCs/>
          <w:sz w:val="22"/>
          <w:szCs w:val="22"/>
          <w:lang w:val="en-GB"/>
        </w:rPr>
        <w:t xml:space="preserve"> Parties are requested to:</w:t>
      </w:r>
    </w:p>
    <w:p w14:paraId="0F54B171" w14:textId="77777777" w:rsidR="007910DD" w:rsidRPr="00CD0FE9" w:rsidRDefault="007910DD" w:rsidP="007910DD">
      <w:pPr>
        <w:ind w:left="720" w:hanging="720"/>
        <w:jc w:val="both"/>
        <w:rPr>
          <w:rFonts w:cs="Arial"/>
          <w:iCs/>
          <w:sz w:val="22"/>
          <w:szCs w:val="22"/>
          <w:lang w:val="en-GB"/>
        </w:rPr>
      </w:pPr>
    </w:p>
    <w:p w14:paraId="3F2807BB" w14:textId="6DBD16DA" w:rsidR="007910DD" w:rsidRDefault="00DE49BA" w:rsidP="009026B7">
      <w:pPr>
        <w:numPr>
          <w:ilvl w:val="0"/>
          <w:numId w:val="5"/>
        </w:numPr>
        <w:ind w:left="810"/>
        <w:jc w:val="both"/>
        <w:rPr>
          <w:rFonts w:cs="Arial"/>
          <w:iCs/>
          <w:sz w:val="22"/>
          <w:szCs w:val="22"/>
          <w:lang w:val="en-GB"/>
        </w:rPr>
      </w:pPr>
      <w:r>
        <w:rPr>
          <w:rFonts w:cs="Arial"/>
          <w:iCs/>
          <w:sz w:val="22"/>
          <w:szCs w:val="22"/>
          <w:lang w:val="en-GB"/>
        </w:rPr>
        <w:t xml:space="preserve">Identify transboundary </w:t>
      </w:r>
      <w:r w:rsidR="00C36FF9">
        <w:rPr>
          <w:rFonts w:cs="Arial"/>
          <w:iCs/>
          <w:sz w:val="22"/>
          <w:szCs w:val="22"/>
          <w:lang w:val="en-GB"/>
        </w:rPr>
        <w:t>habitats of CMS-listed species</w:t>
      </w:r>
      <w:r>
        <w:rPr>
          <w:rFonts w:cs="Arial"/>
          <w:iCs/>
          <w:sz w:val="22"/>
          <w:szCs w:val="22"/>
          <w:lang w:val="en-GB"/>
        </w:rPr>
        <w:t>, for establishing transfrontier conservation areas</w:t>
      </w:r>
      <w:r w:rsidR="00C36FF9">
        <w:rPr>
          <w:rFonts w:cs="Arial"/>
          <w:iCs/>
          <w:sz w:val="22"/>
          <w:szCs w:val="22"/>
          <w:lang w:val="en-GB"/>
        </w:rPr>
        <w:t xml:space="preserve"> (TFCAs)</w:t>
      </w:r>
      <w:r w:rsidR="00964674">
        <w:rPr>
          <w:rFonts w:cs="Arial"/>
          <w:iCs/>
          <w:sz w:val="22"/>
          <w:szCs w:val="22"/>
          <w:lang w:val="en-GB"/>
        </w:rPr>
        <w:t xml:space="preserve">, </w:t>
      </w:r>
      <w:r w:rsidR="00C36FF9">
        <w:rPr>
          <w:rFonts w:cs="Arial"/>
          <w:iCs/>
          <w:sz w:val="22"/>
          <w:szCs w:val="22"/>
          <w:lang w:val="en-GB"/>
        </w:rPr>
        <w:t>meaning the area or component of a large ecological region that straddles the boundaries of two or more countries, encompassing one or more protected areas, as well as multiple resource use areas</w:t>
      </w:r>
      <w:r w:rsidR="007910DD" w:rsidRPr="00CD0FE9">
        <w:rPr>
          <w:rFonts w:cs="Arial"/>
          <w:iCs/>
          <w:sz w:val="22"/>
          <w:szCs w:val="22"/>
          <w:lang w:val="en-GB"/>
        </w:rPr>
        <w:t>;</w:t>
      </w:r>
    </w:p>
    <w:p w14:paraId="3177BF7A" w14:textId="77777777" w:rsidR="00DE49BA" w:rsidRDefault="00DE49BA" w:rsidP="009026B7">
      <w:pPr>
        <w:ind w:left="810"/>
        <w:jc w:val="both"/>
        <w:rPr>
          <w:rFonts w:cs="Arial"/>
          <w:iCs/>
          <w:sz w:val="22"/>
          <w:szCs w:val="22"/>
          <w:lang w:val="en-GB"/>
        </w:rPr>
      </w:pPr>
    </w:p>
    <w:p w14:paraId="459A05CA" w14:textId="1C8E5036" w:rsidR="00DE49BA" w:rsidRDefault="00C36FF9" w:rsidP="009026B7">
      <w:pPr>
        <w:numPr>
          <w:ilvl w:val="0"/>
          <w:numId w:val="5"/>
        </w:numPr>
        <w:ind w:left="810"/>
        <w:jc w:val="both"/>
        <w:rPr>
          <w:rFonts w:cs="Arial"/>
          <w:iCs/>
          <w:sz w:val="22"/>
          <w:szCs w:val="22"/>
          <w:lang w:val="en-GB"/>
        </w:rPr>
      </w:pPr>
      <w:r>
        <w:rPr>
          <w:rFonts w:cs="Arial"/>
          <w:iCs/>
          <w:sz w:val="22"/>
          <w:szCs w:val="22"/>
          <w:lang w:val="en-GB"/>
        </w:rPr>
        <w:t>D</w:t>
      </w:r>
      <w:r w:rsidR="00DE49BA">
        <w:rPr>
          <w:rFonts w:cs="Arial"/>
          <w:iCs/>
          <w:sz w:val="22"/>
          <w:szCs w:val="22"/>
          <w:lang w:val="en-GB"/>
        </w:rPr>
        <w:t xml:space="preserve">evelop </w:t>
      </w:r>
      <w:r>
        <w:rPr>
          <w:rFonts w:cs="Arial"/>
          <w:iCs/>
          <w:sz w:val="22"/>
          <w:szCs w:val="22"/>
          <w:lang w:val="en-GB"/>
        </w:rPr>
        <w:t xml:space="preserve">jointly with the neighbouring Range States </w:t>
      </w:r>
      <w:r w:rsidR="00DE49BA">
        <w:rPr>
          <w:rFonts w:cs="Arial"/>
          <w:iCs/>
          <w:sz w:val="22"/>
          <w:szCs w:val="22"/>
          <w:lang w:val="en-GB"/>
        </w:rPr>
        <w:t xml:space="preserve">bi- or multilateral </w:t>
      </w:r>
      <w:r>
        <w:rPr>
          <w:rFonts w:cs="Arial"/>
          <w:iCs/>
          <w:sz w:val="22"/>
          <w:szCs w:val="22"/>
          <w:lang w:val="en-GB"/>
        </w:rPr>
        <w:t>agreements</w:t>
      </w:r>
      <w:r w:rsidR="00DE49BA">
        <w:rPr>
          <w:rFonts w:cs="Arial"/>
          <w:iCs/>
          <w:sz w:val="22"/>
          <w:szCs w:val="22"/>
          <w:lang w:val="en-GB"/>
        </w:rPr>
        <w:t xml:space="preserve"> to give </w:t>
      </w:r>
      <w:r>
        <w:rPr>
          <w:rFonts w:cs="Arial"/>
          <w:iCs/>
          <w:sz w:val="22"/>
          <w:szCs w:val="22"/>
          <w:lang w:val="en-GB"/>
        </w:rPr>
        <w:t>the TFCAs identified</w:t>
      </w:r>
      <w:r w:rsidR="00964674">
        <w:rPr>
          <w:rFonts w:cs="Arial"/>
          <w:iCs/>
          <w:sz w:val="22"/>
          <w:szCs w:val="22"/>
          <w:lang w:val="en-GB"/>
        </w:rPr>
        <w:t xml:space="preserve"> </w:t>
      </w:r>
      <w:r w:rsidR="00DE49BA">
        <w:rPr>
          <w:rFonts w:cs="Arial"/>
          <w:iCs/>
          <w:sz w:val="22"/>
          <w:szCs w:val="22"/>
          <w:lang w:val="en-GB"/>
        </w:rPr>
        <w:t>formal status</w:t>
      </w:r>
      <w:r w:rsidR="00116E60">
        <w:rPr>
          <w:rFonts w:cs="Arial"/>
          <w:iCs/>
          <w:sz w:val="22"/>
          <w:szCs w:val="22"/>
          <w:lang w:val="en-GB"/>
        </w:rPr>
        <w:t xml:space="preserve"> at the highest national level;</w:t>
      </w:r>
    </w:p>
    <w:p w14:paraId="7884E643" w14:textId="77777777" w:rsidR="00964674" w:rsidRDefault="00964674" w:rsidP="009026B7">
      <w:pPr>
        <w:pStyle w:val="ListParagraph"/>
        <w:ind w:left="810"/>
        <w:rPr>
          <w:rFonts w:cs="Arial"/>
          <w:iCs/>
          <w:sz w:val="22"/>
          <w:szCs w:val="22"/>
          <w:lang w:val="en-GB"/>
        </w:rPr>
      </w:pPr>
    </w:p>
    <w:p w14:paraId="7B907199" w14:textId="4C42F3CD" w:rsidR="00964674" w:rsidRPr="00CD0FE9" w:rsidRDefault="00964674" w:rsidP="009026B7">
      <w:pPr>
        <w:numPr>
          <w:ilvl w:val="0"/>
          <w:numId w:val="5"/>
        </w:numPr>
        <w:ind w:left="810"/>
        <w:jc w:val="both"/>
        <w:rPr>
          <w:rFonts w:cs="Arial"/>
          <w:iCs/>
          <w:sz w:val="22"/>
          <w:szCs w:val="22"/>
          <w:lang w:val="en-GB"/>
        </w:rPr>
      </w:pPr>
      <w:r>
        <w:rPr>
          <w:rFonts w:cs="Arial"/>
          <w:iCs/>
          <w:sz w:val="22"/>
          <w:szCs w:val="22"/>
          <w:lang w:val="en-GB"/>
        </w:rPr>
        <w:t>Develop join</w:t>
      </w:r>
      <w:r w:rsidR="00C36FF9">
        <w:rPr>
          <w:rFonts w:cs="Arial"/>
          <w:iCs/>
          <w:sz w:val="22"/>
          <w:szCs w:val="22"/>
          <w:lang w:val="en-GB"/>
        </w:rPr>
        <w:t xml:space="preserve">tly with the </w:t>
      </w:r>
      <w:r w:rsidR="00116E60">
        <w:rPr>
          <w:rFonts w:cs="Arial"/>
          <w:iCs/>
          <w:sz w:val="22"/>
          <w:szCs w:val="22"/>
          <w:lang w:val="en-GB"/>
        </w:rPr>
        <w:t xml:space="preserve">Parties </w:t>
      </w:r>
      <w:r w:rsidR="00360A7C">
        <w:rPr>
          <w:rFonts w:cs="Arial"/>
          <w:iCs/>
          <w:sz w:val="22"/>
          <w:szCs w:val="22"/>
          <w:lang w:val="en-GB"/>
        </w:rPr>
        <w:t xml:space="preserve">of the bi- or multilateral agreements </w:t>
      </w:r>
      <w:r w:rsidR="00116E60">
        <w:rPr>
          <w:rFonts w:cs="Arial"/>
          <w:iCs/>
          <w:sz w:val="22"/>
          <w:szCs w:val="22"/>
          <w:lang w:val="en-GB"/>
        </w:rPr>
        <w:t xml:space="preserve">and with the participation of local communities and stakeholders </w:t>
      </w:r>
      <w:r w:rsidR="00C36FF9">
        <w:rPr>
          <w:rFonts w:cs="Arial"/>
          <w:iCs/>
          <w:sz w:val="22"/>
          <w:szCs w:val="22"/>
          <w:lang w:val="en-GB"/>
        </w:rPr>
        <w:t>conservation and management plans</w:t>
      </w:r>
      <w:r w:rsidR="00116E60">
        <w:rPr>
          <w:rFonts w:cs="Arial"/>
          <w:iCs/>
          <w:sz w:val="22"/>
          <w:szCs w:val="22"/>
          <w:lang w:val="en-GB"/>
        </w:rPr>
        <w:t xml:space="preserve"> for the identified TFCAs, benefitting wildlife and the sustainable development of the communities living within it.</w:t>
      </w:r>
    </w:p>
    <w:p w14:paraId="7DBD55F0" w14:textId="474F4DEC" w:rsidR="007910DD" w:rsidRDefault="007910DD" w:rsidP="007910DD">
      <w:pPr>
        <w:ind w:left="720"/>
        <w:jc w:val="both"/>
        <w:rPr>
          <w:rFonts w:cs="Arial"/>
          <w:iCs/>
          <w:sz w:val="22"/>
          <w:szCs w:val="22"/>
          <w:lang w:val="en-GB"/>
        </w:rPr>
      </w:pPr>
    </w:p>
    <w:p w14:paraId="486D2436" w14:textId="77777777" w:rsidR="009617A6" w:rsidRPr="00CD0FE9" w:rsidRDefault="009617A6" w:rsidP="007910DD">
      <w:pPr>
        <w:ind w:left="720"/>
        <w:jc w:val="both"/>
        <w:rPr>
          <w:rFonts w:cs="Arial"/>
          <w:iCs/>
          <w:sz w:val="22"/>
          <w:szCs w:val="22"/>
          <w:lang w:val="en-GB"/>
        </w:rPr>
      </w:pPr>
    </w:p>
    <w:p w14:paraId="02195CE6" w14:textId="77777777" w:rsidR="00DE49BA" w:rsidRPr="00CD0FE9" w:rsidRDefault="00DE49BA" w:rsidP="00DE49BA">
      <w:pPr>
        <w:jc w:val="both"/>
        <w:rPr>
          <w:rFonts w:cs="Arial"/>
          <w:b/>
          <w:i/>
          <w:sz w:val="22"/>
          <w:szCs w:val="22"/>
          <w:lang w:val="en-GB"/>
        </w:rPr>
      </w:pPr>
      <w:r w:rsidRPr="00CD0FE9">
        <w:rPr>
          <w:rFonts w:cs="Arial"/>
          <w:b/>
          <w:i/>
          <w:sz w:val="22"/>
          <w:szCs w:val="22"/>
          <w:lang w:val="en-GB"/>
        </w:rPr>
        <w:t>Directed to the Secretariat</w:t>
      </w:r>
    </w:p>
    <w:p w14:paraId="220D97A2" w14:textId="77777777" w:rsidR="00DE49BA" w:rsidRPr="00CD0FE9" w:rsidRDefault="00DE49BA" w:rsidP="00DE49BA">
      <w:pPr>
        <w:jc w:val="both"/>
        <w:rPr>
          <w:rFonts w:cs="Arial"/>
          <w:sz w:val="22"/>
          <w:szCs w:val="22"/>
          <w:lang w:val="en-GB"/>
        </w:rPr>
      </w:pPr>
    </w:p>
    <w:p w14:paraId="7E7EDE8B" w14:textId="46892E6B" w:rsidR="00DE49BA" w:rsidRPr="00CD0FE9" w:rsidRDefault="00942271" w:rsidP="00DE49BA">
      <w:pPr>
        <w:ind w:left="720" w:hanging="720"/>
        <w:jc w:val="both"/>
        <w:rPr>
          <w:rFonts w:cs="Arial"/>
          <w:iCs/>
          <w:sz w:val="22"/>
          <w:szCs w:val="22"/>
          <w:lang w:val="en-GB"/>
        </w:rPr>
      </w:pPr>
      <w:r>
        <w:rPr>
          <w:rFonts w:cs="Arial"/>
          <w:sz w:val="22"/>
          <w:szCs w:val="22"/>
          <w:lang w:val="en-GB"/>
        </w:rPr>
        <w:t>12.BB</w:t>
      </w:r>
      <w:r w:rsidR="00DE49BA" w:rsidRPr="00CD0FE9">
        <w:rPr>
          <w:rFonts w:cs="Arial"/>
          <w:sz w:val="22"/>
          <w:szCs w:val="22"/>
          <w:lang w:val="en-GB"/>
        </w:rPr>
        <w:tab/>
        <w:t>The Secr</w:t>
      </w:r>
      <w:r w:rsidR="00DE49BA">
        <w:rPr>
          <w:rFonts w:cs="Arial"/>
          <w:sz w:val="22"/>
          <w:szCs w:val="22"/>
          <w:lang w:val="en-GB"/>
        </w:rPr>
        <w:t xml:space="preserve">etariat shall, </w:t>
      </w:r>
      <w:r w:rsidR="00DE49BA" w:rsidRPr="00CD0FE9">
        <w:rPr>
          <w:rFonts w:cs="Arial"/>
          <w:sz w:val="22"/>
          <w:szCs w:val="22"/>
          <w:lang w:val="en-GB"/>
        </w:rPr>
        <w:t>subject to the avai</w:t>
      </w:r>
      <w:r w:rsidR="00DE49BA">
        <w:rPr>
          <w:rFonts w:cs="Arial"/>
          <w:sz w:val="22"/>
          <w:szCs w:val="22"/>
          <w:lang w:val="en-GB"/>
        </w:rPr>
        <w:t>lability of external resources,</w:t>
      </w:r>
    </w:p>
    <w:p w14:paraId="642C7048" w14:textId="77777777" w:rsidR="00DE49BA" w:rsidRPr="00CD0FE9" w:rsidRDefault="00DE49BA" w:rsidP="00DE49BA">
      <w:pPr>
        <w:ind w:left="720" w:hanging="720"/>
        <w:jc w:val="both"/>
        <w:rPr>
          <w:rFonts w:cs="Arial"/>
          <w:iCs/>
          <w:sz w:val="22"/>
          <w:szCs w:val="22"/>
          <w:lang w:val="en-GB"/>
        </w:rPr>
      </w:pPr>
    </w:p>
    <w:p w14:paraId="17DC68AE" w14:textId="1C277E1E" w:rsidR="00DE49BA" w:rsidRPr="00CD0FE9" w:rsidRDefault="00DE49BA" w:rsidP="009026B7">
      <w:pPr>
        <w:numPr>
          <w:ilvl w:val="0"/>
          <w:numId w:val="9"/>
        </w:numPr>
        <w:ind w:left="810"/>
        <w:jc w:val="both"/>
        <w:rPr>
          <w:rFonts w:cs="Arial"/>
          <w:sz w:val="22"/>
          <w:szCs w:val="22"/>
          <w:lang w:val="en-GB"/>
        </w:rPr>
      </w:pPr>
      <w:r>
        <w:rPr>
          <w:rFonts w:cs="Arial"/>
          <w:sz w:val="22"/>
          <w:szCs w:val="22"/>
          <w:lang w:val="en-GB"/>
        </w:rPr>
        <w:t xml:space="preserve">Support Parties in </w:t>
      </w:r>
      <w:r w:rsidR="00964674">
        <w:rPr>
          <w:rFonts w:cs="Arial"/>
          <w:sz w:val="22"/>
          <w:szCs w:val="22"/>
          <w:lang w:val="en-GB"/>
        </w:rPr>
        <w:t>implementing decision 12.AA</w:t>
      </w:r>
      <w:r w:rsidR="00C36FF9">
        <w:rPr>
          <w:rFonts w:cs="Arial"/>
          <w:sz w:val="22"/>
          <w:szCs w:val="22"/>
          <w:lang w:val="en-GB"/>
        </w:rPr>
        <w:t>;</w:t>
      </w:r>
    </w:p>
    <w:p w14:paraId="7DA88B9C" w14:textId="77777777" w:rsidR="00DE49BA" w:rsidRPr="00CD0FE9" w:rsidRDefault="00DE49BA" w:rsidP="009026B7">
      <w:pPr>
        <w:ind w:left="810"/>
        <w:jc w:val="both"/>
        <w:rPr>
          <w:rFonts w:cs="Arial"/>
          <w:sz w:val="22"/>
          <w:szCs w:val="22"/>
          <w:lang w:val="en-GB"/>
        </w:rPr>
      </w:pPr>
    </w:p>
    <w:p w14:paraId="4600ECE9" w14:textId="49664812" w:rsidR="00DE49BA" w:rsidRPr="00CD0FE9" w:rsidRDefault="00DE49BA" w:rsidP="009026B7">
      <w:pPr>
        <w:numPr>
          <w:ilvl w:val="0"/>
          <w:numId w:val="9"/>
        </w:numPr>
        <w:ind w:left="810"/>
        <w:jc w:val="both"/>
        <w:rPr>
          <w:rFonts w:cs="Arial"/>
          <w:sz w:val="22"/>
          <w:szCs w:val="22"/>
          <w:lang w:val="en-GB"/>
        </w:rPr>
      </w:pPr>
      <w:r w:rsidRPr="00CD0FE9">
        <w:rPr>
          <w:rFonts w:cs="Arial"/>
          <w:sz w:val="22"/>
          <w:szCs w:val="22"/>
          <w:lang w:val="en-GB"/>
        </w:rPr>
        <w:t>R</w:t>
      </w:r>
      <w:r w:rsidR="00C36FF9">
        <w:rPr>
          <w:rFonts w:cs="Arial"/>
          <w:sz w:val="22"/>
          <w:szCs w:val="22"/>
          <w:lang w:val="en-GB"/>
        </w:rPr>
        <w:t>eport to the Standing Committee</w:t>
      </w:r>
      <w:r w:rsidRPr="00CD0FE9">
        <w:rPr>
          <w:rFonts w:cs="Arial"/>
          <w:sz w:val="22"/>
          <w:szCs w:val="22"/>
          <w:lang w:val="en-GB"/>
        </w:rPr>
        <w:t xml:space="preserve"> </w:t>
      </w:r>
      <w:r w:rsidR="00C36FF9">
        <w:rPr>
          <w:rFonts w:cs="Arial"/>
          <w:sz w:val="22"/>
          <w:szCs w:val="22"/>
          <w:lang w:val="en-GB"/>
        </w:rPr>
        <w:t>at its 48</w:t>
      </w:r>
      <w:r w:rsidRPr="00C36FF9">
        <w:rPr>
          <w:rFonts w:cs="Arial"/>
          <w:sz w:val="22"/>
          <w:szCs w:val="22"/>
          <w:vertAlign w:val="superscript"/>
          <w:lang w:val="en-GB"/>
        </w:rPr>
        <w:t>th</w:t>
      </w:r>
      <w:r w:rsidR="00C36FF9">
        <w:rPr>
          <w:rFonts w:cs="Arial"/>
          <w:sz w:val="22"/>
          <w:szCs w:val="22"/>
          <w:lang w:val="en-GB"/>
        </w:rPr>
        <w:t xml:space="preserve"> and 49</w:t>
      </w:r>
      <w:r w:rsidR="00C36FF9" w:rsidRPr="00C36FF9">
        <w:rPr>
          <w:rFonts w:cs="Arial"/>
          <w:sz w:val="22"/>
          <w:szCs w:val="22"/>
          <w:vertAlign w:val="superscript"/>
          <w:lang w:val="en-GB"/>
        </w:rPr>
        <w:t>th</w:t>
      </w:r>
      <w:r w:rsidR="00C36FF9">
        <w:rPr>
          <w:rFonts w:cs="Arial"/>
          <w:sz w:val="22"/>
          <w:szCs w:val="22"/>
          <w:lang w:val="en-GB"/>
        </w:rPr>
        <w:t xml:space="preserve"> m</w:t>
      </w:r>
      <w:r w:rsidRPr="00CD0FE9">
        <w:rPr>
          <w:rFonts w:cs="Arial"/>
          <w:sz w:val="22"/>
          <w:szCs w:val="22"/>
          <w:lang w:val="en-GB"/>
        </w:rPr>
        <w:t>eeting</w:t>
      </w:r>
      <w:r w:rsidR="00C36FF9">
        <w:rPr>
          <w:rFonts w:cs="Arial"/>
          <w:sz w:val="22"/>
          <w:szCs w:val="22"/>
          <w:lang w:val="en-GB"/>
        </w:rPr>
        <w:t>s</w:t>
      </w:r>
      <w:r w:rsidRPr="00CD0FE9">
        <w:rPr>
          <w:rFonts w:cs="Arial"/>
          <w:sz w:val="22"/>
          <w:szCs w:val="22"/>
          <w:lang w:val="en-GB"/>
        </w:rPr>
        <w:t xml:space="preserve"> </w:t>
      </w:r>
      <w:r w:rsidR="00116E60">
        <w:rPr>
          <w:rFonts w:cs="Arial"/>
          <w:sz w:val="22"/>
          <w:szCs w:val="22"/>
          <w:lang w:val="en-GB"/>
        </w:rPr>
        <w:t>as well as the Conference of the Parties at its 13</w:t>
      </w:r>
      <w:r w:rsidR="00116E60" w:rsidRPr="00116E60">
        <w:rPr>
          <w:rFonts w:cs="Arial"/>
          <w:sz w:val="22"/>
          <w:szCs w:val="22"/>
          <w:vertAlign w:val="superscript"/>
          <w:lang w:val="en-GB"/>
        </w:rPr>
        <w:t>th</w:t>
      </w:r>
      <w:r w:rsidR="00116E60">
        <w:rPr>
          <w:rFonts w:cs="Arial"/>
          <w:sz w:val="22"/>
          <w:szCs w:val="22"/>
          <w:lang w:val="en-GB"/>
        </w:rPr>
        <w:t xml:space="preserve"> meeting </w:t>
      </w:r>
      <w:r w:rsidRPr="00CD0FE9">
        <w:rPr>
          <w:rFonts w:cs="Arial"/>
          <w:sz w:val="22"/>
          <w:szCs w:val="22"/>
          <w:lang w:val="en-GB"/>
        </w:rPr>
        <w:t>on the progress</w:t>
      </w:r>
      <w:r w:rsidR="00C36FF9">
        <w:rPr>
          <w:rFonts w:cs="Arial"/>
          <w:sz w:val="22"/>
          <w:szCs w:val="22"/>
          <w:lang w:val="en-GB"/>
        </w:rPr>
        <w:t xml:space="preserve"> in implementing this decision.</w:t>
      </w:r>
    </w:p>
    <w:p w14:paraId="4B834FD9" w14:textId="577EF5AA" w:rsidR="00DE49BA" w:rsidRDefault="00DE49BA" w:rsidP="007910DD">
      <w:pPr>
        <w:jc w:val="both"/>
        <w:rPr>
          <w:rFonts w:cs="Arial"/>
          <w:sz w:val="22"/>
          <w:szCs w:val="22"/>
          <w:lang w:val="en-GB"/>
        </w:rPr>
      </w:pPr>
    </w:p>
    <w:p w14:paraId="19A88E65" w14:textId="77777777" w:rsidR="007910DD" w:rsidRPr="00CD0FE9" w:rsidRDefault="007910DD" w:rsidP="007910DD">
      <w:pPr>
        <w:jc w:val="both"/>
        <w:rPr>
          <w:rFonts w:cs="Arial"/>
          <w:b/>
          <w:i/>
          <w:sz w:val="22"/>
          <w:szCs w:val="22"/>
          <w:lang w:val="en-GB"/>
        </w:rPr>
      </w:pPr>
      <w:r w:rsidRPr="00CD0FE9">
        <w:rPr>
          <w:rFonts w:cs="Arial"/>
          <w:b/>
          <w:i/>
          <w:sz w:val="22"/>
          <w:szCs w:val="22"/>
          <w:lang w:val="en-GB"/>
        </w:rPr>
        <w:t>Directed to Parties, intergovernmen</w:t>
      </w:r>
      <w:r w:rsidR="00973BFB">
        <w:rPr>
          <w:rFonts w:cs="Arial"/>
          <w:b/>
          <w:i/>
          <w:sz w:val="22"/>
          <w:szCs w:val="22"/>
          <w:lang w:val="en-GB"/>
        </w:rPr>
        <w:t>tal and non-governmental organiz</w:t>
      </w:r>
      <w:r w:rsidRPr="00CD0FE9">
        <w:rPr>
          <w:rFonts w:cs="Arial"/>
          <w:b/>
          <w:i/>
          <w:sz w:val="22"/>
          <w:szCs w:val="22"/>
          <w:lang w:val="en-GB"/>
        </w:rPr>
        <w:t>ations</w:t>
      </w:r>
    </w:p>
    <w:p w14:paraId="726B8A83" w14:textId="77777777" w:rsidR="007910DD" w:rsidRPr="00CD0FE9" w:rsidRDefault="007910DD" w:rsidP="007910DD">
      <w:pPr>
        <w:jc w:val="both"/>
        <w:rPr>
          <w:rFonts w:cs="Arial"/>
          <w:sz w:val="22"/>
          <w:szCs w:val="22"/>
          <w:lang w:val="en-GB"/>
        </w:rPr>
      </w:pPr>
    </w:p>
    <w:p w14:paraId="61F6B26E" w14:textId="074025F6" w:rsidR="007910DD" w:rsidRPr="00CD0FE9" w:rsidRDefault="00226BBA" w:rsidP="00457E67">
      <w:pPr>
        <w:ind w:left="810" w:hanging="810"/>
        <w:jc w:val="both"/>
        <w:rPr>
          <w:rFonts w:cs="Arial"/>
          <w:sz w:val="22"/>
          <w:szCs w:val="22"/>
          <w:lang w:val="en-GB"/>
        </w:rPr>
      </w:pPr>
      <w:r>
        <w:rPr>
          <w:rFonts w:cs="Arial"/>
          <w:sz w:val="22"/>
          <w:szCs w:val="22"/>
          <w:lang w:val="en-GB"/>
        </w:rPr>
        <w:t>12.CC</w:t>
      </w:r>
      <w:r w:rsidR="007910DD" w:rsidRPr="00CD0FE9">
        <w:rPr>
          <w:rFonts w:cs="Arial"/>
          <w:sz w:val="22"/>
          <w:szCs w:val="22"/>
          <w:lang w:val="en-GB"/>
        </w:rPr>
        <w:tab/>
        <w:t>Parties, intergovernmen</w:t>
      </w:r>
      <w:r w:rsidR="00973BFB">
        <w:rPr>
          <w:rFonts w:cs="Arial"/>
          <w:sz w:val="22"/>
          <w:szCs w:val="22"/>
          <w:lang w:val="en-GB"/>
        </w:rPr>
        <w:t>tal and non-governmental organiz</w:t>
      </w:r>
      <w:r w:rsidR="007910DD" w:rsidRPr="00CD0FE9">
        <w:rPr>
          <w:rFonts w:cs="Arial"/>
          <w:sz w:val="22"/>
          <w:szCs w:val="22"/>
          <w:lang w:val="en-GB"/>
        </w:rPr>
        <w:t>ations are encouraged to</w:t>
      </w:r>
      <w:r w:rsidR="009026B7">
        <w:rPr>
          <w:rFonts w:cs="Arial"/>
          <w:sz w:val="22"/>
          <w:szCs w:val="22"/>
          <w:lang w:val="en-GB"/>
        </w:rPr>
        <w:t xml:space="preserve"> p</w:t>
      </w:r>
      <w:r w:rsidR="007910DD" w:rsidRPr="00CD0FE9">
        <w:rPr>
          <w:rFonts w:cs="Arial"/>
          <w:sz w:val="22"/>
          <w:szCs w:val="22"/>
          <w:lang w:val="en-GB"/>
        </w:rPr>
        <w:t>rovide fin</w:t>
      </w:r>
      <w:r w:rsidR="00942271">
        <w:rPr>
          <w:rFonts w:cs="Arial"/>
          <w:sz w:val="22"/>
          <w:szCs w:val="22"/>
          <w:lang w:val="en-GB"/>
        </w:rPr>
        <w:t>ancial and technical support to implement decisions 12.AA and 12.BB.</w:t>
      </w:r>
    </w:p>
    <w:p w14:paraId="50280D49" w14:textId="5DCF6FE2" w:rsidR="007910DD" w:rsidRDefault="007910DD" w:rsidP="007910DD">
      <w:pPr>
        <w:ind w:left="720"/>
        <w:jc w:val="both"/>
        <w:rPr>
          <w:rFonts w:cs="Arial"/>
          <w:sz w:val="22"/>
          <w:szCs w:val="22"/>
          <w:lang w:val="en-GB"/>
        </w:rPr>
      </w:pPr>
    </w:p>
    <w:p w14:paraId="7A0408D7" w14:textId="77777777" w:rsidR="009617A6" w:rsidRPr="00CD0FE9" w:rsidRDefault="009617A6" w:rsidP="007910DD">
      <w:pPr>
        <w:ind w:left="720"/>
        <w:jc w:val="both"/>
        <w:rPr>
          <w:rFonts w:cs="Arial"/>
          <w:sz w:val="22"/>
          <w:szCs w:val="22"/>
          <w:lang w:val="en-GB"/>
        </w:rPr>
      </w:pPr>
    </w:p>
    <w:p w14:paraId="6A6CC71A" w14:textId="77777777" w:rsidR="007910DD" w:rsidRPr="00CD0FE9" w:rsidRDefault="007910DD" w:rsidP="007910DD">
      <w:pPr>
        <w:jc w:val="both"/>
        <w:rPr>
          <w:rFonts w:cs="Arial"/>
          <w:b/>
          <w:i/>
          <w:sz w:val="22"/>
          <w:szCs w:val="22"/>
          <w:lang w:val="en-GB"/>
        </w:rPr>
      </w:pPr>
      <w:r w:rsidRPr="00CD0FE9">
        <w:rPr>
          <w:rFonts w:cs="Arial"/>
          <w:b/>
          <w:i/>
          <w:sz w:val="22"/>
          <w:szCs w:val="22"/>
          <w:lang w:val="en-GB"/>
        </w:rPr>
        <w:t>Directed to the Standing Committee</w:t>
      </w:r>
    </w:p>
    <w:p w14:paraId="6A1F0E7A" w14:textId="77777777" w:rsidR="007910DD" w:rsidRPr="00CD0FE9" w:rsidRDefault="007910DD" w:rsidP="007910DD">
      <w:pPr>
        <w:jc w:val="both"/>
        <w:rPr>
          <w:rFonts w:cs="Arial"/>
          <w:sz w:val="22"/>
          <w:szCs w:val="22"/>
          <w:lang w:val="en-GB"/>
        </w:rPr>
      </w:pPr>
    </w:p>
    <w:p w14:paraId="44A2B959" w14:textId="298CAEE1" w:rsidR="007910DD" w:rsidRPr="00CD0FE9" w:rsidRDefault="00116E60" w:rsidP="00457E67">
      <w:pPr>
        <w:ind w:left="810" w:hanging="810"/>
        <w:jc w:val="both"/>
        <w:rPr>
          <w:rFonts w:cs="Arial"/>
          <w:sz w:val="22"/>
          <w:szCs w:val="22"/>
          <w:lang w:val="en-GB"/>
        </w:rPr>
      </w:pPr>
      <w:r>
        <w:rPr>
          <w:rFonts w:cs="Arial"/>
          <w:sz w:val="22"/>
          <w:szCs w:val="22"/>
          <w:lang w:val="en-GB"/>
        </w:rPr>
        <w:t>12.DD</w:t>
      </w:r>
      <w:r w:rsidR="007910DD" w:rsidRPr="00CD0FE9">
        <w:rPr>
          <w:rFonts w:cs="Arial"/>
          <w:sz w:val="22"/>
          <w:szCs w:val="22"/>
          <w:lang w:val="en-GB"/>
        </w:rPr>
        <w:tab/>
        <w:t>The Standing Committee shall</w:t>
      </w:r>
      <w:r w:rsidR="009026B7">
        <w:rPr>
          <w:rFonts w:cs="Arial"/>
          <w:sz w:val="22"/>
          <w:szCs w:val="22"/>
          <w:lang w:val="en-GB"/>
        </w:rPr>
        <w:t xml:space="preserve"> c</w:t>
      </w:r>
      <w:r>
        <w:rPr>
          <w:rFonts w:cs="Arial"/>
          <w:sz w:val="22"/>
          <w:szCs w:val="22"/>
          <w:lang w:val="en-GB"/>
        </w:rPr>
        <w:t xml:space="preserve">onsider the report received from the Secretariat. </w:t>
      </w:r>
    </w:p>
    <w:p w14:paraId="44690189" w14:textId="77777777" w:rsidR="0079075D" w:rsidRPr="00CD0FE9" w:rsidRDefault="0079075D" w:rsidP="007910DD">
      <w:pPr>
        <w:pStyle w:val="Heading2"/>
        <w:keepNext w:val="0"/>
        <w:ind w:left="-90" w:right="-367"/>
        <w:jc w:val="center"/>
        <w:rPr>
          <w:rFonts w:cs="Arial"/>
          <w:sz w:val="22"/>
          <w:szCs w:val="22"/>
          <w:lang w:val="en-GB"/>
        </w:rPr>
      </w:pPr>
      <w:bookmarkStart w:id="0" w:name="_GoBack"/>
      <w:bookmarkEnd w:id="0"/>
    </w:p>
    <w:sectPr w:rsidR="0079075D" w:rsidRPr="00CD0FE9" w:rsidSect="00620809">
      <w:headerReference w:type="first" r:id="rId17"/>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9BF84" w14:textId="77777777" w:rsidR="006B40AF" w:rsidRDefault="006B40AF">
      <w:r>
        <w:separator/>
      </w:r>
    </w:p>
  </w:endnote>
  <w:endnote w:type="continuationSeparator" w:id="0">
    <w:p w14:paraId="3064B8A9" w14:textId="77777777" w:rsidR="006B40AF" w:rsidRDefault="006B4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FEC5" w14:textId="77777777" w:rsidR="00447AB1" w:rsidRPr="00922791" w:rsidRDefault="00447AB1"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Pr>
        <w:rFonts w:cs="Arial"/>
        <w:noProof/>
        <w:szCs w:val="18"/>
      </w:rPr>
      <w:t>4</w:t>
    </w:r>
    <w:r w:rsidRPr="00922791">
      <w:rPr>
        <w:rFonts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C47D9" w14:textId="2D342198" w:rsidR="00447AB1" w:rsidRPr="009617A6" w:rsidRDefault="00447AB1" w:rsidP="00056DC1">
    <w:pPr>
      <w:pStyle w:val="Footer"/>
      <w:ind w:right="-367"/>
      <w:jc w:val="center"/>
      <w:rPr>
        <w:rFonts w:cs="Arial"/>
        <w:szCs w:val="18"/>
      </w:rPr>
    </w:pPr>
    <w:r w:rsidRPr="009617A6">
      <w:rPr>
        <w:rFonts w:cs="Arial"/>
        <w:szCs w:val="18"/>
      </w:rPr>
      <w:fldChar w:fldCharType="begin"/>
    </w:r>
    <w:r w:rsidRPr="009617A6">
      <w:rPr>
        <w:rFonts w:cs="Arial"/>
        <w:szCs w:val="18"/>
      </w:rPr>
      <w:instrText xml:space="preserve"> PAGE   \* MERGEFORMAT </w:instrText>
    </w:r>
    <w:r w:rsidRPr="009617A6">
      <w:rPr>
        <w:rFonts w:cs="Arial"/>
        <w:szCs w:val="18"/>
      </w:rPr>
      <w:fldChar w:fldCharType="separate"/>
    </w:r>
    <w:r w:rsidR="0052408C">
      <w:rPr>
        <w:rFonts w:cs="Arial"/>
        <w:noProof/>
        <w:szCs w:val="18"/>
      </w:rPr>
      <w:t>3</w:t>
    </w:r>
    <w:r w:rsidRPr="009617A6">
      <w:rPr>
        <w:rFonts w:cs="Arial"/>
        <w:noProof/>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EDB47" w14:textId="77777777" w:rsidR="00447AB1" w:rsidRPr="00CD7355" w:rsidRDefault="00447AB1"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81E28" w14:textId="72175E0C" w:rsidR="00447AB1" w:rsidRPr="009617A6" w:rsidRDefault="00447AB1" w:rsidP="00015E07">
    <w:pPr>
      <w:pStyle w:val="Footer"/>
      <w:tabs>
        <w:tab w:val="clear" w:pos="8640"/>
        <w:tab w:val="right" w:pos="9083"/>
      </w:tabs>
      <w:jc w:val="center"/>
      <w:rPr>
        <w:rFonts w:cs="Arial"/>
        <w:szCs w:val="18"/>
      </w:rPr>
    </w:pPr>
    <w:r w:rsidRPr="009617A6">
      <w:rPr>
        <w:rFonts w:cs="Arial"/>
        <w:noProof/>
        <w:szCs w:val="18"/>
      </w:rPr>
      <w:tab/>
    </w:r>
    <w:r w:rsidRPr="009617A6">
      <w:rPr>
        <w:rFonts w:cs="Arial"/>
        <w:szCs w:val="18"/>
      </w:rPr>
      <w:fldChar w:fldCharType="begin"/>
    </w:r>
    <w:r w:rsidRPr="009617A6">
      <w:rPr>
        <w:rFonts w:cs="Arial"/>
        <w:szCs w:val="18"/>
      </w:rPr>
      <w:instrText xml:space="preserve"> PAGE   \* MERGEFORMAT </w:instrText>
    </w:r>
    <w:r w:rsidRPr="009617A6">
      <w:rPr>
        <w:rFonts w:cs="Arial"/>
        <w:szCs w:val="18"/>
      </w:rPr>
      <w:fldChar w:fldCharType="separate"/>
    </w:r>
    <w:r w:rsidR="0052408C">
      <w:rPr>
        <w:rFonts w:cs="Arial"/>
        <w:noProof/>
        <w:szCs w:val="18"/>
      </w:rPr>
      <w:t>4</w:t>
    </w:r>
    <w:r w:rsidRPr="009617A6">
      <w:rPr>
        <w:rFonts w:cs="Arial"/>
        <w:noProof/>
        <w:szCs w:val="18"/>
      </w:rPr>
      <w:fldChar w:fldCharType="end"/>
    </w:r>
    <w:r w:rsidRPr="009617A6">
      <w:rPr>
        <w:rFonts w:cs="Arial"/>
        <w:noProof/>
        <w:szCs w:val="18"/>
      </w:rPr>
      <w:tab/>
    </w:r>
  </w:p>
  <w:p w14:paraId="4849B7C7" w14:textId="77777777" w:rsidR="00447AB1" w:rsidRPr="00D605A4" w:rsidRDefault="00447AB1"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10EF6" w14:textId="77777777" w:rsidR="006B40AF" w:rsidRDefault="006B40AF">
      <w:r>
        <w:separator/>
      </w:r>
    </w:p>
  </w:footnote>
  <w:footnote w:type="continuationSeparator" w:id="0">
    <w:p w14:paraId="3A6BD43D" w14:textId="77777777" w:rsidR="006B40AF" w:rsidRDefault="006B40AF">
      <w:r>
        <w:continuationSeparator/>
      </w:r>
    </w:p>
  </w:footnote>
  <w:footnote w:id="1">
    <w:p w14:paraId="08F75C80" w14:textId="5B21A067" w:rsidR="00447AB1" w:rsidRDefault="00447AB1" w:rsidP="004D74D1">
      <w:pPr>
        <w:pStyle w:val="FootnoteText"/>
      </w:pPr>
      <w:r w:rsidRPr="009B226F">
        <w:rPr>
          <w:rStyle w:val="FootnoteReference"/>
          <w:sz w:val="16"/>
          <w:szCs w:val="16"/>
          <w:vertAlign w:val="superscript"/>
        </w:rPr>
        <w:footnoteRef/>
      </w:r>
      <w:r>
        <w:rPr>
          <w:sz w:val="16"/>
          <w:szCs w:val="16"/>
        </w:rPr>
        <w:t xml:space="preserve"> </w:t>
      </w:r>
      <w:r w:rsidRPr="009B226F">
        <w:rPr>
          <w:sz w:val="16"/>
          <w:szCs w:val="16"/>
        </w:rPr>
        <w:t xml:space="preserve">WWF Living Planet Report 2016 </w:t>
      </w:r>
    </w:p>
  </w:footnote>
  <w:footnote w:id="2">
    <w:p w14:paraId="1333AE2B" w14:textId="110F0223" w:rsidR="00447AB1" w:rsidRPr="00082A92" w:rsidRDefault="00447AB1">
      <w:pPr>
        <w:pStyle w:val="FootnoteText"/>
        <w:rPr>
          <w:sz w:val="16"/>
          <w:szCs w:val="16"/>
        </w:rPr>
      </w:pPr>
      <w:r w:rsidRPr="00082A92">
        <w:rPr>
          <w:rStyle w:val="FootnoteReference"/>
          <w:sz w:val="16"/>
          <w:szCs w:val="16"/>
          <w:vertAlign w:val="superscript"/>
        </w:rPr>
        <w:footnoteRef/>
      </w:r>
      <w:r w:rsidRPr="00082A92">
        <w:rPr>
          <w:sz w:val="16"/>
          <w:szCs w:val="16"/>
        </w:rPr>
        <w:t xml:space="preserve"> European Commission. </w:t>
      </w:r>
      <w:r w:rsidRPr="00082A92">
        <w:rPr>
          <w:i/>
          <w:sz w:val="16"/>
          <w:szCs w:val="16"/>
        </w:rPr>
        <w:t>Larger Than Elephants. Inputs for an EU strategic approach to wildlife conservation in Africa</w:t>
      </w:r>
      <w:r w:rsidRPr="00082A92">
        <w:rPr>
          <w:sz w:val="16"/>
          <w:szCs w:val="16"/>
        </w:rPr>
        <w:t>. European Union, 2015</w:t>
      </w:r>
    </w:p>
  </w:footnote>
  <w:footnote w:id="3">
    <w:p w14:paraId="75D38A58" w14:textId="2640EB33" w:rsidR="00447AB1" w:rsidRPr="003232AB" w:rsidRDefault="00447AB1">
      <w:pPr>
        <w:pStyle w:val="FootnoteText"/>
        <w:rPr>
          <w:sz w:val="16"/>
          <w:szCs w:val="16"/>
        </w:rPr>
      </w:pPr>
      <w:r w:rsidRPr="003232AB">
        <w:rPr>
          <w:rStyle w:val="FootnoteReference"/>
          <w:sz w:val="16"/>
          <w:szCs w:val="16"/>
          <w:vertAlign w:val="superscript"/>
        </w:rPr>
        <w:footnoteRef/>
      </w:r>
      <w:r w:rsidRPr="003232AB">
        <w:rPr>
          <w:sz w:val="16"/>
          <w:szCs w:val="16"/>
        </w:rPr>
        <w:t xml:space="preserve"> Ibid.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25F75" w14:textId="77777777" w:rsidR="00447AB1" w:rsidRPr="00922791" w:rsidRDefault="00447AB1" w:rsidP="00922791">
    <w:pPr>
      <w:pStyle w:val="Heading1"/>
      <w:keepNext w:val="0"/>
      <w:pBdr>
        <w:bottom w:val="single" w:sz="4" w:space="1" w:color="auto"/>
      </w:pBdr>
      <w:tabs>
        <w:tab w:val="clear" w:pos="-720"/>
      </w:tabs>
      <w:ind w:left="261" w:right="-277" w:hanging="261"/>
      <w:rPr>
        <w:rFonts w:cs="Arial"/>
        <w:b w:val="0"/>
        <w:i/>
        <w:sz w:val="18"/>
        <w:szCs w:val="18"/>
        <w:lang w:val="en-US"/>
      </w:rPr>
    </w:pPr>
    <w:r w:rsidRPr="00922791">
      <w:rPr>
        <w:rFonts w:cs="Arial"/>
        <w:b w:val="0"/>
        <w:i/>
        <w:sz w:val="18"/>
        <w:szCs w:val="18"/>
        <w:lang w:val="en-US"/>
      </w:rPr>
      <w:t>UNEP/CMS/COP12</w:t>
    </w:r>
    <w:r>
      <w:rPr>
        <w:rFonts w:cs="Arial"/>
        <w:b w:val="0"/>
        <w:i/>
        <w:sz w:val="18"/>
        <w:szCs w:val="18"/>
        <w:lang w:val="en-US"/>
      </w:rPr>
      <w:t>/Doc.x.x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C1274" w14:textId="1A5A4F23" w:rsidR="00447AB1" w:rsidRPr="00497E66" w:rsidRDefault="00447AB1" w:rsidP="009617A6">
    <w:pPr>
      <w:pStyle w:val="Heading1"/>
      <w:keepNext w:val="0"/>
      <w:pBdr>
        <w:bottom w:val="single" w:sz="4" w:space="1" w:color="auto"/>
      </w:pBdr>
      <w:tabs>
        <w:tab w:val="clear" w:pos="-720"/>
      </w:tabs>
      <w:ind w:left="261" w:right="11" w:hanging="261"/>
      <w:jc w:val="right"/>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24.4.12</w:t>
    </w:r>
  </w:p>
  <w:p w14:paraId="210CD5DE" w14:textId="77777777" w:rsidR="00447AB1" w:rsidRPr="00497E66" w:rsidRDefault="00447AB1" w:rsidP="00A27BE3">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46E82" w14:textId="77777777" w:rsidR="00447AB1" w:rsidRDefault="00447AB1" w:rsidP="00894D19">
    <w:pPr>
      <w:pStyle w:val="Header"/>
    </w:pPr>
    <w:r>
      <w:rPr>
        <w:noProof/>
        <w:lang w:val="en-US"/>
      </w:rPr>
      <w:drawing>
        <wp:anchor distT="0" distB="0" distL="114300" distR="114300" simplePos="0" relativeHeight="251657216" behindDoc="1" locked="0" layoutInCell="1" allowOverlap="1" wp14:anchorId="1669999D" wp14:editId="6C36EAC8">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11D9F731" wp14:editId="71ECC214">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01F32" w14:textId="77777777" w:rsidR="00447AB1" w:rsidRDefault="00447A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C10FA" w14:textId="0A2E13C2" w:rsidR="00447AB1" w:rsidRPr="00D605A4" w:rsidRDefault="00447AB1" w:rsidP="009617A6">
    <w:pPr>
      <w:pStyle w:val="Header"/>
      <w:pBdr>
        <w:bottom w:val="single" w:sz="4" w:space="1" w:color="auto"/>
      </w:pBdr>
      <w:rPr>
        <w:rFonts w:cs="Arial"/>
        <w:i/>
        <w:szCs w:val="18"/>
        <w:lang w:val="de-DE"/>
      </w:rPr>
    </w:pPr>
    <w:r w:rsidRPr="00D605A4">
      <w:rPr>
        <w:rFonts w:cs="Arial"/>
        <w:i/>
        <w:szCs w:val="18"/>
        <w:lang w:val="de-DE"/>
      </w:rPr>
      <w:t>UNEP/CMS/COP12/Doc.</w:t>
    </w:r>
    <w:r>
      <w:rPr>
        <w:rFonts w:cs="Arial"/>
        <w:i/>
        <w:szCs w:val="18"/>
        <w:lang w:val="de-DE"/>
      </w:rPr>
      <w:t>24.4.12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55783" w14:textId="1F862677" w:rsidR="009617A6" w:rsidRPr="00D605A4" w:rsidRDefault="009617A6" w:rsidP="009617A6">
    <w:pPr>
      <w:pStyle w:val="Header"/>
      <w:pBdr>
        <w:bottom w:val="single" w:sz="4" w:space="1" w:color="auto"/>
      </w:pBdr>
      <w:rPr>
        <w:rFonts w:cs="Arial"/>
        <w:i/>
        <w:szCs w:val="18"/>
        <w:lang w:val="de-DE"/>
      </w:rPr>
    </w:pPr>
    <w:r w:rsidRPr="00D605A4">
      <w:rPr>
        <w:rFonts w:cs="Arial"/>
        <w:i/>
        <w:szCs w:val="18"/>
        <w:lang w:val="de-DE"/>
      </w:rPr>
      <w:t>UNEP/CMS/COP12/Doc.</w:t>
    </w:r>
    <w:r>
      <w:rPr>
        <w:rFonts w:cs="Arial"/>
        <w:i/>
        <w:szCs w:val="18"/>
        <w:lang w:val="de-DE"/>
      </w:rPr>
      <w:t>24.4.12/Annex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D42E16"/>
    <w:multiLevelType w:val="hybridMultilevel"/>
    <w:tmpl w:val="4FC0CB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3187A27"/>
    <w:multiLevelType w:val="hybridMultilevel"/>
    <w:tmpl w:val="10C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5E07"/>
    <w:rsid w:val="00020BD6"/>
    <w:rsid w:val="000254DF"/>
    <w:rsid w:val="00031A88"/>
    <w:rsid w:val="0003449E"/>
    <w:rsid w:val="00036C53"/>
    <w:rsid w:val="000518C2"/>
    <w:rsid w:val="00056DC1"/>
    <w:rsid w:val="00060156"/>
    <w:rsid w:val="00070BBC"/>
    <w:rsid w:val="00073C92"/>
    <w:rsid w:val="00080F03"/>
    <w:rsid w:val="00082A92"/>
    <w:rsid w:val="000900E1"/>
    <w:rsid w:val="0009076A"/>
    <w:rsid w:val="000B4454"/>
    <w:rsid w:val="000B6220"/>
    <w:rsid w:val="000C21B1"/>
    <w:rsid w:val="000C3C87"/>
    <w:rsid w:val="000C7460"/>
    <w:rsid w:val="000E01C1"/>
    <w:rsid w:val="000E09AD"/>
    <w:rsid w:val="000F0B93"/>
    <w:rsid w:val="000F1156"/>
    <w:rsid w:val="000F52BA"/>
    <w:rsid w:val="001111A9"/>
    <w:rsid w:val="001151A3"/>
    <w:rsid w:val="00116E60"/>
    <w:rsid w:val="001245DF"/>
    <w:rsid w:val="00130BFD"/>
    <w:rsid w:val="001419C7"/>
    <w:rsid w:val="00150AC4"/>
    <w:rsid w:val="00162D88"/>
    <w:rsid w:val="00166ABA"/>
    <w:rsid w:val="001743FD"/>
    <w:rsid w:val="001764E6"/>
    <w:rsid w:val="001808F1"/>
    <w:rsid w:val="001A33B6"/>
    <w:rsid w:val="001A4768"/>
    <w:rsid w:val="001B6CCC"/>
    <w:rsid w:val="001C069F"/>
    <w:rsid w:val="001C6038"/>
    <w:rsid w:val="001F60A1"/>
    <w:rsid w:val="00200759"/>
    <w:rsid w:val="00200A67"/>
    <w:rsid w:val="00201F88"/>
    <w:rsid w:val="00202332"/>
    <w:rsid w:val="002210F4"/>
    <w:rsid w:val="00224DAD"/>
    <w:rsid w:val="00226BBA"/>
    <w:rsid w:val="00253ABF"/>
    <w:rsid w:val="00254721"/>
    <w:rsid w:val="00257709"/>
    <w:rsid w:val="00263159"/>
    <w:rsid w:val="00270D2A"/>
    <w:rsid w:val="002779F7"/>
    <w:rsid w:val="00287939"/>
    <w:rsid w:val="00294692"/>
    <w:rsid w:val="002A0A1C"/>
    <w:rsid w:val="002A380C"/>
    <w:rsid w:val="002B2A36"/>
    <w:rsid w:val="002C187A"/>
    <w:rsid w:val="002C20F1"/>
    <w:rsid w:val="002D2863"/>
    <w:rsid w:val="002D5EC0"/>
    <w:rsid w:val="002D5EC4"/>
    <w:rsid w:val="002E3DEA"/>
    <w:rsid w:val="002E7CC2"/>
    <w:rsid w:val="002F50FF"/>
    <w:rsid w:val="002F6A9E"/>
    <w:rsid w:val="002F6F9B"/>
    <w:rsid w:val="00302560"/>
    <w:rsid w:val="00314203"/>
    <w:rsid w:val="00317EDB"/>
    <w:rsid w:val="003232AB"/>
    <w:rsid w:val="003331C6"/>
    <w:rsid w:val="00345044"/>
    <w:rsid w:val="00345904"/>
    <w:rsid w:val="00351095"/>
    <w:rsid w:val="00354A9C"/>
    <w:rsid w:val="00360A7C"/>
    <w:rsid w:val="00364973"/>
    <w:rsid w:val="00364C8C"/>
    <w:rsid w:val="00372347"/>
    <w:rsid w:val="003779D4"/>
    <w:rsid w:val="00382398"/>
    <w:rsid w:val="003909E4"/>
    <w:rsid w:val="003A3E30"/>
    <w:rsid w:val="003A70FE"/>
    <w:rsid w:val="003B0C35"/>
    <w:rsid w:val="003B219E"/>
    <w:rsid w:val="003E21B3"/>
    <w:rsid w:val="003E4BA0"/>
    <w:rsid w:val="00411E65"/>
    <w:rsid w:val="00412DE9"/>
    <w:rsid w:val="00420040"/>
    <w:rsid w:val="00423388"/>
    <w:rsid w:val="00426D73"/>
    <w:rsid w:val="00426FAA"/>
    <w:rsid w:val="004470ED"/>
    <w:rsid w:val="00447AB1"/>
    <w:rsid w:val="00452D96"/>
    <w:rsid w:val="00454913"/>
    <w:rsid w:val="00457441"/>
    <w:rsid w:val="004579F6"/>
    <w:rsid w:val="00457E67"/>
    <w:rsid w:val="004656D0"/>
    <w:rsid w:val="00465B53"/>
    <w:rsid w:val="00472220"/>
    <w:rsid w:val="00473ABD"/>
    <w:rsid w:val="00482DCA"/>
    <w:rsid w:val="004870E5"/>
    <w:rsid w:val="00497E66"/>
    <w:rsid w:val="004B6CFD"/>
    <w:rsid w:val="004C204D"/>
    <w:rsid w:val="004D0436"/>
    <w:rsid w:val="004D0936"/>
    <w:rsid w:val="004D74D1"/>
    <w:rsid w:val="004E7ED7"/>
    <w:rsid w:val="004F243D"/>
    <w:rsid w:val="004F3D8D"/>
    <w:rsid w:val="005076F1"/>
    <w:rsid w:val="00512B91"/>
    <w:rsid w:val="005158EB"/>
    <w:rsid w:val="0052082F"/>
    <w:rsid w:val="0052408C"/>
    <w:rsid w:val="00541E86"/>
    <w:rsid w:val="00542FCC"/>
    <w:rsid w:val="0055762E"/>
    <w:rsid w:val="005627E9"/>
    <w:rsid w:val="00565445"/>
    <w:rsid w:val="0057386C"/>
    <w:rsid w:val="00575334"/>
    <w:rsid w:val="00593736"/>
    <w:rsid w:val="005A3181"/>
    <w:rsid w:val="005A3ADC"/>
    <w:rsid w:val="005B0F06"/>
    <w:rsid w:val="005B457B"/>
    <w:rsid w:val="005B6141"/>
    <w:rsid w:val="005C2B7D"/>
    <w:rsid w:val="005C3F15"/>
    <w:rsid w:val="005E5021"/>
    <w:rsid w:val="005F3989"/>
    <w:rsid w:val="005F4303"/>
    <w:rsid w:val="005F6201"/>
    <w:rsid w:val="005F7B20"/>
    <w:rsid w:val="00601B52"/>
    <w:rsid w:val="0060280B"/>
    <w:rsid w:val="00604422"/>
    <w:rsid w:val="00620809"/>
    <w:rsid w:val="00623F5D"/>
    <w:rsid w:val="0062580D"/>
    <w:rsid w:val="006323A0"/>
    <w:rsid w:val="00646593"/>
    <w:rsid w:val="00651341"/>
    <w:rsid w:val="00666F8B"/>
    <w:rsid w:val="006815B2"/>
    <w:rsid w:val="006826E0"/>
    <w:rsid w:val="00682B31"/>
    <w:rsid w:val="006864E1"/>
    <w:rsid w:val="00691001"/>
    <w:rsid w:val="006A39F5"/>
    <w:rsid w:val="006B1037"/>
    <w:rsid w:val="006B40AF"/>
    <w:rsid w:val="006D7505"/>
    <w:rsid w:val="006E56AD"/>
    <w:rsid w:val="006E5763"/>
    <w:rsid w:val="007101BB"/>
    <w:rsid w:val="00713308"/>
    <w:rsid w:val="00725A91"/>
    <w:rsid w:val="00727E01"/>
    <w:rsid w:val="00735FA9"/>
    <w:rsid w:val="0073705C"/>
    <w:rsid w:val="00745222"/>
    <w:rsid w:val="00752E19"/>
    <w:rsid w:val="00757614"/>
    <w:rsid w:val="007728B4"/>
    <w:rsid w:val="0077622E"/>
    <w:rsid w:val="00777FE4"/>
    <w:rsid w:val="007813A1"/>
    <w:rsid w:val="0079075D"/>
    <w:rsid w:val="007910DD"/>
    <w:rsid w:val="00794C7C"/>
    <w:rsid w:val="00796413"/>
    <w:rsid w:val="007B3215"/>
    <w:rsid w:val="007C1468"/>
    <w:rsid w:val="007C2921"/>
    <w:rsid w:val="007C41D7"/>
    <w:rsid w:val="007F16FB"/>
    <w:rsid w:val="007F1BBA"/>
    <w:rsid w:val="00810657"/>
    <w:rsid w:val="0081600F"/>
    <w:rsid w:val="00822788"/>
    <w:rsid w:val="008248D5"/>
    <w:rsid w:val="0082722D"/>
    <w:rsid w:val="008274F7"/>
    <w:rsid w:val="00827623"/>
    <w:rsid w:val="008441F9"/>
    <w:rsid w:val="00846A99"/>
    <w:rsid w:val="00851951"/>
    <w:rsid w:val="00853CF9"/>
    <w:rsid w:val="00860311"/>
    <w:rsid w:val="008641D1"/>
    <w:rsid w:val="00870FB9"/>
    <w:rsid w:val="00872F67"/>
    <w:rsid w:val="00874C4D"/>
    <w:rsid w:val="008879E9"/>
    <w:rsid w:val="00893346"/>
    <w:rsid w:val="00894D19"/>
    <w:rsid w:val="008A0D8D"/>
    <w:rsid w:val="008B1A69"/>
    <w:rsid w:val="008B3FC2"/>
    <w:rsid w:val="008B6F79"/>
    <w:rsid w:val="008C1A39"/>
    <w:rsid w:val="008D1B43"/>
    <w:rsid w:val="008E62D0"/>
    <w:rsid w:val="008E7DFB"/>
    <w:rsid w:val="008F7327"/>
    <w:rsid w:val="0090059C"/>
    <w:rsid w:val="009026B7"/>
    <w:rsid w:val="009076C8"/>
    <w:rsid w:val="00915BBE"/>
    <w:rsid w:val="00921D62"/>
    <w:rsid w:val="00922791"/>
    <w:rsid w:val="00927CD6"/>
    <w:rsid w:val="00933572"/>
    <w:rsid w:val="009363C7"/>
    <w:rsid w:val="00942271"/>
    <w:rsid w:val="009617A6"/>
    <w:rsid w:val="00964674"/>
    <w:rsid w:val="00972D36"/>
    <w:rsid w:val="00973BFB"/>
    <w:rsid w:val="00980406"/>
    <w:rsid w:val="00994621"/>
    <w:rsid w:val="00996D85"/>
    <w:rsid w:val="009A2C8F"/>
    <w:rsid w:val="009A7B65"/>
    <w:rsid w:val="009D2AD6"/>
    <w:rsid w:val="009D3A07"/>
    <w:rsid w:val="009D4711"/>
    <w:rsid w:val="009D5DA6"/>
    <w:rsid w:val="009E3A84"/>
    <w:rsid w:val="009E72D7"/>
    <w:rsid w:val="009E7ACC"/>
    <w:rsid w:val="009F450E"/>
    <w:rsid w:val="009F54DA"/>
    <w:rsid w:val="00A06984"/>
    <w:rsid w:val="00A1324E"/>
    <w:rsid w:val="00A27BE3"/>
    <w:rsid w:val="00A339B9"/>
    <w:rsid w:val="00A40EDF"/>
    <w:rsid w:val="00A41836"/>
    <w:rsid w:val="00A568DF"/>
    <w:rsid w:val="00A73A79"/>
    <w:rsid w:val="00A77068"/>
    <w:rsid w:val="00A93C52"/>
    <w:rsid w:val="00AA306E"/>
    <w:rsid w:val="00AA7368"/>
    <w:rsid w:val="00AB4FF9"/>
    <w:rsid w:val="00AE7B21"/>
    <w:rsid w:val="00AF1980"/>
    <w:rsid w:val="00AF2021"/>
    <w:rsid w:val="00AF6050"/>
    <w:rsid w:val="00B016F8"/>
    <w:rsid w:val="00B025B7"/>
    <w:rsid w:val="00B3409B"/>
    <w:rsid w:val="00B471BD"/>
    <w:rsid w:val="00B50C2D"/>
    <w:rsid w:val="00B56A5F"/>
    <w:rsid w:val="00B64904"/>
    <w:rsid w:val="00BA60CE"/>
    <w:rsid w:val="00BB4F0D"/>
    <w:rsid w:val="00BB5771"/>
    <w:rsid w:val="00BB7AB8"/>
    <w:rsid w:val="00BC5607"/>
    <w:rsid w:val="00BE0D1D"/>
    <w:rsid w:val="00BE1818"/>
    <w:rsid w:val="00BE2448"/>
    <w:rsid w:val="00BE24D4"/>
    <w:rsid w:val="00BF2BE7"/>
    <w:rsid w:val="00BF4512"/>
    <w:rsid w:val="00C05102"/>
    <w:rsid w:val="00C13FA6"/>
    <w:rsid w:val="00C169ED"/>
    <w:rsid w:val="00C36FF9"/>
    <w:rsid w:val="00C37506"/>
    <w:rsid w:val="00C41E9D"/>
    <w:rsid w:val="00C44645"/>
    <w:rsid w:val="00C5484D"/>
    <w:rsid w:val="00C618F2"/>
    <w:rsid w:val="00C73207"/>
    <w:rsid w:val="00C7602A"/>
    <w:rsid w:val="00C82160"/>
    <w:rsid w:val="00C82C02"/>
    <w:rsid w:val="00C82ED9"/>
    <w:rsid w:val="00C87D68"/>
    <w:rsid w:val="00C9281B"/>
    <w:rsid w:val="00CA367A"/>
    <w:rsid w:val="00CB1D26"/>
    <w:rsid w:val="00CC404F"/>
    <w:rsid w:val="00CC4C21"/>
    <w:rsid w:val="00CC57AD"/>
    <w:rsid w:val="00CD0FE9"/>
    <w:rsid w:val="00CD480B"/>
    <w:rsid w:val="00CD7355"/>
    <w:rsid w:val="00CE5B83"/>
    <w:rsid w:val="00CF6EDD"/>
    <w:rsid w:val="00D01FD8"/>
    <w:rsid w:val="00D03D59"/>
    <w:rsid w:val="00D05922"/>
    <w:rsid w:val="00D0746D"/>
    <w:rsid w:val="00D107A3"/>
    <w:rsid w:val="00D147EA"/>
    <w:rsid w:val="00D21383"/>
    <w:rsid w:val="00D31F76"/>
    <w:rsid w:val="00D417ED"/>
    <w:rsid w:val="00D42AE1"/>
    <w:rsid w:val="00D46C91"/>
    <w:rsid w:val="00D605A4"/>
    <w:rsid w:val="00D61536"/>
    <w:rsid w:val="00D61B13"/>
    <w:rsid w:val="00D71A55"/>
    <w:rsid w:val="00D7746A"/>
    <w:rsid w:val="00D838FE"/>
    <w:rsid w:val="00D8406F"/>
    <w:rsid w:val="00D859C7"/>
    <w:rsid w:val="00D9021F"/>
    <w:rsid w:val="00D9185A"/>
    <w:rsid w:val="00DA00BD"/>
    <w:rsid w:val="00DA1080"/>
    <w:rsid w:val="00DA12C2"/>
    <w:rsid w:val="00DA6880"/>
    <w:rsid w:val="00DB30A6"/>
    <w:rsid w:val="00DD3B96"/>
    <w:rsid w:val="00DD6A9E"/>
    <w:rsid w:val="00DE49BA"/>
    <w:rsid w:val="00E23367"/>
    <w:rsid w:val="00E31B92"/>
    <w:rsid w:val="00E475D4"/>
    <w:rsid w:val="00E52C99"/>
    <w:rsid w:val="00E74D1C"/>
    <w:rsid w:val="00E8776E"/>
    <w:rsid w:val="00E9237A"/>
    <w:rsid w:val="00EA0B88"/>
    <w:rsid w:val="00EA6901"/>
    <w:rsid w:val="00EB2285"/>
    <w:rsid w:val="00EC077A"/>
    <w:rsid w:val="00EC4294"/>
    <w:rsid w:val="00EC681E"/>
    <w:rsid w:val="00ED02D3"/>
    <w:rsid w:val="00ED477B"/>
    <w:rsid w:val="00ED5E31"/>
    <w:rsid w:val="00EE4815"/>
    <w:rsid w:val="00EE64C1"/>
    <w:rsid w:val="00EF193F"/>
    <w:rsid w:val="00EF5E47"/>
    <w:rsid w:val="00F05AA0"/>
    <w:rsid w:val="00F061CB"/>
    <w:rsid w:val="00F11793"/>
    <w:rsid w:val="00F24050"/>
    <w:rsid w:val="00F248AA"/>
    <w:rsid w:val="00F31539"/>
    <w:rsid w:val="00F444EC"/>
    <w:rsid w:val="00F45FE3"/>
    <w:rsid w:val="00F463E0"/>
    <w:rsid w:val="00F54D03"/>
    <w:rsid w:val="00F6347A"/>
    <w:rsid w:val="00F7503A"/>
    <w:rsid w:val="00F81FEF"/>
    <w:rsid w:val="00F97623"/>
    <w:rsid w:val="00F978B9"/>
    <w:rsid w:val="00FA61AF"/>
    <w:rsid w:val="00FB2C17"/>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EA78C6A"/>
  <w15:chartTrackingRefBased/>
  <w15:docId w15:val="{E9CD054B-79B1-4EAA-9E5B-842F62FF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1706">
      <w:bodyDiv w:val="1"/>
      <w:marLeft w:val="0"/>
      <w:marRight w:val="0"/>
      <w:marTop w:val="0"/>
      <w:marBottom w:val="0"/>
      <w:divBdr>
        <w:top w:val="none" w:sz="0" w:space="0" w:color="auto"/>
        <w:left w:val="none" w:sz="0" w:space="0" w:color="auto"/>
        <w:bottom w:val="none" w:sz="0" w:space="0" w:color="auto"/>
        <w:right w:val="none" w:sz="0" w:space="0" w:color="auto"/>
      </w:divBdr>
      <w:divsChild>
        <w:div w:id="1428229128">
          <w:marLeft w:val="0"/>
          <w:marRight w:val="0"/>
          <w:marTop w:val="0"/>
          <w:marBottom w:val="0"/>
          <w:divBdr>
            <w:top w:val="none" w:sz="0" w:space="0" w:color="auto"/>
            <w:left w:val="none" w:sz="0" w:space="0" w:color="auto"/>
            <w:bottom w:val="none" w:sz="0" w:space="0" w:color="auto"/>
            <w:right w:val="none" w:sz="0" w:space="0" w:color="auto"/>
          </w:divBdr>
        </w:div>
        <w:div w:id="235212713">
          <w:marLeft w:val="0"/>
          <w:marRight w:val="0"/>
          <w:marTop w:val="0"/>
          <w:marBottom w:val="0"/>
          <w:divBdr>
            <w:top w:val="none" w:sz="0" w:space="0" w:color="auto"/>
            <w:left w:val="none" w:sz="0" w:space="0" w:color="auto"/>
            <w:bottom w:val="none" w:sz="0" w:space="0" w:color="auto"/>
            <w:right w:val="none" w:sz="0" w:space="0" w:color="auto"/>
          </w:divBdr>
        </w:div>
        <w:div w:id="1503542493">
          <w:marLeft w:val="0"/>
          <w:marRight w:val="0"/>
          <w:marTop w:val="0"/>
          <w:marBottom w:val="0"/>
          <w:divBdr>
            <w:top w:val="none" w:sz="0" w:space="0" w:color="auto"/>
            <w:left w:val="none" w:sz="0" w:space="0" w:color="auto"/>
            <w:bottom w:val="none" w:sz="0" w:space="0" w:color="auto"/>
            <w:right w:val="none" w:sz="0" w:space="0" w:color="auto"/>
          </w:divBdr>
        </w:div>
      </w:divsChild>
    </w:div>
    <w:div w:id="303588119">
      <w:bodyDiv w:val="1"/>
      <w:marLeft w:val="0"/>
      <w:marRight w:val="0"/>
      <w:marTop w:val="0"/>
      <w:marBottom w:val="0"/>
      <w:divBdr>
        <w:top w:val="none" w:sz="0" w:space="0" w:color="auto"/>
        <w:left w:val="none" w:sz="0" w:space="0" w:color="auto"/>
        <w:bottom w:val="none" w:sz="0" w:space="0" w:color="auto"/>
        <w:right w:val="none" w:sz="0" w:space="0" w:color="auto"/>
      </w:divBdr>
    </w:div>
    <w:div w:id="654383085">
      <w:bodyDiv w:val="1"/>
      <w:marLeft w:val="0"/>
      <w:marRight w:val="0"/>
      <w:marTop w:val="0"/>
      <w:marBottom w:val="0"/>
      <w:divBdr>
        <w:top w:val="none" w:sz="0" w:space="0" w:color="auto"/>
        <w:left w:val="none" w:sz="0" w:space="0" w:color="auto"/>
        <w:bottom w:val="none" w:sz="0" w:space="0" w:color="auto"/>
        <w:right w:val="none" w:sz="0" w:space="0" w:color="auto"/>
      </w:divBdr>
      <w:divsChild>
        <w:div w:id="1927152468">
          <w:marLeft w:val="0"/>
          <w:marRight w:val="0"/>
          <w:marTop w:val="0"/>
          <w:marBottom w:val="0"/>
          <w:divBdr>
            <w:top w:val="none" w:sz="0" w:space="0" w:color="auto"/>
            <w:left w:val="none" w:sz="0" w:space="0" w:color="auto"/>
            <w:bottom w:val="none" w:sz="0" w:space="0" w:color="auto"/>
            <w:right w:val="none" w:sz="0" w:space="0" w:color="auto"/>
          </w:divBdr>
        </w:div>
        <w:div w:id="966400705">
          <w:marLeft w:val="0"/>
          <w:marRight w:val="0"/>
          <w:marTop w:val="0"/>
          <w:marBottom w:val="0"/>
          <w:divBdr>
            <w:top w:val="none" w:sz="0" w:space="0" w:color="auto"/>
            <w:left w:val="none" w:sz="0" w:space="0" w:color="auto"/>
            <w:bottom w:val="none" w:sz="0" w:space="0" w:color="auto"/>
            <w:right w:val="none" w:sz="0" w:space="0" w:color="auto"/>
          </w:divBdr>
        </w:div>
        <w:div w:id="1831555186">
          <w:marLeft w:val="0"/>
          <w:marRight w:val="0"/>
          <w:marTop w:val="0"/>
          <w:marBottom w:val="0"/>
          <w:divBdr>
            <w:top w:val="none" w:sz="0" w:space="0" w:color="auto"/>
            <w:left w:val="none" w:sz="0" w:space="0" w:color="auto"/>
            <w:bottom w:val="none" w:sz="0" w:space="0" w:color="auto"/>
            <w:right w:val="none" w:sz="0" w:space="0" w:color="auto"/>
          </w:divBdr>
        </w:div>
        <w:div w:id="981811464">
          <w:marLeft w:val="0"/>
          <w:marRight w:val="0"/>
          <w:marTop w:val="0"/>
          <w:marBottom w:val="0"/>
          <w:divBdr>
            <w:top w:val="none" w:sz="0" w:space="0" w:color="auto"/>
            <w:left w:val="none" w:sz="0" w:space="0" w:color="auto"/>
            <w:bottom w:val="none" w:sz="0" w:space="0" w:color="auto"/>
            <w:right w:val="none" w:sz="0" w:space="0" w:color="auto"/>
          </w:divBdr>
        </w:div>
        <w:div w:id="1880121171">
          <w:marLeft w:val="0"/>
          <w:marRight w:val="0"/>
          <w:marTop w:val="0"/>
          <w:marBottom w:val="0"/>
          <w:divBdr>
            <w:top w:val="none" w:sz="0" w:space="0" w:color="auto"/>
            <w:left w:val="none" w:sz="0" w:space="0" w:color="auto"/>
            <w:bottom w:val="none" w:sz="0" w:space="0" w:color="auto"/>
            <w:right w:val="none" w:sz="0" w:space="0" w:color="auto"/>
          </w:divBdr>
        </w:div>
      </w:divsChild>
    </w:div>
    <w:div w:id="921178924">
      <w:bodyDiv w:val="1"/>
      <w:marLeft w:val="0"/>
      <w:marRight w:val="0"/>
      <w:marTop w:val="0"/>
      <w:marBottom w:val="0"/>
      <w:divBdr>
        <w:top w:val="none" w:sz="0" w:space="0" w:color="auto"/>
        <w:left w:val="none" w:sz="0" w:space="0" w:color="auto"/>
        <w:bottom w:val="none" w:sz="0" w:space="0" w:color="auto"/>
        <w:right w:val="none" w:sz="0" w:space="0" w:color="auto"/>
      </w:divBdr>
      <w:divsChild>
        <w:div w:id="745419472">
          <w:marLeft w:val="0"/>
          <w:marRight w:val="0"/>
          <w:marTop w:val="0"/>
          <w:marBottom w:val="0"/>
          <w:divBdr>
            <w:top w:val="none" w:sz="0" w:space="0" w:color="auto"/>
            <w:left w:val="none" w:sz="0" w:space="0" w:color="auto"/>
            <w:bottom w:val="none" w:sz="0" w:space="0" w:color="auto"/>
            <w:right w:val="none" w:sz="0" w:space="0" w:color="auto"/>
          </w:divBdr>
        </w:div>
        <w:div w:id="2012680592">
          <w:marLeft w:val="0"/>
          <w:marRight w:val="0"/>
          <w:marTop w:val="0"/>
          <w:marBottom w:val="0"/>
          <w:divBdr>
            <w:top w:val="none" w:sz="0" w:space="0" w:color="auto"/>
            <w:left w:val="none" w:sz="0" w:space="0" w:color="auto"/>
            <w:bottom w:val="none" w:sz="0" w:space="0" w:color="auto"/>
            <w:right w:val="none" w:sz="0" w:space="0" w:color="auto"/>
          </w:divBdr>
        </w:div>
        <w:div w:id="1488471326">
          <w:marLeft w:val="0"/>
          <w:marRight w:val="0"/>
          <w:marTop w:val="0"/>
          <w:marBottom w:val="0"/>
          <w:divBdr>
            <w:top w:val="none" w:sz="0" w:space="0" w:color="auto"/>
            <w:left w:val="none" w:sz="0" w:space="0" w:color="auto"/>
            <w:bottom w:val="none" w:sz="0" w:space="0" w:color="auto"/>
            <w:right w:val="none" w:sz="0" w:space="0" w:color="auto"/>
          </w:divBdr>
        </w:div>
      </w:divsChild>
    </w:div>
    <w:div w:id="1093431329">
      <w:bodyDiv w:val="1"/>
      <w:marLeft w:val="0"/>
      <w:marRight w:val="0"/>
      <w:marTop w:val="0"/>
      <w:marBottom w:val="0"/>
      <w:divBdr>
        <w:top w:val="none" w:sz="0" w:space="0" w:color="auto"/>
        <w:left w:val="none" w:sz="0" w:space="0" w:color="auto"/>
        <w:bottom w:val="none" w:sz="0" w:space="0" w:color="auto"/>
        <w:right w:val="none" w:sz="0" w:space="0" w:color="auto"/>
      </w:divBdr>
      <w:divsChild>
        <w:div w:id="19164999">
          <w:marLeft w:val="0"/>
          <w:marRight w:val="0"/>
          <w:marTop w:val="0"/>
          <w:marBottom w:val="0"/>
          <w:divBdr>
            <w:top w:val="none" w:sz="0" w:space="0" w:color="auto"/>
            <w:left w:val="none" w:sz="0" w:space="0" w:color="auto"/>
            <w:bottom w:val="none" w:sz="0" w:space="0" w:color="auto"/>
            <w:right w:val="none" w:sz="0" w:space="0" w:color="auto"/>
          </w:divBdr>
        </w:div>
        <w:div w:id="519661190">
          <w:marLeft w:val="0"/>
          <w:marRight w:val="0"/>
          <w:marTop w:val="0"/>
          <w:marBottom w:val="0"/>
          <w:divBdr>
            <w:top w:val="none" w:sz="0" w:space="0" w:color="auto"/>
            <w:left w:val="none" w:sz="0" w:space="0" w:color="auto"/>
            <w:bottom w:val="none" w:sz="0" w:space="0" w:color="auto"/>
            <w:right w:val="none" w:sz="0" w:space="0" w:color="auto"/>
          </w:divBdr>
        </w:div>
        <w:div w:id="1529297213">
          <w:marLeft w:val="0"/>
          <w:marRight w:val="0"/>
          <w:marTop w:val="0"/>
          <w:marBottom w:val="0"/>
          <w:divBdr>
            <w:top w:val="none" w:sz="0" w:space="0" w:color="auto"/>
            <w:left w:val="none" w:sz="0" w:space="0" w:color="auto"/>
            <w:bottom w:val="none" w:sz="0" w:space="0" w:color="auto"/>
            <w:right w:val="none" w:sz="0" w:space="0" w:color="auto"/>
          </w:divBdr>
        </w:div>
        <w:div w:id="1670212504">
          <w:marLeft w:val="0"/>
          <w:marRight w:val="0"/>
          <w:marTop w:val="0"/>
          <w:marBottom w:val="0"/>
          <w:divBdr>
            <w:top w:val="none" w:sz="0" w:space="0" w:color="auto"/>
            <w:left w:val="none" w:sz="0" w:space="0" w:color="auto"/>
            <w:bottom w:val="none" w:sz="0" w:space="0" w:color="auto"/>
            <w:right w:val="none" w:sz="0" w:space="0" w:color="auto"/>
          </w:divBdr>
        </w:div>
        <w:div w:id="1625233298">
          <w:marLeft w:val="0"/>
          <w:marRight w:val="0"/>
          <w:marTop w:val="0"/>
          <w:marBottom w:val="0"/>
          <w:divBdr>
            <w:top w:val="none" w:sz="0" w:space="0" w:color="auto"/>
            <w:left w:val="none" w:sz="0" w:space="0" w:color="auto"/>
            <w:bottom w:val="none" w:sz="0" w:space="0" w:color="auto"/>
            <w:right w:val="none" w:sz="0" w:space="0" w:color="auto"/>
          </w:divBdr>
        </w:div>
        <w:div w:id="952053198">
          <w:marLeft w:val="0"/>
          <w:marRight w:val="0"/>
          <w:marTop w:val="0"/>
          <w:marBottom w:val="0"/>
          <w:divBdr>
            <w:top w:val="none" w:sz="0" w:space="0" w:color="auto"/>
            <w:left w:val="none" w:sz="0" w:space="0" w:color="auto"/>
            <w:bottom w:val="none" w:sz="0" w:space="0" w:color="auto"/>
            <w:right w:val="none" w:sz="0" w:space="0" w:color="auto"/>
          </w:divBdr>
        </w:div>
      </w:divsChild>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6DA54-AB49-468E-A56C-663D8C749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4</Pages>
  <Words>1286</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Ximena Cancino</cp:lastModifiedBy>
  <cp:revision>2</cp:revision>
  <cp:lastPrinted>2017-05-11T10:32:00Z</cp:lastPrinted>
  <dcterms:created xsi:type="dcterms:W3CDTF">2017-08-03T09:20:00Z</dcterms:created>
  <dcterms:modified xsi:type="dcterms:W3CDTF">2017-08-03T09:20:00Z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