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B2421A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 w:rsidRPr="00B2421A">
        <w:rPr>
          <w:rFonts w:cs="Arial"/>
          <w:sz w:val="22"/>
          <w:szCs w:val="22"/>
          <w:lang w:val="en-GB"/>
        </w:rPr>
        <w:t>ADDENDUM 1</w:t>
      </w:r>
    </w:p>
    <w:p w:rsidR="003E24AC" w:rsidRPr="00B2421A" w:rsidRDefault="008648EB" w:rsidP="00BF42FC">
      <w:pPr>
        <w:jc w:val="right"/>
        <w:rPr>
          <w:b/>
          <w:sz w:val="22"/>
          <w:szCs w:val="22"/>
          <w:lang w:val="en-GB"/>
        </w:rPr>
      </w:pPr>
      <w:r w:rsidRPr="00B2421A">
        <w:rPr>
          <w:b/>
          <w:sz w:val="22"/>
          <w:szCs w:val="22"/>
          <w:lang w:val="en-GB"/>
        </w:rPr>
        <w:t>In</w:t>
      </w:r>
      <w:r w:rsidR="0002655B" w:rsidRPr="00B2421A">
        <w:rPr>
          <w:b/>
          <w:sz w:val="22"/>
          <w:szCs w:val="22"/>
          <w:lang w:val="en-GB"/>
        </w:rPr>
        <w:t>-S</w:t>
      </w:r>
      <w:r w:rsidRPr="00B2421A">
        <w:rPr>
          <w:b/>
          <w:sz w:val="22"/>
          <w:szCs w:val="22"/>
          <w:lang w:val="en-GB"/>
        </w:rPr>
        <w:t>ession</w:t>
      </w:r>
      <w:r w:rsidR="007C3B56" w:rsidRPr="00B2421A">
        <w:rPr>
          <w:b/>
          <w:sz w:val="22"/>
          <w:szCs w:val="22"/>
          <w:lang w:val="en-GB"/>
        </w:rPr>
        <w:t xml:space="preserve"> Version</w:t>
      </w:r>
    </w:p>
    <w:p w:rsidR="00BF42FC" w:rsidRPr="00B2421A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B2421A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2421A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B2421A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B2421A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2421A" w:rsidRDefault="00BF42FC" w:rsidP="00BF42FC">
      <w:pPr>
        <w:rPr>
          <w:sz w:val="22"/>
          <w:szCs w:val="22"/>
          <w:lang w:val="en-GB"/>
        </w:rPr>
      </w:pPr>
    </w:p>
    <w:p w:rsidR="00BF42FC" w:rsidRPr="00B2421A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B2421A" w:rsidRDefault="002A048F" w:rsidP="00DF38F9">
      <w:pPr>
        <w:jc w:val="center"/>
        <w:rPr>
          <w:b/>
          <w:sz w:val="22"/>
          <w:szCs w:val="22"/>
          <w:lang w:val="en-GB"/>
        </w:rPr>
      </w:pPr>
      <w:r w:rsidRPr="00B2421A">
        <w:rPr>
          <w:b/>
          <w:sz w:val="22"/>
          <w:szCs w:val="22"/>
          <w:lang w:val="en-GB"/>
        </w:rPr>
        <w:t>AQUATIC WILD MEAT</w:t>
      </w:r>
    </w:p>
    <w:p w:rsidR="000F1354" w:rsidRPr="00B2421A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2421A">
        <w:rPr>
          <w:rFonts w:cs="Arial"/>
          <w:sz w:val="22"/>
          <w:szCs w:val="22"/>
          <w:lang w:val="en-GB"/>
        </w:rPr>
        <w:t>UNEP/CMS/COP12/DOC.</w:t>
      </w:r>
      <w:r w:rsidR="003D4255" w:rsidRPr="00B2421A">
        <w:rPr>
          <w:rFonts w:cs="Arial"/>
          <w:sz w:val="22"/>
          <w:szCs w:val="22"/>
          <w:lang w:val="en-GB"/>
        </w:rPr>
        <w:t>24.2.</w:t>
      </w:r>
      <w:r w:rsidR="002A048F" w:rsidRPr="00B2421A">
        <w:rPr>
          <w:rFonts w:cs="Arial"/>
          <w:sz w:val="22"/>
          <w:szCs w:val="22"/>
          <w:lang w:val="en-GB"/>
        </w:rPr>
        <w:t>3</w:t>
      </w:r>
    </w:p>
    <w:p w:rsidR="00BF42FC" w:rsidRPr="00B2421A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B2421A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B2421A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B2421A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2421A">
        <w:rPr>
          <w:rFonts w:cs="Arial"/>
          <w:b/>
          <w:sz w:val="22"/>
          <w:szCs w:val="22"/>
        </w:rPr>
        <w:t>GENERAL COMMENTS ON THE DOCUMENT</w:t>
      </w:r>
    </w:p>
    <w:p w:rsidR="00AE45FB" w:rsidRPr="00B2421A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B2421A" w:rsidRDefault="003E1B45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The Council welcomes this e</w:t>
      </w:r>
      <w:r w:rsidR="00695D1A" w:rsidRPr="00B2421A">
        <w:rPr>
          <w:rFonts w:cs="Arial"/>
          <w:sz w:val="22"/>
          <w:szCs w:val="22"/>
        </w:rPr>
        <w:t>ssential step</w:t>
      </w:r>
      <w:r w:rsidRPr="00B2421A">
        <w:rPr>
          <w:rFonts w:cs="Arial"/>
          <w:sz w:val="22"/>
          <w:szCs w:val="22"/>
        </w:rPr>
        <w:t xml:space="preserve"> in gaining recognition of a significant thre</w:t>
      </w:r>
      <w:r w:rsidR="00695D1A" w:rsidRPr="00B2421A">
        <w:rPr>
          <w:rFonts w:cs="Arial"/>
          <w:sz w:val="22"/>
          <w:szCs w:val="22"/>
        </w:rPr>
        <w:t>at to marine species</w:t>
      </w:r>
      <w:r w:rsidRPr="00B2421A">
        <w:rPr>
          <w:rFonts w:cs="Arial"/>
          <w:sz w:val="22"/>
          <w:szCs w:val="22"/>
        </w:rPr>
        <w:t xml:space="preserve">. It is considered important that </w:t>
      </w:r>
      <w:r w:rsidR="00695D1A" w:rsidRPr="00B2421A">
        <w:rPr>
          <w:rFonts w:cs="Arial"/>
          <w:sz w:val="22"/>
          <w:szCs w:val="22"/>
        </w:rPr>
        <w:t>this specific issue</w:t>
      </w:r>
      <w:r w:rsidRPr="00B2421A">
        <w:rPr>
          <w:rFonts w:cs="Arial"/>
          <w:sz w:val="22"/>
          <w:szCs w:val="22"/>
        </w:rPr>
        <w:t xml:space="preserve"> is dealt with</w:t>
      </w:r>
      <w:r w:rsidR="00695D1A" w:rsidRPr="00B2421A">
        <w:rPr>
          <w:rFonts w:cs="Arial"/>
          <w:sz w:val="22"/>
          <w:szCs w:val="22"/>
        </w:rPr>
        <w:t xml:space="preserve">, </w:t>
      </w:r>
      <w:r w:rsidRPr="00B2421A">
        <w:rPr>
          <w:rFonts w:cs="Arial"/>
          <w:sz w:val="22"/>
          <w:szCs w:val="22"/>
        </w:rPr>
        <w:t xml:space="preserve">since the </w:t>
      </w:r>
      <w:r w:rsidR="00695D1A" w:rsidRPr="00B2421A">
        <w:rPr>
          <w:rFonts w:cs="Arial"/>
          <w:sz w:val="22"/>
          <w:szCs w:val="22"/>
        </w:rPr>
        <w:t>scale of utilization for some regions and species is immense</w:t>
      </w:r>
      <w:r w:rsidRPr="00B2421A">
        <w:rPr>
          <w:rFonts w:cs="Arial"/>
          <w:sz w:val="22"/>
          <w:szCs w:val="22"/>
        </w:rPr>
        <w:t>.</w:t>
      </w:r>
    </w:p>
    <w:p w:rsidR="006356C5" w:rsidRPr="00B2421A" w:rsidRDefault="003E1B45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It notes that this is an emerging issue, that for many marine species there is no assessment of the populations or of the scale of the harvest, that there are s</w:t>
      </w:r>
      <w:r w:rsidR="00257AE4" w:rsidRPr="00B2421A">
        <w:rPr>
          <w:rFonts w:cs="Arial"/>
          <w:sz w:val="22"/>
          <w:szCs w:val="22"/>
        </w:rPr>
        <w:t>ignificant regional differences</w:t>
      </w:r>
      <w:r w:rsidRPr="00B2421A">
        <w:rPr>
          <w:rFonts w:cs="Arial"/>
          <w:sz w:val="22"/>
          <w:szCs w:val="22"/>
        </w:rPr>
        <w:t xml:space="preserve">, and that </w:t>
      </w:r>
      <w:r w:rsidR="00257AE4" w:rsidRPr="00B2421A">
        <w:rPr>
          <w:rFonts w:cs="Arial"/>
          <w:sz w:val="22"/>
          <w:szCs w:val="22"/>
        </w:rPr>
        <w:t xml:space="preserve">different </w:t>
      </w:r>
      <w:r w:rsidR="00932E88" w:rsidRPr="00B2421A">
        <w:rPr>
          <w:rFonts w:cs="Arial"/>
          <w:sz w:val="22"/>
          <w:szCs w:val="22"/>
        </w:rPr>
        <w:t>parts of the animals are used for different trade pathways</w:t>
      </w:r>
      <w:r w:rsidRPr="00B2421A">
        <w:rPr>
          <w:rFonts w:cs="Arial"/>
          <w:sz w:val="22"/>
          <w:szCs w:val="22"/>
        </w:rPr>
        <w:t>.</w:t>
      </w:r>
    </w:p>
    <w:p w:rsidR="003E1B45" w:rsidRPr="00B2421A" w:rsidRDefault="003E1B45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Any work on aquatic wild meat should include consideration of all life stages of affected species, such as take of eggs of turtles and shorebirds.</w:t>
      </w:r>
    </w:p>
    <w:p w:rsidR="009B7900" w:rsidRPr="00B2421A" w:rsidRDefault="003E1B45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The Council recommends that this s</w:t>
      </w:r>
      <w:r w:rsidR="0050234F" w:rsidRPr="00B2421A">
        <w:rPr>
          <w:rFonts w:cs="Arial"/>
          <w:sz w:val="22"/>
          <w:szCs w:val="22"/>
        </w:rPr>
        <w:t xml:space="preserve">eparate resolution on aquatic wild meat </w:t>
      </w:r>
      <w:r w:rsidRPr="00B2421A">
        <w:rPr>
          <w:rFonts w:cs="Arial"/>
          <w:sz w:val="22"/>
          <w:szCs w:val="22"/>
        </w:rPr>
        <w:t xml:space="preserve">is adopted </w:t>
      </w:r>
      <w:proofErr w:type="gramStart"/>
      <w:r w:rsidRPr="00B2421A">
        <w:rPr>
          <w:rFonts w:cs="Arial"/>
          <w:sz w:val="22"/>
          <w:szCs w:val="22"/>
        </w:rPr>
        <w:t>in order to</w:t>
      </w:r>
      <w:proofErr w:type="gramEnd"/>
      <w:r w:rsidRPr="00B2421A">
        <w:rPr>
          <w:rFonts w:cs="Arial"/>
          <w:sz w:val="22"/>
          <w:szCs w:val="22"/>
        </w:rPr>
        <w:t xml:space="preserve"> </w:t>
      </w:r>
      <w:r w:rsidR="0050234F" w:rsidRPr="00B2421A">
        <w:rPr>
          <w:rFonts w:cs="Arial"/>
          <w:sz w:val="22"/>
          <w:szCs w:val="22"/>
        </w:rPr>
        <w:t>give</w:t>
      </w:r>
      <w:r w:rsidRPr="00B2421A">
        <w:rPr>
          <w:rFonts w:cs="Arial"/>
          <w:sz w:val="22"/>
          <w:szCs w:val="22"/>
        </w:rPr>
        <w:t xml:space="preserve"> visibility and</w:t>
      </w:r>
      <w:r w:rsidR="0050234F" w:rsidRPr="00B2421A">
        <w:rPr>
          <w:rFonts w:cs="Arial"/>
          <w:sz w:val="22"/>
          <w:szCs w:val="22"/>
        </w:rPr>
        <w:t xml:space="preserve"> recognition to the problem; CMS might consider combining work </w:t>
      </w:r>
      <w:r w:rsidRPr="00B2421A">
        <w:rPr>
          <w:rFonts w:cs="Arial"/>
          <w:sz w:val="22"/>
          <w:szCs w:val="22"/>
        </w:rPr>
        <w:t xml:space="preserve">streams dealing with aquatic and terrestrial/avian wild meat </w:t>
      </w:r>
      <w:r w:rsidR="0050234F" w:rsidRPr="00B2421A">
        <w:rPr>
          <w:rFonts w:cs="Arial"/>
          <w:sz w:val="22"/>
          <w:szCs w:val="22"/>
        </w:rPr>
        <w:t xml:space="preserve">at </w:t>
      </w:r>
      <w:r w:rsidRPr="00B2421A">
        <w:rPr>
          <w:rFonts w:cs="Arial"/>
          <w:sz w:val="22"/>
          <w:szCs w:val="22"/>
        </w:rPr>
        <w:t xml:space="preserve">a </w:t>
      </w:r>
      <w:r w:rsidR="0050234F" w:rsidRPr="00B2421A">
        <w:rPr>
          <w:rFonts w:cs="Arial"/>
          <w:sz w:val="22"/>
          <w:szCs w:val="22"/>
        </w:rPr>
        <w:t>later stage</w:t>
      </w:r>
      <w:r w:rsidRPr="00B2421A">
        <w:rPr>
          <w:rFonts w:cs="Arial"/>
          <w:sz w:val="22"/>
          <w:szCs w:val="22"/>
        </w:rPr>
        <w:t>. At this stage, despite the s</w:t>
      </w:r>
      <w:r w:rsidR="009B7900" w:rsidRPr="00B2421A">
        <w:rPr>
          <w:rFonts w:cs="Arial"/>
          <w:sz w:val="22"/>
          <w:szCs w:val="22"/>
        </w:rPr>
        <w:t>imilar terminology</w:t>
      </w:r>
      <w:r w:rsidRPr="00B2421A">
        <w:rPr>
          <w:rFonts w:cs="Arial"/>
          <w:sz w:val="22"/>
          <w:szCs w:val="22"/>
        </w:rPr>
        <w:t xml:space="preserve">, the </w:t>
      </w:r>
      <w:r w:rsidR="009B7900" w:rsidRPr="00B2421A">
        <w:rPr>
          <w:rFonts w:cs="Arial"/>
          <w:sz w:val="22"/>
          <w:szCs w:val="22"/>
        </w:rPr>
        <w:t xml:space="preserve">issue, state of knowledge etc. is </w:t>
      </w:r>
      <w:r w:rsidRPr="00B2421A">
        <w:rPr>
          <w:rFonts w:cs="Arial"/>
          <w:sz w:val="22"/>
          <w:szCs w:val="22"/>
        </w:rPr>
        <w:t xml:space="preserve">not </w:t>
      </w:r>
      <w:r w:rsidR="009B7900" w:rsidRPr="00B2421A">
        <w:rPr>
          <w:rFonts w:cs="Arial"/>
          <w:sz w:val="22"/>
          <w:szCs w:val="22"/>
        </w:rPr>
        <w:t>the same</w:t>
      </w:r>
      <w:r w:rsidRPr="00B2421A">
        <w:rPr>
          <w:rFonts w:cs="Arial"/>
          <w:sz w:val="22"/>
          <w:szCs w:val="22"/>
        </w:rPr>
        <w:t>, and therefore the topics should be kept separate.</w:t>
      </w:r>
    </w:p>
    <w:p w:rsidR="001173B0" w:rsidRPr="00B2421A" w:rsidRDefault="003E1B45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There is a need for CMS to e</w:t>
      </w:r>
      <w:r w:rsidR="001173B0" w:rsidRPr="00B2421A">
        <w:rPr>
          <w:rFonts w:cs="Arial"/>
          <w:sz w:val="22"/>
          <w:szCs w:val="22"/>
        </w:rPr>
        <w:t>xplore the link between indigenous rights and conservation</w:t>
      </w:r>
      <w:r w:rsidR="000073A7" w:rsidRPr="00B2421A">
        <w:rPr>
          <w:rFonts w:cs="Arial"/>
          <w:sz w:val="22"/>
          <w:szCs w:val="22"/>
        </w:rPr>
        <w:t xml:space="preserve">, </w:t>
      </w:r>
      <w:proofErr w:type="gramStart"/>
      <w:r w:rsidR="000073A7" w:rsidRPr="00B2421A">
        <w:rPr>
          <w:rFonts w:cs="Arial"/>
          <w:sz w:val="22"/>
          <w:szCs w:val="22"/>
        </w:rPr>
        <w:t>taking into account</w:t>
      </w:r>
      <w:proofErr w:type="gramEnd"/>
      <w:r w:rsidR="000073A7" w:rsidRPr="00B2421A">
        <w:rPr>
          <w:rFonts w:cs="Arial"/>
          <w:sz w:val="22"/>
          <w:szCs w:val="22"/>
        </w:rPr>
        <w:t xml:space="preserve"> national legislation and traditional knowledge systems</w:t>
      </w:r>
      <w:r w:rsidRPr="00B2421A">
        <w:rPr>
          <w:rFonts w:cs="Arial"/>
          <w:sz w:val="22"/>
          <w:szCs w:val="22"/>
        </w:rPr>
        <w:t>.</w:t>
      </w:r>
    </w:p>
    <w:p w:rsidR="00A70596" w:rsidRPr="00B2421A" w:rsidRDefault="003E1B45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The subject is c</w:t>
      </w:r>
      <w:r w:rsidR="00A70596" w:rsidRPr="00B2421A">
        <w:rPr>
          <w:rFonts w:cs="Arial"/>
          <w:sz w:val="22"/>
          <w:szCs w:val="22"/>
        </w:rPr>
        <w:t>losely linked to work with CITES on illegal trade</w:t>
      </w:r>
      <w:r w:rsidRPr="00B2421A">
        <w:rPr>
          <w:rFonts w:cs="Arial"/>
          <w:sz w:val="22"/>
          <w:szCs w:val="22"/>
        </w:rPr>
        <w:t>.</w:t>
      </w:r>
    </w:p>
    <w:p w:rsidR="006356C5" w:rsidRPr="00B2421A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B2421A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B2421A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2421A">
        <w:rPr>
          <w:rFonts w:cs="Arial"/>
          <w:b/>
          <w:sz w:val="22"/>
          <w:szCs w:val="22"/>
        </w:rPr>
        <w:t>COMMENTS ON SPECIFIC SECTIONS</w:t>
      </w:r>
      <w:r w:rsidR="008F20D3" w:rsidRPr="00B2421A">
        <w:rPr>
          <w:rFonts w:cs="Arial"/>
          <w:b/>
          <w:sz w:val="22"/>
          <w:szCs w:val="22"/>
        </w:rPr>
        <w:t xml:space="preserve">/ </w:t>
      </w:r>
      <w:r w:rsidR="00DF4423" w:rsidRPr="00B2421A">
        <w:rPr>
          <w:rFonts w:cs="Arial"/>
          <w:b/>
          <w:sz w:val="22"/>
          <w:szCs w:val="22"/>
        </w:rPr>
        <w:t>INCLUDING POSSI</w:t>
      </w:r>
      <w:r w:rsidR="008F20D3" w:rsidRPr="00B2421A">
        <w:rPr>
          <w:rFonts w:cs="Arial"/>
          <w:b/>
          <w:sz w:val="22"/>
          <w:szCs w:val="22"/>
        </w:rPr>
        <w:t>BLE PROPOSALS FOR TEXT REVISION</w:t>
      </w:r>
    </w:p>
    <w:p w:rsidR="008F20D3" w:rsidRPr="00B2421A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B2421A" w:rsidRDefault="008F20D3" w:rsidP="00B2421A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P</w:t>
      </w:r>
      <w:r w:rsidR="00AE45FB" w:rsidRPr="00B2421A">
        <w:rPr>
          <w:rFonts w:cs="Arial"/>
          <w:sz w:val="22"/>
          <w:szCs w:val="22"/>
        </w:rPr>
        <w:t>age</w:t>
      </w:r>
      <w:r w:rsidRPr="00B2421A">
        <w:rPr>
          <w:rFonts w:cs="Arial"/>
          <w:sz w:val="22"/>
          <w:szCs w:val="22"/>
        </w:rPr>
        <w:t xml:space="preserve"> </w:t>
      </w:r>
      <w:r w:rsidR="001936FE" w:rsidRPr="00B2421A">
        <w:rPr>
          <w:rFonts w:cs="Arial"/>
          <w:sz w:val="22"/>
          <w:szCs w:val="22"/>
        </w:rPr>
        <w:t>22</w:t>
      </w:r>
      <w:r w:rsidRPr="00B2421A">
        <w:rPr>
          <w:rFonts w:cs="Arial"/>
          <w:sz w:val="22"/>
          <w:szCs w:val="22"/>
        </w:rPr>
        <w:t xml:space="preserve">, </w:t>
      </w:r>
      <w:r w:rsidR="003E1B45" w:rsidRPr="00B2421A">
        <w:rPr>
          <w:rFonts w:cs="Arial"/>
          <w:sz w:val="22"/>
          <w:szCs w:val="22"/>
        </w:rPr>
        <w:t>2</w:t>
      </w:r>
      <w:r w:rsidR="003E1B45" w:rsidRPr="00B2421A">
        <w:rPr>
          <w:rFonts w:cs="Arial"/>
          <w:sz w:val="22"/>
          <w:szCs w:val="22"/>
          <w:vertAlign w:val="superscript"/>
        </w:rPr>
        <w:t>nd</w:t>
      </w:r>
      <w:r w:rsidR="003E1B45" w:rsidRPr="00B2421A">
        <w:rPr>
          <w:rFonts w:cs="Arial"/>
          <w:sz w:val="22"/>
          <w:szCs w:val="22"/>
        </w:rPr>
        <w:t xml:space="preserve"> preambular paragraph and </w:t>
      </w:r>
      <w:r w:rsidR="00AE45FB" w:rsidRPr="00B2421A">
        <w:rPr>
          <w:rFonts w:cs="Arial"/>
          <w:sz w:val="22"/>
          <w:szCs w:val="22"/>
        </w:rPr>
        <w:t>p</w:t>
      </w:r>
      <w:r w:rsidRPr="00B2421A">
        <w:rPr>
          <w:rFonts w:cs="Arial"/>
          <w:sz w:val="22"/>
          <w:szCs w:val="22"/>
        </w:rPr>
        <w:t>ara</w:t>
      </w:r>
      <w:r w:rsidR="00063A36" w:rsidRPr="00B2421A">
        <w:rPr>
          <w:rFonts w:cs="Arial"/>
          <w:sz w:val="22"/>
          <w:szCs w:val="22"/>
        </w:rPr>
        <w:t>graph</w:t>
      </w:r>
      <w:r w:rsidRPr="00B2421A">
        <w:rPr>
          <w:rFonts w:cs="Arial"/>
          <w:sz w:val="22"/>
          <w:szCs w:val="22"/>
        </w:rPr>
        <w:t xml:space="preserve"> </w:t>
      </w:r>
      <w:r w:rsidR="003E1B45" w:rsidRPr="00B2421A">
        <w:rPr>
          <w:rFonts w:cs="Arial"/>
          <w:sz w:val="22"/>
          <w:szCs w:val="22"/>
        </w:rPr>
        <w:t>1 of the Resolution</w:t>
      </w:r>
    </w:p>
    <w:p w:rsidR="001936FE" w:rsidRPr="00B2421A" w:rsidRDefault="00063A36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Add wording to clarify that</w:t>
      </w:r>
      <w:r w:rsidR="001936FE" w:rsidRPr="00B2421A">
        <w:rPr>
          <w:rFonts w:cs="Arial"/>
          <w:sz w:val="22"/>
          <w:szCs w:val="22"/>
        </w:rPr>
        <w:t xml:space="preserve"> all life stages of affected species </w:t>
      </w:r>
      <w:r w:rsidRPr="00B2421A">
        <w:rPr>
          <w:rFonts w:cs="Arial"/>
          <w:sz w:val="22"/>
          <w:szCs w:val="22"/>
        </w:rPr>
        <w:t xml:space="preserve">are included </w:t>
      </w:r>
      <w:r w:rsidR="001936FE" w:rsidRPr="00B2421A">
        <w:rPr>
          <w:rFonts w:cs="Arial"/>
          <w:sz w:val="22"/>
          <w:szCs w:val="22"/>
        </w:rPr>
        <w:t xml:space="preserve">in </w:t>
      </w:r>
      <w:r w:rsidRPr="00B2421A">
        <w:rPr>
          <w:rFonts w:cs="Arial"/>
          <w:sz w:val="22"/>
          <w:szCs w:val="22"/>
        </w:rPr>
        <w:t xml:space="preserve">these </w:t>
      </w:r>
      <w:r w:rsidR="001936FE" w:rsidRPr="00B2421A">
        <w:rPr>
          <w:rFonts w:cs="Arial"/>
          <w:sz w:val="22"/>
          <w:szCs w:val="22"/>
        </w:rPr>
        <w:t>considerations, such as take of eggs</w:t>
      </w:r>
    </w:p>
    <w:p w:rsidR="008F20D3" w:rsidRPr="00B2421A" w:rsidRDefault="008F20D3" w:rsidP="00B2421A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Pr="00B2421A" w:rsidRDefault="008F20D3" w:rsidP="00B2421A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Pr="00B2421A" w:rsidRDefault="008F20D3" w:rsidP="00B2421A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P</w:t>
      </w:r>
      <w:r w:rsidR="00AE45FB" w:rsidRPr="00B2421A">
        <w:rPr>
          <w:rFonts w:cs="Arial"/>
          <w:sz w:val="22"/>
          <w:szCs w:val="22"/>
        </w:rPr>
        <w:t>age</w:t>
      </w:r>
      <w:r w:rsidRPr="00B2421A">
        <w:rPr>
          <w:rFonts w:cs="Arial"/>
          <w:sz w:val="22"/>
          <w:szCs w:val="22"/>
        </w:rPr>
        <w:t xml:space="preserve"> </w:t>
      </w:r>
      <w:r w:rsidR="001936FE" w:rsidRPr="00B2421A">
        <w:rPr>
          <w:rFonts w:cs="Arial"/>
          <w:sz w:val="22"/>
          <w:szCs w:val="22"/>
        </w:rPr>
        <w:t>22</w:t>
      </w:r>
      <w:r w:rsidRPr="00B2421A">
        <w:rPr>
          <w:rFonts w:cs="Arial"/>
          <w:sz w:val="22"/>
          <w:szCs w:val="22"/>
        </w:rPr>
        <w:t xml:space="preserve">, </w:t>
      </w:r>
      <w:r w:rsidR="00AE45FB" w:rsidRPr="00B2421A">
        <w:rPr>
          <w:rFonts w:cs="Arial"/>
          <w:sz w:val="22"/>
          <w:szCs w:val="22"/>
        </w:rPr>
        <w:t>p</w:t>
      </w:r>
      <w:r w:rsidRPr="00B2421A">
        <w:rPr>
          <w:rFonts w:cs="Arial"/>
          <w:sz w:val="22"/>
          <w:szCs w:val="22"/>
        </w:rPr>
        <w:t>ara</w:t>
      </w:r>
      <w:r w:rsidR="00063A36" w:rsidRPr="00B2421A">
        <w:rPr>
          <w:rFonts w:cs="Arial"/>
          <w:sz w:val="22"/>
          <w:szCs w:val="22"/>
        </w:rPr>
        <w:t>graph</w:t>
      </w:r>
      <w:r w:rsidRPr="00B2421A">
        <w:rPr>
          <w:rFonts w:cs="Arial"/>
          <w:sz w:val="22"/>
          <w:szCs w:val="22"/>
        </w:rPr>
        <w:t xml:space="preserve"> </w:t>
      </w:r>
      <w:r w:rsidR="001936FE" w:rsidRPr="00B2421A">
        <w:rPr>
          <w:rFonts w:cs="Arial"/>
          <w:sz w:val="22"/>
          <w:szCs w:val="22"/>
        </w:rPr>
        <w:t>7</w:t>
      </w:r>
      <w:r w:rsidR="001936FE" w:rsidRPr="00B2421A">
        <w:rPr>
          <w:rFonts w:cs="Arial"/>
          <w:sz w:val="22"/>
          <w:szCs w:val="22"/>
          <w:vertAlign w:val="superscript"/>
        </w:rPr>
        <w:t>th</w:t>
      </w:r>
      <w:r w:rsidR="001936FE" w:rsidRPr="00B2421A">
        <w:rPr>
          <w:rFonts w:cs="Arial"/>
          <w:sz w:val="22"/>
          <w:szCs w:val="22"/>
        </w:rPr>
        <w:t xml:space="preserve"> preambular</w:t>
      </w:r>
    </w:p>
    <w:p w:rsidR="008F20D3" w:rsidRPr="00B2421A" w:rsidRDefault="001936FE" w:rsidP="00B2421A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 xml:space="preserve">Correct to IWC Scientific </w:t>
      </w:r>
      <w:r w:rsidRPr="00B2421A">
        <w:rPr>
          <w:rFonts w:cs="Arial"/>
          <w:sz w:val="22"/>
          <w:szCs w:val="22"/>
          <w:u w:val="single"/>
        </w:rPr>
        <w:t>Committee</w:t>
      </w:r>
    </w:p>
    <w:p w:rsidR="008F20D3" w:rsidRPr="00B2421A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B2421A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B2421A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2421A">
        <w:rPr>
          <w:rFonts w:cs="Arial"/>
          <w:b/>
          <w:sz w:val="22"/>
          <w:szCs w:val="22"/>
        </w:rPr>
        <w:t>RECOMMENDATIONS TO COP12</w:t>
      </w:r>
    </w:p>
    <w:p w:rsidR="000F1354" w:rsidRPr="00B2421A" w:rsidRDefault="000F1354" w:rsidP="000F1354">
      <w:pPr>
        <w:jc w:val="center"/>
        <w:rPr>
          <w:rFonts w:cs="Arial"/>
          <w:sz w:val="22"/>
          <w:szCs w:val="22"/>
          <w:lang w:val="fr-FR"/>
        </w:rPr>
      </w:pPr>
      <w:bookmarkStart w:id="0" w:name="_GoBack"/>
      <w:bookmarkEnd w:id="0"/>
    </w:p>
    <w:p w:rsidR="006356C5" w:rsidRPr="00B2421A" w:rsidRDefault="00311045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B2421A">
        <w:rPr>
          <w:rFonts w:cs="Arial"/>
          <w:sz w:val="22"/>
          <w:szCs w:val="22"/>
        </w:rPr>
        <w:t>Recommended for adoption</w:t>
      </w:r>
    </w:p>
    <w:p w:rsidR="00397D2C" w:rsidRPr="00B2421A" w:rsidRDefault="00397D2C" w:rsidP="00397D2C">
      <w:pPr>
        <w:rPr>
          <w:rFonts w:cs="Arial"/>
          <w:sz w:val="22"/>
          <w:szCs w:val="22"/>
        </w:rPr>
      </w:pPr>
    </w:p>
    <w:sectPr w:rsidR="00397D2C" w:rsidRPr="00B2421A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29" w:rsidRDefault="00F07229">
      <w:r>
        <w:separator/>
      </w:r>
    </w:p>
  </w:endnote>
  <w:endnote w:type="continuationSeparator" w:id="0">
    <w:p w:rsidR="00F07229" w:rsidRDefault="00F0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29" w:rsidRDefault="00F07229">
      <w:r>
        <w:separator/>
      </w:r>
    </w:p>
  </w:footnote>
  <w:footnote w:type="continuationSeparator" w:id="0">
    <w:p w:rsidR="00F07229" w:rsidRDefault="00F0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24.2.</w:t>
    </w:r>
    <w:r w:rsidR="002A048F">
      <w:rPr>
        <w:rFonts w:cs="Arial"/>
        <w:i/>
        <w:szCs w:val="18"/>
      </w:rPr>
      <w:t>3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24.2.</w:t>
    </w:r>
    <w:r w:rsidR="002A048F">
      <w:rPr>
        <w:rFonts w:cs="Arial"/>
        <w:i/>
        <w:szCs w:val="18"/>
      </w:rPr>
      <w:t>3</w:t>
    </w:r>
    <w:r w:rsidRPr="007C3B56">
      <w:rPr>
        <w:rFonts w:cs="Arial"/>
        <w:i/>
        <w:szCs w:val="18"/>
      </w:rPr>
      <w:t>/Add.In-S.1</w:t>
    </w:r>
    <w:r w:rsidR="00B2421A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073A7"/>
    <w:rsid w:val="000254DF"/>
    <w:rsid w:val="0002655B"/>
    <w:rsid w:val="00036C53"/>
    <w:rsid w:val="000518C2"/>
    <w:rsid w:val="00056DC1"/>
    <w:rsid w:val="00060156"/>
    <w:rsid w:val="00063A3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173B0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936FE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57AE4"/>
    <w:rsid w:val="00260772"/>
    <w:rsid w:val="00263159"/>
    <w:rsid w:val="002779F7"/>
    <w:rsid w:val="002A048F"/>
    <w:rsid w:val="002C0D5F"/>
    <w:rsid w:val="002C187A"/>
    <w:rsid w:val="002C20F1"/>
    <w:rsid w:val="002D2863"/>
    <w:rsid w:val="002D5EC0"/>
    <w:rsid w:val="002E3DEA"/>
    <w:rsid w:val="002E7CC2"/>
    <w:rsid w:val="002F6F9B"/>
    <w:rsid w:val="00305783"/>
    <w:rsid w:val="00311045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4255"/>
    <w:rsid w:val="003E1B45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234F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95D1A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2E88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B7900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0596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2421A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92F90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07229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DCB420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3F16-E64C-4D6E-A4C9-6360330A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2017-07-12T06:02:00Z</dcterms:created>
  <dcterms:modified xsi:type="dcterms:W3CDTF">2017-07-12T06:02:00Z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