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ascii="Arial" w:hAnsi="Arial" w:cs="Arial"/>
          <w:spacing w:val="-8"/>
          <w:sz w:val="12"/>
          <w:szCs w:val="12"/>
          <w:lang w:val="en-GB"/>
        </w:rPr>
      </w:pPr>
      <w:bookmarkStart w:id="0" w:name="_GoBack"/>
      <w:bookmarkEnd w:id="0"/>
    </w:p>
    <w:p w:rsidR="00260772" w:rsidRPr="00260772" w:rsidRDefault="00260772" w:rsidP="003A0D8F">
      <w:pPr>
        <w:tabs>
          <w:tab w:val="left" w:pos="-1057"/>
          <w:tab w:val="left" w:pos="-720"/>
        </w:tabs>
        <w:rPr>
          <w:rFonts w:ascii="Arial" w:hAnsi="Arial" w:cs="Arial"/>
          <w:sz w:val="22"/>
          <w:szCs w:val="22"/>
          <w:lang w:val="fr-FR"/>
        </w:rPr>
      </w:pPr>
      <w:r w:rsidRPr="00260772">
        <w:rPr>
          <w:rFonts w:ascii="Arial" w:hAnsi="Arial" w:cs="Arial"/>
          <w:sz w:val="22"/>
          <w:szCs w:val="22"/>
          <w:lang w:val="fr-FR"/>
        </w:rPr>
        <w:t>12</w:t>
      </w:r>
      <w:r w:rsidRPr="00260772">
        <w:rPr>
          <w:rFonts w:ascii="Arial" w:hAnsi="Arial" w:cs="Arial"/>
          <w:sz w:val="22"/>
          <w:szCs w:val="22"/>
          <w:vertAlign w:val="superscript"/>
          <w:lang w:val="fr-FR"/>
        </w:rPr>
        <w:t>ème</w:t>
      </w:r>
      <w:r w:rsidRPr="00260772">
        <w:rPr>
          <w:rFonts w:ascii="Arial" w:hAnsi="Arial" w:cs="Arial"/>
          <w:sz w:val="22"/>
          <w:szCs w:val="22"/>
          <w:lang w:val="fr-FR"/>
        </w:rPr>
        <w:t xml:space="preserve"> SESSION DE LA CONFÉRENCE DES PARTIES</w:t>
      </w:r>
    </w:p>
    <w:p w:rsidR="00260772" w:rsidRPr="001E7B2E" w:rsidRDefault="00260772" w:rsidP="003A0D8F">
      <w:pPr>
        <w:pStyle w:val="Heading2"/>
        <w:keepNext w:val="0"/>
        <w:spacing w:line="228" w:lineRule="auto"/>
        <w:rPr>
          <w:rFonts w:ascii="Arial" w:hAnsi="Arial" w:cs="Arial"/>
          <w:b w:val="0"/>
          <w:bCs w:val="0"/>
          <w:sz w:val="22"/>
          <w:szCs w:val="22"/>
          <w:lang w:val="pt-PT"/>
        </w:rPr>
      </w:pPr>
      <w:r w:rsidRPr="001E7B2E">
        <w:rPr>
          <w:rFonts w:ascii="Arial" w:hAnsi="Arial" w:cs="Arial"/>
          <w:b w:val="0"/>
          <w:sz w:val="22"/>
          <w:szCs w:val="22"/>
          <w:lang w:val="pt-PT"/>
        </w:rPr>
        <w:t>Manille, P</w:t>
      </w:r>
      <w:r w:rsidR="00436CD2">
        <w:rPr>
          <w:rFonts w:ascii="Arial" w:hAnsi="Arial" w:cs="Arial"/>
          <w:b w:val="0"/>
          <w:sz w:val="22"/>
          <w:szCs w:val="22"/>
          <w:lang w:val="pt-PT"/>
        </w:rPr>
        <w:t>hilippines, 23 - 28 octobre 2017</w:t>
      </w:r>
    </w:p>
    <w:p w:rsidR="00260772" w:rsidRPr="001E7B2E" w:rsidRDefault="00260772" w:rsidP="003A0D8F">
      <w:pPr>
        <w:spacing w:line="228" w:lineRule="auto"/>
        <w:rPr>
          <w:rFonts w:ascii="Arial" w:hAnsi="Arial" w:cs="Arial"/>
          <w:iCs/>
          <w:sz w:val="22"/>
          <w:szCs w:val="22"/>
          <w:lang w:val="pt-PT"/>
        </w:rPr>
      </w:pPr>
      <w:r w:rsidRPr="001E7B2E">
        <w:rPr>
          <w:rFonts w:ascii="Arial" w:hAnsi="Arial" w:cs="Arial"/>
          <w:iCs/>
          <w:sz w:val="22"/>
          <w:szCs w:val="22"/>
          <w:lang w:val="pt-PT"/>
        </w:rPr>
        <w:t xml:space="preserve">Point </w:t>
      </w:r>
      <w:r w:rsidR="008B3956">
        <w:rPr>
          <w:rFonts w:ascii="Arial" w:hAnsi="Arial" w:cs="Arial"/>
          <w:iCs/>
          <w:sz w:val="22"/>
          <w:szCs w:val="22"/>
          <w:lang w:val="pt-PT"/>
        </w:rPr>
        <w:t>14.3</w:t>
      </w:r>
      <w:r w:rsidRPr="001E7B2E">
        <w:rPr>
          <w:rFonts w:ascii="Arial" w:hAnsi="Arial" w:cs="Arial"/>
          <w:iCs/>
          <w:sz w:val="22"/>
          <w:szCs w:val="22"/>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00FA61AF" w:rsidRPr="002F6F9B">
              <w:rPr>
                <w:rFonts w:ascii="Arial" w:hAnsi="Arial" w:cs="Arial"/>
                <w:b/>
                <w:sz w:val="28"/>
                <w:szCs w:val="28"/>
                <w:lang w:val="en-GB"/>
              </w:rPr>
              <w:t>CMS</w:t>
            </w:r>
          </w:p>
          <w:p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260772" w:rsidRPr="008B3956"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667726"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260772"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Distribution: Générale</w:t>
            </w:r>
          </w:p>
          <w:p w:rsidR="00260772" w:rsidRPr="00260772"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rsidR="008B3956"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UNEP/CMS/COP12/Doc.</w:t>
            </w:r>
            <w:r w:rsidR="008B3956">
              <w:rPr>
                <w:rFonts w:ascii="Arial" w:hAnsi="Arial" w:cs="Arial"/>
                <w:sz w:val="22"/>
                <w:szCs w:val="22"/>
                <w:lang w:val="fr-FR"/>
              </w:rPr>
              <w:t>14.3</w:t>
            </w:r>
          </w:p>
          <w:p w:rsidR="00260772" w:rsidRPr="008B3956" w:rsidRDefault="008B3956"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24 juillet</w:t>
            </w:r>
            <w:r w:rsidR="00436CD2" w:rsidRPr="008B3956">
              <w:rPr>
                <w:rFonts w:ascii="Arial" w:hAnsi="Arial" w:cs="Arial"/>
                <w:sz w:val="22"/>
                <w:szCs w:val="22"/>
                <w:lang w:val="fr-FR"/>
              </w:rPr>
              <w:t xml:space="preserve"> 2017</w:t>
            </w:r>
          </w:p>
          <w:p w:rsidR="00260772" w:rsidRPr="008B3956"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1E7B2E" w:rsidRDefault="00260772" w:rsidP="00260772">
            <w:pPr>
              <w:rPr>
                <w:rFonts w:ascii="Arial" w:hAnsi="Arial" w:cs="Arial"/>
                <w:sz w:val="22"/>
                <w:szCs w:val="22"/>
                <w:lang w:val="fr-FR"/>
              </w:rPr>
            </w:pPr>
            <w:r w:rsidRPr="001E7B2E">
              <w:rPr>
                <w:rFonts w:ascii="Arial" w:hAnsi="Arial" w:cs="Arial"/>
                <w:sz w:val="22"/>
                <w:szCs w:val="22"/>
                <w:lang w:val="fr-FR"/>
              </w:rPr>
              <w:t>Français</w:t>
            </w:r>
          </w:p>
          <w:p w:rsidR="00260772" w:rsidRPr="008B3956" w:rsidRDefault="00260772" w:rsidP="00260772">
            <w:pPr>
              <w:rPr>
                <w:rFonts w:ascii="Arial" w:hAnsi="Arial" w:cs="Arial"/>
                <w:sz w:val="22"/>
                <w:szCs w:val="22"/>
                <w:lang w:val="fr-FR"/>
              </w:rPr>
            </w:pPr>
            <w:r w:rsidRPr="008B3956">
              <w:rPr>
                <w:rFonts w:ascii="Arial" w:hAnsi="Arial" w:cs="Arial"/>
                <w:sz w:val="22"/>
                <w:szCs w:val="22"/>
                <w:lang w:val="fr-FR"/>
              </w:rPr>
              <w:t>Original: Anglais</w:t>
            </w:r>
          </w:p>
          <w:p w:rsidR="00260772" w:rsidRPr="008B3956" w:rsidRDefault="00260772" w:rsidP="00260772">
            <w:pPr>
              <w:rPr>
                <w:rFonts w:ascii="Arial" w:hAnsi="Arial" w:cs="Arial"/>
                <w:sz w:val="12"/>
                <w:szCs w:val="12"/>
                <w:lang w:val="fr-FR"/>
              </w:rPr>
            </w:pPr>
          </w:p>
        </w:tc>
      </w:tr>
    </w:tbl>
    <w:p w:rsidR="00354A9C" w:rsidRPr="008B3956" w:rsidRDefault="00354A9C" w:rsidP="00922791">
      <w:pPr>
        <w:tabs>
          <w:tab w:val="left" w:pos="7020"/>
        </w:tabs>
        <w:rPr>
          <w:rFonts w:ascii="Arial" w:hAnsi="Arial" w:cs="Arial"/>
          <w:sz w:val="22"/>
          <w:szCs w:val="22"/>
          <w:lang w:val="fr-FR"/>
        </w:rPr>
      </w:pPr>
    </w:p>
    <w:p w:rsidR="0052082F" w:rsidRPr="008B3956" w:rsidRDefault="0052082F" w:rsidP="00354A9C">
      <w:pPr>
        <w:rPr>
          <w:rFonts w:ascii="Arial" w:hAnsi="Arial" w:cs="Arial"/>
          <w:sz w:val="22"/>
          <w:szCs w:val="22"/>
          <w:lang w:val="fr-FR"/>
        </w:rPr>
      </w:pPr>
    </w:p>
    <w:p w:rsidR="00D605A4" w:rsidRDefault="00D605A4" w:rsidP="00D605A4">
      <w:pPr>
        <w:tabs>
          <w:tab w:val="left" w:pos="1020"/>
        </w:tabs>
        <w:rPr>
          <w:rFonts w:ascii="Arial" w:hAnsi="Arial" w:cs="Arial"/>
          <w:sz w:val="22"/>
          <w:szCs w:val="22"/>
          <w:lang w:val="fr-FR"/>
        </w:rPr>
      </w:pPr>
    </w:p>
    <w:p w:rsidR="008B3956" w:rsidRDefault="008B3956" w:rsidP="00D605A4">
      <w:pPr>
        <w:tabs>
          <w:tab w:val="left" w:pos="1020"/>
        </w:tabs>
        <w:rPr>
          <w:rFonts w:ascii="Arial" w:hAnsi="Arial" w:cs="Arial"/>
          <w:sz w:val="22"/>
          <w:szCs w:val="22"/>
          <w:lang w:val="fr-FR"/>
        </w:rPr>
      </w:pPr>
    </w:p>
    <w:p w:rsidR="008B3956" w:rsidRPr="006B277A" w:rsidRDefault="008B3956" w:rsidP="008B3956">
      <w:pPr>
        <w:pStyle w:val="Heading2"/>
        <w:keepNext w:val="0"/>
        <w:ind w:right="-367"/>
        <w:jc w:val="center"/>
        <w:rPr>
          <w:rFonts w:ascii="Arial" w:hAnsi="Arial" w:cs="Arial"/>
          <w:sz w:val="22"/>
          <w:szCs w:val="22"/>
          <w:lang w:val="fr-FR"/>
        </w:rPr>
      </w:pPr>
      <w:r w:rsidRPr="006B277A">
        <w:rPr>
          <w:rFonts w:ascii="Arial" w:hAnsi="Arial" w:cs="Arial"/>
          <w:sz w:val="22"/>
          <w:szCs w:val="22"/>
          <w:lang w:val="fr-FR"/>
        </w:rPr>
        <w:t>MOBILISATION DE RESSOURCES</w:t>
      </w:r>
    </w:p>
    <w:p w:rsidR="008B3956" w:rsidRPr="006B277A" w:rsidRDefault="008B3956" w:rsidP="008B3956">
      <w:pPr>
        <w:rPr>
          <w:rFonts w:ascii="Arial" w:hAnsi="Arial" w:cs="Arial"/>
          <w:sz w:val="8"/>
          <w:szCs w:val="8"/>
          <w:lang w:val="fr-FR"/>
        </w:rPr>
      </w:pPr>
    </w:p>
    <w:p w:rsidR="008B3956" w:rsidRPr="006B277A" w:rsidRDefault="008B3956" w:rsidP="008B3956">
      <w:pPr>
        <w:jc w:val="center"/>
        <w:rPr>
          <w:rFonts w:ascii="Arial" w:hAnsi="Arial" w:cs="Arial"/>
          <w:i/>
          <w:sz w:val="22"/>
          <w:szCs w:val="22"/>
          <w:lang w:val="fr-FR"/>
        </w:rPr>
      </w:pPr>
      <w:r w:rsidRPr="006B277A">
        <w:rPr>
          <w:rFonts w:ascii="Arial" w:hAnsi="Arial" w:cs="Arial"/>
          <w:i/>
          <w:sz w:val="22"/>
          <w:szCs w:val="22"/>
          <w:lang w:val="fr-FR"/>
        </w:rPr>
        <w:t>(Préparé par le Secrétariat)</w:t>
      </w:r>
    </w:p>
    <w:p w:rsidR="008B3956" w:rsidRPr="006B277A" w:rsidRDefault="008B3956" w:rsidP="008B3956">
      <w:pPr>
        <w:rPr>
          <w:rFonts w:ascii="Arial" w:hAnsi="Arial" w:cs="Arial"/>
          <w:sz w:val="8"/>
          <w:szCs w:val="8"/>
          <w:lang w:val="fr-FR"/>
        </w:rPr>
      </w:pPr>
    </w:p>
    <w:p w:rsidR="008B3956" w:rsidRPr="008B3956" w:rsidRDefault="008B3956" w:rsidP="008B3956">
      <w:pPr>
        <w:jc w:val="center"/>
        <w:rPr>
          <w:rFonts w:cs="Arial"/>
          <w:i/>
          <w:sz w:val="22"/>
          <w:szCs w:val="22"/>
          <w:lang w:val="fr-FR"/>
        </w:rPr>
      </w:pPr>
    </w:p>
    <w:p w:rsidR="008B3956" w:rsidRPr="008B3956" w:rsidRDefault="008B3956" w:rsidP="008B3956">
      <w:pPr>
        <w:jc w:val="both"/>
        <w:rPr>
          <w:rFonts w:cs="Arial"/>
          <w:sz w:val="21"/>
          <w:szCs w:val="21"/>
          <w:lang w:val="fr-FR"/>
        </w:rPr>
      </w:pPr>
    </w:p>
    <w:p w:rsidR="008B3956" w:rsidRPr="008B3956" w:rsidRDefault="008B3956" w:rsidP="008B3956">
      <w:pPr>
        <w:tabs>
          <w:tab w:val="left" w:pos="8295"/>
        </w:tabs>
        <w:jc w:val="both"/>
        <w:rPr>
          <w:rFonts w:cs="Arial"/>
          <w:sz w:val="21"/>
          <w:szCs w:val="21"/>
          <w:lang w:val="fr-FR"/>
        </w:rPr>
      </w:pPr>
    </w:p>
    <w:p w:rsidR="008B3956" w:rsidRPr="008B3956" w:rsidRDefault="00897C92" w:rsidP="008B3956">
      <w:pPr>
        <w:rPr>
          <w:rFonts w:cs="Arial"/>
          <w:sz w:val="21"/>
          <w:szCs w:val="21"/>
          <w:lang w:val="fr-FR"/>
        </w:rPr>
      </w:pPr>
      <w:r>
        <w:rPr>
          <w:rFonts w:cs="Arial"/>
          <w:noProof/>
          <w:sz w:val="21"/>
          <w:szCs w:val="21"/>
        </w:rPr>
        <mc:AlternateContent>
          <mc:Choice Requires="wps">
            <w:drawing>
              <wp:anchor distT="0" distB="0" distL="114300" distR="114300" simplePos="0" relativeHeight="251660288" behindDoc="0" locked="0" layoutInCell="1" allowOverlap="1">
                <wp:simplePos x="0" y="0"/>
                <wp:positionH relativeFrom="column">
                  <wp:posOffset>779145</wp:posOffset>
                </wp:positionH>
                <wp:positionV relativeFrom="paragraph">
                  <wp:posOffset>147955</wp:posOffset>
                </wp:positionV>
                <wp:extent cx="4305300" cy="2530475"/>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530475"/>
                        </a:xfrm>
                        <a:prstGeom prst="rect">
                          <a:avLst/>
                        </a:prstGeom>
                        <a:solidFill>
                          <a:srgbClr val="FFFFFF"/>
                        </a:solidFill>
                        <a:ln w="3175">
                          <a:solidFill>
                            <a:srgbClr val="000000"/>
                          </a:solidFill>
                          <a:miter lim="800000"/>
                          <a:headEnd/>
                          <a:tailEnd/>
                        </a:ln>
                      </wps:spPr>
                      <wps:txbx>
                        <w:txbxContent>
                          <w:p w:rsidR="008B3956" w:rsidRPr="006B277A" w:rsidRDefault="008B3956" w:rsidP="008B3956">
                            <w:pPr>
                              <w:rPr>
                                <w:rFonts w:ascii="Arial" w:hAnsi="Arial" w:cs="Arial"/>
                                <w:sz w:val="22"/>
                                <w:szCs w:val="22"/>
                                <w:lang w:val="fr-FR"/>
                              </w:rPr>
                            </w:pPr>
                            <w:r w:rsidRPr="006B277A">
                              <w:rPr>
                                <w:rFonts w:ascii="Arial" w:hAnsi="Arial" w:cs="Arial"/>
                                <w:sz w:val="22"/>
                                <w:szCs w:val="22"/>
                                <w:lang w:val="fr-FR"/>
                              </w:rPr>
                              <w:t>Résumé:</w:t>
                            </w:r>
                          </w:p>
                          <w:p w:rsidR="008B3956" w:rsidRPr="006B277A" w:rsidRDefault="008B3956" w:rsidP="008B3956">
                            <w:pPr>
                              <w:rPr>
                                <w:rFonts w:ascii="Arial" w:hAnsi="Arial" w:cs="Arial"/>
                                <w:i/>
                                <w:sz w:val="22"/>
                                <w:szCs w:val="22"/>
                                <w:lang w:val="fr-FR"/>
                              </w:rPr>
                            </w:pPr>
                          </w:p>
                          <w:p w:rsidR="008B3956" w:rsidRPr="006B277A" w:rsidRDefault="008B3956" w:rsidP="008B3956">
                            <w:pPr>
                              <w:jc w:val="both"/>
                              <w:rPr>
                                <w:rFonts w:ascii="Arial" w:hAnsi="Arial" w:cs="Arial"/>
                                <w:sz w:val="22"/>
                                <w:szCs w:val="22"/>
                                <w:lang w:val="fr-FR"/>
                              </w:rPr>
                            </w:pPr>
                            <w:r w:rsidRPr="006B277A">
                              <w:rPr>
                                <w:rFonts w:ascii="Arial" w:hAnsi="Arial" w:cs="Arial"/>
                                <w:sz w:val="22"/>
                                <w:szCs w:val="22"/>
                                <w:lang w:val="fr-FR"/>
                              </w:rPr>
                              <w:t xml:space="preserve">Le présent document fait le point sur les ressources mobilisées </w:t>
                            </w:r>
                            <w:r w:rsidR="00CF6401" w:rsidRPr="006B277A">
                              <w:rPr>
                                <w:rFonts w:ascii="Arial" w:hAnsi="Arial" w:cs="Arial"/>
                                <w:sz w:val="22"/>
                                <w:szCs w:val="22"/>
                                <w:lang w:val="fr-FR"/>
                              </w:rPr>
                              <w:t xml:space="preserve">jusqu’à juillet 2017 </w:t>
                            </w:r>
                            <w:r w:rsidRPr="006B277A">
                              <w:rPr>
                                <w:rFonts w:ascii="Arial" w:hAnsi="Arial" w:cs="Arial"/>
                                <w:sz w:val="22"/>
                                <w:szCs w:val="22"/>
                                <w:lang w:val="fr-FR"/>
                              </w:rPr>
                              <w:t>depuis la onzième session de la Conférence des Parties (Quito, Équateur 2014).</w:t>
                            </w:r>
                          </w:p>
                          <w:p w:rsidR="008B3956" w:rsidRPr="006B277A" w:rsidRDefault="008B3956" w:rsidP="008B3956">
                            <w:pPr>
                              <w:jc w:val="both"/>
                              <w:rPr>
                                <w:rFonts w:ascii="Arial" w:hAnsi="Arial" w:cs="Arial"/>
                                <w:sz w:val="22"/>
                                <w:szCs w:val="22"/>
                                <w:lang w:val="fr-FR"/>
                              </w:rPr>
                            </w:pPr>
                          </w:p>
                          <w:p w:rsidR="008B3956" w:rsidRPr="006B277A" w:rsidRDefault="008B3956" w:rsidP="008B3956">
                            <w:pPr>
                              <w:pStyle w:val="ListParagraph"/>
                              <w:tabs>
                                <w:tab w:val="left" w:pos="720"/>
                              </w:tabs>
                              <w:ind w:left="0"/>
                              <w:jc w:val="both"/>
                              <w:rPr>
                                <w:rFonts w:ascii="Arial" w:hAnsi="Arial" w:cs="Arial"/>
                                <w:sz w:val="22"/>
                                <w:szCs w:val="22"/>
                                <w:lang w:val="fr-FR"/>
                              </w:rPr>
                            </w:pPr>
                            <w:r w:rsidRPr="006B277A">
                              <w:rPr>
                                <w:rFonts w:ascii="Arial" w:hAnsi="Arial" w:cs="Arial"/>
                                <w:sz w:val="22"/>
                                <w:szCs w:val="22"/>
                                <w:lang w:val="fr-FR"/>
                              </w:rPr>
                              <w:t>Ces ressources (financières et en nature) ont contribué à la mise en œuvre du Programme de travail du Secrétariat pour la période triennale 2015-2017 (UNEP/CMS/COP12/Doc.18).</w:t>
                            </w:r>
                          </w:p>
                          <w:p w:rsidR="008B3956" w:rsidRPr="006B277A" w:rsidRDefault="008B3956" w:rsidP="008B3956">
                            <w:pPr>
                              <w:jc w:val="both"/>
                              <w:rPr>
                                <w:rFonts w:ascii="Arial" w:hAnsi="Arial" w:cs="Arial"/>
                                <w:sz w:val="22"/>
                                <w:szCs w:val="22"/>
                                <w:lang w:val="fr-FR"/>
                              </w:rPr>
                            </w:pPr>
                          </w:p>
                          <w:p w:rsidR="008B3956" w:rsidRPr="006B277A" w:rsidRDefault="008B3956" w:rsidP="008B3956">
                            <w:pPr>
                              <w:jc w:val="both"/>
                              <w:rPr>
                                <w:rFonts w:ascii="Arial" w:hAnsi="Arial" w:cs="Arial"/>
                                <w:i/>
                                <w:sz w:val="22"/>
                                <w:szCs w:val="22"/>
                                <w:lang w:val="fr-FR"/>
                              </w:rPr>
                            </w:pPr>
                            <w:r w:rsidRPr="006B277A">
                              <w:rPr>
                                <w:rFonts w:ascii="Arial" w:hAnsi="Arial" w:cs="Arial"/>
                                <w:sz w:val="22"/>
                                <w:szCs w:val="22"/>
                                <w:lang w:val="fr-FR"/>
                              </w:rPr>
                              <w:t>Ces ressources (financières et en nature</w:t>
                            </w:r>
                            <w:r w:rsidR="00CF6401" w:rsidRPr="006B277A">
                              <w:rPr>
                                <w:rFonts w:ascii="Arial" w:hAnsi="Arial" w:cs="Arial"/>
                                <w:sz w:val="22"/>
                                <w:szCs w:val="22"/>
                                <w:lang w:val="fr-FR"/>
                              </w:rPr>
                              <w:t>)</w:t>
                            </w:r>
                            <w:r w:rsidRPr="006B277A">
                              <w:rPr>
                                <w:rFonts w:ascii="Arial" w:hAnsi="Arial" w:cs="Arial"/>
                                <w:sz w:val="22"/>
                                <w:szCs w:val="22"/>
                                <w:lang w:val="fr-FR"/>
                              </w:rPr>
                              <w:t xml:space="preserve"> contribuent également à la mise en application de nombreuses résolutions ainsi qu’à la réalisation de tous les objectifs du Plan stratégique pour les espèces migratrices 2015-2023.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35pt;margin-top:11.65pt;width:339pt;height:1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" strokeweight=".25pt">
                <v:textbox>
                  <w:txbxContent>
                    <w:p w:rsidR="008B3956" w:rsidRPr="006B277A" w:rsidRDefault="008B3956" w:rsidP="008B3956">
                      <w:pPr>
                        <w:rPr>
                          <w:rFonts w:ascii="Arial" w:hAnsi="Arial" w:cs="Arial"/>
                          <w:sz w:val="22"/>
                          <w:szCs w:val="22"/>
                          <w:lang w:val="fr-FR"/>
                        </w:rPr>
                      </w:pPr>
                      <w:proofErr w:type="gramStart"/>
                      <w:r w:rsidRPr="006B277A">
                        <w:rPr>
                          <w:rFonts w:ascii="Arial" w:hAnsi="Arial" w:cs="Arial"/>
                          <w:sz w:val="22"/>
                          <w:szCs w:val="22"/>
                          <w:lang w:val="fr-FR"/>
                        </w:rPr>
                        <w:t>Résumé:</w:t>
                      </w:r>
                      <w:proofErr w:type="gramEnd"/>
                    </w:p>
                    <w:p w:rsidR="008B3956" w:rsidRPr="006B277A" w:rsidRDefault="008B3956" w:rsidP="008B3956">
                      <w:pPr>
                        <w:rPr>
                          <w:rFonts w:ascii="Arial" w:hAnsi="Arial" w:cs="Arial"/>
                          <w:i/>
                          <w:sz w:val="22"/>
                          <w:szCs w:val="22"/>
                          <w:lang w:val="fr-FR"/>
                        </w:rPr>
                      </w:pPr>
                    </w:p>
                    <w:p w:rsidR="008B3956" w:rsidRPr="006B277A" w:rsidRDefault="008B3956" w:rsidP="008B3956">
                      <w:pPr>
                        <w:jc w:val="both"/>
                        <w:rPr>
                          <w:rFonts w:ascii="Arial" w:hAnsi="Arial" w:cs="Arial"/>
                          <w:sz w:val="22"/>
                          <w:szCs w:val="22"/>
                          <w:lang w:val="fr-FR"/>
                        </w:rPr>
                      </w:pPr>
                      <w:r w:rsidRPr="006B277A">
                        <w:rPr>
                          <w:rFonts w:ascii="Arial" w:hAnsi="Arial" w:cs="Arial"/>
                          <w:sz w:val="22"/>
                          <w:szCs w:val="22"/>
                          <w:lang w:val="fr-FR"/>
                        </w:rPr>
                        <w:t xml:space="preserve">Le présent document fait le point sur les ressources mobilisées </w:t>
                      </w:r>
                      <w:r w:rsidR="00CF6401" w:rsidRPr="006B277A">
                        <w:rPr>
                          <w:rFonts w:ascii="Arial" w:hAnsi="Arial" w:cs="Arial"/>
                          <w:sz w:val="22"/>
                          <w:szCs w:val="22"/>
                          <w:lang w:val="fr-FR"/>
                        </w:rPr>
                        <w:t xml:space="preserve">jusqu’à juillet 2017 </w:t>
                      </w:r>
                      <w:r w:rsidRPr="006B277A">
                        <w:rPr>
                          <w:rFonts w:ascii="Arial" w:hAnsi="Arial" w:cs="Arial"/>
                          <w:sz w:val="22"/>
                          <w:szCs w:val="22"/>
                          <w:lang w:val="fr-FR"/>
                        </w:rPr>
                        <w:t>depuis la onzième session de la Conférence des Parties (Quito, Équateur 2014).</w:t>
                      </w:r>
                    </w:p>
                    <w:p w:rsidR="008B3956" w:rsidRPr="006B277A" w:rsidRDefault="008B3956" w:rsidP="008B3956">
                      <w:pPr>
                        <w:jc w:val="both"/>
                        <w:rPr>
                          <w:rFonts w:ascii="Arial" w:hAnsi="Arial" w:cs="Arial"/>
                          <w:sz w:val="22"/>
                          <w:szCs w:val="22"/>
                          <w:lang w:val="fr-FR"/>
                        </w:rPr>
                      </w:pPr>
                    </w:p>
                    <w:p w:rsidR="008B3956" w:rsidRPr="006B277A" w:rsidRDefault="008B3956" w:rsidP="008B3956">
                      <w:pPr>
                        <w:pStyle w:val="ListParagraph"/>
                        <w:tabs>
                          <w:tab w:val="left" w:pos="720"/>
                        </w:tabs>
                        <w:ind w:left="0"/>
                        <w:jc w:val="both"/>
                        <w:rPr>
                          <w:rFonts w:ascii="Arial" w:hAnsi="Arial" w:cs="Arial"/>
                          <w:sz w:val="22"/>
                          <w:szCs w:val="22"/>
                          <w:lang w:val="fr-FR"/>
                        </w:rPr>
                      </w:pPr>
                      <w:r w:rsidRPr="006B277A">
                        <w:rPr>
                          <w:rFonts w:ascii="Arial" w:hAnsi="Arial" w:cs="Arial"/>
                          <w:sz w:val="22"/>
                          <w:szCs w:val="22"/>
                          <w:lang w:val="fr-FR"/>
                        </w:rPr>
                        <w:t>Ces ressources (financières et en nature) ont contribué à la mise en œuvre du Programme de travail du Secrétariat pour la période triennale 2015-2017 (UNEP/CMS/COP12/Doc.18).</w:t>
                      </w:r>
                    </w:p>
                    <w:p w:rsidR="008B3956" w:rsidRPr="006B277A" w:rsidRDefault="008B3956" w:rsidP="008B3956">
                      <w:pPr>
                        <w:jc w:val="both"/>
                        <w:rPr>
                          <w:rFonts w:ascii="Arial" w:hAnsi="Arial" w:cs="Arial"/>
                          <w:sz w:val="22"/>
                          <w:szCs w:val="22"/>
                          <w:lang w:val="fr-FR"/>
                        </w:rPr>
                      </w:pPr>
                    </w:p>
                    <w:p w:rsidR="008B3956" w:rsidRPr="006B277A" w:rsidRDefault="008B3956" w:rsidP="008B3956">
                      <w:pPr>
                        <w:jc w:val="both"/>
                        <w:rPr>
                          <w:rFonts w:ascii="Arial" w:hAnsi="Arial" w:cs="Arial"/>
                          <w:i/>
                          <w:sz w:val="22"/>
                          <w:szCs w:val="22"/>
                          <w:lang w:val="fr-FR"/>
                        </w:rPr>
                      </w:pPr>
                      <w:r w:rsidRPr="006B277A">
                        <w:rPr>
                          <w:rFonts w:ascii="Arial" w:hAnsi="Arial" w:cs="Arial"/>
                          <w:sz w:val="22"/>
                          <w:szCs w:val="22"/>
                          <w:lang w:val="fr-FR"/>
                        </w:rPr>
                        <w:t>Ces ressources (financières et en nature</w:t>
                      </w:r>
                      <w:r w:rsidR="00CF6401" w:rsidRPr="006B277A">
                        <w:rPr>
                          <w:rFonts w:ascii="Arial" w:hAnsi="Arial" w:cs="Arial"/>
                          <w:sz w:val="22"/>
                          <w:szCs w:val="22"/>
                          <w:lang w:val="fr-FR"/>
                        </w:rPr>
                        <w:t>)</w:t>
                      </w:r>
                      <w:r w:rsidRPr="006B277A">
                        <w:rPr>
                          <w:rFonts w:ascii="Arial" w:hAnsi="Arial" w:cs="Arial"/>
                          <w:sz w:val="22"/>
                          <w:szCs w:val="22"/>
                          <w:lang w:val="fr-FR"/>
                        </w:rPr>
                        <w:t xml:space="preserve"> contribuent également à la mise en application de nombreuses résolutions ainsi qu’à la réalisation de tous les objectifs du Plan stratégique pour les espèces migratrices 2015-2023.</w:t>
                      </w:r>
                    </w:p>
                  </w:txbxContent>
                </v:textbox>
              </v:shape>
            </w:pict>
          </mc:Fallback>
        </mc:AlternateContent>
      </w:r>
    </w:p>
    <w:p w:rsidR="008B3956" w:rsidRPr="008B3956" w:rsidRDefault="008B3956" w:rsidP="008B3956">
      <w:pPr>
        <w:rPr>
          <w:rFonts w:cs="Arial"/>
          <w:sz w:val="21"/>
          <w:szCs w:val="21"/>
          <w:lang w:val="fr-FR"/>
        </w:rPr>
      </w:pPr>
    </w:p>
    <w:p w:rsidR="008B3956" w:rsidRPr="008B3956" w:rsidRDefault="008B3956" w:rsidP="008B3956">
      <w:pPr>
        <w:rPr>
          <w:rFonts w:cs="Arial"/>
          <w:sz w:val="21"/>
          <w:szCs w:val="21"/>
          <w:lang w:val="fr-FR"/>
        </w:rPr>
      </w:pPr>
    </w:p>
    <w:p w:rsidR="008B3956" w:rsidRPr="008B3956" w:rsidRDefault="008B3956" w:rsidP="008B3956">
      <w:pPr>
        <w:rPr>
          <w:rFonts w:cs="Arial"/>
          <w:sz w:val="21"/>
          <w:szCs w:val="21"/>
          <w:lang w:val="fr-FR"/>
        </w:rPr>
      </w:pPr>
    </w:p>
    <w:p w:rsidR="008B3956" w:rsidRPr="008B3956" w:rsidRDefault="008B3956" w:rsidP="008B3956">
      <w:pPr>
        <w:rPr>
          <w:rFonts w:cs="Arial"/>
          <w:sz w:val="21"/>
          <w:szCs w:val="21"/>
          <w:lang w:val="fr-FR"/>
        </w:rPr>
      </w:pPr>
    </w:p>
    <w:p w:rsidR="008B3956" w:rsidRPr="008B3956" w:rsidRDefault="008B3956" w:rsidP="008B3956">
      <w:pPr>
        <w:rPr>
          <w:rFonts w:cs="Arial"/>
          <w:sz w:val="21"/>
          <w:szCs w:val="21"/>
          <w:lang w:val="fr-FR"/>
        </w:rPr>
      </w:pPr>
    </w:p>
    <w:p w:rsidR="008B3956" w:rsidRPr="008B3956" w:rsidRDefault="008B3956" w:rsidP="008B3956">
      <w:pPr>
        <w:rPr>
          <w:rFonts w:cs="Arial"/>
          <w:sz w:val="21"/>
          <w:szCs w:val="21"/>
          <w:lang w:val="fr-FR"/>
        </w:rPr>
      </w:pPr>
    </w:p>
    <w:p w:rsidR="008B3956" w:rsidRPr="008B3956" w:rsidRDefault="008B3956" w:rsidP="008B3956">
      <w:pPr>
        <w:rPr>
          <w:rFonts w:cs="Arial"/>
          <w:sz w:val="21"/>
          <w:szCs w:val="21"/>
          <w:lang w:val="fr-FR"/>
        </w:rPr>
      </w:pPr>
    </w:p>
    <w:p w:rsidR="008B3956" w:rsidRPr="008B3956" w:rsidRDefault="008B3956" w:rsidP="008B3956">
      <w:pPr>
        <w:rPr>
          <w:rFonts w:cs="Arial"/>
          <w:sz w:val="21"/>
          <w:szCs w:val="21"/>
          <w:lang w:val="fr-FR"/>
        </w:rPr>
      </w:pPr>
    </w:p>
    <w:p w:rsidR="008B3956" w:rsidRPr="008B3956" w:rsidRDefault="008B3956" w:rsidP="008B3956">
      <w:pPr>
        <w:rPr>
          <w:rFonts w:cs="Arial"/>
          <w:sz w:val="21"/>
          <w:szCs w:val="21"/>
          <w:lang w:val="fr-FR"/>
        </w:rPr>
      </w:pPr>
    </w:p>
    <w:p w:rsidR="008B3956" w:rsidRPr="008B3956" w:rsidRDefault="008B3956" w:rsidP="008B3956">
      <w:pPr>
        <w:rPr>
          <w:rFonts w:cs="Arial"/>
          <w:sz w:val="21"/>
          <w:szCs w:val="21"/>
          <w:lang w:val="fr-FR"/>
        </w:rPr>
      </w:pPr>
    </w:p>
    <w:p w:rsidR="008B3956" w:rsidRPr="008B3956" w:rsidRDefault="008B3956" w:rsidP="008B3956">
      <w:pPr>
        <w:rPr>
          <w:rFonts w:cs="Arial"/>
          <w:sz w:val="21"/>
          <w:szCs w:val="21"/>
          <w:lang w:val="fr-FR"/>
        </w:rPr>
      </w:pPr>
    </w:p>
    <w:p w:rsidR="008B3956" w:rsidRPr="008B3956" w:rsidRDefault="008B3956" w:rsidP="008B3956">
      <w:pPr>
        <w:rPr>
          <w:rFonts w:cs="Arial"/>
          <w:sz w:val="21"/>
          <w:szCs w:val="21"/>
          <w:lang w:val="fr-FR"/>
        </w:rPr>
      </w:pPr>
    </w:p>
    <w:p w:rsidR="008B3956" w:rsidRPr="008B3956" w:rsidRDefault="008B3956" w:rsidP="008B3956">
      <w:pPr>
        <w:rPr>
          <w:rFonts w:cs="Arial"/>
          <w:sz w:val="21"/>
          <w:szCs w:val="21"/>
          <w:lang w:val="fr-FR"/>
        </w:rPr>
      </w:pPr>
    </w:p>
    <w:p w:rsidR="008B3956" w:rsidRPr="008B3956" w:rsidRDefault="008B3956" w:rsidP="008B3956">
      <w:pPr>
        <w:rPr>
          <w:rFonts w:cs="Arial"/>
          <w:sz w:val="21"/>
          <w:szCs w:val="21"/>
          <w:lang w:val="fr-FR"/>
        </w:rPr>
      </w:pPr>
    </w:p>
    <w:p w:rsidR="008B3956" w:rsidRPr="008B3956" w:rsidRDefault="008B3956" w:rsidP="008B3956">
      <w:pPr>
        <w:rPr>
          <w:rFonts w:cs="Arial"/>
          <w:sz w:val="21"/>
          <w:szCs w:val="21"/>
          <w:lang w:val="fr-FR"/>
        </w:rPr>
      </w:pPr>
    </w:p>
    <w:p w:rsidR="008B3956" w:rsidRPr="008B3956" w:rsidRDefault="008B3956" w:rsidP="008B3956">
      <w:pPr>
        <w:rPr>
          <w:rFonts w:cs="Arial"/>
          <w:sz w:val="21"/>
          <w:szCs w:val="21"/>
          <w:lang w:val="fr-FR"/>
        </w:rPr>
      </w:pPr>
    </w:p>
    <w:p w:rsidR="008B3956" w:rsidRPr="008B3956" w:rsidRDefault="008B3956" w:rsidP="008B3956">
      <w:pPr>
        <w:rPr>
          <w:rFonts w:cs="Arial"/>
          <w:sz w:val="21"/>
          <w:szCs w:val="21"/>
          <w:lang w:val="fr-FR"/>
        </w:rPr>
      </w:pPr>
    </w:p>
    <w:p w:rsidR="008B3956" w:rsidRPr="008B3956" w:rsidRDefault="008B3956" w:rsidP="008B3956">
      <w:pPr>
        <w:rPr>
          <w:rFonts w:cs="Arial"/>
          <w:sz w:val="21"/>
          <w:szCs w:val="21"/>
          <w:lang w:val="fr-FR"/>
        </w:rPr>
      </w:pPr>
    </w:p>
    <w:p w:rsidR="008B3956" w:rsidRPr="008B3956" w:rsidRDefault="008B3956" w:rsidP="008B3956">
      <w:pPr>
        <w:rPr>
          <w:rFonts w:cs="Arial"/>
          <w:sz w:val="22"/>
          <w:szCs w:val="22"/>
          <w:lang w:val="fr-FR"/>
        </w:rPr>
      </w:pPr>
    </w:p>
    <w:p w:rsidR="008B3956" w:rsidRPr="008B3956" w:rsidRDefault="008B3956" w:rsidP="008B3956">
      <w:pPr>
        <w:rPr>
          <w:rFonts w:cs="Arial"/>
          <w:sz w:val="22"/>
          <w:szCs w:val="22"/>
          <w:lang w:val="fr-FR"/>
        </w:rPr>
      </w:pPr>
    </w:p>
    <w:p w:rsidR="008B3956" w:rsidRPr="008B3956" w:rsidRDefault="008B3956" w:rsidP="008B3956">
      <w:pPr>
        <w:rPr>
          <w:rFonts w:cs="Arial"/>
          <w:sz w:val="22"/>
          <w:szCs w:val="22"/>
          <w:lang w:val="fr-FR"/>
        </w:rPr>
      </w:pPr>
    </w:p>
    <w:p w:rsidR="008B3956" w:rsidRPr="008B3956" w:rsidRDefault="008B3956" w:rsidP="008B3956">
      <w:pPr>
        <w:rPr>
          <w:rFonts w:cs="Arial"/>
          <w:sz w:val="22"/>
          <w:szCs w:val="22"/>
          <w:lang w:val="fr-FR"/>
        </w:rPr>
      </w:pPr>
    </w:p>
    <w:p w:rsidR="008B3956" w:rsidRPr="008B3956" w:rsidRDefault="008B3956" w:rsidP="008B3956">
      <w:pPr>
        <w:rPr>
          <w:rFonts w:cs="Arial"/>
          <w:sz w:val="22"/>
          <w:szCs w:val="22"/>
          <w:lang w:val="fr-FR"/>
        </w:rPr>
      </w:pPr>
    </w:p>
    <w:p w:rsidR="008B3956" w:rsidRPr="008B3956" w:rsidRDefault="008B3956" w:rsidP="008B3956">
      <w:pPr>
        <w:rPr>
          <w:rFonts w:cs="Arial"/>
          <w:sz w:val="22"/>
          <w:szCs w:val="22"/>
          <w:lang w:val="fr-FR"/>
        </w:rPr>
      </w:pPr>
    </w:p>
    <w:p w:rsidR="008B3956" w:rsidRPr="008B3956" w:rsidRDefault="008B3956" w:rsidP="008B3956">
      <w:pPr>
        <w:rPr>
          <w:rFonts w:cs="Arial"/>
          <w:sz w:val="22"/>
          <w:szCs w:val="22"/>
          <w:lang w:val="fr-FR"/>
        </w:rPr>
      </w:pPr>
    </w:p>
    <w:p w:rsidR="008B3956" w:rsidRPr="008B3956" w:rsidRDefault="008B3956" w:rsidP="008B3956">
      <w:pPr>
        <w:rPr>
          <w:rFonts w:cs="Arial"/>
          <w:sz w:val="22"/>
          <w:szCs w:val="22"/>
          <w:lang w:val="fr-FR"/>
        </w:rPr>
      </w:pPr>
    </w:p>
    <w:p w:rsidR="008B3956" w:rsidRPr="008B3956" w:rsidRDefault="008B3956" w:rsidP="008B3956">
      <w:pPr>
        <w:rPr>
          <w:rFonts w:cs="Arial"/>
          <w:sz w:val="22"/>
          <w:szCs w:val="22"/>
          <w:lang w:val="fr-FR"/>
        </w:rPr>
      </w:pPr>
    </w:p>
    <w:p w:rsidR="008B3956" w:rsidRPr="008B3956" w:rsidRDefault="008B3956" w:rsidP="008B3956">
      <w:pPr>
        <w:rPr>
          <w:rFonts w:cs="Arial"/>
          <w:sz w:val="22"/>
          <w:szCs w:val="22"/>
          <w:lang w:val="fr-FR"/>
        </w:rPr>
      </w:pPr>
    </w:p>
    <w:p w:rsidR="008B3956" w:rsidRPr="008B3956" w:rsidRDefault="008B3956" w:rsidP="008B3956">
      <w:pPr>
        <w:rPr>
          <w:rFonts w:cs="Arial"/>
          <w:sz w:val="22"/>
          <w:szCs w:val="22"/>
          <w:lang w:val="fr-FR"/>
        </w:rPr>
      </w:pPr>
    </w:p>
    <w:p w:rsidR="008B3956" w:rsidRPr="008B3956" w:rsidRDefault="008B3956" w:rsidP="008B3956">
      <w:pPr>
        <w:rPr>
          <w:rFonts w:cs="Arial"/>
          <w:sz w:val="22"/>
          <w:szCs w:val="22"/>
          <w:lang w:val="fr-FR"/>
        </w:rPr>
      </w:pPr>
    </w:p>
    <w:p w:rsidR="008B3956" w:rsidRPr="008B3956" w:rsidRDefault="008B3956" w:rsidP="008B3956">
      <w:pPr>
        <w:rPr>
          <w:rFonts w:cs="Arial"/>
          <w:sz w:val="22"/>
          <w:szCs w:val="22"/>
          <w:lang w:val="fr-FR"/>
        </w:rPr>
      </w:pPr>
    </w:p>
    <w:p w:rsidR="008B3956" w:rsidRPr="008B3956" w:rsidRDefault="008B3956" w:rsidP="008B3956">
      <w:pPr>
        <w:tabs>
          <w:tab w:val="left" w:pos="1020"/>
        </w:tabs>
        <w:rPr>
          <w:rFonts w:cs="Arial"/>
          <w:sz w:val="22"/>
          <w:szCs w:val="22"/>
          <w:lang w:val="fr-FR"/>
        </w:rPr>
        <w:sectPr w:rsidR="008B3956" w:rsidRPr="008B3956" w:rsidSect="0052082F">
          <w:headerReference w:type="default" r:id="rId8"/>
          <w:footerReference w:type="even" r:id="rId9"/>
          <w:footerReference w:type="default" r:id="rId10"/>
          <w:headerReference w:type="first" r:id="rId11"/>
          <w:footerReference w:type="first" r:id="rId12"/>
          <w:endnotePr>
            <w:numFmt w:val="decimal"/>
          </w:endnotePr>
          <w:pgSz w:w="11905" w:h="16837" w:code="9"/>
          <w:pgMar w:top="1008" w:right="1411" w:bottom="1152" w:left="1411" w:header="432" w:footer="432" w:gutter="0"/>
          <w:cols w:space="720"/>
          <w:noEndnote/>
          <w:titlePg/>
          <w:docGrid w:linePitch="272"/>
        </w:sectPr>
      </w:pPr>
    </w:p>
    <w:p w:rsidR="008B3956" w:rsidRPr="006B277A" w:rsidRDefault="008B3956" w:rsidP="006B277A">
      <w:pPr>
        <w:pStyle w:val="Heading2"/>
        <w:keepNext w:val="0"/>
        <w:ind w:left="-90" w:right="-367"/>
        <w:jc w:val="center"/>
        <w:rPr>
          <w:rFonts w:ascii="Arial" w:hAnsi="Arial" w:cs="Arial"/>
          <w:sz w:val="22"/>
          <w:szCs w:val="22"/>
          <w:lang w:val="en-GB"/>
        </w:rPr>
      </w:pPr>
      <w:r w:rsidRPr="006B277A">
        <w:rPr>
          <w:rFonts w:ascii="Arial" w:hAnsi="Arial" w:cs="Arial"/>
          <w:sz w:val="22"/>
          <w:szCs w:val="22"/>
          <w:lang w:val="en-GB"/>
        </w:rPr>
        <w:lastRenderedPageBreak/>
        <w:t>MOBILISATION DE RESSOURCES</w:t>
      </w:r>
    </w:p>
    <w:p w:rsidR="008B3956" w:rsidRPr="006B277A" w:rsidRDefault="008B3956" w:rsidP="006B277A">
      <w:pPr>
        <w:jc w:val="both"/>
        <w:rPr>
          <w:rFonts w:ascii="Arial" w:hAnsi="Arial" w:cs="Arial"/>
          <w:sz w:val="22"/>
          <w:szCs w:val="22"/>
          <w:u w:val="single"/>
          <w:lang w:val="en-GB"/>
        </w:rPr>
      </w:pPr>
    </w:p>
    <w:p w:rsidR="008B3956" w:rsidRPr="006B277A" w:rsidRDefault="008B3956" w:rsidP="006B277A">
      <w:pPr>
        <w:jc w:val="both"/>
        <w:rPr>
          <w:rFonts w:ascii="Arial" w:hAnsi="Arial" w:cs="Arial"/>
          <w:sz w:val="22"/>
          <w:szCs w:val="22"/>
          <w:u w:val="single"/>
          <w:lang w:val="en-GB"/>
        </w:rPr>
      </w:pPr>
      <w:r w:rsidRPr="006B277A">
        <w:rPr>
          <w:rFonts w:ascii="Arial" w:hAnsi="Arial" w:cs="Arial"/>
          <w:sz w:val="22"/>
          <w:szCs w:val="22"/>
          <w:u w:val="single"/>
          <w:lang w:val="en-GB"/>
        </w:rPr>
        <w:t>Contexte</w:t>
      </w:r>
    </w:p>
    <w:p w:rsidR="008B3956" w:rsidRPr="006B277A" w:rsidRDefault="008B3956" w:rsidP="006B277A">
      <w:pPr>
        <w:jc w:val="both"/>
        <w:rPr>
          <w:rFonts w:ascii="Arial" w:hAnsi="Arial" w:cs="Arial"/>
          <w:sz w:val="22"/>
          <w:szCs w:val="22"/>
          <w:lang w:val="en-GB"/>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 xml:space="preserve">Le Plan stratégique pour les espèces migratrices 2015-2023 et les résolutions adoptées par les réunions de la Conférence des Parties </w:t>
      </w:r>
      <w:r w:rsidR="00CF6401" w:rsidRPr="006B277A">
        <w:rPr>
          <w:rFonts w:ascii="Arial" w:hAnsi="Arial" w:cs="Arial"/>
          <w:sz w:val="22"/>
          <w:szCs w:val="22"/>
          <w:lang w:val="fr-FR"/>
        </w:rPr>
        <w:t xml:space="preserve">guident le travail </w:t>
      </w:r>
      <w:r w:rsidRPr="006B277A">
        <w:rPr>
          <w:rFonts w:ascii="Arial" w:hAnsi="Arial" w:cs="Arial"/>
          <w:sz w:val="22"/>
          <w:szCs w:val="22"/>
          <w:lang w:val="fr-FR"/>
        </w:rPr>
        <w:t xml:space="preserve">de la Convention en fixant des buts pour sa mise en œuvre aux niveaux national, régional et mondial. Bien que bon nombre de ces dispositions doivent être remplies </w:t>
      </w:r>
      <w:r w:rsidR="00CF6401" w:rsidRPr="006B277A">
        <w:rPr>
          <w:rFonts w:ascii="Arial" w:hAnsi="Arial" w:cs="Arial"/>
          <w:sz w:val="22"/>
          <w:szCs w:val="22"/>
          <w:lang w:val="fr-FR"/>
        </w:rPr>
        <w:t>principalement p</w:t>
      </w:r>
      <w:r w:rsidRPr="006B277A">
        <w:rPr>
          <w:rFonts w:ascii="Arial" w:hAnsi="Arial" w:cs="Arial"/>
          <w:sz w:val="22"/>
          <w:szCs w:val="22"/>
          <w:lang w:val="fr-FR"/>
        </w:rPr>
        <w:t xml:space="preserve">ar les Parties, quelques-unes </w:t>
      </w:r>
      <w:r w:rsidR="00CF6401" w:rsidRPr="006B277A">
        <w:rPr>
          <w:rFonts w:ascii="Arial" w:hAnsi="Arial" w:cs="Arial"/>
          <w:sz w:val="22"/>
          <w:szCs w:val="22"/>
          <w:lang w:val="fr-FR"/>
        </w:rPr>
        <w:t>relèvent de la responsabilité</w:t>
      </w:r>
      <w:r w:rsidRPr="006B277A">
        <w:rPr>
          <w:rFonts w:ascii="Arial" w:hAnsi="Arial" w:cs="Arial"/>
          <w:sz w:val="22"/>
          <w:szCs w:val="22"/>
          <w:lang w:val="fr-FR"/>
        </w:rPr>
        <w:t xml:space="preserve"> du Secrétariat. La 11</w:t>
      </w:r>
      <w:r w:rsidRPr="006B277A">
        <w:rPr>
          <w:rFonts w:ascii="Arial" w:hAnsi="Arial" w:cs="Arial"/>
          <w:sz w:val="22"/>
          <w:szCs w:val="22"/>
          <w:vertAlign w:val="superscript"/>
          <w:lang w:val="fr-FR"/>
        </w:rPr>
        <w:t>ème</w:t>
      </w:r>
      <w:r w:rsidRPr="006B277A">
        <w:rPr>
          <w:rFonts w:ascii="Arial" w:hAnsi="Arial" w:cs="Arial"/>
          <w:sz w:val="22"/>
          <w:szCs w:val="22"/>
          <w:lang w:val="fr-FR"/>
        </w:rPr>
        <w:t xml:space="preserve"> session de la Conférence des Parties (COP11), qui s’est tenue en novembre 2014, a adopté un Programme de travail pour 2015-2017 par la </w:t>
      </w:r>
      <w:hyperlink r:id="rId13" w:history="1">
        <w:r w:rsidRPr="006B277A">
          <w:rPr>
            <w:rStyle w:val="Hyperlink"/>
            <w:rFonts w:ascii="Arial" w:hAnsi="Arial" w:cs="Arial"/>
            <w:sz w:val="22"/>
            <w:szCs w:val="22"/>
            <w:lang w:val="fr-FR"/>
          </w:rPr>
          <w:t>Résolution 11.1 sur les questions financières et administratives</w:t>
        </w:r>
      </w:hyperlink>
      <w:r w:rsidRPr="006B277A">
        <w:rPr>
          <w:rFonts w:ascii="Arial" w:hAnsi="Arial" w:cs="Arial"/>
          <w:sz w:val="22"/>
          <w:szCs w:val="22"/>
          <w:lang w:val="fr-FR"/>
        </w:rPr>
        <w:t>, énumérant une liste d’activités à mener par le Secrétariat, notamment la disposition relative aux services administratifs et à la coordination pour plusieurs accords affiliés qui ne disposent pas de budget de base. Toutefois, le budget triennal pour 2015-2017 approuvé par la COP, a été affecté en grande partie aux traitements d</w:t>
      </w:r>
      <w:r w:rsidR="00CF6401" w:rsidRPr="006B277A">
        <w:rPr>
          <w:rFonts w:ascii="Arial" w:hAnsi="Arial" w:cs="Arial"/>
          <w:sz w:val="22"/>
          <w:szCs w:val="22"/>
          <w:lang w:val="fr-FR"/>
        </w:rPr>
        <w:t>es membres d</w:t>
      </w:r>
      <w:r w:rsidRPr="006B277A">
        <w:rPr>
          <w:rFonts w:ascii="Arial" w:hAnsi="Arial" w:cs="Arial"/>
          <w:sz w:val="22"/>
          <w:szCs w:val="22"/>
          <w:lang w:val="fr-FR"/>
        </w:rPr>
        <w:t xml:space="preserve">u personnel, aux coûts de fonctionnement et à quelques activités, tandis que des contributions volontaires ont dû être sollicitées pour la plupart des activités </w:t>
      </w:r>
      <w:r w:rsidR="00CF6401" w:rsidRPr="006B277A">
        <w:rPr>
          <w:rFonts w:ascii="Arial" w:hAnsi="Arial" w:cs="Arial"/>
          <w:sz w:val="22"/>
          <w:szCs w:val="22"/>
          <w:lang w:val="fr-FR"/>
        </w:rPr>
        <w:t>prévues dans le mandat.</w:t>
      </w:r>
    </w:p>
    <w:p w:rsidR="008B3956" w:rsidRPr="006B277A" w:rsidRDefault="008B3956" w:rsidP="006B277A">
      <w:pPr>
        <w:rPr>
          <w:rFonts w:ascii="Arial" w:hAnsi="Arial" w:cs="Arial"/>
          <w:sz w:val="22"/>
          <w:szCs w:val="22"/>
          <w:lang w:val="fr-FR"/>
        </w:rPr>
      </w:pPr>
    </w:p>
    <w:p w:rsidR="008B3956" w:rsidRPr="006B277A" w:rsidRDefault="008B3956" w:rsidP="006B277A">
      <w:pPr>
        <w:rPr>
          <w:rFonts w:ascii="Arial" w:hAnsi="Arial" w:cs="Arial"/>
          <w:sz w:val="22"/>
          <w:szCs w:val="22"/>
          <w:u w:val="single"/>
          <w:lang w:val="en-GB"/>
        </w:rPr>
      </w:pPr>
      <w:r w:rsidRPr="006B277A">
        <w:rPr>
          <w:rFonts w:ascii="Arial" w:hAnsi="Arial" w:cs="Arial"/>
          <w:sz w:val="22"/>
          <w:szCs w:val="22"/>
          <w:u w:val="single"/>
          <w:lang w:val="en-GB"/>
        </w:rPr>
        <w:t>Efforts</w:t>
      </w:r>
    </w:p>
    <w:p w:rsidR="008B3956" w:rsidRPr="006B277A" w:rsidRDefault="008B3956" w:rsidP="006B277A">
      <w:pPr>
        <w:rPr>
          <w:rFonts w:ascii="Arial" w:hAnsi="Arial" w:cs="Arial"/>
          <w:sz w:val="22"/>
          <w:szCs w:val="22"/>
          <w:lang w:val="en-GB"/>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Durant l’exercice triennal 2015-2017, les efforts de mobilisation de ressources du Secrétariat ont été guidés et se sont appuyés sur les éléments du cadre logique de base ci-après:</w:t>
      </w:r>
    </w:p>
    <w:p w:rsidR="008B3956" w:rsidRPr="006B277A" w:rsidRDefault="008B3956" w:rsidP="006B277A">
      <w:pPr>
        <w:pStyle w:val="ListParagraph"/>
        <w:ind w:left="0"/>
        <w:contextualSpacing w:val="0"/>
        <w:jc w:val="both"/>
        <w:rPr>
          <w:rFonts w:ascii="Arial" w:hAnsi="Arial" w:cs="Arial"/>
          <w:i/>
          <w:sz w:val="22"/>
          <w:szCs w:val="22"/>
          <w:lang w:val="fr-FR"/>
        </w:rPr>
      </w:pPr>
    </w:p>
    <w:tbl>
      <w:tblPr>
        <w:tblStyle w:val="TableGrid"/>
        <w:tblW w:w="0" w:type="auto"/>
        <w:tblLook w:val="04A0" w:firstRow="1" w:lastRow="0" w:firstColumn="1" w:lastColumn="0" w:noHBand="0" w:noVBand="1"/>
      </w:tblPr>
      <w:tblGrid>
        <w:gridCol w:w="1255"/>
        <w:gridCol w:w="7818"/>
      </w:tblGrid>
      <w:tr w:rsidR="008B3956" w:rsidRPr="00486911" w:rsidTr="00ED1132">
        <w:trPr>
          <w:trHeight w:val="665"/>
        </w:trPr>
        <w:tc>
          <w:tcPr>
            <w:tcW w:w="1255" w:type="dxa"/>
            <w:shd w:val="clear" w:color="auto" w:fill="F7CAAC" w:themeFill="accent2" w:themeFillTint="66"/>
            <w:vAlign w:val="center"/>
          </w:tcPr>
          <w:p w:rsidR="008B3956" w:rsidRPr="006B277A" w:rsidRDefault="008B3956" w:rsidP="006B277A">
            <w:pPr>
              <w:pStyle w:val="ListParagraph"/>
              <w:ind w:left="0"/>
              <w:contextualSpacing w:val="0"/>
              <w:rPr>
                <w:rFonts w:cs="Arial"/>
                <w:b/>
                <w:i/>
                <w:sz w:val="22"/>
                <w:szCs w:val="22"/>
                <w:lang w:val="en-GB"/>
              </w:rPr>
            </w:pPr>
            <w:r w:rsidRPr="006B277A">
              <w:rPr>
                <w:rFonts w:cs="Arial"/>
                <w:b/>
                <w:i/>
                <w:sz w:val="22"/>
                <w:szCs w:val="22"/>
                <w:lang w:val="en-GB"/>
              </w:rPr>
              <w:t>BUT</w:t>
            </w:r>
          </w:p>
        </w:tc>
        <w:tc>
          <w:tcPr>
            <w:tcW w:w="7818" w:type="dxa"/>
            <w:vAlign w:val="center"/>
          </w:tcPr>
          <w:p w:rsidR="008B3956" w:rsidRPr="006B277A" w:rsidRDefault="008B3956" w:rsidP="006B277A">
            <w:pPr>
              <w:pStyle w:val="ListParagraph"/>
              <w:ind w:left="0"/>
              <w:contextualSpacing w:val="0"/>
              <w:rPr>
                <w:rFonts w:cs="Arial"/>
                <w:i/>
                <w:sz w:val="22"/>
                <w:szCs w:val="22"/>
                <w:lang w:val="fr-FR"/>
              </w:rPr>
            </w:pPr>
            <w:r w:rsidRPr="006B277A">
              <w:rPr>
                <w:rFonts w:cs="Arial"/>
                <w:i/>
                <w:sz w:val="22"/>
                <w:szCs w:val="22"/>
                <w:lang w:val="fr-FR"/>
              </w:rPr>
              <w:t xml:space="preserve">Assurer le plus de ressources possible pour la mise en œuvre du </w:t>
            </w:r>
            <w:r w:rsidR="00CF6401" w:rsidRPr="006B277A">
              <w:rPr>
                <w:rFonts w:cs="Arial"/>
                <w:i/>
                <w:sz w:val="22"/>
                <w:szCs w:val="22"/>
                <w:lang w:val="fr-FR"/>
              </w:rPr>
              <w:t>P</w:t>
            </w:r>
            <w:r w:rsidRPr="006B277A">
              <w:rPr>
                <w:rFonts w:cs="Arial"/>
                <w:i/>
                <w:sz w:val="22"/>
                <w:szCs w:val="22"/>
                <w:lang w:val="fr-FR"/>
              </w:rPr>
              <w:t>lan stratégique pour les espèces migratrices</w:t>
            </w:r>
          </w:p>
        </w:tc>
      </w:tr>
    </w:tbl>
    <w:p w:rsidR="008B3956" w:rsidRPr="006B277A" w:rsidRDefault="008B3956" w:rsidP="006B277A">
      <w:pPr>
        <w:rPr>
          <w:rFonts w:ascii="Arial" w:hAnsi="Arial" w:cs="Arial"/>
          <w:sz w:val="22"/>
          <w:szCs w:val="22"/>
          <w:lang w:val="fr-FR"/>
        </w:rPr>
      </w:pPr>
    </w:p>
    <w:tbl>
      <w:tblPr>
        <w:tblStyle w:val="TableGrid"/>
        <w:tblW w:w="0" w:type="auto"/>
        <w:tblLook w:val="04A0" w:firstRow="1" w:lastRow="0" w:firstColumn="1" w:lastColumn="0" w:noHBand="0" w:noVBand="1"/>
      </w:tblPr>
      <w:tblGrid>
        <w:gridCol w:w="1255"/>
        <w:gridCol w:w="1350"/>
        <w:gridCol w:w="1260"/>
        <w:gridCol w:w="5208"/>
      </w:tblGrid>
      <w:tr w:rsidR="008B3956" w:rsidRPr="000662EF" w:rsidTr="00ED1132">
        <w:trPr>
          <w:trHeight w:val="665"/>
        </w:trPr>
        <w:tc>
          <w:tcPr>
            <w:tcW w:w="1255" w:type="dxa"/>
            <w:shd w:val="clear" w:color="auto" w:fill="FFE599" w:themeFill="accent4" w:themeFillTint="66"/>
            <w:vAlign w:val="center"/>
          </w:tcPr>
          <w:p w:rsidR="008B3956" w:rsidRPr="000662EF" w:rsidRDefault="008B3956" w:rsidP="006B277A">
            <w:pPr>
              <w:pStyle w:val="ListParagraph"/>
              <w:ind w:left="0"/>
              <w:contextualSpacing w:val="0"/>
              <w:rPr>
                <w:rFonts w:cs="Arial"/>
                <w:bCs/>
                <w:sz w:val="20"/>
                <w:szCs w:val="20"/>
                <w:lang w:val="en-GB"/>
              </w:rPr>
            </w:pPr>
            <w:r w:rsidRPr="000662EF">
              <w:rPr>
                <w:rFonts w:cs="Arial"/>
                <w:bCs/>
                <w:sz w:val="20"/>
                <w:szCs w:val="20"/>
                <w:lang w:val="en-GB"/>
              </w:rPr>
              <w:t>Objectif 1</w:t>
            </w:r>
          </w:p>
        </w:tc>
        <w:tc>
          <w:tcPr>
            <w:tcW w:w="7818" w:type="dxa"/>
            <w:gridSpan w:val="3"/>
            <w:vAlign w:val="center"/>
          </w:tcPr>
          <w:p w:rsidR="008B3956" w:rsidRPr="000662EF" w:rsidRDefault="008B3956" w:rsidP="006B277A">
            <w:pPr>
              <w:pStyle w:val="ListParagraph"/>
              <w:ind w:left="0"/>
              <w:contextualSpacing w:val="0"/>
              <w:rPr>
                <w:rFonts w:cs="Arial"/>
                <w:bCs/>
                <w:sz w:val="20"/>
                <w:szCs w:val="20"/>
                <w:lang w:val="fr-FR"/>
              </w:rPr>
            </w:pPr>
            <w:r w:rsidRPr="000662EF">
              <w:rPr>
                <w:rFonts w:cs="Arial"/>
                <w:bCs/>
                <w:sz w:val="20"/>
                <w:szCs w:val="20"/>
                <w:lang w:val="fr-FR"/>
              </w:rPr>
              <w:t xml:space="preserve">Assurer un financement prévisible, </w:t>
            </w:r>
            <w:r w:rsidR="00625DBB" w:rsidRPr="000662EF">
              <w:rPr>
                <w:rFonts w:cs="Arial"/>
                <w:bCs/>
                <w:sz w:val="20"/>
                <w:szCs w:val="20"/>
                <w:lang w:val="fr-FR"/>
              </w:rPr>
              <w:t>adéquat</w:t>
            </w:r>
            <w:r w:rsidRPr="000662EF">
              <w:rPr>
                <w:rFonts w:cs="Arial"/>
                <w:bCs/>
                <w:sz w:val="20"/>
                <w:szCs w:val="20"/>
                <w:lang w:val="fr-FR"/>
              </w:rPr>
              <w:t xml:space="preserve"> et régulier et des engagements p</w:t>
            </w:r>
            <w:r w:rsidR="00CF6401" w:rsidRPr="000662EF">
              <w:rPr>
                <w:rFonts w:cs="Arial"/>
                <w:bCs/>
                <w:sz w:val="20"/>
                <w:szCs w:val="20"/>
                <w:lang w:val="fr-FR"/>
              </w:rPr>
              <w:t>luriannuels</w:t>
            </w:r>
          </w:p>
        </w:tc>
      </w:tr>
      <w:tr w:rsidR="008B3956" w:rsidRPr="000662EF" w:rsidTr="00ED1132">
        <w:trPr>
          <w:gridBefore w:val="1"/>
          <w:wBefore w:w="1255" w:type="dxa"/>
          <w:trHeight w:val="548"/>
        </w:trPr>
        <w:tc>
          <w:tcPr>
            <w:tcW w:w="1350" w:type="dxa"/>
            <w:shd w:val="clear" w:color="auto" w:fill="BDD6EE" w:themeFill="accent1" w:themeFillTint="66"/>
            <w:vAlign w:val="center"/>
          </w:tcPr>
          <w:p w:rsidR="008B3956" w:rsidRPr="000662EF" w:rsidRDefault="008B3956" w:rsidP="006B277A">
            <w:pPr>
              <w:pStyle w:val="ListParagraph"/>
              <w:ind w:left="0"/>
              <w:contextualSpacing w:val="0"/>
              <w:rPr>
                <w:rFonts w:cs="Arial"/>
                <w:sz w:val="19"/>
                <w:szCs w:val="19"/>
                <w:lang w:val="en-GB"/>
              </w:rPr>
            </w:pPr>
            <w:r w:rsidRPr="000662EF">
              <w:rPr>
                <w:rFonts w:cs="Arial"/>
                <w:sz w:val="19"/>
                <w:szCs w:val="19"/>
                <w:lang w:val="en-GB"/>
              </w:rPr>
              <w:t>Approche 1.1</w:t>
            </w:r>
          </w:p>
        </w:tc>
        <w:tc>
          <w:tcPr>
            <w:tcW w:w="6468" w:type="dxa"/>
            <w:gridSpan w:val="2"/>
            <w:vAlign w:val="center"/>
          </w:tcPr>
          <w:p w:rsidR="008B3956" w:rsidRPr="000662EF" w:rsidRDefault="008B3956" w:rsidP="006B277A">
            <w:pPr>
              <w:pStyle w:val="ListParagraph"/>
              <w:ind w:left="0"/>
              <w:contextualSpacing w:val="0"/>
              <w:jc w:val="both"/>
              <w:rPr>
                <w:rFonts w:cs="Arial"/>
                <w:bCs/>
                <w:sz w:val="19"/>
                <w:szCs w:val="19"/>
                <w:lang w:val="fr-FR"/>
              </w:rPr>
            </w:pPr>
            <w:r w:rsidRPr="000662EF">
              <w:rPr>
                <w:rFonts w:cs="Arial"/>
                <w:bCs/>
                <w:sz w:val="19"/>
                <w:szCs w:val="19"/>
                <w:lang w:val="fr-FR"/>
              </w:rPr>
              <w:t>Hiérarchisation: déterminer les besoins de financement par rapport à la capacité d’exécution, par exemple un aperçu des besoins de financement dérivant du Programme de travail</w:t>
            </w:r>
          </w:p>
        </w:tc>
      </w:tr>
      <w:tr w:rsidR="008B3956" w:rsidRPr="000662EF" w:rsidTr="00ED1132">
        <w:trPr>
          <w:gridBefore w:val="2"/>
          <w:wBefore w:w="2605" w:type="dxa"/>
          <w:trHeight w:val="440"/>
        </w:trPr>
        <w:tc>
          <w:tcPr>
            <w:tcW w:w="1260" w:type="dxa"/>
            <w:shd w:val="clear" w:color="auto" w:fill="C5E0B3" w:themeFill="accent6" w:themeFillTint="66"/>
            <w:vAlign w:val="center"/>
          </w:tcPr>
          <w:p w:rsidR="008B3956" w:rsidRPr="000662EF" w:rsidRDefault="008B3956" w:rsidP="006B277A">
            <w:pPr>
              <w:pStyle w:val="ListParagraph"/>
              <w:ind w:left="0"/>
              <w:contextualSpacing w:val="0"/>
              <w:rPr>
                <w:rFonts w:cs="Arial"/>
                <w:i/>
                <w:szCs w:val="18"/>
                <w:lang w:val="en-GB"/>
              </w:rPr>
            </w:pPr>
            <w:r w:rsidRPr="000662EF">
              <w:rPr>
                <w:rFonts w:cs="Arial"/>
                <w:i/>
                <w:szCs w:val="18"/>
                <w:lang w:val="en-GB"/>
              </w:rPr>
              <w:t>Outil 1.1.1</w:t>
            </w:r>
          </w:p>
        </w:tc>
        <w:tc>
          <w:tcPr>
            <w:tcW w:w="5208" w:type="dxa"/>
            <w:vAlign w:val="center"/>
          </w:tcPr>
          <w:p w:rsidR="008B3956" w:rsidRPr="000662EF" w:rsidRDefault="008B3956" w:rsidP="006B277A">
            <w:pPr>
              <w:pStyle w:val="ListParagraph"/>
              <w:ind w:left="0"/>
              <w:contextualSpacing w:val="0"/>
              <w:jc w:val="both"/>
              <w:rPr>
                <w:rFonts w:cs="Arial"/>
                <w:bCs/>
                <w:szCs w:val="18"/>
                <w:lang w:val="fr-FR"/>
              </w:rPr>
            </w:pPr>
            <w:r w:rsidRPr="000662EF">
              <w:rPr>
                <w:rFonts w:cs="Arial"/>
                <w:bCs/>
                <w:szCs w:val="18"/>
                <w:lang w:val="fr-FR"/>
              </w:rPr>
              <w:t xml:space="preserve">Appels généraux - lettres aux donateurs potentiels dont les Parties à la CMS et les Signataires des MdE ayant besoin de financement </w:t>
            </w:r>
          </w:p>
        </w:tc>
      </w:tr>
      <w:tr w:rsidR="008B3956" w:rsidRPr="000662EF" w:rsidTr="00ED1132">
        <w:trPr>
          <w:gridBefore w:val="2"/>
          <w:wBefore w:w="2605" w:type="dxa"/>
          <w:trHeight w:val="530"/>
        </w:trPr>
        <w:tc>
          <w:tcPr>
            <w:tcW w:w="1260" w:type="dxa"/>
            <w:shd w:val="clear" w:color="auto" w:fill="C5E0B3" w:themeFill="accent6" w:themeFillTint="66"/>
            <w:vAlign w:val="center"/>
          </w:tcPr>
          <w:p w:rsidR="008B3956" w:rsidRPr="000662EF" w:rsidRDefault="008B3956" w:rsidP="006B277A">
            <w:pPr>
              <w:pStyle w:val="ListParagraph"/>
              <w:ind w:left="0"/>
              <w:contextualSpacing w:val="0"/>
              <w:rPr>
                <w:rFonts w:cs="Arial"/>
                <w:i/>
                <w:szCs w:val="18"/>
                <w:lang w:val="en-GB"/>
              </w:rPr>
            </w:pPr>
            <w:r w:rsidRPr="000662EF">
              <w:rPr>
                <w:rFonts w:cs="Arial"/>
                <w:i/>
                <w:szCs w:val="18"/>
                <w:lang w:val="en-GB"/>
              </w:rPr>
              <w:t>Outil 1.1.2</w:t>
            </w:r>
          </w:p>
        </w:tc>
        <w:tc>
          <w:tcPr>
            <w:tcW w:w="5208" w:type="dxa"/>
            <w:vAlign w:val="center"/>
          </w:tcPr>
          <w:p w:rsidR="008B3956" w:rsidRPr="000662EF" w:rsidRDefault="008B3956" w:rsidP="006B277A">
            <w:pPr>
              <w:pStyle w:val="ListParagraph"/>
              <w:ind w:left="0"/>
              <w:contextualSpacing w:val="0"/>
              <w:jc w:val="both"/>
              <w:rPr>
                <w:rFonts w:cs="Arial"/>
                <w:bCs/>
                <w:szCs w:val="18"/>
                <w:lang w:val="fr-FR"/>
              </w:rPr>
            </w:pPr>
            <w:r w:rsidRPr="000662EF">
              <w:rPr>
                <w:rFonts w:cs="Arial"/>
                <w:bCs/>
                <w:szCs w:val="18"/>
                <w:lang w:val="fr-FR"/>
              </w:rPr>
              <w:t xml:space="preserve">Appels particuliers – communications écrites et contacts directs et personnels avec des propositions spécifiques </w:t>
            </w:r>
            <w:r w:rsidR="00CF6401" w:rsidRPr="000662EF">
              <w:rPr>
                <w:rFonts w:cs="Arial"/>
                <w:bCs/>
                <w:szCs w:val="18"/>
                <w:lang w:val="fr-FR"/>
              </w:rPr>
              <w:t>adressées à de</w:t>
            </w:r>
            <w:r w:rsidRPr="000662EF">
              <w:rPr>
                <w:rFonts w:cs="Arial"/>
                <w:bCs/>
                <w:szCs w:val="18"/>
                <w:lang w:val="fr-FR"/>
              </w:rPr>
              <w:t>s donateurs potentiels</w:t>
            </w:r>
          </w:p>
        </w:tc>
      </w:tr>
      <w:tr w:rsidR="008B3956" w:rsidRPr="000662EF" w:rsidTr="00ED1132">
        <w:trPr>
          <w:gridBefore w:val="1"/>
          <w:wBefore w:w="1255" w:type="dxa"/>
          <w:trHeight w:val="530"/>
        </w:trPr>
        <w:tc>
          <w:tcPr>
            <w:tcW w:w="1350" w:type="dxa"/>
            <w:shd w:val="clear" w:color="auto" w:fill="BDD6EE" w:themeFill="accent1" w:themeFillTint="66"/>
            <w:vAlign w:val="center"/>
          </w:tcPr>
          <w:p w:rsidR="008B3956" w:rsidRPr="000662EF" w:rsidRDefault="008B3956" w:rsidP="006B277A">
            <w:pPr>
              <w:pStyle w:val="ListParagraph"/>
              <w:ind w:left="0"/>
              <w:contextualSpacing w:val="0"/>
              <w:rPr>
                <w:rFonts w:cs="Arial"/>
                <w:sz w:val="19"/>
                <w:szCs w:val="19"/>
                <w:lang w:val="en-GB"/>
              </w:rPr>
            </w:pPr>
            <w:r w:rsidRPr="000662EF">
              <w:rPr>
                <w:rFonts w:cs="Arial"/>
                <w:sz w:val="19"/>
                <w:szCs w:val="19"/>
                <w:lang w:val="en-GB"/>
              </w:rPr>
              <w:t>Approche 1.2</w:t>
            </w:r>
          </w:p>
        </w:tc>
        <w:tc>
          <w:tcPr>
            <w:tcW w:w="6468" w:type="dxa"/>
            <w:gridSpan w:val="2"/>
            <w:vAlign w:val="center"/>
          </w:tcPr>
          <w:p w:rsidR="008B3956" w:rsidRPr="000662EF" w:rsidRDefault="008B3956" w:rsidP="006B277A">
            <w:pPr>
              <w:pStyle w:val="ListParagraph"/>
              <w:ind w:left="0"/>
              <w:contextualSpacing w:val="0"/>
              <w:jc w:val="both"/>
              <w:rPr>
                <w:rFonts w:cs="Arial"/>
                <w:sz w:val="19"/>
                <w:szCs w:val="19"/>
                <w:lang w:val="fr-FR"/>
              </w:rPr>
            </w:pPr>
            <w:r w:rsidRPr="000662EF">
              <w:rPr>
                <w:rFonts w:cs="Arial"/>
                <w:sz w:val="19"/>
                <w:szCs w:val="19"/>
                <w:lang w:val="fr-FR"/>
              </w:rPr>
              <w:t xml:space="preserve">Engagement avec des accords </w:t>
            </w:r>
            <w:r w:rsidR="00CF6401" w:rsidRPr="000662EF">
              <w:rPr>
                <w:rFonts w:cs="Arial"/>
                <w:sz w:val="19"/>
                <w:szCs w:val="19"/>
                <w:lang w:val="fr-FR"/>
              </w:rPr>
              <w:t>financiers pluriannuels,</w:t>
            </w:r>
            <w:r w:rsidRPr="000662EF">
              <w:rPr>
                <w:rFonts w:cs="Arial"/>
                <w:sz w:val="19"/>
                <w:szCs w:val="19"/>
                <w:lang w:val="fr-FR"/>
              </w:rPr>
              <w:t xml:space="preserve"> par exemple des subventions de la CE</w:t>
            </w:r>
            <w:r w:rsidRPr="000662EF">
              <w:rPr>
                <w:rStyle w:val="FootnoteReference"/>
                <w:rFonts w:cs="Arial"/>
                <w:sz w:val="19"/>
                <w:szCs w:val="19"/>
                <w:vertAlign w:val="superscript"/>
                <w:lang w:val="en-GB"/>
              </w:rPr>
              <w:footnoteReference w:id="1"/>
            </w:r>
            <w:r w:rsidRPr="000662EF">
              <w:rPr>
                <w:rFonts w:cs="Arial"/>
                <w:sz w:val="19"/>
                <w:szCs w:val="19"/>
                <w:lang w:val="fr-FR"/>
              </w:rPr>
              <w:t xml:space="preserve"> , IKI</w:t>
            </w:r>
            <w:r w:rsidRPr="000662EF">
              <w:rPr>
                <w:rStyle w:val="FootnoteReference"/>
                <w:rFonts w:cs="Arial"/>
                <w:sz w:val="19"/>
                <w:szCs w:val="19"/>
                <w:vertAlign w:val="superscript"/>
                <w:lang w:val="en-GB"/>
              </w:rPr>
              <w:footnoteReference w:id="2"/>
            </w:r>
          </w:p>
        </w:tc>
      </w:tr>
      <w:tr w:rsidR="008B3956" w:rsidRPr="000662EF" w:rsidTr="00ED1132">
        <w:trPr>
          <w:gridBefore w:val="2"/>
          <w:wBefore w:w="2605" w:type="dxa"/>
          <w:trHeight w:val="440"/>
        </w:trPr>
        <w:tc>
          <w:tcPr>
            <w:tcW w:w="1260" w:type="dxa"/>
            <w:shd w:val="clear" w:color="auto" w:fill="C5E0B3" w:themeFill="accent6" w:themeFillTint="66"/>
            <w:vAlign w:val="center"/>
          </w:tcPr>
          <w:p w:rsidR="008B3956" w:rsidRPr="000662EF" w:rsidRDefault="008B3956" w:rsidP="006B277A">
            <w:pPr>
              <w:pStyle w:val="ListParagraph"/>
              <w:ind w:left="0"/>
              <w:contextualSpacing w:val="0"/>
              <w:rPr>
                <w:rFonts w:cs="Arial"/>
                <w:i/>
                <w:szCs w:val="18"/>
                <w:lang w:val="en-GB"/>
              </w:rPr>
            </w:pPr>
            <w:r w:rsidRPr="000662EF">
              <w:rPr>
                <w:rFonts w:cs="Arial"/>
                <w:i/>
                <w:szCs w:val="18"/>
                <w:lang w:val="en-GB"/>
              </w:rPr>
              <w:t>Outil 1.2.1</w:t>
            </w:r>
          </w:p>
        </w:tc>
        <w:tc>
          <w:tcPr>
            <w:tcW w:w="5208" w:type="dxa"/>
            <w:vAlign w:val="center"/>
          </w:tcPr>
          <w:p w:rsidR="008B3956" w:rsidRPr="000662EF" w:rsidRDefault="008B3956" w:rsidP="006B277A">
            <w:pPr>
              <w:pStyle w:val="ListParagraph"/>
              <w:ind w:left="0"/>
              <w:contextualSpacing w:val="0"/>
              <w:jc w:val="both"/>
              <w:rPr>
                <w:rFonts w:cs="Arial"/>
                <w:bCs/>
                <w:szCs w:val="18"/>
                <w:lang w:val="fr-FR"/>
              </w:rPr>
            </w:pPr>
            <w:r w:rsidRPr="000662EF">
              <w:rPr>
                <w:rFonts w:cs="Arial"/>
                <w:bCs/>
                <w:szCs w:val="18"/>
                <w:lang w:val="fr-FR"/>
              </w:rPr>
              <w:t>Consultations et soumission de propositions de projet</w:t>
            </w:r>
          </w:p>
        </w:tc>
      </w:tr>
      <w:tr w:rsidR="008B3956" w:rsidRPr="000662EF" w:rsidTr="00ED1132">
        <w:trPr>
          <w:gridBefore w:val="1"/>
          <w:wBefore w:w="1255" w:type="dxa"/>
          <w:trHeight w:val="530"/>
        </w:trPr>
        <w:tc>
          <w:tcPr>
            <w:tcW w:w="1350" w:type="dxa"/>
            <w:shd w:val="clear" w:color="auto" w:fill="BDD6EE" w:themeFill="accent1" w:themeFillTint="66"/>
            <w:vAlign w:val="center"/>
          </w:tcPr>
          <w:p w:rsidR="008B3956" w:rsidRPr="000662EF" w:rsidRDefault="008B3956" w:rsidP="006B277A">
            <w:pPr>
              <w:pStyle w:val="ListParagraph"/>
              <w:ind w:left="0"/>
              <w:contextualSpacing w:val="0"/>
              <w:jc w:val="right"/>
              <w:rPr>
                <w:rFonts w:cs="Arial"/>
                <w:i/>
                <w:sz w:val="19"/>
                <w:szCs w:val="19"/>
                <w:lang w:val="en-GB"/>
              </w:rPr>
            </w:pPr>
            <w:r w:rsidRPr="000662EF">
              <w:rPr>
                <w:rFonts w:cs="Arial"/>
                <w:sz w:val="19"/>
                <w:szCs w:val="19"/>
                <w:lang w:val="en-GB"/>
              </w:rPr>
              <w:t>Approche 1.3</w:t>
            </w:r>
          </w:p>
        </w:tc>
        <w:tc>
          <w:tcPr>
            <w:tcW w:w="6468" w:type="dxa"/>
            <w:gridSpan w:val="2"/>
            <w:vAlign w:val="center"/>
          </w:tcPr>
          <w:p w:rsidR="008B3956" w:rsidRPr="000662EF" w:rsidRDefault="008B3956" w:rsidP="006B277A">
            <w:pPr>
              <w:pStyle w:val="ListParagraph"/>
              <w:ind w:left="0"/>
              <w:contextualSpacing w:val="0"/>
              <w:jc w:val="both"/>
              <w:rPr>
                <w:rFonts w:cs="Arial"/>
                <w:bCs/>
                <w:sz w:val="19"/>
                <w:szCs w:val="19"/>
                <w:lang w:val="fr-FR"/>
              </w:rPr>
            </w:pPr>
            <w:r w:rsidRPr="000662EF">
              <w:rPr>
                <w:rFonts w:cs="Arial"/>
                <w:bCs/>
                <w:sz w:val="19"/>
                <w:szCs w:val="19"/>
                <w:lang w:val="fr-FR"/>
              </w:rPr>
              <w:t>Programme des champions des espèces migratrices</w:t>
            </w:r>
          </w:p>
        </w:tc>
      </w:tr>
    </w:tbl>
    <w:p w:rsidR="008B3956" w:rsidRPr="006B277A" w:rsidRDefault="008B3956" w:rsidP="006B277A">
      <w:pPr>
        <w:rPr>
          <w:rFonts w:ascii="Arial" w:hAnsi="Arial" w:cs="Arial"/>
          <w:sz w:val="22"/>
          <w:szCs w:val="22"/>
          <w:lang w:val="fr-FR"/>
        </w:rPr>
      </w:pPr>
    </w:p>
    <w:tbl>
      <w:tblPr>
        <w:tblStyle w:val="TableGrid"/>
        <w:tblW w:w="0" w:type="auto"/>
        <w:tblLook w:val="04A0" w:firstRow="1" w:lastRow="0" w:firstColumn="1" w:lastColumn="0" w:noHBand="0" w:noVBand="1"/>
      </w:tblPr>
      <w:tblGrid>
        <w:gridCol w:w="1255"/>
        <w:gridCol w:w="1350"/>
        <w:gridCol w:w="6468"/>
      </w:tblGrid>
      <w:tr w:rsidR="008B3956" w:rsidRPr="000662EF" w:rsidTr="00ED1132">
        <w:trPr>
          <w:trHeight w:val="620"/>
        </w:trPr>
        <w:tc>
          <w:tcPr>
            <w:tcW w:w="1255" w:type="dxa"/>
            <w:shd w:val="clear" w:color="auto" w:fill="FFE599" w:themeFill="accent4" w:themeFillTint="66"/>
            <w:vAlign w:val="center"/>
          </w:tcPr>
          <w:p w:rsidR="008B3956" w:rsidRPr="000662EF" w:rsidRDefault="008B3956" w:rsidP="006B277A">
            <w:pPr>
              <w:pStyle w:val="ListParagraph"/>
              <w:ind w:left="0"/>
              <w:contextualSpacing w:val="0"/>
              <w:jc w:val="both"/>
              <w:rPr>
                <w:rFonts w:cs="Arial"/>
                <w:bCs/>
                <w:sz w:val="20"/>
                <w:szCs w:val="20"/>
                <w:lang w:val="en-GB"/>
              </w:rPr>
            </w:pPr>
            <w:r w:rsidRPr="000662EF">
              <w:rPr>
                <w:rFonts w:cs="Arial"/>
                <w:bCs/>
                <w:sz w:val="20"/>
                <w:szCs w:val="20"/>
                <w:lang w:val="en-GB"/>
              </w:rPr>
              <w:t>Objectif 2</w:t>
            </w:r>
          </w:p>
        </w:tc>
        <w:tc>
          <w:tcPr>
            <w:tcW w:w="7818" w:type="dxa"/>
            <w:gridSpan w:val="2"/>
            <w:vAlign w:val="center"/>
          </w:tcPr>
          <w:p w:rsidR="008B3956" w:rsidRPr="000662EF" w:rsidRDefault="008B3956" w:rsidP="006B277A">
            <w:pPr>
              <w:pStyle w:val="ListParagraph"/>
              <w:ind w:left="0"/>
              <w:contextualSpacing w:val="0"/>
              <w:jc w:val="both"/>
              <w:rPr>
                <w:rFonts w:cs="Arial"/>
                <w:bCs/>
                <w:sz w:val="20"/>
                <w:szCs w:val="20"/>
                <w:lang w:val="fr-FR"/>
              </w:rPr>
            </w:pPr>
            <w:r w:rsidRPr="000662EF">
              <w:rPr>
                <w:rFonts w:cs="Arial"/>
                <w:bCs/>
                <w:sz w:val="20"/>
                <w:szCs w:val="20"/>
                <w:lang w:val="fr-FR"/>
              </w:rPr>
              <w:t>Élargir la base de donateurs</w:t>
            </w:r>
          </w:p>
        </w:tc>
      </w:tr>
      <w:tr w:rsidR="008B3956" w:rsidRPr="000662EF" w:rsidTr="00ED1132">
        <w:trPr>
          <w:gridBefore w:val="1"/>
          <w:wBefore w:w="1255" w:type="dxa"/>
          <w:trHeight w:val="530"/>
        </w:trPr>
        <w:tc>
          <w:tcPr>
            <w:tcW w:w="1350" w:type="dxa"/>
            <w:shd w:val="clear" w:color="auto" w:fill="BDD6EE" w:themeFill="accent1" w:themeFillTint="66"/>
            <w:vAlign w:val="center"/>
          </w:tcPr>
          <w:p w:rsidR="008B3956" w:rsidRPr="000662EF" w:rsidRDefault="008B3956" w:rsidP="006B277A">
            <w:pPr>
              <w:pStyle w:val="ListParagraph"/>
              <w:ind w:left="0"/>
              <w:contextualSpacing w:val="0"/>
              <w:jc w:val="both"/>
              <w:rPr>
                <w:rFonts w:cs="Arial"/>
                <w:i/>
                <w:sz w:val="19"/>
                <w:szCs w:val="19"/>
                <w:lang w:val="en-GB"/>
              </w:rPr>
            </w:pPr>
            <w:r w:rsidRPr="000662EF">
              <w:rPr>
                <w:rFonts w:cs="Arial"/>
                <w:sz w:val="19"/>
                <w:szCs w:val="19"/>
                <w:lang w:val="en-GB"/>
              </w:rPr>
              <w:t>Approche 2.1</w:t>
            </w:r>
          </w:p>
        </w:tc>
        <w:tc>
          <w:tcPr>
            <w:tcW w:w="6468" w:type="dxa"/>
            <w:vAlign w:val="center"/>
          </w:tcPr>
          <w:p w:rsidR="008B3956" w:rsidRPr="000662EF" w:rsidRDefault="008B3956" w:rsidP="006B277A">
            <w:pPr>
              <w:pStyle w:val="ListParagraph"/>
              <w:ind w:left="0"/>
              <w:contextualSpacing w:val="0"/>
              <w:jc w:val="both"/>
              <w:rPr>
                <w:rFonts w:cs="Arial"/>
                <w:bCs/>
                <w:sz w:val="19"/>
                <w:szCs w:val="19"/>
                <w:lang w:val="fr-FR"/>
              </w:rPr>
            </w:pPr>
            <w:r w:rsidRPr="000662EF">
              <w:rPr>
                <w:rFonts w:cs="Arial"/>
                <w:bCs/>
                <w:sz w:val="19"/>
                <w:szCs w:val="19"/>
                <w:lang w:val="fr-FR"/>
              </w:rPr>
              <w:t>Programme des champions des espèces migratrices</w:t>
            </w:r>
          </w:p>
        </w:tc>
      </w:tr>
    </w:tbl>
    <w:p w:rsidR="008B3956" w:rsidRPr="006B277A" w:rsidRDefault="008B3956" w:rsidP="006B277A">
      <w:pPr>
        <w:rPr>
          <w:rFonts w:ascii="Arial" w:hAnsi="Arial" w:cs="Arial"/>
          <w:sz w:val="22"/>
          <w:szCs w:val="22"/>
          <w:lang w:val="fr-FR"/>
        </w:rPr>
      </w:pPr>
    </w:p>
    <w:tbl>
      <w:tblPr>
        <w:tblStyle w:val="TableGrid"/>
        <w:tblW w:w="0" w:type="auto"/>
        <w:tblLook w:val="04A0" w:firstRow="1" w:lastRow="0" w:firstColumn="1" w:lastColumn="0" w:noHBand="0" w:noVBand="1"/>
      </w:tblPr>
      <w:tblGrid>
        <w:gridCol w:w="1251"/>
        <w:gridCol w:w="1345"/>
        <w:gridCol w:w="1359"/>
        <w:gridCol w:w="5118"/>
      </w:tblGrid>
      <w:tr w:rsidR="008B3956" w:rsidRPr="000662EF" w:rsidTr="00ED1132">
        <w:trPr>
          <w:trHeight w:val="620"/>
        </w:trPr>
        <w:tc>
          <w:tcPr>
            <w:tcW w:w="1251" w:type="dxa"/>
            <w:shd w:val="clear" w:color="auto" w:fill="FFE599" w:themeFill="accent4" w:themeFillTint="66"/>
            <w:vAlign w:val="center"/>
          </w:tcPr>
          <w:p w:rsidR="008B3956" w:rsidRPr="000662EF" w:rsidRDefault="008B3956" w:rsidP="006B277A">
            <w:pPr>
              <w:pStyle w:val="ListParagraph"/>
              <w:ind w:left="0"/>
              <w:contextualSpacing w:val="0"/>
              <w:jc w:val="both"/>
              <w:rPr>
                <w:rFonts w:cs="Arial"/>
                <w:bCs/>
                <w:sz w:val="20"/>
                <w:szCs w:val="20"/>
                <w:lang w:val="en-GB"/>
              </w:rPr>
            </w:pPr>
            <w:r w:rsidRPr="000662EF">
              <w:rPr>
                <w:rFonts w:cs="Arial"/>
                <w:bCs/>
                <w:sz w:val="20"/>
                <w:szCs w:val="20"/>
                <w:lang w:val="en-GB"/>
              </w:rPr>
              <w:t>Objectif 3</w:t>
            </w:r>
          </w:p>
        </w:tc>
        <w:tc>
          <w:tcPr>
            <w:tcW w:w="7822" w:type="dxa"/>
            <w:gridSpan w:val="3"/>
            <w:vAlign w:val="center"/>
          </w:tcPr>
          <w:p w:rsidR="008B3956" w:rsidRPr="000662EF" w:rsidRDefault="00CF6401" w:rsidP="006B277A">
            <w:pPr>
              <w:pStyle w:val="ListParagraph"/>
              <w:ind w:left="0"/>
              <w:contextualSpacing w:val="0"/>
              <w:jc w:val="both"/>
              <w:rPr>
                <w:rFonts w:cs="Arial"/>
                <w:bCs/>
                <w:sz w:val="20"/>
                <w:szCs w:val="20"/>
                <w:lang w:val="fr-FR"/>
              </w:rPr>
            </w:pPr>
            <w:r w:rsidRPr="000662EF">
              <w:rPr>
                <w:rFonts w:cs="Arial"/>
                <w:bCs/>
                <w:sz w:val="20"/>
                <w:szCs w:val="20"/>
                <w:lang w:val="fr-FR"/>
              </w:rPr>
              <w:t>Accroître le travail en synergie a</w:t>
            </w:r>
            <w:r w:rsidR="000B6EE6" w:rsidRPr="000662EF">
              <w:rPr>
                <w:rFonts w:cs="Arial"/>
                <w:bCs/>
                <w:sz w:val="20"/>
                <w:szCs w:val="20"/>
                <w:lang w:val="fr-FR"/>
              </w:rPr>
              <w:t>vec</w:t>
            </w:r>
            <w:r w:rsidR="008B3956" w:rsidRPr="000662EF">
              <w:rPr>
                <w:rFonts w:cs="Arial"/>
                <w:bCs/>
                <w:sz w:val="20"/>
                <w:szCs w:val="20"/>
                <w:lang w:val="fr-FR"/>
              </w:rPr>
              <w:t xml:space="preserve"> la Famille CMS et d’autres organisations pertinentes</w:t>
            </w:r>
          </w:p>
        </w:tc>
      </w:tr>
      <w:tr w:rsidR="008B3956" w:rsidRPr="000662EF" w:rsidTr="00ED1132">
        <w:trPr>
          <w:gridBefore w:val="1"/>
          <w:wBefore w:w="1251" w:type="dxa"/>
          <w:trHeight w:val="638"/>
        </w:trPr>
        <w:tc>
          <w:tcPr>
            <w:tcW w:w="1345" w:type="dxa"/>
            <w:shd w:val="clear" w:color="auto" w:fill="BDD6EE" w:themeFill="accent1" w:themeFillTint="66"/>
            <w:vAlign w:val="center"/>
          </w:tcPr>
          <w:p w:rsidR="008B3956" w:rsidRPr="000662EF" w:rsidRDefault="008B3956" w:rsidP="006B277A">
            <w:pPr>
              <w:pStyle w:val="ListParagraph"/>
              <w:ind w:left="0"/>
              <w:contextualSpacing w:val="0"/>
              <w:rPr>
                <w:rFonts w:cs="Arial"/>
                <w:sz w:val="19"/>
                <w:szCs w:val="19"/>
                <w:lang w:val="en-GB"/>
              </w:rPr>
            </w:pPr>
            <w:r w:rsidRPr="000662EF">
              <w:rPr>
                <w:rFonts w:cs="Arial"/>
                <w:sz w:val="19"/>
                <w:szCs w:val="19"/>
                <w:lang w:val="en-GB"/>
              </w:rPr>
              <w:lastRenderedPageBreak/>
              <w:t>Approche 3.1</w:t>
            </w:r>
          </w:p>
        </w:tc>
        <w:tc>
          <w:tcPr>
            <w:tcW w:w="6477" w:type="dxa"/>
            <w:gridSpan w:val="2"/>
            <w:vAlign w:val="center"/>
          </w:tcPr>
          <w:p w:rsidR="008B3956" w:rsidRPr="000662EF" w:rsidRDefault="008B3956" w:rsidP="006B277A">
            <w:pPr>
              <w:pStyle w:val="ListParagraph"/>
              <w:ind w:left="0"/>
              <w:contextualSpacing w:val="0"/>
              <w:jc w:val="both"/>
              <w:rPr>
                <w:rFonts w:cs="Arial"/>
                <w:sz w:val="19"/>
                <w:szCs w:val="19"/>
                <w:lang w:val="fr-FR"/>
              </w:rPr>
            </w:pPr>
            <w:r w:rsidRPr="000662EF">
              <w:rPr>
                <w:rFonts w:cs="Arial"/>
                <w:sz w:val="19"/>
                <w:szCs w:val="19"/>
                <w:lang w:val="fr-FR"/>
              </w:rPr>
              <w:t>Coopérer pour</w:t>
            </w:r>
            <w:r w:rsidR="00CF6401" w:rsidRPr="000662EF">
              <w:rPr>
                <w:rFonts w:cs="Arial"/>
                <w:sz w:val="19"/>
                <w:szCs w:val="19"/>
                <w:lang w:val="fr-FR"/>
              </w:rPr>
              <w:t xml:space="preserve"> mettre en place des stratégies et</w:t>
            </w:r>
            <w:r w:rsidRPr="000662EF">
              <w:rPr>
                <w:rFonts w:cs="Arial"/>
                <w:sz w:val="19"/>
                <w:szCs w:val="19"/>
                <w:lang w:val="fr-FR"/>
              </w:rPr>
              <w:t xml:space="preserve"> harmoniser les </w:t>
            </w:r>
            <w:r w:rsidR="00CF6401" w:rsidRPr="000662EF">
              <w:rPr>
                <w:rFonts w:cs="Arial"/>
                <w:sz w:val="19"/>
                <w:szCs w:val="19"/>
                <w:lang w:val="fr-FR"/>
              </w:rPr>
              <w:t>priorités</w:t>
            </w:r>
            <w:r w:rsidRPr="000662EF">
              <w:rPr>
                <w:rFonts w:cs="Arial"/>
                <w:sz w:val="19"/>
                <w:szCs w:val="19"/>
                <w:lang w:val="fr-FR"/>
              </w:rPr>
              <w:t xml:space="preserve"> </w:t>
            </w:r>
          </w:p>
        </w:tc>
      </w:tr>
      <w:tr w:rsidR="008B3956" w:rsidRPr="000662EF" w:rsidTr="00ED1132">
        <w:trPr>
          <w:gridBefore w:val="1"/>
          <w:wBefore w:w="1251" w:type="dxa"/>
          <w:trHeight w:val="548"/>
        </w:trPr>
        <w:tc>
          <w:tcPr>
            <w:tcW w:w="1345" w:type="dxa"/>
            <w:shd w:val="clear" w:color="auto" w:fill="BDD6EE" w:themeFill="accent1" w:themeFillTint="66"/>
            <w:vAlign w:val="center"/>
          </w:tcPr>
          <w:p w:rsidR="008B3956" w:rsidRPr="000662EF" w:rsidRDefault="008B3956" w:rsidP="006B277A">
            <w:pPr>
              <w:pStyle w:val="ListParagraph"/>
              <w:ind w:left="0"/>
              <w:contextualSpacing w:val="0"/>
              <w:rPr>
                <w:rFonts w:cs="Arial"/>
                <w:sz w:val="19"/>
                <w:szCs w:val="19"/>
                <w:lang w:val="en-GB"/>
              </w:rPr>
            </w:pPr>
            <w:r w:rsidRPr="000662EF">
              <w:rPr>
                <w:rFonts w:cs="Arial"/>
                <w:sz w:val="19"/>
                <w:szCs w:val="19"/>
                <w:lang w:val="en-GB"/>
              </w:rPr>
              <w:t>Approche 3.2</w:t>
            </w:r>
          </w:p>
        </w:tc>
        <w:tc>
          <w:tcPr>
            <w:tcW w:w="6477" w:type="dxa"/>
            <w:gridSpan w:val="2"/>
            <w:vAlign w:val="center"/>
          </w:tcPr>
          <w:p w:rsidR="008B3956" w:rsidRPr="000662EF" w:rsidRDefault="008B3956" w:rsidP="006B277A">
            <w:pPr>
              <w:pStyle w:val="ListParagraph"/>
              <w:ind w:left="0"/>
              <w:contextualSpacing w:val="0"/>
              <w:jc w:val="both"/>
              <w:rPr>
                <w:rFonts w:cs="Arial"/>
                <w:sz w:val="19"/>
                <w:szCs w:val="19"/>
                <w:lang w:val="fr-FR"/>
              </w:rPr>
            </w:pPr>
            <w:r w:rsidRPr="000662EF">
              <w:rPr>
                <w:rFonts w:cs="Arial"/>
                <w:sz w:val="19"/>
                <w:szCs w:val="19"/>
                <w:lang w:val="fr-FR"/>
              </w:rPr>
              <w:t xml:space="preserve">Coopérer pour </w:t>
            </w:r>
            <w:r w:rsidR="00CF6401" w:rsidRPr="000662EF">
              <w:rPr>
                <w:rFonts w:cs="Arial"/>
                <w:sz w:val="19"/>
                <w:szCs w:val="19"/>
                <w:lang w:val="fr-FR"/>
              </w:rPr>
              <w:t>combiner</w:t>
            </w:r>
            <w:r w:rsidRPr="000662EF">
              <w:rPr>
                <w:rFonts w:cs="Arial"/>
                <w:sz w:val="19"/>
                <w:szCs w:val="19"/>
                <w:lang w:val="fr-FR"/>
              </w:rPr>
              <w:t xml:space="preserve"> les ressources disponibles</w:t>
            </w:r>
          </w:p>
        </w:tc>
      </w:tr>
      <w:tr w:rsidR="008B3956" w:rsidRPr="000662EF" w:rsidTr="00ED1132">
        <w:trPr>
          <w:gridBefore w:val="1"/>
          <w:wBefore w:w="1251" w:type="dxa"/>
          <w:trHeight w:val="503"/>
        </w:trPr>
        <w:tc>
          <w:tcPr>
            <w:tcW w:w="1345" w:type="dxa"/>
            <w:shd w:val="clear" w:color="auto" w:fill="BDD6EE" w:themeFill="accent1" w:themeFillTint="66"/>
            <w:vAlign w:val="center"/>
          </w:tcPr>
          <w:p w:rsidR="008B3956" w:rsidRPr="000662EF" w:rsidRDefault="008B3956" w:rsidP="006B277A">
            <w:pPr>
              <w:pStyle w:val="ListParagraph"/>
              <w:ind w:left="0"/>
              <w:contextualSpacing w:val="0"/>
              <w:rPr>
                <w:rFonts w:cs="Arial"/>
                <w:sz w:val="19"/>
                <w:szCs w:val="19"/>
                <w:lang w:val="en-GB"/>
              </w:rPr>
            </w:pPr>
            <w:r w:rsidRPr="000662EF">
              <w:rPr>
                <w:rFonts w:cs="Arial"/>
                <w:sz w:val="19"/>
                <w:szCs w:val="19"/>
                <w:lang w:val="en-GB"/>
              </w:rPr>
              <w:t>Approche 3.3</w:t>
            </w:r>
          </w:p>
        </w:tc>
        <w:tc>
          <w:tcPr>
            <w:tcW w:w="6477" w:type="dxa"/>
            <w:gridSpan w:val="2"/>
            <w:vAlign w:val="center"/>
          </w:tcPr>
          <w:p w:rsidR="008B3956" w:rsidRPr="000662EF" w:rsidRDefault="008B3956" w:rsidP="006B277A">
            <w:pPr>
              <w:pStyle w:val="ListParagraph"/>
              <w:ind w:left="0"/>
              <w:contextualSpacing w:val="0"/>
              <w:jc w:val="both"/>
              <w:rPr>
                <w:rFonts w:cs="Arial"/>
                <w:sz w:val="19"/>
                <w:szCs w:val="19"/>
                <w:lang w:val="fr-FR"/>
              </w:rPr>
            </w:pPr>
            <w:r w:rsidRPr="000662EF">
              <w:rPr>
                <w:rFonts w:cs="Arial"/>
                <w:sz w:val="19"/>
                <w:szCs w:val="19"/>
                <w:lang w:val="fr-FR"/>
              </w:rPr>
              <w:t>Coopérer pour créer un appui financier et en nature pour des activités communes</w:t>
            </w:r>
          </w:p>
        </w:tc>
      </w:tr>
      <w:tr w:rsidR="008B3956" w:rsidRPr="000662EF" w:rsidTr="00486911">
        <w:trPr>
          <w:gridBefore w:val="2"/>
          <w:wBefore w:w="2596" w:type="dxa"/>
          <w:trHeight w:val="431"/>
        </w:trPr>
        <w:tc>
          <w:tcPr>
            <w:tcW w:w="1359" w:type="dxa"/>
            <w:shd w:val="clear" w:color="auto" w:fill="C5E0B3" w:themeFill="accent6" w:themeFillTint="66"/>
            <w:vAlign w:val="center"/>
          </w:tcPr>
          <w:p w:rsidR="008B3956" w:rsidRPr="000662EF" w:rsidRDefault="008B3956" w:rsidP="006B277A">
            <w:pPr>
              <w:pStyle w:val="ListParagraph"/>
              <w:ind w:left="0"/>
              <w:contextualSpacing w:val="0"/>
              <w:rPr>
                <w:rFonts w:cs="Arial"/>
                <w:i/>
                <w:szCs w:val="18"/>
                <w:lang w:val="en-GB"/>
              </w:rPr>
            </w:pPr>
            <w:r w:rsidRPr="000662EF">
              <w:rPr>
                <w:rFonts w:cs="Arial"/>
                <w:i/>
                <w:szCs w:val="18"/>
                <w:lang w:val="en-GB"/>
              </w:rPr>
              <w:t>Outil 3.3.1-3</w:t>
            </w:r>
          </w:p>
        </w:tc>
        <w:tc>
          <w:tcPr>
            <w:tcW w:w="5118" w:type="dxa"/>
            <w:vAlign w:val="center"/>
          </w:tcPr>
          <w:p w:rsidR="008B3956" w:rsidRPr="000662EF" w:rsidRDefault="008B3956" w:rsidP="006B277A">
            <w:pPr>
              <w:pStyle w:val="ListParagraph"/>
              <w:ind w:left="0"/>
              <w:contextualSpacing w:val="0"/>
              <w:jc w:val="both"/>
              <w:rPr>
                <w:rFonts w:cs="Arial"/>
                <w:szCs w:val="18"/>
                <w:lang w:val="en-GB"/>
              </w:rPr>
            </w:pPr>
            <w:r w:rsidRPr="000662EF">
              <w:rPr>
                <w:rFonts w:cs="Arial"/>
                <w:szCs w:val="18"/>
                <w:lang w:val="en-GB"/>
              </w:rPr>
              <w:t>Consultations</w:t>
            </w:r>
          </w:p>
        </w:tc>
      </w:tr>
      <w:tr w:rsidR="008B3956" w:rsidRPr="000662EF" w:rsidTr="00ED1132">
        <w:trPr>
          <w:gridBefore w:val="1"/>
          <w:wBefore w:w="1251" w:type="dxa"/>
          <w:trHeight w:val="701"/>
        </w:trPr>
        <w:tc>
          <w:tcPr>
            <w:tcW w:w="1345" w:type="dxa"/>
            <w:shd w:val="clear" w:color="auto" w:fill="BDD6EE" w:themeFill="accent1" w:themeFillTint="66"/>
            <w:vAlign w:val="center"/>
          </w:tcPr>
          <w:p w:rsidR="008B3956" w:rsidRPr="000662EF" w:rsidRDefault="008B3956" w:rsidP="006B277A">
            <w:pPr>
              <w:pStyle w:val="ListParagraph"/>
              <w:ind w:left="0"/>
              <w:contextualSpacing w:val="0"/>
              <w:jc w:val="both"/>
              <w:rPr>
                <w:rFonts w:cs="Arial"/>
                <w:sz w:val="19"/>
                <w:szCs w:val="19"/>
                <w:lang w:val="en-GB"/>
              </w:rPr>
            </w:pPr>
            <w:r w:rsidRPr="000662EF">
              <w:rPr>
                <w:rFonts w:cs="Arial"/>
                <w:sz w:val="19"/>
                <w:szCs w:val="19"/>
                <w:lang w:val="en-GB"/>
              </w:rPr>
              <w:t>Approche 3.4</w:t>
            </w:r>
          </w:p>
        </w:tc>
        <w:tc>
          <w:tcPr>
            <w:tcW w:w="6477" w:type="dxa"/>
            <w:gridSpan w:val="2"/>
            <w:vAlign w:val="center"/>
          </w:tcPr>
          <w:p w:rsidR="008B3956" w:rsidRPr="000662EF" w:rsidRDefault="008B3956" w:rsidP="006B277A">
            <w:pPr>
              <w:pStyle w:val="ListParagraph"/>
              <w:ind w:left="0"/>
              <w:contextualSpacing w:val="0"/>
              <w:jc w:val="both"/>
              <w:rPr>
                <w:rFonts w:cs="Arial"/>
                <w:sz w:val="19"/>
                <w:szCs w:val="19"/>
                <w:lang w:val="fr-FR"/>
              </w:rPr>
            </w:pPr>
            <w:r w:rsidRPr="000662EF">
              <w:rPr>
                <w:rFonts w:cs="Arial"/>
                <w:sz w:val="19"/>
                <w:szCs w:val="19"/>
                <w:lang w:val="fr-FR"/>
              </w:rPr>
              <w:t xml:space="preserve">Contribuer à des processus de plus haut niveau pour faire en sorte que nos activités soient reconnues et financées par exemple, la </w:t>
            </w:r>
            <w:r w:rsidR="00CF6401" w:rsidRPr="000662EF">
              <w:rPr>
                <w:rFonts w:cs="Arial"/>
                <w:sz w:val="19"/>
                <w:szCs w:val="19"/>
                <w:lang w:val="fr-FR"/>
              </w:rPr>
              <w:t>SMT</w:t>
            </w:r>
            <w:r w:rsidRPr="000662EF">
              <w:rPr>
                <w:rFonts w:cs="Arial"/>
                <w:sz w:val="19"/>
                <w:szCs w:val="19"/>
                <w:lang w:val="fr-FR"/>
              </w:rPr>
              <w:t xml:space="preserve"> et le P</w:t>
            </w:r>
            <w:r w:rsidR="00CF6401" w:rsidRPr="000662EF">
              <w:rPr>
                <w:rFonts w:cs="Arial"/>
                <w:sz w:val="19"/>
                <w:szCs w:val="19"/>
                <w:lang w:val="fr-FR"/>
              </w:rPr>
              <w:t>dT de l’</w:t>
            </w:r>
            <w:r w:rsidR="00381346" w:rsidRPr="000662EF">
              <w:rPr>
                <w:rFonts w:cs="Arial"/>
                <w:sz w:val="19"/>
                <w:szCs w:val="19"/>
                <w:lang w:val="fr-FR"/>
              </w:rPr>
              <w:t>ONU-Environnement</w:t>
            </w:r>
            <w:r w:rsidRPr="000662EF">
              <w:rPr>
                <w:rStyle w:val="FootnoteReference"/>
                <w:rFonts w:cs="Arial"/>
                <w:sz w:val="19"/>
                <w:szCs w:val="19"/>
                <w:vertAlign w:val="superscript"/>
                <w:lang w:val="en-GB"/>
              </w:rPr>
              <w:footnoteReference w:id="3"/>
            </w:r>
            <w:r w:rsidR="00625DBB" w:rsidRPr="000662EF">
              <w:rPr>
                <w:rFonts w:cs="Arial"/>
                <w:sz w:val="19"/>
                <w:szCs w:val="19"/>
                <w:vertAlign w:val="superscript"/>
                <w:lang w:val="fr-FR"/>
              </w:rPr>
              <w:t xml:space="preserve">, </w:t>
            </w:r>
            <w:r w:rsidR="00625DBB" w:rsidRPr="000662EF">
              <w:rPr>
                <w:rFonts w:cs="Arial"/>
                <w:sz w:val="19"/>
                <w:szCs w:val="19"/>
                <w:lang w:val="fr-FR"/>
              </w:rPr>
              <w:t>S</w:t>
            </w:r>
            <w:r w:rsidRPr="000662EF">
              <w:rPr>
                <w:rFonts w:cs="Arial"/>
                <w:sz w:val="19"/>
                <w:szCs w:val="19"/>
                <w:lang w:val="fr-FR"/>
              </w:rPr>
              <w:t>tratégies de la CE pour l’Afrique, allocation</w:t>
            </w:r>
            <w:r w:rsidR="00625DBB" w:rsidRPr="000662EF">
              <w:rPr>
                <w:rFonts w:cs="Arial"/>
                <w:sz w:val="19"/>
                <w:szCs w:val="19"/>
                <w:lang w:val="fr-FR"/>
              </w:rPr>
              <w:t>s</w:t>
            </w:r>
            <w:r w:rsidRPr="000662EF">
              <w:rPr>
                <w:rFonts w:cs="Arial"/>
                <w:sz w:val="19"/>
                <w:szCs w:val="19"/>
                <w:lang w:val="fr-FR"/>
              </w:rPr>
              <w:t xml:space="preserve"> du FEM</w:t>
            </w:r>
            <w:r w:rsidRPr="000662EF">
              <w:rPr>
                <w:rStyle w:val="FootnoteReference"/>
                <w:rFonts w:cs="Arial"/>
                <w:sz w:val="19"/>
                <w:szCs w:val="19"/>
                <w:vertAlign w:val="superscript"/>
                <w:lang w:val="en-GB"/>
              </w:rPr>
              <w:footnoteReference w:id="4"/>
            </w:r>
            <w:r w:rsidRPr="000662EF">
              <w:rPr>
                <w:rFonts w:cs="Arial"/>
                <w:sz w:val="19"/>
                <w:szCs w:val="19"/>
                <w:lang w:val="fr-FR"/>
              </w:rPr>
              <w:t xml:space="preserve"> </w:t>
            </w:r>
          </w:p>
        </w:tc>
      </w:tr>
      <w:tr w:rsidR="008B3956" w:rsidRPr="000662EF" w:rsidTr="00486911">
        <w:trPr>
          <w:gridBefore w:val="2"/>
          <w:wBefore w:w="2596" w:type="dxa"/>
          <w:trHeight w:val="440"/>
        </w:trPr>
        <w:tc>
          <w:tcPr>
            <w:tcW w:w="1359" w:type="dxa"/>
            <w:shd w:val="clear" w:color="auto" w:fill="C5E0B3" w:themeFill="accent6" w:themeFillTint="66"/>
            <w:vAlign w:val="center"/>
          </w:tcPr>
          <w:p w:rsidR="008B3956" w:rsidRPr="000662EF" w:rsidRDefault="008B3956" w:rsidP="006B277A">
            <w:pPr>
              <w:pStyle w:val="ListParagraph"/>
              <w:ind w:left="0"/>
              <w:contextualSpacing w:val="0"/>
              <w:jc w:val="both"/>
              <w:rPr>
                <w:rFonts w:cs="Arial"/>
                <w:i/>
                <w:szCs w:val="18"/>
                <w:lang w:val="en-GB"/>
              </w:rPr>
            </w:pPr>
            <w:r w:rsidRPr="000662EF">
              <w:rPr>
                <w:rFonts w:cs="Arial"/>
                <w:i/>
                <w:szCs w:val="18"/>
                <w:lang w:val="en-GB"/>
              </w:rPr>
              <w:t>Outil 3.4.1</w:t>
            </w:r>
          </w:p>
        </w:tc>
        <w:tc>
          <w:tcPr>
            <w:tcW w:w="5118" w:type="dxa"/>
            <w:vAlign w:val="center"/>
          </w:tcPr>
          <w:p w:rsidR="008B3956" w:rsidRPr="000662EF" w:rsidRDefault="008B3956" w:rsidP="006B277A">
            <w:pPr>
              <w:pStyle w:val="ListParagraph"/>
              <w:ind w:left="0"/>
              <w:contextualSpacing w:val="0"/>
              <w:jc w:val="both"/>
              <w:rPr>
                <w:rFonts w:cs="Arial"/>
                <w:szCs w:val="18"/>
                <w:lang w:val="fr-FR"/>
              </w:rPr>
            </w:pPr>
            <w:r w:rsidRPr="000662EF">
              <w:rPr>
                <w:rFonts w:cs="Arial"/>
                <w:szCs w:val="18"/>
                <w:lang w:val="fr-FR"/>
              </w:rPr>
              <w:t>Consultations et fourniture de contributions et de propositions</w:t>
            </w:r>
          </w:p>
        </w:tc>
      </w:tr>
    </w:tbl>
    <w:p w:rsidR="008B3956" w:rsidRPr="006B277A" w:rsidRDefault="008B3956" w:rsidP="006B277A">
      <w:pPr>
        <w:rPr>
          <w:rFonts w:ascii="Arial" w:hAnsi="Arial" w:cs="Arial"/>
          <w:sz w:val="22"/>
          <w:szCs w:val="22"/>
          <w:lang w:val="fr-FR"/>
        </w:rPr>
      </w:pPr>
    </w:p>
    <w:tbl>
      <w:tblPr>
        <w:tblStyle w:val="TableGrid"/>
        <w:tblW w:w="0" w:type="auto"/>
        <w:tblLook w:val="04A0" w:firstRow="1" w:lastRow="0" w:firstColumn="1" w:lastColumn="0" w:noHBand="0" w:noVBand="1"/>
      </w:tblPr>
      <w:tblGrid>
        <w:gridCol w:w="1255"/>
        <w:gridCol w:w="1350"/>
        <w:gridCol w:w="1350"/>
        <w:gridCol w:w="5118"/>
      </w:tblGrid>
      <w:tr w:rsidR="008B3956" w:rsidRPr="000662EF" w:rsidTr="00ED1132">
        <w:trPr>
          <w:trHeight w:val="620"/>
        </w:trPr>
        <w:tc>
          <w:tcPr>
            <w:tcW w:w="1255" w:type="dxa"/>
            <w:shd w:val="clear" w:color="auto" w:fill="FFE599" w:themeFill="accent4" w:themeFillTint="66"/>
            <w:vAlign w:val="center"/>
          </w:tcPr>
          <w:p w:rsidR="008B3956" w:rsidRPr="000662EF" w:rsidRDefault="008B3956" w:rsidP="006B277A">
            <w:pPr>
              <w:pStyle w:val="ListParagraph"/>
              <w:ind w:left="0"/>
              <w:contextualSpacing w:val="0"/>
              <w:jc w:val="both"/>
              <w:rPr>
                <w:rFonts w:cs="Arial"/>
                <w:bCs/>
                <w:sz w:val="20"/>
                <w:szCs w:val="20"/>
                <w:lang w:val="en-GB"/>
              </w:rPr>
            </w:pPr>
            <w:r w:rsidRPr="000662EF">
              <w:rPr>
                <w:rFonts w:cs="Arial"/>
                <w:bCs/>
                <w:sz w:val="20"/>
                <w:szCs w:val="20"/>
                <w:lang w:val="en-GB"/>
              </w:rPr>
              <w:t>Objectif 4</w:t>
            </w:r>
          </w:p>
        </w:tc>
        <w:tc>
          <w:tcPr>
            <w:tcW w:w="7818" w:type="dxa"/>
            <w:gridSpan w:val="3"/>
            <w:vAlign w:val="center"/>
          </w:tcPr>
          <w:p w:rsidR="008B3956" w:rsidRPr="000662EF" w:rsidRDefault="008B3956" w:rsidP="006B277A">
            <w:pPr>
              <w:pStyle w:val="ListParagraph"/>
              <w:ind w:left="0"/>
              <w:contextualSpacing w:val="0"/>
              <w:jc w:val="both"/>
              <w:rPr>
                <w:rFonts w:cs="Arial"/>
                <w:bCs/>
                <w:sz w:val="20"/>
                <w:szCs w:val="20"/>
                <w:lang w:val="fr-FR"/>
              </w:rPr>
            </w:pPr>
            <w:r w:rsidRPr="000662EF">
              <w:rPr>
                <w:rFonts w:cs="Arial"/>
                <w:bCs/>
                <w:sz w:val="20"/>
                <w:szCs w:val="20"/>
                <w:lang w:val="fr-FR"/>
              </w:rPr>
              <w:t>Promouvoir la mobilisation de ressources pour des activités sur le terrain</w:t>
            </w:r>
          </w:p>
        </w:tc>
      </w:tr>
      <w:tr w:rsidR="008B3956" w:rsidRPr="000662EF" w:rsidTr="00ED1132">
        <w:trPr>
          <w:gridBefore w:val="1"/>
          <w:wBefore w:w="1255" w:type="dxa"/>
          <w:trHeight w:val="620"/>
        </w:trPr>
        <w:tc>
          <w:tcPr>
            <w:tcW w:w="1350" w:type="dxa"/>
            <w:shd w:val="clear" w:color="auto" w:fill="BDD6EE" w:themeFill="accent1" w:themeFillTint="66"/>
            <w:vAlign w:val="center"/>
          </w:tcPr>
          <w:p w:rsidR="008B3956" w:rsidRPr="000662EF" w:rsidRDefault="008B3956" w:rsidP="006B277A">
            <w:pPr>
              <w:pStyle w:val="ListParagraph"/>
              <w:ind w:left="0"/>
              <w:contextualSpacing w:val="0"/>
              <w:jc w:val="both"/>
              <w:rPr>
                <w:rFonts w:cs="Arial"/>
                <w:sz w:val="19"/>
                <w:szCs w:val="19"/>
                <w:lang w:val="en-GB"/>
              </w:rPr>
            </w:pPr>
            <w:r w:rsidRPr="000662EF">
              <w:rPr>
                <w:rFonts w:cs="Arial"/>
                <w:sz w:val="19"/>
                <w:szCs w:val="19"/>
                <w:lang w:val="en-GB"/>
              </w:rPr>
              <w:t>Approche 4.1</w:t>
            </w:r>
          </w:p>
        </w:tc>
        <w:tc>
          <w:tcPr>
            <w:tcW w:w="6468" w:type="dxa"/>
            <w:gridSpan w:val="2"/>
            <w:vAlign w:val="center"/>
          </w:tcPr>
          <w:p w:rsidR="008B3956" w:rsidRPr="000662EF" w:rsidRDefault="00CF6401" w:rsidP="006B277A">
            <w:pPr>
              <w:pStyle w:val="ListParagraph"/>
              <w:ind w:left="0"/>
              <w:contextualSpacing w:val="0"/>
              <w:jc w:val="both"/>
              <w:rPr>
                <w:rFonts w:cs="Arial"/>
                <w:sz w:val="19"/>
                <w:szCs w:val="19"/>
                <w:lang w:val="fr-FR"/>
              </w:rPr>
            </w:pPr>
            <w:r w:rsidRPr="000662EF">
              <w:rPr>
                <w:rFonts w:cs="Arial"/>
                <w:sz w:val="19"/>
                <w:szCs w:val="19"/>
                <w:lang w:val="fr-FR"/>
              </w:rPr>
              <w:t>Rechercher</w:t>
            </w:r>
            <w:r w:rsidR="008B3956" w:rsidRPr="000662EF">
              <w:rPr>
                <w:rFonts w:cs="Arial"/>
                <w:sz w:val="19"/>
                <w:szCs w:val="19"/>
                <w:lang w:val="fr-FR"/>
              </w:rPr>
              <w:t xml:space="preserve"> des subventions et des financements ext</w:t>
            </w:r>
            <w:r w:rsidRPr="000662EF">
              <w:rPr>
                <w:rFonts w:cs="Arial"/>
                <w:sz w:val="19"/>
                <w:szCs w:val="19"/>
                <w:lang w:val="fr-FR"/>
              </w:rPr>
              <w:t>ernes</w:t>
            </w:r>
            <w:r w:rsidR="008B3956" w:rsidRPr="000662EF">
              <w:rPr>
                <w:rFonts w:cs="Arial"/>
                <w:sz w:val="19"/>
                <w:szCs w:val="19"/>
                <w:lang w:val="fr-FR"/>
              </w:rPr>
              <w:t xml:space="preserve"> et encourager les organisations partenaires à soumettre des propositions pertinentes pour la CMS</w:t>
            </w:r>
          </w:p>
        </w:tc>
      </w:tr>
      <w:tr w:rsidR="008B3956" w:rsidRPr="000662EF" w:rsidTr="00486911">
        <w:trPr>
          <w:gridBefore w:val="2"/>
          <w:wBefore w:w="2605" w:type="dxa"/>
          <w:trHeight w:val="440"/>
        </w:trPr>
        <w:tc>
          <w:tcPr>
            <w:tcW w:w="1350" w:type="dxa"/>
            <w:shd w:val="clear" w:color="auto" w:fill="C5E0B3" w:themeFill="accent6" w:themeFillTint="66"/>
            <w:vAlign w:val="center"/>
          </w:tcPr>
          <w:p w:rsidR="008B3956" w:rsidRPr="000662EF" w:rsidRDefault="008B3956" w:rsidP="006B277A">
            <w:pPr>
              <w:pStyle w:val="ListParagraph"/>
              <w:ind w:left="0"/>
              <w:contextualSpacing w:val="0"/>
              <w:jc w:val="both"/>
              <w:rPr>
                <w:rFonts w:cs="Arial"/>
                <w:i/>
                <w:szCs w:val="18"/>
                <w:lang w:val="en-GB"/>
              </w:rPr>
            </w:pPr>
            <w:r w:rsidRPr="000662EF">
              <w:rPr>
                <w:rFonts w:cs="Arial"/>
                <w:i/>
                <w:szCs w:val="18"/>
                <w:lang w:val="en-GB"/>
              </w:rPr>
              <w:t>Outil 4.1.1</w:t>
            </w:r>
          </w:p>
        </w:tc>
        <w:tc>
          <w:tcPr>
            <w:tcW w:w="5118" w:type="dxa"/>
            <w:vAlign w:val="center"/>
          </w:tcPr>
          <w:p w:rsidR="008B3956" w:rsidRPr="000662EF" w:rsidRDefault="008B3956" w:rsidP="006B277A">
            <w:pPr>
              <w:pStyle w:val="ListParagraph"/>
              <w:ind w:left="0"/>
              <w:contextualSpacing w:val="0"/>
              <w:jc w:val="both"/>
              <w:rPr>
                <w:rFonts w:cs="Arial"/>
                <w:bCs/>
                <w:szCs w:val="18"/>
                <w:lang w:val="fr-FR"/>
              </w:rPr>
            </w:pPr>
            <w:r w:rsidRPr="000662EF">
              <w:rPr>
                <w:rFonts w:cs="Arial"/>
                <w:bCs/>
                <w:szCs w:val="18"/>
                <w:lang w:val="fr-FR"/>
              </w:rPr>
              <w:t>Notifications sur des possibilités de financement</w:t>
            </w:r>
            <w:r w:rsidR="00CF6401" w:rsidRPr="000662EF">
              <w:rPr>
                <w:rFonts w:cs="Arial"/>
                <w:bCs/>
                <w:szCs w:val="18"/>
                <w:lang w:val="fr-FR"/>
              </w:rPr>
              <w:t>,</w:t>
            </w:r>
            <w:r w:rsidRPr="000662EF">
              <w:rPr>
                <w:rFonts w:cs="Arial"/>
                <w:bCs/>
                <w:szCs w:val="18"/>
                <w:lang w:val="fr-FR"/>
              </w:rPr>
              <w:t xml:space="preserve"> par exemple fondations, dons de USFWS</w:t>
            </w:r>
            <w:r w:rsidRPr="000662EF">
              <w:rPr>
                <w:rStyle w:val="FootnoteReference"/>
                <w:rFonts w:cs="Arial"/>
                <w:bCs/>
                <w:szCs w:val="18"/>
                <w:vertAlign w:val="superscript"/>
              </w:rPr>
              <w:footnoteReference w:id="5"/>
            </w:r>
            <w:r w:rsidRPr="000662EF">
              <w:rPr>
                <w:rFonts w:cs="Arial"/>
                <w:bCs/>
                <w:szCs w:val="18"/>
                <w:lang w:val="fr-FR"/>
              </w:rPr>
              <w:t>, SOS</w:t>
            </w:r>
            <w:r w:rsidRPr="000662EF">
              <w:rPr>
                <w:rStyle w:val="FootnoteReference"/>
                <w:rFonts w:cs="Arial"/>
                <w:bCs/>
                <w:szCs w:val="18"/>
                <w:vertAlign w:val="superscript"/>
              </w:rPr>
              <w:footnoteReference w:id="6"/>
            </w:r>
            <w:r w:rsidRPr="000662EF">
              <w:rPr>
                <w:rFonts w:cs="Arial"/>
                <w:bCs/>
                <w:szCs w:val="18"/>
                <w:lang w:val="fr-FR"/>
              </w:rPr>
              <w:t>, etc</w:t>
            </w:r>
          </w:p>
        </w:tc>
      </w:tr>
      <w:tr w:rsidR="008B3956" w:rsidRPr="000662EF" w:rsidTr="00486911">
        <w:trPr>
          <w:gridBefore w:val="2"/>
          <w:wBefore w:w="2605" w:type="dxa"/>
          <w:trHeight w:val="413"/>
        </w:trPr>
        <w:tc>
          <w:tcPr>
            <w:tcW w:w="1350" w:type="dxa"/>
            <w:shd w:val="clear" w:color="auto" w:fill="C5E0B3" w:themeFill="accent6" w:themeFillTint="66"/>
            <w:vAlign w:val="center"/>
          </w:tcPr>
          <w:p w:rsidR="008B3956" w:rsidRPr="000662EF" w:rsidRDefault="008B3956" w:rsidP="006B277A">
            <w:pPr>
              <w:pStyle w:val="ListParagraph"/>
              <w:ind w:left="0"/>
              <w:contextualSpacing w:val="0"/>
              <w:jc w:val="both"/>
              <w:rPr>
                <w:rFonts w:cs="Arial"/>
                <w:i/>
                <w:szCs w:val="18"/>
                <w:lang w:val="en-GB"/>
              </w:rPr>
            </w:pPr>
            <w:r w:rsidRPr="000662EF">
              <w:rPr>
                <w:rFonts w:cs="Arial"/>
                <w:i/>
                <w:szCs w:val="18"/>
                <w:lang w:val="en-GB"/>
              </w:rPr>
              <w:t>Outil 4.1.2</w:t>
            </w:r>
          </w:p>
        </w:tc>
        <w:tc>
          <w:tcPr>
            <w:tcW w:w="5118" w:type="dxa"/>
            <w:vAlign w:val="center"/>
          </w:tcPr>
          <w:p w:rsidR="008B3956" w:rsidRPr="000662EF" w:rsidRDefault="008B3956" w:rsidP="006B277A">
            <w:pPr>
              <w:pStyle w:val="ListParagraph"/>
              <w:ind w:left="0"/>
              <w:contextualSpacing w:val="0"/>
              <w:jc w:val="both"/>
              <w:rPr>
                <w:rFonts w:cs="Arial"/>
                <w:bCs/>
                <w:szCs w:val="18"/>
              </w:rPr>
            </w:pPr>
            <w:r w:rsidRPr="000662EF">
              <w:rPr>
                <w:rFonts w:cs="Arial"/>
                <w:bCs/>
                <w:szCs w:val="18"/>
              </w:rPr>
              <w:t>Lettres d’approbation</w:t>
            </w:r>
          </w:p>
        </w:tc>
      </w:tr>
      <w:tr w:rsidR="008B3956" w:rsidRPr="000662EF" w:rsidTr="00ED1132">
        <w:trPr>
          <w:gridBefore w:val="1"/>
          <w:wBefore w:w="1255" w:type="dxa"/>
          <w:trHeight w:val="530"/>
        </w:trPr>
        <w:tc>
          <w:tcPr>
            <w:tcW w:w="1350" w:type="dxa"/>
            <w:shd w:val="clear" w:color="auto" w:fill="BDD6EE" w:themeFill="accent1" w:themeFillTint="66"/>
            <w:vAlign w:val="center"/>
          </w:tcPr>
          <w:p w:rsidR="008B3956" w:rsidRPr="000662EF" w:rsidRDefault="008B3956" w:rsidP="006B277A">
            <w:pPr>
              <w:pStyle w:val="ListParagraph"/>
              <w:ind w:left="0"/>
              <w:contextualSpacing w:val="0"/>
              <w:jc w:val="both"/>
              <w:rPr>
                <w:rFonts w:cs="Arial"/>
                <w:sz w:val="19"/>
                <w:szCs w:val="19"/>
                <w:lang w:val="en-GB"/>
              </w:rPr>
            </w:pPr>
            <w:r w:rsidRPr="000662EF">
              <w:rPr>
                <w:rFonts w:cs="Arial"/>
                <w:sz w:val="19"/>
                <w:szCs w:val="19"/>
                <w:lang w:val="en-GB"/>
              </w:rPr>
              <w:t>Approche 4.2</w:t>
            </w:r>
          </w:p>
        </w:tc>
        <w:tc>
          <w:tcPr>
            <w:tcW w:w="6468" w:type="dxa"/>
            <w:gridSpan w:val="2"/>
            <w:vAlign w:val="center"/>
          </w:tcPr>
          <w:p w:rsidR="008B3956" w:rsidRPr="000662EF" w:rsidRDefault="00CF6401" w:rsidP="006B277A">
            <w:pPr>
              <w:pStyle w:val="ListParagraph"/>
              <w:ind w:left="0"/>
              <w:contextualSpacing w:val="0"/>
              <w:jc w:val="both"/>
              <w:rPr>
                <w:rFonts w:cs="Arial"/>
                <w:sz w:val="19"/>
                <w:szCs w:val="19"/>
                <w:lang w:val="fr-FR"/>
              </w:rPr>
            </w:pPr>
            <w:r w:rsidRPr="000662EF">
              <w:rPr>
                <w:rFonts w:cs="Arial"/>
                <w:sz w:val="19"/>
                <w:szCs w:val="19"/>
                <w:lang w:val="fr-FR"/>
              </w:rPr>
              <w:t>Établir</w:t>
            </w:r>
            <w:r w:rsidR="008B3956" w:rsidRPr="000662EF">
              <w:rPr>
                <w:rFonts w:cs="Arial"/>
                <w:sz w:val="19"/>
                <w:szCs w:val="19"/>
                <w:lang w:val="fr-FR"/>
              </w:rPr>
              <w:t xml:space="preserve"> une liaison avec des programmes de financement externes pour essayer de répondre aux priorités</w:t>
            </w:r>
          </w:p>
        </w:tc>
      </w:tr>
      <w:tr w:rsidR="008B3956" w:rsidRPr="000662EF" w:rsidTr="00486911">
        <w:trPr>
          <w:gridBefore w:val="2"/>
          <w:wBefore w:w="2605" w:type="dxa"/>
          <w:trHeight w:val="431"/>
        </w:trPr>
        <w:tc>
          <w:tcPr>
            <w:tcW w:w="1350" w:type="dxa"/>
            <w:shd w:val="clear" w:color="auto" w:fill="C5E0B3" w:themeFill="accent6" w:themeFillTint="66"/>
            <w:vAlign w:val="center"/>
          </w:tcPr>
          <w:p w:rsidR="008B3956" w:rsidRPr="000662EF" w:rsidRDefault="008B3956" w:rsidP="006B277A">
            <w:pPr>
              <w:pStyle w:val="ListParagraph"/>
              <w:ind w:left="0"/>
              <w:contextualSpacing w:val="0"/>
              <w:jc w:val="both"/>
              <w:rPr>
                <w:rFonts w:cs="Arial"/>
                <w:i/>
                <w:szCs w:val="18"/>
                <w:lang w:val="en-GB"/>
              </w:rPr>
            </w:pPr>
            <w:r w:rsidRPr="000662EF">
              <w:rPr>
                <w:rFonts w:cs="Arial"/>
                <w:i/>
                <w:szCs w:val="18"/>
                <w:lang w:val="en-GB"/>
              </w:rPr>
              <w:t>Outil 4.2.1</w:t>
            </w:r>
          </w:p>
        </w:tc>
        <w:tc>
          <w:tcPr>
            <w:tcW w:w="5118" w:type="dxa"/>
            <w:vAlign w:val="center"/>
          </w:tcPr>
          <w:p w:rsidR="008B3956" w:rsidRPr="000662EF" w:rsidRDefault="008B3956" w:rsidP="006B277A">
            <w:pPr>
              <w:pStyle w:val="ListParagraph"/>
              <w:ind w:left="0"/>
              <w:contextualSpacing w:val="0"/>
              <w:jc w:val="both"/>
              <w:rPr>
                <w:rFonts w:cs="Arial"/>
                <w:bCs/>
                <w:szCs w:val="18"/>
              </w:rPr>
            </w:pPr>
            <w:r w:rsidRPr="000662EF">
              <w:rPr>
                <w:rFonts w:cs="Arial"/>
                <w:bCs/>
                <w:szCs w:val="18"/>
              </w:rPr>
              <w:t>Consultations</w:t>
            </w:r>
          </w:p>
        </w:tc>
      </w:tr>
    </w:tbl>
    <w:p w:rsidR="008B3956" w:rsidRPr="006B277A" w:rsidRDefault="008B3956" w:rsidP="006B277A">
      <w:pPr>
        <w:rPr>
          <w:rFonts w:ascii="Arial" w:hAnsi="Arial" w:cs="Arial"/>
          <w:sz w:val="22"/>
          <w:szCs w:val="22"/>
        </w:rPr>
      </w:pPr>
    </w:p>
    <w:tbl>
      <w:tblPr>
        <w:tblStyle w:val="TableGrid"/>
        <w:tblW w:w="0" w:type="auto"/>
        <w:tblLook w:val="04A0" w:firstRow="1" w:lastRow="0" w:firstColumn="1" w:lastColumn="0" w:noHBand="0" w:noVBand="1"/>
      </w:tblPr>
      <w:tblGrid>
        <w:gridCol w:w="1255"/>
        <w:gridCol w:w="1350"/>
        <w:gridCol w:w="6468"/>
      </w:tblGrid>
      <w:tr w:rsidR="008B3956" w:rsidRPr="000662EF" w:rsidTr="00ED1132">
        <w:trPr>
          <w:trHeight w:val="620"/>
        </w:trPr>
        <w:tc>
          <w:tcPr>
            <w:tcW w:w="1255" w:type="dxa"/>
            <w:shd w:val="clear" w:color="auto" w:fill="FFE599" w:themeFill="accent4" w:themeFillTint="66"/>
            <w:vAlign w:val="center"/>
          </w:tcPr>
          <w:p w:rsidR="008B3956" w:rsidRPr="000662EF" w:rsidRDefault="008B3956" w:rsidP="006B277A">
            <w:pPr>
              <w:pStyle w:val="ListParagraph"/>
              <w:ind w:left="0"/>
              <w:contextualSpacing w:val="0"/>
              <w:jc w:val="both"/>
              <w:rPr>
                <w:rFonts w:cs="Arial"/>
                <w:bCs/>
                <w:sz w:val="20"/>
                <w:szCs w:val="20"/>
                <w:lang w:val="en-GB"/>
              </w:rPr>
            </w:pPr>
            <w:r w:rsidRPr="000662EF">
              <w:rPr>
                <w:rFonts w:cs="Arial"/>
                <w:bCs/>
                <w:sz w:val="20"/>
                <w:szCs w:val="20"/>
                <w:lang w:val="en-GB"/>
              </w:rPr>
              <w:t>Objectif 5</w:t>
            </w:r>
          </w:p>
        </w:tc>
        <w:tc>
          <w:tcPr>
            <w:tcW w:w="7818" w:type="dxa"/>
            <w:gridSpan w:val="2"/>
            <w:vAlign w:val="center"/>
          </w:tcPr>
          <w:p w:rsidR="008B3956" w:rsidRPr="000662EF" w:rsidRDefault="008B3956" w:rsidP="006B277A">
            <w:pPr>
              <w:pStyle w:val="ListParagraph"/>
              <w:ind w:left="0"/>
              <w:contextualSpacing w:val="0"/>
              <w:jc w:val="both"/>
              <w:rPr>
                <w:rFonts w:cs="Arial"/>
                <w:bCs/>
                <w:sz w:val="20"/>
                <w:szCs w:val="20"/>
                <w:lang w:val="fr-FR"/>
              </w:rPr>
            </w:pPr>
            <w:r w:rsidRPr="000662EF">
              <w:rPr>
                <w:rFonts w:cs="Arial"/>
                <w:bCs/>
                <w:sz w:val="20"/>
                <w:szCs w:val="20"/>
                <w:lang w:val="fr-FR"/>
              </w:rPr>
              <w:t xml:space="preserve">Concevoir et appliquer des approches nouvelles et innovantes </w:t>
            </w:r>
          </w:p>
        </w:tc>
      </w:tr>
      <w:tr w:rsidR="008B3956" w:rsidRPr="000662EF" w:rsidTr="00ED1132">
        <w:trPr>
          <w:gridBefore w:val="1"/>
          <w:wBefore w:w="1255" w:type="dxa"/>
          <w:trHeight w:val="530"/>
        </w:trPr>
        <w:tc>
          <w:tcPr>
            <w:tcW w:w="1350" w:type="dxa"/>
            <w:shd w:val="clear" w:color="auto" w:fill="BDD6EE" w:themeFill="accent1" w:themeFillTint="66"/>
            <w:vAlign w:val="center"/>
          </w:tcPr>
          <w:p w:rsidR="008B3956" w:rsidRPr="000662EF" w:rsidRDefault="008B3956" w:rsidP="006B277A">
            <w:pPr>
              <w:pStyle w:val="ListParagraph"/>
              <w:ind w:left="0"/>
              <w:contextualSpacing w:val="0"/>
              <w:jc w:val="both"/>
              <w:rPr>
                <w:rFonts w:cs="Arial"/>
                <w:sz w:val="19"/>
                <w:szCs w:val="19"/>
                <w:lang w:val="en-GB"/>
              </w:rPr>
            </w:pPr>
            <w:r w:rsidRPr="000662EF">
              <w:rPr>
                <w:rFonts w:cs="Arial"/>
                <w:sz w:val="19"/>
                <w:szCs w:val="19"/>
                <w:lang w:val="en-GB"/>
              </w:rPr>
              <w:t>Approche 5.1</w:t>
            </w:r>
          </w:p>
        </w:tc>
        <w:tc>
          <w:tcPr>
            <w:tcW w:w="6468" w:type="dxa"/>
            <w:vAlign w:val="center"/>
          </w:tcPr>
          <w:p w:rsidR="008B3956" w:rsidRPr="000662EF" w:rsidRDefault="008B3956" w:rsidP="006B277A">
            <w:pPr>
              <w:pStyle w:val="ListParagraph"/>
              <w:ind w:left="0"/>
              <w:contextualSpacing w:val="0"/>
              <w:jc w:val="both"/>
              <w:rPr>
                <w:rFonts w:cs="Arial"/>
                <w:sz w:val="19"/>
                <w:szCs w:val="19"/>
                <w:lang w:val="fr-FR"/>
              </w:rPr>
            </w:pPr>
            <w:r w:rsidRPr="000662EF">
              <w:rPr>
                <w:rFonts w:cs="Arial"/>
                <w:sz w:val="19"/>
                <w:szCs w:val="19"/>
                <w:lang w:val="fr-FR"/>
              </w:rPr>
              <w:t>Organiser des événements et des activités de sensibilisation</w:t>
            </w:r>
            <w:r w:rsidR="00CF6401" w:rsidRPr="000662EF">
              <w:rPr>
                <w:rFonts w:cs="Arial"/>
                <w:sz w:val="19"/>
                <w:szCs w:val="19"/>
                <w:lang w:val="fr-FR"/>
              </w:rPr>
              <w:t xml:space="preserve"> et de collecte de fonds</w:t>
            </w:r>
            <w:r w:rsidRPr="000662EF">
              <w:rPr>
                <w:rFonts w:cs="Arial"/>
                <w:sz w:val="19"/>
                <w:szCs w:val="19"/>
                <w:lang w:val="fr-FR"/>
              </w:rPr>
              <w:t>, par exemple le Concert de la Journée mondiale des oiseaux migrateurs</w:t>
            </w:r>
          </w:p>
        </w:tc>
      </w:tr>
      <w:tr w:rsidR="008B3956" w:rsidRPr="000662EF" w:rsidTr="00ED1132">
        <w:trPr>
          <w:gridBefore w:val="1"/>
          <w:wBefore w:w="1255" w:type="dxa"/>
          <w:trHeight w:val="530"/>
        </w:trPr>
        <w:tc>
          <w:tcPr>
            <w:tcW w:w="1350" w:type="dxa"/>
            <w:shd w:val="clear" w:color="auto" w:fill="BDD6EE" w:themeFill="accent1" w:themeFillTint="66"/>
            <w:vAlign w:val="center"/>
          </w:tcPr>
          <w:p w:rsidR="008B3956" w:rsidRPr="000662EF" w:rsidRDefault="008B3956" w:rsidP="006B277A">
            <w:pPr>
              <w:pStyle w:val="ListParagraph"/>
              <w:ind w:left="0"/>
              <w:contextualSpacing w:val="0"/>
              <w:jc w:val="both"/>
              <w:rPr>
                <w:rFonts w:cs="Arial"/>
                <w:sz w:val="19"/>
                <w:szCs w:val="19"/>
                <w:lang w:val="en-GB"/>
              </w:rPr>
            </w:pPr>
            <w:r w:rsidRPr="000662EF">
              <w:rPr>
                <w:rFonts w:cs="Arial"/>
                <w:sz w:val="19"/>
                <w:szCs w:val="19"/>
                <w:lang w:val="en-GB"/>
              </w:rPr>
              <w:t>Approche 5.2</w:t>
            </w:r>
          </w:p>
        </w:tc>
        <w:tc>
          <w:tcPr>
            <w:tcW w:w="6468" w:type="dxa"/>
            <w:vAlign w:val="center"/>
          </w:tcPr>
          <w:p w:rsidR="008B3956" w:rsidRPr="000662EF" w:rsidRDefault="008B3956" w:rsidP="006B277A">
            <w:pPr>
              <w:pStyle w:val="ListParagraph"/>
              <w:ind w:left="0"/>
              <w:contextualSpacing w:val="0"/>
              <w:jc w:val="both"/>
              <w:rPr>
                <w:rFonts w:cs="Arial"/>
                <w:sz w:val="19"/>
                <w:szCs w:val="19"/>
                <w:lang w:val="fr-FR"/>
              </w:rPr>
            </w:pPr>
            <w:r w:rsidRPr="000662EF">
              <w:rPr>
                <w:rFonts w:cs="Arial"/>
                <w:sz w:val="19"/>
                <w:szCs w:val="19"/>
                <w:lang w:val="fr-FR"/>
              </w:rPr>
              <w:t>S’engager avec le secteur privé</w:t>
            </w:r>
          </w:p>
        </w:tc>
      </w:tr>
      <w:tr w:rsidR="008B3956" w:rsidRPr="000662EF" w:rsidTr="00ED1132">
        <w:trPr>
          <w:gridBefore w:val="1"/>
          <w:wBefore w:w="1255" w:type="dxa"/>
          <w:trHeight w:val="530"/>
        </w:trPr>
        <w:tc>
          <w:tcPr>
            <w:tcW w:w="1350" w:type="dxa"/>
            <w:shd w:val="clear" w:color="auto" w:fill="BDD6EE" w:themeFill="accent1" w:themeFillTint="66"/>
            <w:vAlign w:val="center"/>
          </w:tcPr>
          <w:p w:rsidR="008B3956" w:rsidRPr="000662EF" w:rsidRDefault="008B3956" w:rsidP="006B277A">
            <w:pPr>
              <w:pStyle w:val="ListParagraph"/>
              <w:ind w:left="0"/>
              <w:contextualSpacing w:val="0"/>
              <w:jc w:val="both"/>
              <w:rPr>
                <w:rFonts w:cs="Arial"/>
                <w:i/>
                <w:sz w:val="19"/>
                <w:szCs w:val="19"/>
                <w:lang w:val="en-GB"/>
              </w:rPr>
            </w:pPr>
            <w:r w:rsidRPr="000662EF">
              <w:rPr>
                <w:rFonts w:cs="Arial"/>
                <w:sz w:val="19"/>
                <w:szCs w:val="19"/>
                <w:lang w:val="en-GB"/>
              </w:rPr>
              <w:t>Approche 5.3</w:t>
            </w:r>
          </w:p>
        </w:tc>
        <w:tc>
          <w:tcPr>
            <w:tcW w:w="6468" w:type="dxa"/>
            <w:vAlign w:val="center"/>
          </w:tcPr>
          <w:p w:rsidR="008B3956" w:rsidRPr="000662EF" w:rsidRDefault="008B3956" w:rsidP="006B277A">
            <w:pPr>
              <w:pStyle w:val="ListParagraph"/>
              <w:ind w:left="0"/>
              <w:contextualSpacing w:val="0"/>
              <w:jc w:val="both"/>
              <w:rPr>
                <w:rFonts w:cs="Arial"/>
                <w:bCs/>
                <w:sz w:val="19"/>
                <w:szCs w:val="19"/>
                <w:lang w:val="fr-FR"/>
              </w:rPr>
            </w:pPr>
            <w:r w:rsidRPr="000662EF">
              <w:rPr>
                <w:rFonts w:cs="Arial"/>
                <w:bCs/>
                <w:sz w:val="19"/>
                <w:szCs w:val="19"/>
                <w:lang w:val="fr-FR"/>
              </w:rPr>
              <w:t>Programme des champions des espèces migratrices</w:t>
            </w:r>
          </w:p>
        </w:tc>
      </w:tr>
    </w:tbl>
    <w:p w:rsidR="008B3956" w:rsidRPr="006B277A" w:rsidRDefault="008B3956" w:rsidP="006B277A">
      <w:pPr>
        <w:jc w:val="both"/>
        <w:rPr>
          <w:rFonts w:ascii="Arial" w:hAnsi="Arial" w:cs="Arial"/>
          <w:bCs/>
          <w:sz w:val="22"/>
          <w:szCs w:val="22"/>
          <w:lang w:val="fr-FR"/>
        </w:rPr>
      </w:pPr>
    </w:p>
    <w:p w:rsidR="008B3956" w:rsidRPr="006B277A" w:rsidRDefault="008B3956" w:rsidP="006B277A">
      <w:pPr>
        <w:pStyle w:val="ListParagraph"/>
        <w:ind w:left="0"/>
        <w:contextualSpacing w:val="0"/>
        <w:jc w:val="both"/>
        <w:rPr>
          <w:rFonts w:ascii="Arial" w:hAnsi="Arial" w:cs="Arial"/>
          <w:sz w:val="22"/>
          <w:szCs w:val="22"/>
          <w:u w:val="single"/>
          <w:lang w:val="en-GB"/>
        </w:rPr>
      </w:pPr>
      <w:r w:rsidRPr="006B277A">
        <w:rPr>
          <w:rFonts w:ascii="Arial" w:hAnsi="Arial" w:cs="Arial"/>
          <w:sz w:val="22"/>
          <w:szCs w:val="22"/>
          <w:u w:val="single"/>
          <w:lang w:val="en-GB"/>
        </w:rPr>
        <w:t>Résultats</w:t>
      </w:r>
    </w:p>
    <w:p w:rsidR="008B3956" w:rsidRPr="006B277A" w:rsidRDefault="008B3956" w:rsidP="006B277A">
      <w:pPr>
        <w:jc w:val="both"/>
        <w:rPr>
          <w:rFonts w:ascii="Arial" w:hAnsi="Arial" w:cs="Arial"/>
          <w:b/>
          <w:sz w:val="22"/>
          <w:szCs w:val="22"/>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 xml:space="preserve">Le Secrétariat a obtenu des ressources considérables qui ont permis de mener à bien un certain nombre d’actions prioritaires, et est reconnaissant pour l’appui reçu, notamment compte tenu de la situation économique actuelle. Les paragraphes suivants donnent un aperçu des contributions financières et en nature reçues depuis la COP11 </w:t>
      </w:r>
      <w:r w:rsidR="00CF6401" w:rsidRPr="006B277A">
        <w:rPr>
          <w:rFonts w:ascii="Arial" w:hAnsi="Arial" w:cs="Arial"/>
          <w:sz w:val="22"/>
          <w:szCs w:val="22"/>
          <w:lang w:val="fr-FR"/>
        </w:rPr>
        <w:t>et indiquent</w:t>
      </w:r>
      <w:r w:rsidRPr="006B277A">
        <w:rPr>
          <w:rFonts w:ascii="Arial" w:hAnsi="Arial" w:cs="Arial"/>
          <w:sz w:val="22"/>
          <w:szCs w:val="22"/>
          <w:lang w:val="fr-FR"/>
        </w:rPr>
        <w:t xml:space="preserve"> leurs sources.</w:t>
      </w:r>
    </w:p>
    <w:p w:rsidR="008B3956" w:rsidRPr="006B277A" w:rsidRDefault="008B3956" w:rsidP="006B277A">
      <w:pPr>
        <w:pStyle w:val="ListParagraph"/>
        <w:ind w:left="0"/>
        <w:contextualSpacing w:val="0"/>
        <w:jc w:val="both"/>
        <w:rPr>
          <w:rFonts w:ascii="Arial" w:hAnsi="Arial" w:cs="Arial"/>
          <w:i/>
          <w:sz w:val="22"/>
          <w:szCs w:val="22"/>
          <w:lang w:val="fr-FR"/>
        </w:rPr>
      </w:pPr>
    </w:p>
    <w:p w:rsidR="008B3956" w:rsidRPr="006B277A" w:rsidRDefault="008B3956" w:rsidP="006B277A">
      <w:pPr>
        <w:pStyle w:val="ListParagraph"/>
        <w:ind w:left="0"/>
        <w:contextualSpacing w:val="0"/>
        <w:jc w:val="both"/>
        <w:rPr>
          <w:rFonts w:ascii="Arial" w:hAnsi="Arial" w:cs="Arial"/>
          <w:b/>
          <w:sz w:val="22"/>
          <w:szCs w:val="22"/>
          <w:lang w:val="en-GB"/>
        </w:rPr>
      </w:pPr>
      <w:r w:rsidRPr="006B277A">
        <w:rPr>
          <w:rFonts w:ascii="Arial" w:hAnsi="Arial" w:cs="Arial"/>
          <w:b/>
          <w:sz w:val="22"/>
          <w:szCs w:val="22"/>
          <w:lang w:val="en-GB"/>
        </w:rPr>
        <w:t>Fonds reçus</w:t>
      </w:r>
    </w:p>
    <w:p w:rsidR="008B3956" w:rsidRPr="006B277A" w:rsidRDefault="008B3956" w:rsidP="006B277A">
      <w:pPr>
        <w:pStyle w:val="ListParagraph"/>
        <w:ind w:left="0"/>
        <w:contextualSpacing w:val="0"/>
        <w:jc w:val="both"/>
        <w:rPr>
          <w:rFonts w:ascii="Arial" w:hAnsi="Arial" w:cs="Arial"/>
          <w:sz w:val="22"/>
          <w:szCs w:val="22"/>
          <w:u w:val="single"/>
          <w:lang w:val="en-GB"/>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Le total des contributions volontaires ve</w:t>
      </w:r>
      <w:r w:rsidR="00486911">
        <w:rPr>
          <w:rFonts w:ascii="Arial" w:hAnsi="Arial" w:cs="Arial"/>
          <w:sz w:val="22"/>
          <w:szCs w:val="22"/>
          <w:lang w:val="fr-FR"/>
        </w:rPr>
        <w:t xml:space="preserve">rsées par des gouvernements et </w:t>
      </w:r>
      <w:r w:rsidRPr="006B277A">
        <w:rPr>
          <w:rFonts w:ascii="Arial" w:hAnsi="Arial" w:cs="Arial"/>
          <w:sz w:val="22"/>
          <w:szCs w:val="22"/>
          <w:lang w:val="fr-FR"/>
        </w:rPr>
        <w:t>organisations pour mettre en œuvre la Convention et certains de ses instruments se monte à 3.915.500 € (13</w:t>
      </w:r>
      <w:r w:rsidR="000A5B40" w:rsidRPr="006B277A">
        <w:rPr>
          <w:rFonts w:ascii="Arial" w:hAnsi="Arial" w:cs="Arial"/>
          <w:sz w:val="22"/>
          <w:szCs w:val="22"/>
          <w:lang w:val="fr-FR"/>
        </w:rPr>
        <w:t>% des dépenses d’appui au programme de l’</w:t>
      </w:r>
      <w:r w:rsidR="00381346" w:rsidRPr="006B277A">
        <w:rPr>
          <w:rFonts w:ascii="Arial" w:hAnsi="Arial" w:cs="Arial"/>
          <w:sz w:val="22"/>
          <w:szCs w:val="22"/>
          <w:lang w:val="fr-FR"/>
        </w:rPr>
        <w:t>ONU-Environnement</w:t>
      </w:r>
      <w:r w:rsidR="000A5B40" w:rsidRPr="006B277A">
        <w:rPr>
          <w:rFonts w:ascii="Arial" w:hAnsi="Arial" w:cs="Arial"/>
          <w:sz w:val="22"/>
          <w:szCs w:val="22"/>
          <w:lang w:val="fr-FR"/>
        </w:rPr>
        <w:t xml:space="preserve"> </w:t>
      </w:r>
      <w:r w:rsidRPr="006B277A">
        <w:rPr>
          <w:rFonts w:ascii="Arial" w:hAnsi="Arial" w:cs="Arial"/>
          <w:sz w:val="22"/>
          <w:szCs w:val="22"/>
          <w:lang w:val="fr-FR"/>
        </w:rPr>
        <w:t xml:space="preserve">à déduire). </w:t>
      </w:r>
    </w:p>
    <w:p w:rsidR="008B3956" w:rsidRPr="006B277A" w:rsidRDefault="008B3956" w:rsidP="006B277A">
      <w:pPr>
        <w:pStyle w:val="ListParagraph"/>
        <w:autoSpaceDE/>
        <w:adjustRightInd/>
        <w:ind w:left="0"/>
        <w:contextualSpacing w:val="0"/>
        <w:jc w:val="both"/>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 xml:space="preserve">Ces ressources proviennent des Gouvernements de l’Australie, de la Finlande, de </w:t>
      </w:r>
      <w:r w:rsidRPr="006B277A">
        <w:rPr>
          <w:rFonts w:ascii="Arial" w:hAnsi="Arial" w:cs="Arial"/>
          <w:sz w:val="22"/>
          <w:szCs w:val="22"/>
          <w:lang w:val="fr-FR"/>
        </w:rPr>
        <w:lastRenderedPageBreak/>
        <w:t xml:space="preserve">l’Allemagne, de l’Italie, de Monaco, des Pays-Bas, de la Norvège et de la Suisse, de la Commission européenne et de la Division du droit </w:t>
      </w:r>
      <w:r w:rsidR="00625DBB" w:rsidRPr="006B277A">
        <w:rPr>
          <w:rFonts w:ascii="Arial" w:hAnsi="Arial" w:cs="Arial"/>
          <w:sz w:val="22"/>
          <w:szCs w:val="22"/>
          <w:lang w:val="fr-FR"/>
        </w:rPr>
        <w:t>environnemental e</w:t>
      </w:r>
      <w:r w:rsidRPr="006B277A">
        <w:rPr>
          <w:rFonts w:ascii="Arial" w:hAnsi="Arial" w:cs="Arial"/>
          <w:sz w:val="22"/>
          <w:szCs w:val="22"/>
          <w:lang w:val="fr-FR"/>
        </w:rPr>
        <w:t>t du Bureau régional pour l’Europe</w:t>
      </w:r>
      <w:r w:rsidR="00625DBB" w:rsidRPr="006B277A">
        <w:rPr>
          <w:rFonts w:ascii="Arial" w:hAnsi="Arial" w:cs="Arial"/>
          <w:sz w:val="22"/>
          <w:szCs w:val="22"/>
          <w:lang w:val="fr-FR"/>
        </w:rPr>
        <w:t xml:space="preserve"> de l’</w:t>
      </w:r>
      <w:r w:rsidR="00381346" w:rsidRPr="006B277A">
        <w:rPr>
          <w:rFonts w:ascii="Arial" w:hAnsi="Arial" w:cs="Arial"/>
          <w:sz w:val="22"/>
          <w:szCs w:val="22"/>
          <w:lang w:val="fr-FR"/>
        </w:rPr>
        <w:t>ONU-Environnement</w:t>
      </w:r>
      <w:r w:rsidRPr="006B277A">
        <w:rPr>
          <w:rFonts w:ascii="Arial" w:hAnsi="Arial" w:cs="Arial"/>
          <w:sz w:val="22"/>
          <w:szCs w:val="22"/>
          <w:lang w:val="fr-FR"/>
        </w:rPr>
        <w:t>. De plus amples détails figurent dans le document sur la mise en œuvre du Programme de travail 2015-2017 (UNEP/CMS/COP12/Doc.18).</w:t>
      </w:r>
    </w:p>
    <w:p w:rsidR="008B3956" w:rsidRPr="006B277A" w:rsidRDefault="008B3956" w:rsidP="006B277A">
      <w:pPr>
        <w:widowControl/>
        <w:rPr>
          <w:rFonts w:ascii="Arial" w:hAnsi="Arial" w:cs="Arial"/>
          <w:color w:val="000000"/>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Les fonds obtenus sont regroupés selon les domaines identifiés dans le programme de travail. On notera qu’une partie importante de ces ressources est affectée à des activités qui seront menées durant la période triennale 2018-2020.</w:t>
      </w:r>
      <w:r w:rsidRPr="006B277A">
        <w:rPr>
          <w:rFonts w:ascii="Arial" w:hAnsi="Arial" w:cs="Arial"/>
          <w:noProof/>
          <w:sz w:val="22"/>
          <w:szCs w:val="22"/>
          <w:lang w:val="fr-FR"/>
        </w:rPr>
        <w:t xml:space="preserve"> </w:t>
      </w:r>
    </w:p>
    <w:p w:rsidR="000A5B40" w:rsidRPr="006B277A" w:rsidRDefault="000A5B40" w:rsidP="006B277A">
      <w:pPr>
        <w:autoSpaceDE/>
        <w:adjustRightInd/>
        <w:jc w:val="both"/>
        <w:rPr>
          <w:rFonts w:ascii="Arial" w:hAnsi="Arial" w:cs="Arial"/>
          <w:sz w:val="22"/>
          <w:szCs w:val="22"/>
          <w:lang w:val="fr-FR"/>
        </w:rPr>
      </w:pPr>
    </w:p>
    <w:p w:rsidR="008B3956" w:rsidRPr="006B277A" w:rsidRDefault="008B3956" w:rsidP="006B277A">
      <w:pPr>
        <w:pStyle w:val="ListParagraph"/>
        <w:contextualSpacing w:val="0"/>
        <w:rPr>
          <w:rFonts w:ascii="Arial" w:hAnsi="Arial" w:cs="Arial"/>
          <w:sz w:val="22"/>
          <w:szCs w:val="22"/>
          <w:lang w:val="fr-FR"/>
        </w:rPr>
      </w:pPr>
      <w:r w:rsidRPr="006B277A">
        <w:rPr>
          <w:rFonts w:ascii="Arial" w:hAnsi="Arial" w:cs="Arial"/>
          <w:noProof/>
          <w:sz w:val="22"/>
          <w:szCs w:val="22"/>
        </w:rPr>
        <w:drawing>
          <wp:anchor distT="0" distB="0" distL="114300" distR="114300" simplePos="0" relativeHeight="251658752" behindDoc="0" locked="0" layoutInCell="1" allowOverlap="1">
            <wp:simplePos x="0" y="0"/>
            <wp:positionH relativeFrom="column">
              <wp:posOffset>-58420</wp:posOffset>
            </wp:positionH>
            <wp:positionV relativeFrom="paragraph">
              <wp:posOffset>102870</wp:posOffset>
            </wp:positionV>
            <wp:extent cx="2886075" cy="2202815"/>
            <wp:effectExtent l="0" t="0" r="9525"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084" t="7862" r="34768" b="3226"/>
                    <a:stretch/>
                  </pic:blipFill>
                  <pic:spPr bwMode="auto">
                    <a:xfrm>
                      <a:off x="0" y="0"/>
                      <a:ext cx="2886075" cy="2202815"/>
                    </a:xfrm>
                    <a:prstGeom prst="rect">
                      <a:avLst/>
                    </a:prstGeom>
                    <a:ln>
                      <a:noFill/>
                    </a:ln>
                    <a:extLst>
                      <a:ext uri="{53640926-AAD7-44D8-BBD7-CCE9431645EC}">
                        <a14:shadowObscured xmlns:a14="http://schemas.microsoft.com/office/drawing/2010/main"/>
                      </a:ext>
                    </a:extLst>
                  </pic:spPr>
                </pic:pic>
              </a:graphicData>
            </a:graphic>
          </wp:anchor>
        </w:drawing>
      </w:r>
    </w:p>
    <w:p w:rsidR="008B3956" w:rsidRPr="006B277A" w:rsidRDefault="008B3956" w:rsidP="006B277A">
      <w:pPr>
        <w:pStyle w:val="ListParagraph"/>
        <w:autoSpaceDE/>
        <w:adjustRightInd/>
        <w:ind w:left="450"/>
        <w:contextualSpacing w:val="0"/>
        <w:jc w:val="both"/>
        <w:rPr>
          <w:rFonts w:ascii="Arial" w:hAnsi="Arial" w:cs="Arial"/>
          <w:sz w:val="22"/>
          <w:szCs w:val="22"/>
          <w:lang w:val="fr-FR"/>
        </w:rPr>
      </w:pPr>
    </w:p>
    <w:p w:rsidR="008B3956" w:rsidRPr="006B277A" w:rsidRDefault="008B3956" w:rsidP="006B277A">
      <w:pPr>
        <w:autoSpaceDE/>
        <w:adjustRightInd/>
        <w:jc w:val="both"/>
        <w:rPr>
          <w:rFonts w:ascii="Arial" w:hAnsi="Arial" w:cs="Arial"/>
          <w:sz w:val="22"/>
          <w:szCs w:val="22"/>
          <w:lang w:val="fr-FR"/>
        </w:rPr>
      </w:pPr>
    </w:p>
    <w:p w:rsidR="008B3956" w:rsidRPr="006B277A" w:rsidRDefault="008B3956" w:rsidP="006B277A">
      <w:pPr>
        <w:pStyle w:val="ListParagraph"/>
        <w:autoSpaceDE/>
        <w:adjustRightInd/>
        <w:ind w:left="450"/>
        <w:contextualSpacing w:val="0"/>
        <w:jc w:val="both"/>
        <w:rPr>
          <w:rFonts w:ascii="Arial" w:hAnsi="Arial" w:cs="Arial"/>
          <w:sz w:val="22"/>
          <w:szCs w:val="22"/>
          <w:lang w:val="fr-FR"/>
        </w:rPr>
      </w:pPr>
    </w:p>
    <w:p w:rsidR="008B3956" w:rsidRPr="006B277A" w:rsidRDefault="00F244D3" w:rsidP="006B277A">
      <w:pPr>
        <w:pStyle w:val="ListParagraph"/>
        <w:autoSpaceDE/>
        <w:adjustRightInd/>
        <w:ind w:left="450"/>
        <w:contextualSpacing w:val="0"/>
        <w:jc w:val="both"/>
        <w:rPr>
          <w:rFonts w:ascii="Arial" w:hAnsi="Arial" w:cs="Arial"/>
          <w:sz w:val="22"/>
          <w:szCs w:val="22"/>
          <w:lang w:val="fr-FR"/>
        </w:rPr>
      </w:pPr>
      <w:r w:rsidRPr="00F244D3">
        <w:rPr>
          <w:noProof/>
        </w:rPr>
        <w:t xml:space="preserve"> </w:t>
      </w:r>
    </w:p>
    <w:p w:rsidR="008B3956" w:rsidRPr="006B277A" w:rsidRDefault="008B3956" w:rsidP="006B277A">
      <w:pPr>
        <w:pStyle w:val="ListParagraph"/>
        <w:autoSpaceDE/>
        <w:adjustRightInd/>
        <w:ind w:left="450"/>
        <w:contextualSpacing w:val="0"/>
        <w:jc w:val="both"/>
        <w:rPr>
          <w:rFonts w:ascii="Arial" w:hAnsi="Arial" w:cs="Arial"/>
          <w:sz w:val="22"/>
          <w:szCs w:val="22"/>
          <w:lang w:val="fr-FR"/>
        </w:rPr>
      </w:pPr>
    </w:p>
    <w:p w:rsidR="008B3956" w:rsidRPr="006B277A" w:rsidRDefault="00F244D3" w:rsidP="006B277A">
      <w:pPr>
        <w:pStyle w:val="ListParagraph"/>
        <w:autoSpaceDE/>
        <w:adjustRightInd/>
        <w:ind w:left="450"/>
        <w:contextualSpacing w:val="0"/>
        <w:jc w:val="both"/>
        <w:rPr>
          <w:rFonts w:ascii="Arial" w:hAnsi="Arial" w:cs="Arial"/>
          <w:sz w:val="22"/>
          <w:szCs w:val="22"/>
          <w:lang w:val="fr-FR"/>
        </w:rPr>
      </w:pPr>
      <w:r w:rsidRPr="00F244D3">
        <w:rPr>
          <w:noProof/>
        </w:rPr>
        <w:drawing>
          <wp:anchor distT="0" distB="0" distL="114300" distR="114300" simplePos="0" relativeHeight="251662848" behindDoc="0" locked="0" layoutInCell="1" allowOverlap="1">
            <wp:simplePos x="0" y="0"/>
            <wp:positionH relativeFrom="column">
              <wp:posOffset>2809240</wp:posOffset>
            </wp:positionH>
            <wp:positionV relativeFrom="paragraph">
              <wp:posOffset>264795</wp:posOffset>
            </wp:positionV>
            <wp:extent cx="3790950" cy="2371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6145" t="21541" r="857" b="12785"/>
                    <a:stretch/>
                  </pic:blipFill>
                  <pic:spPr bwMode="auto">
                    <a:xfrm>
                      <a:off x="0" y="0"/>
                      <a:ext cx="3790950" cy="2371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6B277A">
        <w:rPr>
          <w:rFonts w:ascii="Arial" w:hAnsi="Arial" w:cs="Arial"/>
          <w:noProof/>
          <w:sz w:val="22"/>
          <w:szCs w:val="22"/>
        </w:rPr>
        <w:drawing>
          <wp:anchor distT="0" distB="0" distL="114300" distR="114300" simplePos="0" relativeHeight="251661824" behindDoc="0" locked="0" layoutInCell="1" allowOverlap="1">
            <wp:simplePos x="0" y="0"/>
            <wp:positionH relativeFrom="column">
              <wp:posOffset>46990</wp:posOffset>
            </wp:positionH>
            <wp:positionV relativeFrom="paragraph">
              <wp:posOffset>1358265</wp:posOffset>
            </wp:positionV>
            <wp:extent cx="2781300" cy="2296160"/>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1708" t="10056" r="32787" b="2028"/>
                    <a:stretch/>
                  </pic:blipFill>
                  <pic:spPr bwMode="auto">
                    <a:xfrm>
                      <a:off x="0" y="0"/>
                      <a:ext cx="2781300" cy="2296160"/>
                    </a:xfrm>
                    <a:prstGeom prst="rect">
                      <a:avLst/>
                    </a:prstGeom>
                    <a:ln>
                      <a:noFill/>
                    </a:ln>
                    <a:extLst>
                      <a:ext uri="{53640926-AAD7-44D8-BBD7-CCE9431645EC}">
                        <a14:shadowObscured xmlns:a14="http://schemas.microsoft.com/office/drawing/2010/main"/>
                      </a:ext>
                    </a:extLst>
                  </pic:spPr>
                </pic:pic>
              </a:graphicData>
            </a:graphic>
          </wp:anchor>
        </w:drawing>
      </w:r>
    </w:p>
    <w:p w:rsidR="008B3956" w:rsidRPr="006B277A" w:rsidRDefault="008B3956" w:rsidP="006B277A">
      <w:pPr>
        <w:pStyle w:val="ListParagraph"/>
        <w:autoSpaceDE/>
        <w:adjustRightInd/>
        <w:ind w:left="450"/>
        <w:contextualSpacing w:val="0"/>
        <w:jc w:val="both"/>
        <w:rPr>
          <w:rFonts w:ascii="Arial" w:hAnsi="Arial" w:cs="Arial"/>
          <w:sz w:val="22"/>
          <w:szCs w:val="22"/>
          <w:lang w:val="fr-FR"/>
        </w:rPr>
      </w:pPr>
    </w:p>
    <w:p w:rsidR="008B3956" w:rsidRPr="006B277A" w:rsidRDefault="008B3956" w:rsidP="006B277A">
      <w:pPr>
        <w:pStyle w:val="ListParagraph"/>
        <w:autoSpaceDE/>
        <w:adjustRightInd/>
        <w:ind w:left="450"/>
        <w:contextualSpacing w:val="0"/>
        <w:jc w:val="both"/>
        <w:rPr>
          <w:rFonts w:ascii="Arial" w:hAnsi="Arial" w:cs="Arial"/>
          <w:sz w:val="22"/>
          <w:szCs w:val="22"/>
          <w:lang w:val="fr-FR"/>
        </w:rPr>
      </w:pPr>
    </w:p>
    <w:p w:rsidR="008B3956" w:rsidRPr="006B277A" w:rsidRDefault="008B3956" w:rsidP="006B277A">
      <w:pPr>
        <w:pStyle w:val="ListParagraph"/>
        <w:autoSpaceDE/>
        <w:adjustRightInd/>
        <w:ind w:left="450"/>
        <w:contextualSpacing w:val="0"/>
        <w:jc w:val="both"/>
        <w:rPr>
          <w:rFonts w:ascii="Arial" w:hAnsi="Arial" w:cs="Arial"/>
          <w:sz w:val="22"/>
          <w:szCs w:val="22"/>
          <w:lang w:val="fr-FR"/>
        </w:rPr>
      </w:pPr>
    </w:p>
    <w:p w:rsidR="008B3956" w:rsidRPr="006B277A" w:rsidRDefault="008B3956" w:rsidP="006B277A">
      <w:pPr>
        <w:pStyle w:val="ListParagraph"/>
        <w:autoSpaceDE/>
        <w:adjustRightInd/>
        <w:ind w:left="450"/>
        <w:contextualSpacing w:val="0"/>
        <w:jc w:val="both"/>
        <w:rPr>
          <w:rFonts w:ascii="Arial" w:hAnsi="Arial" w:cs="Arial"/>
          <w:sz w:val="22"/>
          <w:szCs w:val="22"/>
          <w:lang w:val="fr-FR"/>
        </w:rPr>
      </w:pPr>
    </w:p>
    <w:p w:rsidR="008B3956" w:rsidRPr="006B277A" w:rsidRDefault="008B3956" w:rsidP="006B277A">
      <w:pPr>
        <w:pStyle w:val="ListParagraph"/>
        <w:autoSpaceDE/>
        <w:adjustRightInd/>
        <w:ind w:left="450"/>
        <w:contextualSpacing w:val="0"/>
        <w:jc w:val="both"/>
        <w:rPr>
          <w:rFonts w:ascii="Arial" w:hAnsi="Arial" w:cs="Arial"/>
          <w:sz w:val="22"/>
          <w:szCs w:val="22"/>
          <w:lang w:val="fr-FR"/>
        </w:rPr>
      </w:pPr>
    </w:p>
    <w:p w:rsidR="008B3956" w:rsidRPr="006B277A" w:rsidRDefault="008B3956" w:rsidP="006B277A">
      <w:pPr>
        <w:pStyle w:val="ListParagraph"/>
        <w:autoSpaceDE/>
        <w:adjustRightInd/>
        <w:ind w:left="450"/>
        <w:contextualSpacing w:val="0"/>
        <w:jc w:val="both"/>
        <w:rPr>
          <w:rFonts w:ascii="Arial" w:hAnsi="Arial" w:cs="Arial"/>
          <w:sz w:val="22"/>
          <w:szCs w:val="22"/>
          <w:lang w:val="fr-FR"/>
        </w:rPr>
      </w:pPr>
    </w:p>
    <w:p w:rsidR="008B3956" w:rsidRPr="006B277A" w:rsidRDefault="008B3956" w:rsidP="00D94B8E">
      <w:pPr>
        <w:pStyle w:val="ListParagraph"/>
        <w:autoSpaceDE/>
        <w:adjustRightInd/>
        <w:ind w:left="360"/>
        <w:contextualSpacing w:val="0"/>
        <w:jc w:val="both"/>
        <w:rPr>
          <w:rFonts w:ascii="Arial" w:hAnsi="Arial" w:cs="Arial"/>
          <w:sz w:val="22"/>
          <w:szCs w:val="22"/>
          <w:lang w:val="fr-FR"/>
        </w:rPr>
      </w:pPr>
    </w:p>
    <w:p w:rsidR="008B3956" w:rsidRPr="006B277A" w:rsidRDefault="008B3956" w:rsidP="00D94B8E">
      <w:pPr>
        <w:pStyle w:val="ListParagraph"/>
        <w:autoSpaceDE/>
        <w:adjustRightInd/>
        <w:ind w:left="360"/>
        <w:contextualSpacing w:val="0"/>
        <w:jc w:val="both"/>
        <w:rPr>
          <w:rFonts w:ascii="Arial" w:hAnsi="Arial" w:cs="Arial"/>
          <w:sz w:val="22"/>
          <w:szCs w:val="22"/>
          <w:lang w:val="fr-FR"/>
        </w:rPr>
      </w:pPr>
      <w:r w:rsidRPr="006B277A">
        <w:rPr>
          <w:rFonts w:ascii="Arial" w:hAnsi="Arial" w:cs="Arial"/>
          <w:sz w:val="22"/>
          <w:szCs w:val="22"/>
          <w:lang w:val="fr-FR"/>
        </w:rPr>
        <w:t xml:space="preserve">Les contributions destinées à la conservation des </w:t>
      </w:r>
      <w:r w:rsidR="000A5B40" w:rsidRPr="006B277A">
        <w:rPr>
          <w:rFonts w:ascii="Arial" w:hAnsi="Arial" w:cs="Arial"/>
          <w:sz w:val="22"/>
          <w:szCs w:val="22"/>
          <w:lang w:val="fr-FR"/>
        </w:rPr>
        <w:t>« </w:t>
      </w:r>
      <w:r w:rsidRPr="006B277A">
        <w:rPr>
          <w:rFonts w:ascii="Arial" w:hAnsi="Arial" w:cs="Arial"/>
          <w:sz w:val="22"/>
          <w:szCs w:val="22"/>
          <w:lang w:val="fr-FR"/>
        </w:rPr>
        <w:t>espèces aviaires</w:t>
      </w:r>
      <w:r w:rsidR="000A5B40" w:rsidRPr="006B277A">
        <w:rPr>
          <w:rFonts w:ascii="Arial" w:hAnsi="Arial" w:cs="Arial"/>
          <w:sz w:val="22"/>
          <w:szCs w:val="22"/>
          <w:lang w:val="fr-FR"/>
        </w:rPr>
        <w:t> »</w:t>
      </w:r>
      <w:r w:rsidRPr="006B277A">
        <w:rPr>
          <w:rFonts w:ascii="Arial" w:hAnsi="Arial" w:cs="Arial"/>
          <w:sz w:val="22"/>
          <w:szCs w:val="22"/>
          <w:lang w:val="fr-FR"/>
        </w:rPr>
        <w:t xml:space="preserve"> comprennent la fourniture des services d’un</w:t>
      </w:r>
      <w:r w:rsidR="000A5B40" w:rsidRPr="006B277A">
        <w:rPr>
          <w:rFonts w:ascii="Arial" w:hAnsi="Arial" w:cs="Arial"/>
          <w:sz w:val="22"/>
          <w:szCs w:val="22"/>
          <w:lang w:val="fr-FR"/>
        </w:rPr>
        <w:t xml:space="preserve"> Jeune expert associé (JEA)</w:t>
      </w:r>
      <w:r w:rsidRPr="006B277A">
        <w:rPr>
          <w:rFonts w:ascii="Arial" w:hAnsi="Arial" w:cs="Arial"/>
          <w:sz w:val="22"/>
          <w:szCs w:val="22"/>
          <w:lang w:val="fr-FR"/>
        </w:rPr>
        <w:t xml:space="preserve"> généreusement offerts par le Gouvernement allemand pour aider aux nombreuses t</w:t>
      </w:r>
      <w:r w:rsidR="000A5B40" w:rsidRPr="006B277A">
        <w:rPr>
          <w:rFonts w:ascii="Arial" w:hAnsi="Arial" w:cs="Arial"/>
          <w:sz w:val="22"/>
          <w:szCs w:val="22"/>
          <w:lang w:val="fr-FR"/>
        </w:rPr>
        <w:t>â</w:t>
      </w:r>
      <w:r w:rsidRPr="006B277A">
        <w:rPr>
          <w:rFonts w:ascii="Arial" w:hAnsi="Arial" w:cs="Arial"/>
          <w:sz w:val="22"/>
          <w:szCs w:val="22"/>
          <w:lang w:val="fr-FR"/>
        </w:rPr>
        <w:t xml:space="preserve">ches de l’Unité, notamment renforcer les activités sur la prévention de l’empoisonnement des oiseaux d’octobre 2016 à octobre 2018. </w:t>
      </w:r>
    </w:p>
    <w:p w:rsidR="008B3956" w:rsidRPr="00F244D3" w:rsidRDefault="008B3956" w:rsidP="00F244D3">
      <w:pPr>
        <w:autoSpaceDE/>
        <w:adjustRightInd/>
        <w:jc w:val="both"/>
        <w:rPr>
          <w:rFonts w:ascii="Arial" w:hAnsi="Arial" w:cs="Arial"/>
          <w:sz w:val="22"/>
          <w:szCs w:val="22"/>
          <w:lang w:val="fr-FR"/>
        </w:rPr>
      </w:pPr>
    </w:p>
    <w:p w:rsidR="008B3956" w:rsidRPr="006B277A" w:rsidRDefault="000A5B40"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Toutefois, l</w:t>
      </w:r>
      <w:r w:rsidR="008B3956" w:rsidRPr="006B277A">
        <w:rPr>
          <w:rFonts w:ascii="Arial" w:hAnsi="Arial" w:cs="Arial"/>
          <w:sz w:val="22"/>
          <w:szCs w:val="22"/>
          <w:lang w:val="fr-FR"/>
        </w:rPr>
        <w:t xml:space="preserve">e montant indiqué ci-dessus ne comprend pas les promesses importantes pour 2016-2019 d’environ 8,1 millions d’US$ de </w:t>
      </w:r>
      <w:r w:rsidR="00625DBB" w:rsidRPr="006B277A">
        <w:rPr>
          <w:rFonts w:ascii="Arial" w:hAnsi="Arial" w:cs="Arial"/>
          <w:sz w:val="22"/>
          <w:szCs w:val="22"/>
          <w:lang w:val="fr-FR"/>
        </w:rPr>
        <w:t>l</w:t>
      </w:r>
      <w:r w:rsidR="008B3956" w:rsidRPr="006B277A">
        <w:rPr>
          <w:rFonts w:ascii="Arial" w:hAnsi="Arial" w:cs="Arial"/>
          <w:sz w:val="22"/>
          <w:szCs w:val="22"/>
          <w:lang w:val="fr-FR"/>
        </w:rPr>
        <w:t xml:space="preserve">’Agence pour l’environnement d’Abou Dhabi (EAD) reçus en septembre 2015 pour le fonctionnement du bureau de la CMS à Abou Dhabi qui coordonne les Mémorandums d’entente (MdE) pour les rapaces et les dugongs. Cette offre très généreuse provient de l’EAD au nom du Gouvernement des Émirats arabes unis. L’EAD accueille aussi le </w:t>
      </w:r>
      <w:r w:rsidR="00E8213F" w:rsidRPr="006B277A">
        <w:rPr>
          <w:rFonts w:ascii="Arial" w:hAnsi="Arial" w:cs="Arial"/>
          <w:sz w:val="22"/>
          <w:szCs w:val="22"/>
          <w:lang w:val="fr-FR"/>
        </w:rPr>
        <w:t>B</w:t>
      </w:r>
      <w:r w:rsidR="008B3956" w:rsidRPr="006B277A">
        <w:rPr>
          <w:rFonts w:ascii="Arial" w:hAnsi="Arial" w:cs="Arial"/>
          <w:sz w:val="22"/>
          <w:szCs w:val="22"/>
          <w:lang w:val="fr-FR"/>
        </w:rPr>
        <w:t>ureau à son siège, et fournit</w:t>
      </w:r>
      <w:r w:rsidR="00E8213F" w:rsidRPr="006B277A">
        <w:rPr>
          <w:rFonts w:ascii="Arial" w:hAnsi="Arial" w:cs="Arial"/>
          <w:sz w:val="22"/>
          <w:szCs w:val="22"/>
          <w:lang w:val="fr-FR"/>
        </w:rPr>
        <w:t xml:space="preserve"> des espaces de bureaux de </w:t>
      </w:r>
      <w:r w:rsidR="008B3956" w:rsidRPr="006B277A">
        <w:rPr>
          <w:rFonts w:ascii="Arial" w:hAnsi="Arial" w:cs="Arial"/>
          <w:sz w:val="22"/>
          <w:szCs w:val="22"/>
          <w:lang w:val="fr-FR"/>
        </w:rPr>
        <w:t xml:space="preserve">standing et d’autres aides pratiques. </w:t>
      </w:r>
    </w:p>
    <w:p w:rsidR="008B3956" w:rsidRPr="006B277A" w:rsidRDefault="008B3956" w:rsidP="006B277A">
      <w:pPr>
        <w:pStyle w:val="ListParagraph"/>
        <w:autoSpaceDE/>
        <w:adjustRightInd/>
        <w:ind w:left="450"/>
        <w:contextualSpacing w:val="0"/>
        <w:jc w:val="both"/>
        <w:rPr>
          <w:rFonts w:ascii="Arial" w:hAnsi="Arial" w:cs="Arial"/>
          <w:sz w:val="22"/>
          <w:szCs w:val="22"/>
          <w:lang w:val="fr-FR"/>
        </w:rPr>
      </w:pPr>
    </w:p>
    <w:p w:rsidR="008B3956" w:rsidRPr="00486911"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 xml:space="preserve">Les ressources obtenues par le biais de ces deux instruments et les “contributions volontaires calculées” pour la mise en œuvre des MdE pour les requins et les tortues marines et leurs habitats de l’océan Indien et de l’Asie du Sud-Est (IOSEA) sont aussi exclues du montant total indiqué ci-dessus. Les contributions </w:t>
      </w:r>
      <w:r w:rsidR="00E8213F" w:rsidRPr="006B277A">
        <w:rPr>
          <w:rFonts w:ascii="Arial" w:hAnsi="Arial" w:cs="Arial"/>
          <w:sz w:val="22"/>
          <w:szCs w:val="22"/>
          <w:lang w:val="fr-FR"/>
        </w:rPr>
        <w:t>reçues</w:t>
      </w:r>
      <w:r w:rsidRPr="006B277A">
        <w:rPr>
          <w:rFonts w:ascii="Arial" w:hAnsi="Arial" w:cs="Arial"/>
          <w:sz w:val="22"/>
          <w:szCs w:val="22"/>
          <w:lang w:val="fr-FR"/>
        </w:rPr>
        <w:t xml:space="preserve"> en 2015-2017 à l’appui du budget du MdE </w:t>
      </w:r>
      <w:r w:rsidR="00E8213F" w:rsidRPr="006B277A">
        <w:rPr>
          <w:rFonts w:ascii="Arial" w:hAnsi="Arial" w:cs="Arial"/>
          <w:sz w:val="22"/>
          <w:szCs w:val="22"/>
          <w:lang w:val="fr-FR"/>
        </w:rPr>
        <w:t>Requins</w:t>
      </w:r>
      <w:r w:rsidRPr="006B277A">
        <w:rPr>
          <w:rFonts w:ascii="Arial" w:hAnsi="Arial" w:cs="Arial"/>
          <w:sz w:val="22"/>
          <w:szCs w:val="22"/>
          <w:lang w:val="fr-FR"/>
        </w:rPr>
        <w:t xml:space="preserve"> et son programme de travail se montent </w:t>
      </w:r>
      <w:r w:rsidRPr="00486911">
        <w:rPr>
          <w:rFonts w:ascii="Arial" w:hAnsi="Arial" w:cs="Arial"/>
          <w:sz w:val="22"/>
          <w:szCs w:val="22"/>
          <w:lang w:val="fr-FR"/>
        </w:rPr>
        <w:t xml:space="preserve">à 584.436 US$ </w:t>
      </w:r>
      <w:r w:rsidRPr="00486911">
        <w:rPr>
          <w:rFonts w:ascii="Arial" w:hAnsi="Arial" w:cs="Arial"/>
          <w:sz w:val="22"/>
          <w:szCs w:val="22"/>
          <w:lang w:val="fr-FR"/>
        </w:rPr>
        <w:lastRenderedPageBreak/>
        <w:t>et celles reçues par le MdE de l’IOSEA se m</w:t>
      </w:r>
      <w:r w:rsidR="00E8213F" w:rsidRPr="00486911">
        <w:rPr>
          <w:rFonts w:ascii="Arial" w:hAnsi="Arial" w:cs="Arial"/>
          <w:sz w:val="22"/>
          <w:szCs w:val="22"/>
          <w:lang w:val="fr-FR"/>
        </w:rPr>
        <w:t>ontent à 428.</w:t>
      </w:r>
      <w:r w:rsidRPr="00486911">
        <w:rPr>
          <w:rFonts w:ascii="Arial" w:hAnsi="Arial" w:cs="Arial"/>
          <w:sz w:val="22"/>
          <w:szCs w:val="22"/>
          <w:lang w:val="fr-FR"/>
        </w:rPr>
        <w:t xml:space="preserve">345 US$. </w:t>
      </w:r>
    </w:p>
    <w:p w:rsidR="008B3956" w:rsidRPr="006B277A" w:rsidRDefault="008B3956" w:rsidP="006B277A">
      <w:pPr>
        <w:widowControl/>
        <w:autoSpaceDE/>
        <w:autoSpaceDN/>
        <w:adjustRightInd/>
        <w:rPr>
          <w:rFonts w:ascii="Arial" w:hAnsi="Arial" w:cs="Arial"/>
          <w:b/>
          <w:sz w:val="22"/>
          <w:szCs w:val="22"/>
          <w:lang w:val="fr-FR"/>
        </w:rPr>
      </w:pPr>
    </w:p>
    <w:p w:rsidR="008B3956" w:rsidRPr="00897C92" w:rsidRDefault="008B3956" w:rsidP="006B277A">
      <w:pPr>
        <w:pStyle w:val="ListParagraph"/>
        <w:ind w:left="0"/>
        <w:contextualSpacing w:val="0"/>
        <w:jc w:val="both"/>
        <w:rPr>
          <w:rFonts w:ascii="Arial" w:hAnsi="Arial" w:cs="Arial"/>
          <w:b/>
          <w:szCs w:val="20"/>
          <w:lang w:val="fr-FR"/>
        </w:rPr>
      </w:pPr>
      <w:r w:rsidRPr="00897C92">
        <w:rPr>
          <w:rFonts w:ascii="Arial" w:hAnsi="Arial" w:cs="Arial"/>
          <w:b/>
          <w:szCs w:val="20"/>
          <w:lang w:val="fr-FR"/>
        </w:rPr>
        <w:t>Contributions financières indirectes et contributions en nature</w:t>
      </w:r>
    </w:p>
    <w:p w:rsidR="008B3956" w:rsidRPr="006B277A" w:rsidRDefault="008B3956" w:rsidP="006B277A">
      <w:pPr>
        <w:pStyle w:val="ListParagraph"/>
        <w:ind w:left="0"/>
        <w:contextualSpacing w:val="0"/>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D’autres contributions ont été fournies</w:t>
      </w:r>
      <w:r w:rsidR="004950CD" w:rsidRPr="006B277A">
        <w:rPr>
          <w:rFonts w:ascii="Arial" w:hAnsi="Arial" w:cs="Arial"/>
          <w:sz w:val="22"/>
          <w:szCs w:val="22"/>
          <w:lang w:val="fr-FR"/>
        </w:rPr>
        <w:t>,</w:t>
      </w:r>
      <w:r w:rsidRPr="006B277A">
        <w:rPr>
          <w:rFonts w:ascii="Arial" w:hAnsi="Arial" w:cs="Arial"/>
          <w:sz w:val="22"/>
          <w:szCs w:val="22"/>
          <w:lang w:val="fr-FR"/>
        </w:rPr>
        <w:t xml:space="preserve"> soit sous la forme d’une aide financière qui </w:t>
      </w:r>
      <w:r w:rsidR="004950CD" w:rsidRPr="006B277A">
        <w:rPr>
          <w:rFonts w:ascii="Arial" w:hAnsi="Arial" w:cs="Arial"/>
          <w:sz w:val="22"/>
          <w:szCs w:val="22"/>
          <w:lang w:val="fr-FR"/>
        </w:rPr>
        <w:t>n’a pas été orientée vers le Secrétariat mais qui a</w:t>
      </w:r>
      <w:r w:rsidRPr="006B277A">
        <w:rPr>
          <w:rFonts w:ascii="Arial" w:hAnsi="Arial" w:cs="Arial"/>
          <w:sz w:val="22"/>
          <w:szCs w:val="22"/>
          <w:lang w:val="fr-FR"/>
        </w:rPr>
        <w:t xml:space="preserve"> contribué directement aux activités, </w:t>
      </w:r>
      <w:r w:rsidR="004950CD" w:rsidRPr="006B277A">
        <w:rPr>
          <w:rFonts w:ascii="Arial" w:hAnsi="Arial" w:cs="Arial"/>
          <w:sz w:val="22"/>
          <w:szCs w:val="22"/>
          <w:lang w:val="fr-FR"/>
        </w:rPr>
        <w:t>soit sous la forme d’un soutien</w:t>
      </w:r>
      <w:r w:rsidRPr="006B277A">
        <w:rPr>
          <w:rFonts w:ascii="Arial" w:hAnsi="Arial" w:cs="Arial"/>
          <w:sz w:val="22"/>
          <w:szCs w:val="22"/>
          <w:lang w:val="fr-FR"/>
        </w:rPr>
        <w:t xml:space="preserve"> en nature par l</w:t>
      </w:r>
      <w:r w:rsidR="004950CD" w:rsidRPr="006B277A">
        <w:rPr>
          <w:rFonts w:ascii="Arial" w:hAnsi="Arial" w:cs="Arial"/>
          <w:sz w:val="22"/>
          <w:szCs w:val="22"/>
          <w:lang w:val="fr-FR"/>
        </w:rPr>
        <w:t>’apport</w:t>
      </w:r>
      <w:r w:rsidRPr="006B277A">
        <w:rPr>
          <w:rFonts w:ascii="Arial" w:hAnsi="Arial" w:cs="Arial"/>
          <w:sz w:val="22"/>
          <w:szCs w:val="22"/>
          <w:lang w:val="fr-FR"/>
        </w:rPr>
        <w:t xml:space="preserve"> de personnel ou de services.</w:t>
      </w:r>
    </w:p>
    <w:p w:rsidR="008B3956" w:rsidRPr="006B277A" w:rsidRDefault="008B3956" w:rsidP="006B277A">
      <w:pPr>
        <w:pStyle w:val="ListParagraph"/>
        <w:ind w:left="0"/>
        <w:contextualSpacing w:val="0"/>
        <w:jc w:val="both"/>
        <w:rPr>
          <w:rFonts w:ascii="Arial" w:hAnsi="Arial" w:cs="Arial"/>
          <w:sz w:val="22"/>
          <w:szCs w:val="22"/>
          <w:lang w:val="fr-FR"/>
        </w:rPr>
      </w:pPr>
    </w:p>
    <w:p w:rsidR="008B3956" w:rsidRPr="006B277A" w:rsidRDefault="008B3956" w:rsidP="006B277A">
      <w:pPr>
        <w:pStyle w:val="ListParagraph"/>
        <w:ind w:left="0"/>
        <w:contextualSpacing w:val="0"/>
        <w:jc w:val="both"/>
        <w:rPr>
          <w:rFonts w:ascii="Arial" w:hAnsi="Arial" w:cs="Arial"/>
          <w:i/>
          <w:sz w:val="22"/>
          <w:szCs w:val="22"/>
          <w:lang w:val="en-GB"/>
        </w:rPr>
      </w:pPr>
      <w:r w:rsidRPr="006B277A">
        <w:rPr>
          <w:rFonts w:ascii="Arial" w:hAnsi="Arial" w:cs="Arial"/>
          <w:i/>
          <w:sz w:val="22"/>
          <w:szCs w:val="22"/>
          <w:lang w:val="en-GB"/>
        </w:rPr>
        <w:t>Activités et services</w:t>
      </w:r>
    </w:p>
    <w:p w:rsidR="008B3956" w:rsidRPr="006B277A" w:rsidRDefault="008B3956" w:rsidP="006B277A">
      <w:pPr>
        <w:pStyle w:val="ListParagraph"/>
        <w:ind w:left="0"/>
        <w:contextualSpacing w:val="0"/>
        <w:rPr>
          <w:rFonts w:ascii="Arial" w:hAnsi="Arial" w:cs="Arial"/>
          <w:sz w:val="22"/>
          <w:szCs w:val="22"/>
          <w:lang w:val="en-GB"/>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L</w:t>
      </w:r>
      <w:r w:rsidR="00755313" w:rsidRPr="006B277A">
        <w:rPr>
          <w:rFonts w:ascii="Arial" w:hAnsi="Arial" w:cs="Arial"/>
          <w:sz w:val="22"/>
          <w:szCs w:val="22"/>
          <w:lang w:val="fr-FR"/>
        </w:rPr>
        <w:t>’Agence</w:t>
      </w:r>
      <w:r w:rsidRPr="006B277A">
        <w:rPr>
          <w:rFonts w:ascii="Arial" w:hAnsi="Arial" w:cs="Arial"/>
          <w:sz w:val="22"/>
          <w:szCs w:val="22"/>
          <w:lang w:val="fr-FR"/>
        </w:rPr>
        <w:t xml:space="preserve"> allemande </w:t>
      </w:r>
      <w:r w:rsidR="00755313" w:rsidRPr="006B277A">
        <w:rPr>
          <w:rFonts w:ascii="Arial" w:hAnsi="Arial" w:cs="Arial"/>
          <w:sz w:val="22"/>
          <w:szCs w:val="22"/>
          <w:lang w:val="fr-FR"/>
        </w:rPr>
        <w:t>de</w:t>
      </w:r>
      <w:r w:rsidRPr="006B277A">
        <w:rPr>
          <w:rFonts w:ascii="Arial" w:hAnsi="Arial" w:cs="Arial"/>
          <w:sz w:val="22"/>
          <w:szCs w:val="22"/>
          <w:lang w:val="fr-FR"/>
        </w:rPr>
        <w:t xml:space="preserve"> coopération internationale (GIZ) agissant au nom du Ministère fédéral </w:t>
      </w:r>
      <w:r w:rsidR="00755313" w:rsidRPr="006B277A">
        <w:rPr>
          <w:rFonts w:ascii="Arial" w:hAnsi="Arial" w:cs="Arial"/>
          <w:sz w:val="22"/>
          <w:szCs w:val="22"/>
          <w:lang w:val="fr-FR"/>
        </w:rPr>
        <w:t>de</w:t>
      </w:r>
      <w:r w:rsidRPr="006B277A">
        <w:rPr>
          <w:rFonts w:ascii="Arial" w:hAnsi="Arial" w:cs="Arial"/>
          <w:sz w:val="22"/>
          <w:szCs w:val="22"/>
          <w:lang w:val="fr-FR"/>
        </w:rPr>
        <w:t xml:space="preserve"> la coopération économique et </w:t>
      </w:r>
      <w:r w:rsidR="00755313" w:rsidRPr="006B277A">
        <w:rPr>
          <w:rFonts w:ascii="Arial" w:hAnsi="Arial" w:cs="Arial"/>
          <w:sz w:val="22"/>
          <w:szCs w:val="22"/>
          <w:lang w:val="fr-FR"/>
        </w:rPr>
        <w:t>du</w:t>
      </w:r>
      <w:r w:rsidRPr="006B277A">
        <w:rPr>
          <w:rFonts w:ascii="Arial" w:hAnsi="Arial" w:cs="Arial"/>
          <w:sz w:val="22"/>
          <w:szCs w:val="22"/>
          <w:lang w:val="fr-FR"/>
        </w:rPr>
        <w:t xml:space="preserve"> développement (BMZ) a couvert les coûts de publication du Plan d’action pour le mouton argali et des Lignes directrices pour l’atténuation de l’impact des infrastructures linéaires et des perturbations connexes sur les mammifères en Asie centrale. NABU, le partenaire de BirdLife en Allemagne, et la Société zoologique de Francfort ont contribué à l’organisation de la Troisième Réunion des Signataires du Mémorandum d’entente (MdE) concernant la conservation, la restauration et l’utilisation durable de l’antilope saïga en octobre 2015.</w:t>
      </w:r>
    </w:p>
    <w:p w:rsidR="008B3956" w:rsidRPr="006B277A" w:rsidRDefault="008B3956" w:rsidP="006B277A">
      <w:pPr>
        <w:pStyle w:val="ListParagraph"/>
        <w:autoSpaceDE/>
        <w:adjustRightInd/>
        <w:ind w:left="450"/>
        <w:contextualSpacing w:val="0"/>
        <w:jc w:val="both"/>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 xml:space="preserve">La Troisième Réunion des Signataires du MdE sur le phragmite aquatique s’est tenue en Lituanie en mai </w:t>
      </w:r>
      <w:r w:rsidR="00755313" w:rsidRPr="006B277A">
        <w:rPr>
          <w:rFonts w:ascii="Arial" w:hAnsi="Arial" w:cs="Arial"/>
          <w:sz w:val="22"/>
          <w:szCs w:val="22"/>
          <w:lang w:val="fr-FR"/>
        </w:rPr>
        <w:t>2</w:t>
      </w:r>
      <w:r w:rsidRPr="006B277A">
        <w:rPr>
          <w:rFonts w:ascii="Arial" w:hAnsi="Arial" w:cs="Arial"/>
          <w:sz w:val="22"/>
          <w:szCs w:val="22"/>
          <w:lang w:val="fr-FR"/>
        </w:rPr>
        <w:t xml:space="preserve">015 et a été entièrement financée par le Baltic Environmental Forum par le biais du projet LIFE Plus </w:t>
      </w:r>
      <w:r w:rsidR="00755313" w:rsidRPr="006B277A">
        <w:rPr>
          <w:rFonts w:ascii="Arial" w:hAnsi="Arial" w:cs="Arial"/>
          <w:sz w:val="22"/>
          <w:szCs w:val="22"/>
          <w:lang w:val="fr-FR"/>
        </w:rPr>
        <w:t>« </w:t>
      </w:r>
      <w:r w:rsidRPr="006B277A">
        <w:rPr>
          <w:rFonts w:ascii="Arial" w:hAnsi="Arial" w:cs="Arial"/>
          <w:sz w:val="22"/>
          <w:szCs w:val="22"/>
          <w:lang w:val="fr-FR"/>
        </w:rPr>
        <w:t>phragmite aquatique de la mer Baltique</w:t>
      </w:r>
      <w:r w:rsidR="00755313" w:rsidRPr="006B277A">
        <w:rPr>
          <w:rFonts w:ascii="Arial" w:hAnsi="Arial" w:cs="Arial"/>
          <w:sz w:val="22"/>
          <w:szCs w:val="22"/>
          <w:lang w:val="fr-FR"/>
        </w:rPr>
        <w:t> »</w:t>
      </w:r>
      <w:r w:rsidRPr="006B277A">
        <w:rPr>
          <w:rFonts w:ascii="Arial" w:hAnsi="Arial" w:cs="Arial"/>
          <w:sz w:val="22"/>
          <w:szCs w:val="22"/>
          <w:lang w:val="fr-FR"/>
        </w:rPr>
        <w:t>.</w:t>
      </w:r>
    </w:p>
    <w:p w:rsidR="008B3956" w:rsidRPr="006B277A" w:rsidRDefault="008B3956" w:rsidP="006B277A">
      <w:pPr>
        <w:pStyle w:val="ListParagraph"/>
        <w:ind w:left="0"/>
        <w:contextualSpacing w:val="0"/>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 xml:space="preserve">Le premier atelier des États de l’aire de répartition de l’anguille européenne s’est tenu en octobre 2016, parrainé principalement par la Commission de la mer des Sargasses, tandis que le Secrétariat de la CMS, grâce à un financement de Monaco, a couvert quelques dépenses.   </w:t>
      </w:r>
    </w:p>
    <w:p w:rsidR="008B3956" w:rsidRPr="006B277A" w:rsidRDefault="008B3956" w:rsidP="006B277A">
      <w:pPr>
        <w:pStyle w:val="ListParagraph"/>
        <w:ind w:left="0"/>
        <w:contextualSpacing w:val="0"/>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La 2</w:t>
      </w:r>
      <w:r w:rsidRPr="006B277A">
        <w:rPr>
          <w:rFonts w:ascii="Arial" w:hAnsi="Arial" w:cs="Arial"/>
          <w:sz w:val="22"/>
          <w:szCs w:val="22"/>
          <w:vertAlign w:val="superscript"/>
          <w:lang w:val="fr-FR"/>
        </w:rPr>
        <w:t>ème</w:t>
      </w:r>
      <w:r w:rsidRPr="006B277A">
        <w:rPr>
          <w:rFonts w:ascii="Arial" w:hAnsi="Arial" w:cs="Arial"/>
          <w:sz w:val="22"/>
          <w:szCs w:val="22"/>
          <w:lang w:val="fr-FR"/>
        </w:rPr>
        <w:t xml:space="preserve"> réunion du Groupe de travail sur la prévention de l’empoisonnement des oiseaux qui a eu lieu à Tolède, en Espagne du 19 au 21 février 2017 a été parrainée par le G</w:t>
      </w:r>
      <w:r w:rsidR="00755313" w:rsidRPr="006B277A">
        <w:rPr>
          <w:rFonts w:ascii="Arial" w:hAnsi="Arial" w:cs="Arial"/>
          <w:sz w:val="22"/>
          <w:szCs w:val="22"/>
          <w:lang w:val="fr-FR"/>
        </w:rPr>
        <w:t>ouvernement régional de Castille</w:t>
      </w:r>
      <w:r w:rsidRPr="006B277A">
        <w:rPr>
          <w:rFonts w:ascii="Arial" w:hAnsi="Arial" w:cs="Arial"/>
          <w:sz w:val="22"/>
          <w:szCs w:val="22"/>
          <w:lang w:val="fr-FR"/>
        </w:rPr>
        <w:t>-La Mancha.</w:t>
      </w:r>
    </w:p>
    <w:p w:rsidR="008B3956" w:rsidRPr="006B277A" w:rsidRDefault="008B3956" w:rsidP="006B277A">
      <w:pPr>
        <w:pStyle w:val="ListParagraph"/>
        <w:autoSpaceDE/>
        <w:adjustRightInd/>
        <w:ind w:left="0"/>
        <w:contextualSpacing w:val="0"/>
        <w:jc w:val="both"/>
        <w:rPr>
          <w:rFonts w:ascii="Arial" w:hAnsi="Arial" w:cs="Arial"/>
          <w:sz w:val="22"/>
          <w:szCs w:val="22"/>
          <w:lang w:val="fr-FR"/>
        </w:rPr>
      </w:pPr>
    </w:p>
    <w:p w:rsidR="008B3956" w:rsidRPr="006B277A" w:rsidRDefault="00755313"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 xml:space="preserve">La générosité de </w:t>
      </w:r>
      <w:r w:rsidR="008B3956" w:rsidRPr="006B277A">
        <w:rPr>
          <w:rFonts w:ascii="Arial" w:hAnsi="Arial" w:cs="Arial"/>
          <w:sz w:val="22"/>
          <w:szCs w:val="22"/>
          <w:lang w:val="fr-FR"/>
        </w:rPr>
        <w:t>BirdLife International</w:t>
      </w:r>
      <w:r w:rsidRPr="006B277A">
        <w:rPr>
          <w:rFonts w:ascii="Arial" w:hAnsi="Arial" w:cs="Arial"/>
          <w:sz w:val="22"/>
          <w:szCs w:val="22"/>
          <w:lang w:val="fr-FR"/>
        </w:rPr>
        <w:t xml:space="preserve"> a permis d’assurer</w:t>
      </w:r>
      <w:r w:rsidR="008B3956" w:rsidRPr="006B277A">
        <w:rPr>
          <w:rFonts w:ascii="Arial" w:hAnsi="Arial" w:cs="Arial"/>
          <w:sz w:val="22"/>
          <w:szCs w:val="22"/>
          <w:lang w:val="fr-FR"/>
        </w:rPr>
        <w:t xml:space="preserve"> la coordination du Plan d’action de la CMS pour les oiseaux terrestres migrateurs d’Afrique-Eurasie pendant deux ans.</w:t>
      </w:r>
    </w:p>
    <w:p w:rsidR="008B3956" w:rsidRPr="006B277A" w:rsidRDefault="008B3956" w:rsidP="006B277A">
      <w:pPr>
        <w:pStyle w:val="ListParagraph"/>
        <w:autoSpaceDE/>
        <w:adjustRightInd/>
        <w:ind w:left="0"/>
        <w:contextualSpacing w:val="0"/>
        <w:jc w:val="both"/>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Grâce à l’initiative du Président du Conseil scientifique de la CMS, le Parc interrégional du delta du P</w:t>
      </w:r>
      <w:r w:rsidR="00755313" w:rsidRPr="006B277A">
        <w:rPr>
          <w:rFonts w:ascii="Arial" w:hAnsi="Arial" w:cs="Arial"/>
          <w:sz w:val="22"/>
          <w:szCs w:val="22"/>
          <w:lang w:val="fr-FR"/>
        </w:rPr>
        <w:t>ô</w:t>
      </w:r>
      <w:r w:rsidRPr="006B277A">
        <w:rPr>
          <w:rFonts w:ascii="Arial" w:hAnsi="Arial" w:cs="Arial"/>
          <w:sz w:val="22"/>
          <w:szCs w:val="22"/>
          <w:lang w:val="fr-FR"/>
        </w:rPr>
        <w:t xml:space="preserve"> a fourni 50.000 € pour l’organisation de deux ateliers réunissant des experts qui ont examiné et fait avancer la question de la connectivité des espèces migratrices. Ces discussions ont abouti à la soumission d’une résolution figurant dans le document UNEP/CMS/COP12/Doc.24.4.11.</w:t>
      </w:r>
    </w:p>
    <w:p w:rsidR="008B3956" w:rsidRPr="006B277A" w:rsidRDefault="008B3956" w:rsidP="006B277A">
      <w:pPr>
        <w:pStyle w:val="ListParagraph"/>
        <w:autoSpaceDE/>
        <w:adjustRightInd/>
        <w:ind w:left="0"/>
        <w:contextualSpacing w:val="0"/>
        <w:jc w:val="both"/>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La première réunion des Si</w:t>
      </w:r>
      <w:r w:rsidR="00755313" w:rsidRPr="006B277A">
        <w:rPr>
          <w:rFonts w:ascii="Arial" w:hAnsi="Arial" w:cs="Arial"/>
          <w:sz w:val="22"/>
          <w:szCs w:val="22"/>
          <w:lang w:val="fr-FR"/>
        </w:rPr>
        <w:t>gnataires du MdE sur les flamant</w:t>
      </w:r>
      <w:r w:rsidRPr="006B277A">
        <w:rPr>
          <w:rFonts w:ascii="Arial" w:hAnsi="Arial" w:cs="Arial"/>
          <w:sz w:val="22"/>
          <w:szCs w:val="22"/>
          <w:lang w:val="fr-FR"/>
        </w:rPr>
        <w:t xml:space="preserve">s des </w:t>
      </w:r>
      <w:r w:rsidR="00755313" w:rsidRPr="006B277A">
        <w:rPr>
          <w:rFonts w:ascii="Arial" w:hAnsi="Arial" w:cs="Arial"/>
          <w:sz w:val="22"/>
          <w:szCs w:val="22"/>
          <w:lang w:val="fr-FR"/>
        </w:rPr>
        <w:t>h</w:t>
      </w:r>
      <w:r w:rsidRPr="006B277A">
        <w:rPr>
          <w:rFonts w:ascii="Arial" w:hAnsi="Arial" w:cs="Arial"/>
          <w:sz w:val="22"/>
          <w:szCs w:val="22"/>
          <w:lang w:val="fr-FR"/>
        </w:rPr>
        <w:t>autes Andes a eu lieu au Pérou en avril 2016. Elle a été en grande partie financée par le TAIEF (Mécanisme d’assistance technique et d’échange d’informations). Le TAIEF est une plateforme de l’UE qui appuie l’organisation d’ateliers et de séminaires, et en particulier la participation d’experts de l’UE.</w:t>
      </w:r>
    </w:p>
    <w:p w:rsidR="008B3956" w:rsidRPr="006B277A" w:rsidRDefault="008B3956" w:rsidP="009C344B">
      <w:pPr>
        <w:pStyle w:val="ListParagraph"/>
        <w:autoSpaceDE/>
        <w:adjustRightInd/>
        <w:ind w:left="360" w:hanging="360"/>
        <w:contextualSpacing w:val="0"/>
        <w:jc w:val="both"/>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 xml:space="preserve">Outre qu’il accueille le Secrétariat de la CMS ainsi que d’autres Secrétariats de la Famille CMS ayant leur siège à Bonn, et qu’il se charge de tous les coûts associés à ces locaux, le Gouvernement allemand a offert des services d’interprétation pour les deux réunions intersessions du Comité permanent en 2015 et 2016 ainsi que pour les deux réunions du Comité de session du Conseil scientifique de la CMS qui ont eu lieu en avril 2016 et en juillet 2017. </w:t>
      </w:r>
    </w:p>
    <w:p w:rsidR="008B3956" w:rsidRPr="006B277A" w:rsidRDefault="008B3956" w:rsidP="009C344B">
      <w:pPr>
        <w:pStyle w:val="ListParagraph"/>
        <w:autoSpaceDE/>
        <w:adjustRightInd/>
        <w:ind w:left="360" w:hanging="360"/>
        <w:contextualSpacing w:val="0"/>
        <w:jc w:val="both"/>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 xml:space="preserve">Plusieurs Parties ont pu contribuer aux activités de la Convention en accueillant des réunions et des ateliers et ont participé </w:t>
      </w:r>
      <w:r w:rsidR="00755313" w:rsidRPr="006B277A">
        <w:rPr>
          <w:rFonts w:ascii="Arial" w:hAnsi="Arial" w:cs="Arial"/>
          <w:sz w:val="22"/>
          <w:szCs w:val="22"/>
          <w:lang w:val="fr-FR"/>
        </w:rPr>
        <w:t>à la mise en place des dispositions</w:t>
      </w:r>
      <w:r w:rsidRPr="006B277A">
        <w:rPr>
          <w:rFonts w:ascii="Arial" w:hAnsi="Arial" w:cs="Arial"/>
          <w:sz w:val="22"/>
          <w:szCs w:val="22"/>
          <w:lang w:val="fr-FR"/>
        </w:rPr>
        <w:t xml:space="preserve"> logistiques connexes. On trouvera de plus amples détails dans le document sur la mise en œuvre du programme de travail 2015-2017 (UNEP/CMS/COP12/Doc.18). Nos remerciements vont </w:t>
      </w:r>
      <w:r w:rsidRPr="006B277A">
        <w:rPr>
          <w:rFonts w:ascii="Arial" w:hAnsi="Arial" w:cs="Arial"/>
          <w:sz w:val="22"/>
          <w:szCs w:val="22"/>
          <w:lang w:val="fr-FR"/>
        </w:rPr>
        <w:lastRenderedPageBreak/>
        <w:t xml:space="preserve">particulièrement au Gouvernement des Philippines qui accueille la COP12 et prend à sa charge plusieurs coûts supplémentaires </w:t>
      </w:r>
      <w:r w:rsidR="00755313" w:rsidRPr="006B277A">
        <w:rPr>
          <w:rFonts w:ascii="Arial" w:hAnsi="Arial" w:cs="Arial"/>
          <w:sz w:val="22"/>
          <w:szCs w:val="22"/>
          <w:lang w:val="fr-FR"/>
        </w:rPr>
        <w:t xml:space="preserve">associés, </w:t>
      </w:r>
      <w:r w:rsidRPr="006B277A">
        <w:rPr>
          <w:rFonts w:ascii="Arial" w:hAnsi="Arial" w:cs="Arial"/>
          <w:sz w:val="22"/>
          <w:szCs w:val="22"/>
          <w:lang w:val="fr-FR"/>
        </w:rPr>
        <w:t xml:space="preserve">y compris la couverture par le </w:t>
      </w:r>
      <w:r w:rsidR="00755313" w:rsidRPr="006B277A">
        <w:rPr>
          <w:rFonts w:ascii="Arial" w:hAnsi="Arial" w:cs="Arial"/>
          <w:sz w:val="22"/>
          <w:szCs w:val="22"/>
          <w:lang w:val="fr-FR"/>
        </w:rPr>
        <w:t xml:space="preserve">Bulletin des </w:t>
      </w:r>
      <w:r w:rsidR="00625DBB" w:rsidRPr="006B277A">
        <w:rPr>
          <w:rFonts w:ascii="Arial" w:hAnsi="Arial" w:cs="Arial"/>
          <w:sz w:val="22"/>
          <w:szCs w:val="22"/>
          <w:lang w:val="fr-FR"/>
        </w:rPr>
        <w:t>N</w:t>
      </w:r>
      <w:r w:rsidR="00755313" w:rsidRPr="006B277A">
        <w:rPr>
          <w:rFonts w:ascii="Arial" w:hAnsi="Arial" w:cs="Arial"/>
          <w:sz w:val="22"/>
          <w:szCs w:val="22"/>
          <w:lang w:val="fr-FR"/>
        </w:rPr>
        <w:t>égociations de la Terre.</w:t>
      </w:r>
      <w:r w:rsidRPr="006B277A">
        <w:rPr>
          <w:rFonts w:ascii="Arial" w:hAnsi="Arial" w:cs="Arial"/>
          <w:sz w:val="22"/>
          <w:szCs w:val="22"/>
          <w:lang w:val="fr-FR"/>
        </w:rPr>
        <w:t xml:space="preserve"> </w:t>
      </w:r>
    </w:p>
    <w:p w:rsidR="008B3956" w:rsidRPr="006B277A" w:rsidRDefault="008B3956" w:rsidP="009C344B">
      <w:pPr>
        <w:autoSpaceDE/>
        <w:adjustRightInd/>
        <w:ind w:left="360" w:hanging="360"/>
        <w:jc w:val="both"/>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Le Gouvernement allemand</w:t>
      </w:r>
      <w:r w:rsidRPr="006B277A">
        <w:rPr>
          <w:rStyle w:val="FootnoteReference"/>
          <w:rFonts w:ascii="Arial" w:hAnsi="Arial" w:cs="Arial"/>
          <w:sz w:val="22"/>
          <w:szCs w:val="22"/>
          <w:vertAlign w:val="superscript"/>
          <w:lang w:val="en-GB"/>
        </w:rPr>
        <w:footnoteReference w:id="7"/>
      </w:r>
      <w:r w:rsidRPr="006B277A">
        <w:rPr>
          <w:rFonts w:ascii="Arial" w:hAnsi="Arial" w:cs="Arial"/>
          <w:sz w:val="22"/>
          <w:szCs w:val="22"/>
          <w:lang w:val="fr-FR"/>
        </w:rPr>
        <w:t xml:space="preserve"> a parrainé trois ateliers à l’appui de l’Initiative pour les mammifères d’Asie</w:t>
      </w:r>
      <w:r w:rsidR="00755313" w:rsidRPr="006B277A">
        <w:rPr>
          <w:rFonts w:ascii="Arial" w:hAnsi="Arial" w:cs="Arial"/>
          <w:sz w:val="22"/>
          <w:szCs w:val="22"/>
          <w:lang w:val="fr-FR"/>
        </w:rPr>
        <w:t xml:space="preserve"> centrale (CAMI). Un atelier a été organisé à </w:t>
      </w:r>
      <w:r w:rsidRPr="006B277A">
        <w:rPr>
          <w:rFonts w:ascii="Arial" w:hAnsi="Arial" w:cs="Arial"/>
          <w:sz w:val="22"/>
          <w:szCs w:val="22"/>
          <w:lang w:val="fr-FR"/>
        </w:rPr>
        <w:t xml:space="preserve">Ulanbata, en Mongolie en 2015 avec pour objectif de promouvoir des lignes directrices, </w:t>
      </w:r>
      <w:r w:rsidR="00755313" w:rsidRPr="006B277A">
        <w:rPr>
          <w:rFonts w:ascii="Arial" w:hAnsi="Arial" w:cs="Arial"/>
          <w:sz w:val="22"/>
          <w:szCs w:val="22"/>
          <w:lang w:val="fr-FR"/>
        </w:rPr>
        <w:t xml:space="preserve">visant à </w:t>
      </w:r>
      <w:r w:rsidRPr="006B277A">
        <w:rPr>
          <w:rFonts w:ascii="Arial" w:hAnsi="Arial" w:cs="Arial"/>
          <w:sz w:val="22"/>
          <w:szCs w:val="22"/>
          <w:lang w:val="fr-FR"/>
        </w:rPr>
        <w:t>atténu</w:t>
      </w:r>
      <w:r w:rsidR="00755313" w:rsidRPr="006B277A">
        <w:rPr>
          <w:rFonts w:ascii="Arial" w:hAnsi="Arial" w:cs="Arial"/>
          <w:sz w:val="22"/>
          <w:szCs w:val="22"/>
          <w:lang w:val="fr-FR"/>
        </w:rPr>
        <w:t>er</w:t>
      </w:r>
      <w:r w:rsidRPr="006B277A">
        <w:rPr>
          <w:rFonts w:ascii="Arial" w:hAnsi="Arial" w:cs="Arial"/>
          <w:sz w:val="22"/>
          <w:szCs w:val="22"/>
          <w:lang w:val="fr-FR"/>
        </w:rPr>
        <w:t xml:space="preserve"> l’impact des infrastructures linéaires et les perturbations sur les mammifères d’Asie centrale. Les deux autres ateliers ont eu lieu sur l’</w:t>
      </w:r>
      <w:r w:rsidR="00755313" w:rsidRPr="006B277A">
        <w:rPr>
          <w:rFonts w:ascii="Arial" w:hAnsi="Arial" w:cs="Arial"/>
          <w:sz w:val="22"/>
          <w:szCs w:val="22"/>
          <w:lang w:val="fr-FR"/>
        </w:rPr>
        <w:t>î</w:t>
      </w:r>
      <w:r w:rsidRPr="006B277A">
        <w:rPr>
          <w:rFonts w:ascii="Arial" w:hAnsi="Arial" w:cs="Arial"/>
          <w:sz w:val="22"/>
          <w:szCs w:val="22"/>
          <w:lang w:val="fr-FR"/>
        </w:rPr>
        <w:t xml:space="preserve">le de Vilm en Allemagne en 2016 et 2017 dans le but de stimuler la mise en œuvre du programme de travail de la CAMI en définissant </w:t>
      </w:r>
      <w:r w:rsidR="00755313" w:rsidRPr="006B277A">
        <w:rPr>
          <w:rFonts w:ascii="Arial" w:hAnsi="Arial" w:cs="Arial"/>
          <w:sz w:val="22"/>
          <w:szCs w:val="22"/>
          <w:lang w:val="fr-FR"/>
        </w:rPr>
        <w:t xml:space="preserve">des mesures </w:t>
      </w:r>
      <w:r w:rsidRPr="006B277A">
        <w:rPr>
          <w:rFonts w:ascii="Arial" w:hAnsi="Arial" w:cs="Arial"/>
          <w:sz w:val="22"/>
          <w:szCs w:val="22"/>
          <w:lang w:val="fr-FR"/>
        </w:rPr>
        <w:t>urgentes</w:t>
      </w:r>
      <w:r w:rsidR="00755313" w:rsidRPr="006B277A">
        <w:rPr>
          <w:rFonts w:ascii="Arial" w:hAnsi="Arial" w:cs="Arial"/>
          <w:sz w:val="22"/>
          <w:szCs w:val="22"/>
          <w:lang w:val="fr-FR"/>
        </w:rPr>
        <w:t>,</w:t>
      </w:r>
      <w:r w:rsidRPr="006B277A">
        <w:rPr>
          <w:rFonts w:ascii="Arial" w:hAnsi="Arial" w:cs="Arial"/>
          <w:sz w:val="22"/>
          <w:szCs w:val="22"/>
          <w:lang w:val="fr-FR"/>
        </w:rPr>
        <w:t xml:space="preserve"> en élaborant un atlas cartographi</w:t>
      </w:r>
      <w:r w:rsidR="00755313" w:rsidRPr="006B277A">
        <w:rPr>
          <w:rFonts w:ascii="Arial" w:hAnsi="Arial" w:cs="Arial"/>
          <w:sz w:val="22"/>
          <w:szCs w:val="22"/>
          <w:lang w:val="fr-FR"/>
        </w:rPr>
        <w:t xml:space="preserve">que complet </w:t>
      </w:r>
      <w:r w:rsidRPr="006B277A">
        <w:rPr>
          <w:rFonts w:ascii="Arial" w:hAnsi="Arial" w:cs="Arial"/>
          <w:sz w:val="22"/>
          <w:szCs w:val="22"/>
          <w:lang w:val="fr-FR"/>
        </w:rPr>
        <w:t xml:space="preserve">et en </w:t>
      </w:r>
      <w:r w:rsidR="00CF5A60" w:rsidRPr="006B277A">
        <w:rPr>
          <w:rFonts w:ascii="Arial" w:hAnsi="Arial" w:cs="Arial"/>
          <w:sz w:val="22"/>
          <w:szCs w:val="22"/>
          <w:lang w:val="fr-FR"/>
        </w:rPr>
        <w:t>indiquant</w:t>
      </w:r>
      <w:r w:rsidRPr="006B277A">
        <w:rPr>
          <w:rFonts w:ascii="Arial" w:hAnsi="Arial" w:cs="Arial"/>
          <w:sz w:val="22"/>
          <w:szCs w:val="22"/>
          <w:lang w:val="fr-FR"/>
        </w:rPr>
        <w:t xml:space="preserve"> les priorités de dix espèces </w:t>
      </w:r>
      <w:r w:rsidR="00755313" w:rsidRPr="006B277A">
        <w:rPr>
          <w:rFonts w:ascii="Arial" w:hAnsi="Arial" w:cs="Arial"/>
          <w:sz w:val="22"/>
          <w:szCs w:val="22"/>
          <w:lang w:val="fr-FR"/>
        </w:rPr>
        <w:t xml:space="preserve">couvertes par la </w:t>
      </w:r>
      <w:r w:rsidRPr="006B277A">
        <w:rPr>
          <w:rFonts w:ascii="Arial" w:hAnsi="Arial" w:cs="Arial"/>
          <w:sz w:val="22"/>
          <w:szCs w:val="22"/>
          <w:lang w:val="fr-FR"/>
        </w:rPr>
        <w:t>CAMI et les menaces des infrastructures linéaires en Asie centrale respectivement.</w:t>
      </w:r>
    </w:p>
    <w:p w:rsidR="008B3956" w:rsidRPr="006B277A" w:rsidRDefault="008B3956" w:rsidP="009C344B">
      <w:pPr>
        <w:pStyle w:val="ListParagraph"/>
        <w:autoSpaceDE/>
        <w:adjustRightInd/>
        <w:ind w:left="360" w:hanging="360"/>
        <w:contextualSpacing w:val="0"/>
        <w:jc w:val="both"/>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En 2016 la maintenance régulière du site web de la Famille CMS a bénéficié de l’appui fourni dans le cadre de l’Initiative de gestion de</w:t>
      </w:r>
      <w:r w:rsidR="00CF5A60" w:rsidRPr="006B277A">
        <w:rPr>
          <w:rFonts w:ascii="Arial" w:hAnsi="Arial" w:cs="Arial"/>
          <w:sz w:val="22"/>
          <w:szCs w:val="22"/>
          <w:lang w:val="fr-FR"/>
        </w:rPr>
        <w:t xml:space="preserve"> l’i</w:t>
      </w:r>
      <w:r w:rsidRPr="006B277A">
        <w:rPr>
          <w:rFonts w:ascii="Arial" w:hAnsi="Arial" w:cs="Arial"/>
          <w:sz w:val="22"/>
          <w:szCs w:val="22"/>
          <w:lang w:val="fr-FR"/>
        </w:rPr>
        <w:t xml:space="preserve">nformation et des connaissances </w:t>
      </w:r>
      <w:r w:rsidR="00CF5A60" w:rsidRPr="006B277A">
        <w:rPr>
          <w:rFonts w:ascii="Arial" w:hAnsi="Arial" w:cs="Arial"/>
          <w:sz w:val="22"/>
          <w:szCs w:val="22"/>
          <w:lang w:val="fr-FR"/>
        </w:rPr>
        <w:t>sur les</w:t>
      </w:r>
      <w:r w:rsidRPr="006B277A">
        <w:rPr>
          <w:rFonts w:ascii="Arial" w:hAnsi="Arial" w:cs="Arial"/>
          <w:sz w:val="22"/>
          <w:szCs w:val="22"/>
          <w:lang w:val="fr-FR"/>
        </w:rPr>
        <w:t xml:space="preserve"> AME promue par la Division du droit</w:t>
      </w:r>
      <w:r w:rsidR="00CF5A60" w:rsidRPr="006B277A">
        <w:rPr>
          <w:rFonts w:ascii="Arial" w:hAnsi="Arial" w:cs="Arial"/>
          <w:sz w:val="22"/>
          <w:szCs w:val="22"/>
          <w:lang w:val="fr-FR"/>
        </w:rPr>
        <w:t xml:space="preserve"> environnemental de l’</w:t>
      </w:r>
      <w:r w:rsidR="00381346" w:rsidRPr="006B277A">
        <w:rPr>
          <w:rFonts w:ascii="Arial" w:hAnsi="Arial" w:cs="Arial"/>
          <w:sz w:val="22"/>
          <w:szCs w:val="22"/>
          <w:lang w:val="fr-FR"/>
        </w:rPr>
        <w:t>ONU-Environnement</w:t>
      </w:r>
      <w:r w:rsidRPr="006B277A">
        <w:rPr>
          <w:rFonts w:ascii="Arial" w:hAnsi="Arial" w:cs="Arial"/>
          <w:sz w:val="22"/>
          <w:szCs w:val="22"/>
          <w:lang w:val="fr-FR"/>
        </w:rPr>
        <w:t>.</w:t>
      </w:r>
    </w:p>
    <w:p w:rsidR="008B3956" w:rsidRPr="006B277A" w:rsidRDefault="008B3956" w:rsidP="009C344B">
      <w:pPr>
        <w:pStyle w:val="ListParagraph"/>
        <w:autoSpaceDE/>
        <w:adjustRightInd/>
        <w:ind w:left="360" w:hanging="360"/>
        <w:contextualSpacing w:val="0"/>
        <w:jc w:val="both"/>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Trois concerts</w:t>
      </w:r>
      <w:r w:rsidR="00884DF7" w:rsidRPr="006B277A">
        <w:rPr>
          <w:rFonts w:ascii="Arial" w:hAnsi="Arial" w:cs="Arial"/>
          <w:sz w:val="22"/>
          <w:szCs w:val="22"/>
          <w:lang w:val="fr-FR"/>
        </w:rPr>
        <w:t>-bénéfices</w:t>
      </w:r>
      <w:r w:rsidRPr="006B277A">
        <w:rPr>
          <w:rFonts w:ascii="Arial" w:hAnsi="Arial" w:cs="Arial"/>
          <w:sz w:val="22"/>
          <w:szCs w:val="22"/>
          <w:lang w:val="fr-FR"/>
        </w:rPr>
        <w:t xml:space="preserve"> </w:t>
      </w:r>
      <w:r w:rsidR="00CF5A60" w:rsidRPr="006B277A">
        <w:rPr>
          <w:rFonts w:ascii="Arial" w:hAnsi="Arial" w:cs="Arial"/>
          <w:sz w:val="22"/>
          <w:szCs w:val="22"/>
          <w:lang w:val="fr-FR"/>
        </w:rPr>
        <w:t>du</w:t>
      </w:r>
      <w:r w:rsidRPr="006B277A">
        <w:rPr>
          <w:rFonts w:ascii="Arial" w:hAnsi="Arial" w:cs="Arial"/>
          <w:sz w:val="22"/>
          <w:szCs w:val="22"/>
          <w:lang w:val="fr-FR"/>
        </w:rPr>
        <w:t xml:space="preserve"> Chœur de l’Opéra de Bologne ont été organisés dans le cadre de</w:t>
      </w:r>
      <w:r w:rsidR="00884DF7" w:rsidRPr="006B277A">
        <w:rPr>
          <w:rFonts w:ascii="Arial" w:hAnsi="Arial" w:cs="Arial"/>
          <w:sz w:val="22"/>
          <w:szCs w:val="22"/>
          <w:lang w:val="fr-FR"/>
        </w:rPr>
        <w:t>s célébrations de</w:t>
      </w:r>
      <w:r w:rsidRPr="006B277A">
        <w:rPr>
          <w:rFonts w:ascii="Arial" w:hAnsi="Arial" w:cs="Arial"/>
          <w:sz w:val="22"/>
          <w:szCs w:val="22"/>
          <w:lang w:val="fr-FR"/>
        </w:rPr>
        <w:t xml:space="preserve"> la Journée mondiale des oiseaux migrateurs (mai 2015, 2016 et 2017). Les </w:t>
      </w:r>
      <w:r w:rsidR="00884DF7" w:rsidRPr="006B277A">
        <w:rPr>
          <w:rFonts w:ascii="Arial" w:hAnsi="Arial" w:cs="Arial"/>
          <w:sz w:val="22"/>
          <w:szCs w:val="22"/>
          <w:lang w:val="fr-FR"/>
        </w:rPr>
        <w:t>bénéfices</w:t>
      </w:r>
      <w:r w:rsidRPr="006B277A">
        <w:rPr>
          <w:rFonts w:ascii="Arial" w:hAnsi="Arial" w:cs="Arial"/>
          <w:sz w:val="22"/>
          <w:szCs w:val="22"/>
          <w:lang w:val="fr-FR"/>
        </w:rPr>
        <w:t xml:space="preserve"> (2.210 €</w:t>
      </w:r>
      <w:r w:rsidR="00884DF7" w:rsidRPr="006B277A">
        <w:rPr>
          <w:rFonts w:ascii="Arial" w:hAnsi="Arial" w:cs="Arial"/>
          <w:sz w:val="22"/>
          <w:szCs w:val="22"/>
          <w:lang w:val="fr-FR"/>
        </w:rPr>
        <w:t>)</w:t>
      </w:r>
      <w:r w:rsidRPr="006B277A">
        <w:rPr>
          <w:rFonts w:ascii="Arial" w:hAnsi="Arial" w:cs="Arial"/>
          <w:sz w:val="22"/>
          <w:szCs w:val="22"/>
          <w:lang w:val="fr-FR"/>
        </w:rPr>
        <w:t xml:space="preserve"> de l’événement de 2015 ont permis d’exécuter un projet sur la conservation de la grue de Sibérie; ce</w:t>
      </w:r>
      <w:r w:rsidR="00884DF7" w:rsidRPr="006B277A">
        <w:rPr>
          <w:rFonts w:ascii="Arial" w:hAnsi="Arial" w:cs="Arial"/>
          <w:sz w:val="22"/>
          <w:szCs w:val="22"/>
          <w:lang w:val="fr-FR"/>
        </w:rPr>
        <w:t>ux</w:t>
      </w:r>
      <w:r w:rsidRPr="006B277A">
        <w:rPr>
          <w:rFonts w:ascii="Arial" w:hAnsi="Arial" w:cs="Arial"/>
          <w:sz w:val="22"/>
          <w:szCs w:val="22"/>
          <w:lang w:val="fr-FR"/>
        </w:rPr>
        <w:t xml:space="preserve"> (1.850 €) du concert de 2016 ont contribué aux efforts de la Famille CMS dans la lutte contre l’abattage, le prélèvement et le commerce illégaux de</w:t>
      </w:r>
      <w:r w:rsidR="00CF5A60" w:rsidRPr="006B277A">
        <w:rPr>
          <w:rFonts w:ascii="Arial" w:hAnsi="Arial" w:cs="Arial"/>
          <w:sz w:val="22"/>
          <w:szCs w:val="22"/>
          <w:lang w:val="fr-FR"/>
        </w:rPr>
        <w:t xml:space="preserve">s oiseaux migrateurs. Les deux </w:t>
      </w:r>
      <w:r w:rsidRPr="006B277A">
        <w:rPr>
          <w:rFonts w:ascii="Arial" w:hAnsi="Arial" w:cs="Arial"/>
          <w:sz w:val="22"/>
          <w:szCs w:val="22"/>
          <w:lang w:val="fr-FR"/>
        </w:rPr>
        <w:t>premiers concerts ont eu lieu à Bonn, tandis que celui de 2017 a eu lieu à Bologne et a rapporté 800 €.</w:t>
      </w:r>
    </w:p>
    <w:p w:rsidR="008B3956" w:rsidRPr="006B277A" w:rsidRDefault="008B3956" w:rsidP="009C344B">
      <w:pPr>
        <w:pStyle w:val="ListParagraph"/>
        <w:autoSpaceDE/>
        <w:adjustRightInd/>
        <w:ind w:left="360" w:hanging="360"/>
        <w:contextualSpacing w:val="0"/>
        <w:jc w:val="both"/>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 xml:space="preserve">Le siège </w:t>
      </w:r>
      <w:r w:rsidR="00625DBB" w:rsidRPr="006B277A">
        <w:rPr>
          <w:rFonts w:ascii="Arial" w:hAnsi="Arial" w:cs="Arial"/>
          <w:sz w:val="22"/>
          <w:szCs w:val="22"/>
          <w:lang w:val="fr-FR"/>
        </w:rPr>
        <w:t>de l’</w:t>
      </w:r>
      <w:r w:rsidR="00381346" w:rsidRPr="006B277A">
        <w:rPr>
          <w:rFonts w:ascii="Arial" w:hAnsi="Arial" w:cs="Arial"/>
          <w:sz w:val="22"/>
          <w:szCs w:val="22"/>
          <w:lang w:val="fr-FR"/>
        </w:rPr>
        <w:t>ONU-Environnement</w:t>
      </w:r>
      <w:r w:rsidR="00625DBB" w:rsidRPr="006B277A">
        <w:rPr>
          <w:rFonts w:ascii="Arial" w:hAnsi="Arial" w:cs="Arial"/>
          <w:sz w:val="22"/>
          <w:szCs w:val="22"/>
          <w:lang w:val="fr-FR"/>
        </w:rPr>
        <w:t xml:space="preserve"> </w:t>
      </w:r>
      <w:r w:rsidRPr="006B277A">
        <w:rPr>
          <w:rFonts w:ascii="Arial" w:hAnsi="Arial" w:cs="Arial"/>
          <w:sz w:val="22"/>
          <w:szCs w:val="22"/>
          <w:lang w:val="fr-FR"/>
        </w:rPr>
        <w:t>ainsi que ses bureaux régionaux ont apporté un soutien sous diverses formes. Les partenariats avec le secteur des ONG ont aussi été déterminants en fournissant des ressources supplémentaires pour la CMS ainsi qu’un appui aux objectifs de conservation communs (voir le document UNEP/CMS/COP12/Doc.23.1).</w:t>
      </w:r>
    </w:p>
    <w:p w:rsidR="008B3956" w:rsidRPr="006B277A" w:rsidRDefault="008B3956" w:rsidP="009C344B">
      <w:pPr>
        <w:pStyle w:val="ListParagraph"/>
        <w:autoSpaceDE/>
        <w:adjustRightInd/>
        <w:ind w:left="360" w:hanging="360"/>
        <w:contextualSpacing w:val="0"/>
        <w:jc w:val="both"/>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 xml:space="preserve">Au sein des Secrétariats </w:t>
      </w:r>
      <w:r w:rsidR="00CF5A60" w:rsidRPr="006B277A">
        <w:rPr>
          <w:rFonts w:ascii="Arial" w:hAnsi="Arial" w:cs="Arial"/>
          <w:sz w:val="22"/>
          <w:szCs w:val="22"/>
          <w:lang w:val="fr-FR"/>
        </w:rPr>
        <w:t>co-localisés (à Bonn) de la</w:t>
      </w:r>
      <w:r w:rsidRPr="006B277A">
        <w:rPr>
          <w:rFonts w:ascii="Arial" w:hAnsi="Arial" w:cs="Arial"/>
          <w:sz w:val="22"/>
          <w:szCs w:val="22"/>
          <w:lang w:val="fr-FR"/>
        </w:rPr>
        <w:t xml:space="preserve"> Famille CMS, les synergies et un appui mutuel ont été renforcés. Ainsi, un certain nombre de membres du personnel de la CMS ont été déployés à la sixième Réunion des Parties à l’AEWA et ont aidé le Secrétariat de l’AEWA pour ce qui est des aspects logistiques de la réunion.</w:t>
      </w:r>
    </w:p>
    <w:p w:rsidR="008B3956" w:rsidRPr="006B277A" w:rsidRDefault="008B3956" w:rsidP="009C344B">
      <w:pPr>
        <w:pStyle w:val="ListParagraph"/>
        <w:ind w:left="360" w:hanging="360"/>
        <w:contextualSpacing w:val="0"/>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Pour une publication spéciale pour la COP12 de la CMS, le Secrétariat de la Convention a réussi à s’assurer l’appui de TERRITORY, une société de relations publiques basée à Hambourg sous la forme d’un partenariat public-privé. La société s’est engagée à travailler en étroite collaboration avec l’Unité commune CMS/AEWA chargée de</w:t>
      </w:r>
      <w:r w:rsidR="00CF5A60" w:rsidRPr="006B277A">
        <w:rPr>
          <w:rFonts w:ascii="Arial" w:hAnsi="Arial" w:cs="Arial"/>
          <w:sz w:val="22"/>
          <w:szCs w:val="22"/>
          <w:lang w:val="fr-FR"/>
        </w:rPr>
        <w:t xml:space="preserve"> la</w:t>
      </w:r>
      <w:r w:rsidRPr="006B277A">
        <w:rPr>
          <w:rFonts w:ascii="Arial" w:hAnsi="Arial" w:cs="Arial"/>
          <w:sz w:val="22"/>
          <w:szCs w:val="22"/>
          <w:lang w:val="fr-FR"/>
        </w:rPr>
        <w:t xml:space="preserve"> communication, pour produire une publication sur la COP conçue de </w:t>
      </w:r>
      <w:r w:rsidR="00CF5A60" w:rsidRPr="006B277A">
        <w:rPr>
          <w:rFonts w:ascii="Arial" w:hAnsi="Arial" w:cs="Arial"/>
          <w:sz w:val="22"/>
          <w:szCs w:val="22"/>
          <w:lang w:val="fr-FR"/>
        </w:rPr>
        <w:t>façon</w:t>
      </w:r>
      <w:r w:rsidRPr="006B277A">
        <w:rPr>
          <w:rFonts w:ascii="Arial" w:hAnsi="Arial" w:cs="Arial"/>
          <w:sz w:val="22"/>
          <w:szCs w:val="22"/>
          <w:lang w:val="fr-FR"/>
        </w:rPr>
        <w:t xml:space="preserve"> professionnelle dans le format et le style d’un magazine de bord typique.</w:t>
      </w:r>
    </w:p>
    <w:p w:rsidR="008B3956" w:rsidRPr="006B277A" w:rsidRDefault="008B3956" w:rsidP="009C344B">
      <w:pPr>
        <w:pStyle w:val="ListParagraph"/>
        <w:ind w:left="360" w:hanging="360"/>
        <w:contextualSpacing w:val="0"/>
        <w:jc w:val="both"/>
        <w:rPr>
          <w:rFonts w:ascii="Arial" w:hAnsi="Arial" w:cs="Arial"/>
          <w:i/>
          <w:sz w:val="22"/>
          <w:szCs w:val="22"/>
          <w:lang w:val="fr-FR"/>
        </w:rPr>
      </w:pPr>
    </w:p>
    <w:p w:rsidR="008B3956" w:rsidRPr="006B277A" w:rsidRDefault="008B3956" w:rsidP="009C344B">
      <w:pPr>
        <w:pStyle w:val="ListParagraph"/>
        <w:ind w:left="360" w:hanging="360"/>
        <w:contextualSpacing w:val="0"/>
        <w:jc w:val="both"/>
        <w:rPr>
          <w:rFonts w:ascii="Arial" w:hAnsi="Arial" w:cs="Arial"/>
          <w:i/>
          <w:sz w:val="22"/>
          <w:szCs w:val="22"/>
          <w:lang w:val="en-GB"/>
        </w:rPr>
      </w:pPr>
      <w:r w:rsidRPr="006B277A">
        <w:rPr>
          <w:rFonts w:ascii="Arial" w:hAnsi="Arial" w:cs="Arial"/>
          <w:i/>
          <w:sz w:val="22"/>
          <w:szCs w:val="22"/>
          <w:lang w:val="en-GB"/>
        </w:rPr>
        <w:t>Personnel</w:t>
      </w:r>
    </w:p>
    <w:p w:rsidR="008B3956" w:rsidRPr="006B277A" w:rsidRDefault="008B3956" w:rsidP="009C344B">
      <w:pPr>
        <w:pStyle w:val="ListParagraph"/>
        <w:ind w:left="360" w:hanging="360"/>
        <w:contextualSpacing w:val="0"/>
        <w:jc w:val="both"/>
        <w:rPr>
          <w:rFonts w:ascii="Arial" w:hAnsi="Arial" w:cs="Arial"/>
          <w:sz w:val="22"/>
          <w:szCs w:val="22"/>
          <w:lang w:val="en-GB"/>
        </w:rPr>
      </w:pPr>
    </w:p>
    <w:p w:rsidR="008B3956" w:rsidRPr="006B277A" w:rsidRDefault="00CF5A60"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Grâce à so</w:t>
      </w:r>
      <w:r w:rsidR="008B3956" w:rsidRPr="006B277A">
        <w:rPr>
          <w:rFonts w:ascii="Arial" w:hAnsi="Arial" w:cs="Arial"/>
          <w:sz w:val="22"/>
          <w:szCs w:val="22"/>
          <w:lang w:val="fr-FR"/>
        </w:rPr>
        <w:t>n programme d</w:t>
      </w:r>
      <w:r w:rsidRPr="006B277A">
        <w:rPr>
          <w:rFonts w:ascii="Arial" w:hAnsi="Arial" w:cs="Arial"/>
          <w:sz w:val="22"/>
          <w:szCs w:val="22"/>
          <w:lang w:val="fr-FR"/>
        </w:rPr>
        <w:t>e stages</w:t>
      </w:r>
      <w:r w:rsidR="008B3956" w:rsidRPr="006B277A">
        <w:rPr>
          <w:rFonts w:ascii="Arial" w:hAnsi="Arial" w:cs="Arial"/>
          <w:sz w:val="22"/>
          <w:szCs w:val="22"/>
          <w:lang w:val="fr-FR"/>
        </w:rPr>
        <w:t>, le Secrétariat a bénéficié de l’a</w:t>
      </w:r>
      <w:r w:rsidR="00D50B39" w:rsidRPr="006B277A">
        <w:rPr>
          <w:rFonts w:ascii="Arial" w:hAnsi="Arial" w:cs="Arial"/>
          <w:sz w:val="22"/>
          <w:szCs w:val="22"/>
          <w:lang w:val="fr-FR"/>
        </w:rPr>
        <w:t>ide</w:t>
      </w:r>
      <w:r w:rsidR="008B3956" w:rsidRPr="006B277A">
        <w:rPr>
          <w:rFonts w:ascii="Arial" w:hAnsi="Arial" w:cs="Arial"/>
          <w:sz w:val="22"/>
          <w:szCs w:val="22"/>
          <w:lang w:val="fr-FR"/>
        </w:rPr>
        <w:t xml:space="preserve"> précieu</w:t>
      </w:r>
      <w:r w:rsidR="00D50B39" w:rsidRPr="006B277A">
        <w:rPr>
          <w:rFonts w:ascii="Arial" w:hAnsi="Arial" w:cs="Arial"/>
          <w:sz w:val="22"/>
          <w:szCs w:val="22"/>
          <w:lang w:val="fr-FR"/>
        </w:rPr>
        <w:t>se</w:t>
      </w:r>
      <w:r w:rsidR="008B3956" w:rsidRPr="006B277A">
        <w:rPr>
          <w:rFonts w:ascii="Arial" w:hAnsi="Arial" w:cs="Arial"/>
          <w:sz w:val="22"/>
          <w:szCs w:val="22"/>
          <w:lang w:val="fr-FR"/>
        </w:rPr>
        <w:t xml:space="preserve"> de diplômés </w:t>
      </w:r>
      <w:r w:rsidR="00D50B39" w:rsidRPr="006B277A">
        <w:rPr>
          <w:rFonts w:ascii="Arial" w:hAnsi="Arial" w:cs="Arial"/>
          <w:sz w:val="22"/>
          <w:szCs w:val="22"/>
          <w:lang w:val="fr-FR"/>
        </w:rPr>
        <w:t>universitaires et</w:t>
      </w:r>
      <w:r w:rsidR="008B3956" w:rsidRPr="006B277A">
        <w:rPr>
          <w:rFonts w:ascii="Arial" w:hAnsi="Arial" w:cs="Arial"/>
          <w:sz w:val="22"/>
          <w:szCs w:val="22"/>
          <w:lang w:val="fr-FR"/>
        </w:rPr>
        <w:t xml:space="preserve"> d’étudiants qui ont </w:t>
      </w:r>
      <w:r w:rsidR="00D50B39" w:rsidRPr="006B277A">
        <w:rPr>
          <w:rFonts w:ascii="Arial" w:hAnsi="Arial" w:cs="Arial"/>
          <w:sz w:val="22"/>
          <w:szCs w:val="22"/>
          <w:lang w:val="fr-FR"/>
        </w:rPr>
        <w:t>soutenu</w:t>
      </w:r>
      <w:r w:rsidR="008B3956" w:rsidRPr="006B277A">
        <w:rPr>
          <w:rFonts w:ascii="Arial" w:hAnsi="Arial" w:cs="Arial"/>
          <w:sz w:val="22"/>
          <w:szCs w:val="22"/>
          <w:lang w:val="fr-FR"/>
        </w:rPr>
        <w:t xml:space="preserve"> le personnel de la CMS dans </w:t>
      </w:r>
      <w:r w:rsidR="00D50B39" w:rsidRPr="006B277A">
        <w:rPr>
          <w:rFonts w:ascii="Arial" w:hAnsi="Arial" w:cs="Arial"/>
          <w:sz w:val="22"/>
          <w:szCs w:val="22"/>
          <w:lang w:val="fr-FR"/>
        </w:rPr>
        <w:t>son travail</w:t>
      </w:r>
      <w:r w:rsidR="008B3956" w:rsidRPr="006B277A">
        <w:rPr>
          <w:rFonts w:ascii="Arial" w:hAnsi="Arial" w:cs="Arial"/>
          <w:sz w:val="22"/>
          <w:szCs w:val="22"/>
          <w:lang w:val="fr-FR"/>
        </w:rPr>
        <w:t xml:space="preserve"> quotidien</w:t>
      </w:r>
      <w:r w:rsidR="00D50B39" w:rsidRPr="006B277A">
        <w:rPr>
          <w:rFonts w:ascii="Arial" w:hAnsi="Arial" w:cs="Arial"/>
          <w:sz w:val="22"/>
          <w:szCs w:val="22"/>
          <w:lang w:val="fr-FR"/>
        </w:rPr>
        <w:t xml:space="preserve"> </w:t>
      </w:r>
      <w:r w:rsidR="008B3956" w:rsidRPr="006B277A">
        <w:rPr>
          <w:rFonts w:ascii="Arial" w:hAnsi="Arial" w:cs="Arial"/>
          <w:sz w:val="22"/>
          <w:szCs w:val="22"/>
          <w:lang w:val="fr-FR"/>
        </w:rPr>
        <w:t xml:space="preserve">pendant un période de trois mois sans rémunération. Durant la période triennale </w:t>
      </w:r>
      <w:r w:rsidR="00D50B39" w:rsidRPr="006B277A">
        <w:rPr>
          <w:rFonts w:ascii="Arial" w:hAnsi="Arial" w:cs="Arial"/>
          <w:sz w:val="22"/>
          <w:szCs w:val="22"/>
          <w:lang w:val="fr-FR"/>
        </w:rPr>
        <w:t>actuelle</w:t>
      </w:r>
      <w:r w:rsidR="008B3956" w:rsidRPr="006B277A">
        <w:rPr>
          <w:rFonts w:ascii="Arial" w:hAnsi="Arial" w:cs="Arial"/>
          <w:sz w:val="22"/>
          <w:szCs w:val="22"/>
          <w:lang w:val="fr-FR"/>
        </w:rPr>
        <w:t xml:space="preserve">, plus de 50 stagiaires </w:t>
      </w:r>
      <w:r w:rsidR="00D50B39" w:rsidRPr="006B277A">
        <w:rPr>
          <w:rFonts w:ascii="Arial" w:hAnsi="Arial" w:cs="Arial"/>
          <w:sz w:val="22"/>
          <w:szCs w:val="22"/>
          <w:lang w:val="fr-FR"/>
        </w:rPr>
        <w:t>de différents</w:t>
      </w:r>
      <w:r w:rsidR="008B3956" w:rsidRPr="006B277A">
        <w:rPr>
          <w:rFonts w:ascii="Arial" w:hAnsi="Arial" w:cs="Arial"/>
          <w:sz w:val="22"/>
          <w:szCs w:val="22"/>
          <w:lang w:val="fr-FR"/>
        </w:rPr>
        <w:t xml:space="preserve"> pays ont aidé le Secrétariat à mener à bien des t</w:t>
      </w:r>
      <w:r w:rsidR="00D50B39" w:rsidRPr="006B277A">
        <w:rPr>
          <w:rFonts w:ascii="Arial" w:hAnsi="Arial" w:cs="Arial"/>
          <w:sz w:val="22"/>
          <w:szCs w:val="22"/>
          <w:lang w:val="fr-FR"/>
        </w:rPr>
        <w:t>â</w:t>
      </w:r>
      <w:r w:rsidR="008B3956" w:rsidRPr="006B277A">
        <w:rPr>
          <w:rFonts w:ascii="Arial" w:hAnsi="Arial" w:cs="Arial"/>
          <w:sz w:val="22"/>
          <w:szCs w:val="22"/>
          <w:lang w:val="fr-FR"/>
        </w:rPr>
        <w:t>ches ou des projets dans les domaines scientifique/technique, administratif ou dans celui de l’information.</w:t>
      </w:r>
    </w:p>
    <w:p w:rsidR="008B3956" w:rsidRPr="006B277A" w:rsidRDefault="008B3956" w:rsidP="009C344B">
      <w:pPr>
        <w:pStyle w:val="ListParagraph"/>
        <w:autoSpaceDE/>
        <w:adjustRightInd/>
        <w:ind w:left="360" w:hanging="360"/>
        <w:contextualSpacing w:val="0"/>
        <w:jc w:val="both"/>
        <w:rPr>
          <w:rFonts w:ascii="Arial" w:hAnsi="Arial" w:cs="Arial"/>
          <w:sz w:val="22"/>
          <w:szCs w:val="22"/>
          <w:lang w:val="fr-FR"/>
        </w:rPr>
      </w:pPr>
    </w:p>
    <w:p w:rsidR="008B3956" w:rsidRPr="00897C92" w:rsidRDefault="00F244D3" w:rsidP="006B277A">
      <w:pPr>
        <w:pStyle w:val="ListParagraph"/>
        <w:ind w:left="0"/>
        <w:contextualSpacing w:val="0"/>
        <w:jc w:val="both"/>
        <w:rPr>
          <w:rFonts w:ascii="Arial" w:hAnsi="Arial" w:cs="Arial"/>
          <w:b/>
          <w:szCs w:val="20"/>
          <w:lang w:val="fr-FR"/>
        </w:rPr>
      </w:pPr>
      <w:r>
        <w:rPr>
          <w:rFonts w:ascii="Arial" w:hAnsi="Arial" w:cs="Arial"/>
          <w:b/>
          <w:szCs w:val="20"/>
          <w:lang w:val="fr-FR"/>
        </w:rPr>
        <w:br w:type="column"/>
      </w:r>
      <w:r w:rsidR="008B3956" w:rsidRPr="00897C92">
        <w:rPr>
          <w:rFonts w:ascii="Arial" w:hAnsi="Arial" w:cs="Arial"/>
          <w:b/>
          <w:szCs w:val="20"/>
          <w:lang w:val="fr-FR"/>
        </w:rPr>
        <w:lastRenderedPageBreak/>
        <w:t>Programme des champions des espèces migratrices</w:t>
      </w:r>
    </w:p>
    <w:p w:rsidR="008B3956" w:rsidRPr="006B277A" w:rsidRDefault="008B3956" w:rsidP="006B277A">
      <w:pPr>
        <w:pStyle w:val="ListParagraph"/>
        <w:autoSpaceDE/>
        <w:adjustRightInd/>
        <w:ind w:left="0"/>
        <w:contextualSpacing w:val="0"/>
        <w:jc w:val="both"/>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Conformément à la Résolution 10.9 sur la structure future et les stratégies de la Famille</w:t>
      </w:r>
      <w:r w:rsidR="001261A6" w:rsidRPr="006B277A">
        <w:rPr>
          <w:rFonts w:ascii="Arial" w:hAnsi="Arial" w:cs="Arial"/>
          <w:sz w:val="22"/>
          <w:szCs w:val="22"/>
          <w:lang w:val="fr-FR"/>
        </w:rPr>
        <w:t xml:space="preserve"> CMS, le Secrétariat de la CMS </w:t>
      </w:r>
      <w:r w:rsidRPr="006B277A">
        <w:rPr>
          <w:rFonts w:ascii="Arial" w:hAnsi="Arial" w:cs="Arial"/>
          <w:sz w:val="22"/>
          <w:szCs w:val="22"/>
          <w:lang w:val="fr-FR"/>
        </w:rPr>
        <w:t xml:space="preserve">a élaboré, en collaboration avec le Secrétariat de l’AEWA, le </w:t>
      </w:r>
      <w:r w:rsidR="001261A6" w:rsidRPr="006B277A">
        <w:rPr>
          <w:rFonts w:ascii="Arial" w:hAnsi="Arial" w:cs="Arial"/>
          <w:sz w:val="22"/>
          <w:szCs w:val="22"/>
          <w:lang w:val="fr-FR"/>
        </w:rPr>
        <w:t>« </w:t>
      </w:r>
      <w:r w:rsidRPr="006B277A">
        <w:rPr>
          <w:rFonts w:ascii="Arial" w:hAnsi="Arial" w:cs="Arial"/>
          <w:sz w:val="22"/>
          <w:szCs w:val="22"/>
          <w:lang w:val="fr-FR"/>
        </w:rPr>
        <w:t xml:space="preserve">Programme des champions des espèces migratrices », un programme de collecte de fonds visant à promouvoir les activités menées dans le cadre de la Famille CMS et à encourager un </w:t>
      </w:r>
      <w:r w:rsidR="00625DBB" w:rsidRPr="006B277A">
        <w:rPr>
          <w:rFonts w:ascii="Arial" w:hAnsi="Arial" w:cs="Arial"/>
          <w:sz w:val="22"/>
          <w:szCs w:val="22"/>
          <w:lang w:val="fr-FR"/>
        </w:rPr>
        <w:t>soutien</w:t>
      </w:r>
      <w:r w:rsidR="001261A6" w:rsidRPr="006B277A">
        <w:rPr>
          <w:rFonts w:ascii="Arial" w:hAnsi="Arial" w:cs="Arial"/>
          <w:sz w:val="22"/>
          <w:szCs w:val="22"/>
          <w:lang w:val="fr-FR"/>
        </w:rPr>
        <w:t xml:space="preserve"> </w:t>
      </w:r>
      <w:r w:rsidRPr="006B277A">
        <w:rPr>
          <w:rFonts w:ascii="Arial" w:hAnsi="Arial" w:cs="Arial"/>
          <w:sz w:val="22"/>
          <w:szCs w:val="22"/>
          <w:lang w:val="fr-FR"/>
        </w:rPr>
        <w:t>durable et prévisible. Depuis le lancement du programme, de nombreux champions ont été reconnus par la CMS pour leur soutien généreux et leur engagement en faveur de diverses initiatives:</w:t>
      </w:r>
    </w:p>
    <w:p w:rsidR="008B3956" w:rsidRPr="006B277A" w:rsidRDefault="008B3956" w:rsidP="00F244D3">
      <w:pPr>
        <w:pStyle w:val="ListParagraph"/>
        <w:numPr>
          <w:ilvl w:val="0"/>
          <w:numId w:val="3"/>
        </w:numPr>
        <w:autoSpaceDE/>
        <w:adjustRightInd/>
        <w:spacing w:before="40"/>
        <w:contextualSpacing w:val="0"/>
        <w:jc w:val="both"/>
        <w:rPr>
          <w:rFonts w:ascii="Arial" w:hAnsi="Arial" w:cs="Arial"/>
          <w:sz w:val="22"/>
          <w:szCs w:val="22"/>
          <w:lang w:val="fr-FR"/>
        </w:rPr>
      </w:pPr>
      <w:r w:rsidRPr="006B277A">
        <w:rPr>
          <w:rFonts w:ascii="Arial" w:hAnsi="Arial" w:cs="Arial"/>
          <w:sz w:val="22"/>
          <w:szCs w:val="22"/>
          <w:lang w:val="fr-FR"/>
        </w:rPr>
        <w:t xml:space="preserve">Le Gouvernement de l’Allemagne, par le biais du Ministère fédéral de l’environnement, de la </w:t>
      </w:r>
      <w:r w:rsidR="001261A6" w:rsidRPr="006B277A">
        <w:rPr>
          <w:rFonts w:ascii="Arial" w:hAnsi="Arial" w:cs="Arial"/>
          <w:sz w:val="22"/>
          <w:szCs w:val="22"/>
          <w:lang w:val="fr-FR"/>
        </w:rPr>
        <w:t>protection</w:t>
      </w:r>
      <w:r w:rsidRPr="006B277A">
        <w:rPr>
          <w:rFonts w:ascii="Arial" w:hAnsi="Arial" w:cs="Arial"/>
          <w:sz w:val="22"/>
          <w:szCs w:val="22"/>
          <w:lang w:val="fr-FR"/>
        </w:rPr>
        <w:t xml:space="preserve"> de la nature, de la construction et de la sécurité nucléaire (BMUB) a été reconnu comme</w:t>
      </w:r>
      <w:r w:rsidR="001261A6" w:rsidRPr="006B277A">
        <w:rPr>
          <w:rFonts w:ascii="Arial" w:hAnsi="Arial" w:cs="Arial"/>
          <w:sz w:val="22"/>
          <w:szCs w:val="22"/>
          <w:lang w:val="fr-FR"/>
        </w:rPr>
        <w:t xml:space="preserve"> étant un</w:t>
      </w:r>
      <w:r w:rsidRPr="006B277A">
        <w:rPr>
          <w:rFonts w:ascii="Arial" w:hAnsi="Arial" w:cs="Arial"/>
          <w:sz w:val="22"/>
          <w:szCs w:val="22"/>
          <w:lang w:val="fr-FR"/>
        </w:rPr>
        <w:t xml:space="preserve"> </w:t>
      </w:r>
      <w:r w:rsidRPr="006B277A">
        <w:rPr>
          <w:rFonts w:ascii="Arial" w:hAnsi="Arial" w:cs="Arial"/>
          <w:i/>
          <w:sz w:val="22"/>
          <w:szCs w:val="22"/>
          <w:lang w:val="fr-FR"/>
        </w:rPr>
        <w:t>Champion Extraordinaire</w:t>
      </w:r>
      <w:r w:rsidRPr="006B277A">
        <w:rPr>
          <w:rFonts w:ascii="Arial" w:hAnsi="Arial" w:cs="Arial"/>
          <w:sz w:val="22"/>
          <w:szCs w:val="22"/>
          <w:lang w:val="fr-FR"/>
        </w:rPr>
        <w:t xml:space="preserve"> pour son appui aux opérations des Secrétariats de la CMS, de l’AEWA, d’EUROBATS et d’ASCOBANS;</w:t>
      </w:r>
    </w:p>
    <w:p w:rsidR="008B3956" w:rsidRPr="006B277A" w:rsidRDefault="008B3956" w:rsidP="00F244D3">
      <w:pPr>
        <w:pStyle w:val="ListParagraph"/>
        <w:numPr>
          <w:ilvl w:val="0"/>
          <w:numId w:val="3"/>
        </w:numPr>
        <w:autoSpaceDE/>
        <w:adjustRightInd/>
        <w:spacing w:before="40"/>
        <w:contextualSpacing w:val="0"/>
        <w:jc w:val="both"/>
        <w:rPr>
          <w:rFonts w:ascii="Arial" w:hAnsi="Arial" w:cs="Arial"/>
          <w:kern w:val="24"/>
          <w:sz w:val="22"/>
          <w:szCs w:val="22"/>
          <w:lang w:val="fr-FR"/>
        </w:rPr>
      </w:pPr>
      <w:r w:rsidRPr="006B277A">
        <w:rPr>
          <w:rFonts w:ascii="Arial" w:hAnsi="Arial" w:cs="Arial"/>
          <w:kern w:val="24"/>
          <w:sz w:val="22"/>
          <w:szCs w:val="22"/>
          <w:lang w:val="fr-FR"/>
        </w:rPr>
        <w:t>Le Gouvernement de l’Allemagne, par le biais du BMUB, a été reconnu comme</w:t>
      </w:r>
      <w:r w:rsidR="001261A6" w:rsidRPr="006B277A">
        <w:rPr>
          <w:rFonts w:ascii="Arial" w:hAnsi="Arial" w:cs="Arial"/>
          <w:kern w:val="24"/>
          <w:sz w:val="22"/>
          <w:szCs w:val="22"/>
          <w:lang w:val="fr-FR"/>
        </w:rPr>
        <w:t xml:space="preserve"> étant un</w:t>
      </w:r>
      <w:r w:rsidRPr="006B277A">
        <w:rPr>
          <w:rFonts w:ascii="Arial" w:eastAsia="Calibri" w:hAnsi="Arial" w:cs="Arial"/>
          <w:kern w:val="24"/>
          <w:sz w:val="22"/>
          <w:szCs w:val="22"/>
          <w:lang w:val="fr-FR"/>
        </w:rPr>
        <w:t xml:space="preserve"> </w:t>
      </w:r>
      <w:r w:rsidRPr="006B277A">
        <w:rPr>
          <w:rFonts w:ascii="Arial" w:hAnsi="Arial" w:cs="Arial"/>
          <w:i/>
          <w:iCs/>
          <w:kern w:val="24"/>
          <w:sz w:val="22"/>
          <w:szCs w:val="22"/>
          <w:lang w:val="fr-FR"/>
        </w:rPr>
        <w:t>Champion Plus</w:t>
      </w:r>
      <w:r w:rsidRPr="006B277A">
        <w:rPr>
          <w:rFonts w:ascii="Arial" w:hAnsi="Arial" w:cs="Arial"/>
          <w:kern w:val="24"/>
          <w:sz w:val="22"/>
          <w:szCs w:val="22"/>
          <w:lang w:val="fr-FR"/>
        </w:rPr>
        <w:t xml:space="preserve"> </w:t>
      </w:r>
      <w:r w:rsidRPr="006B277A">
        <w:rPr>
          <w:rFonts w:ascii="Arial" w:hAnsi="Arial" w:cs="Arial"/>
          <w:sz w:val="22"/>
          <w:szCs w:val="22"/>
          <w:lang w:val="fr-FR"/>
        </w:rPr>
        <w:t>pour son appui à la conservation de l’éléphant d’Afrique en</w:t>
      </w:r>
      <w:r w:rsidRPr="006B277A">
        <w:rPr>
          <w:rFonts w:ascii="Arial" w:hAnsi="Arial" w:cs="Arial"/>
          <w:kern w:val="24"/>
          <w:sz w:val="22"/>
          <w:szCs w:val="22"/>
          <w:lang w:val="fr-FR"/>
        </w:rPr>
        <w:t xml:space="preserve"> 2015-2017;</w:t>
      </w:r>
    </w:p>
    <w:p w:rsidR="008B3956" w:rsidRPr="006B277A" w:rsidRDefault="008B3956" w:rsidP="00F244D3">
      <w:pPr>
        <w:pStyle w:val="ListParagraph"/>
        <w:numPr>
          <w:ilvl w:val="0"/>
          <w:numId w:val="3"/>
        </w:numPr>
        <w:autoSpaceDE/>
        <w:adjustRightInd/>
        <w:spacing w:before="40"/>
        <w:contextualSpacing w:val="0"/>
        <w:jc w:val="both"/>
        <w:rPr>
          <w:rFonts w:ascii="Arial" w:hAnsi="Arial" w:cs="Arial"/>
          <w:kern w:val="24"/>
          <w:sz w:val="22"/>
          <w:szCs w:val="22"/>
          <w:lang w:val="fr-FR"/>
        </w:rPr>
      </w:pPr>
      <w:r w:rsidRPr="006B277A">
        <w:rPr>
          <w:rFonts w:ascii="Arial" w:hAnsi="Arial" w:cs="Arial"/>
          <w:kern w:val="24"/>
          <w:sz w:val="22"/>
          <w:szCs w:val="22"/>
          <w:lang w:val="fr-FR"/>
        </w:rPr>
        <w:t>Le Gouvernement de l’Allemagne, par le biais du BMUB, a été reconnu comme</w:t>
      </w:r>
      <w:r w:rsidR="002A33AF" w:rsidRPr="006B277A">
        <w:rPr>
          <w:rFonts w:ascii="Arial" w:hAnsi="Arial" w:cs="Arial"/>
          <w:kern w:val="24"/>
          <w:sz w:val="22"/>
          <w:szCs w:val="22"/>
          <w:lang w:val="fr-FR"/>
        </w:rPr>
        <w:t xml:space="preserve"> étant un</w:t>
      </w:r>
      <w:r w:rsidRPr="006B277A">
        <w:rPr>
          <w:rFonts w:ascii="Arial" w:hAnsi="Arial" w:cs="Arial"/>
          <w:kern w:val="24"/>
          <w:sz w:val="22"/>
          <w:szCs w:val="22"/>
          <w:lang w:val="fr-FR"/>
        </w:rPr>
        <w:t xml:space="preserve"> </w:t>
      </w:r>
      <w:r w:rsidRPr="006B277A">
        <w:rPr>
          <w:rFonts w:ascii="Arial" w:hAnsi="Arial" w:cs="Arial"/>
          <w:i/>
          <w:kern w:val="24"/>
          <w:sz w:val="22"/>
          <w:szCs w:val="22"/>
          <w:lang w:val="fr-FR"/>
        </w:rPr>
        <w:t>Ch</w:t>
      </w:r>
      <w:r w:rsidRPr="006B277A">
        <w:rPr>
          <w:rFonts w:ascii="Arial" w:hAnsi="Arial" w:cs="Arial"/>
          <w:i/>
          <w:iCs/>
          <w:kern w:val="24"/>
          <w:sz w:val="22"/>
          <w:szCs w:val="22"/>
          <w:lang w:val="fr-FR"/>
        </w:rPr>
        <w:t>ampion Plus</w:t>
      </w:r>
      <w:r w:rsidRPr="006B277A">
        <w:rPr>
          <w:rFonts w:ascii="Arial" w:hAnsi="Arial" w:cs="Arial"/>
          <w:kern w:val="24"/>
          <w:sz w:val="22"/>
          <w:szCs w:val="22"/>
          <w:lang w:val="fr-FR"/>
        </w:rPr>
        <w:t xml:space="preserve"> pour son </w:t>
      </w:r>
      <w:r w:rsidR="001261A6" w:rsidRPr="006B277A">
        <w:rPr>
          <w:rFonts w:ascii="Arial" w:hAnsi="Arial" w:cs="Arial"/>
          <w:kern w:val="24"/>
          <w:sz w:val="22"/>
          <w:szCs w:val="22"/>
          <w:lang w:val="fr-FR"/>
        </w:rPr>
        <w:t>engagement à concilier les développements d</w:t>
      </w:r>
      <w:r w:rsidRPr="006B277A">
        <w:rPr>
          <w:rFonts w:ascii="Arial" w:hAnsi="Arial" w:cs="Arial"/>
          <w:kern w:val="24"/>
          <w:sz w:val="22"/>
          <w:szCs w:val="22"/>
          <w:lang w:val="fr-FR"/>
        </w:rPr>
        <w:t xml:space="preserve">u secteur </w:t>
      </w:r>
      <w:r w:rsidR="001261A6" w:rsidRPr="006B277A">
        <w:rPr>
          <w:rFonts w:ascii="Arial" w:hAnsi="Arial" w:cs="Arial"/>
          <w:kern w:val="24"/>
          <w:sz w:val="22"/>
          <w:szCs w:val="22"/>
          <w:lang w:val="fr-FR"/>
        </w:rPr>
        <w:t>énergétique</w:t>
      </w:r>
      <w:r w:rsidR="002A33AF" w:rsidRPr="006B277A">
        <w:rPr>
          <w:rFonts w:ascii="Arial" w:hAnsi="Arial" w:cs="Arial"/>
          <w:kern w:val="24"/>
          <w:sz w:val="22"/>
          <w:szCs w:val="22"/>
          <w:lang w:val="fr-FR"/>
        </w:rPr>
        <w:t xml:space="preserve"> avec</w:t>
      </w:r>
      <w:r w:rsidRPr="006B277A">
        <w:rPr>
          <w:rFonts w:ascii="Arial" w:hAnsi="Arial" w:cs="Arial"/>
          <w:kern w:val="24"/>
          <w:sz w:val="22"/>
          <w:szCs w:val="22"/>
          <w:lang w:val="fr-FR"/>
        </w:rPr>
        <w:t xml:space="preserve"> la conservation des espèces migratrices en 2015-2017;</w:t>
      </w:r>
    </w:p>
    <w:p w:rsidR="008B3956" w:rsidRPr="006B277A" w:rsidRDefault="008B3956" w:rsidP="00F244D3">
      <w:pPr>
        <w:pStyle w:val="NormalWeb"/>
        <w:numPr>
          <w:ilvl w:val="0"/>
          <w:numId w:val="3"/>
        </w:numPr>
        <w:spacing w:before="40" w:beforeAutospacing="0" w:after="0" w:afterAutospacing="0"/>
        <w:jc w:val="both"/>
        <w:rPr>
          <w:rFonts w:ascii="Arial" w:eastAsia="Calibri" w:hAnsi="Arial" w:cs="Arial"/>
          <w:kern w:val="24"/>
          <w:sz w:val="22"/>
          <w:szCs w:val="22"/>
          <w:lang w:val="fr-FR"/>
        </w:rPr>
      </w:pPr>
      <w:r w:rsidRPr="006B277A">
        <w:rPr>
          <w:rFonts w:ascii="Arial" w:eastAsia="Calibri" w:hAnsi="Arial" w:cs="Arial"/>
          <w:kern w:val="24"/>
          <w:sz w:val="22"/>
          <w:szCs w:val="22"/>
          <w:lang w:val="fr-FR"/>
        </w:rPr>
        <w:t>Le Gouvernement de la Principauté de Monaco a été reconnu comme</w:t>
      </w:r>
      <w:r w:rsidR="002A33AF" w:rsidRPr="006B277A">
        <w:rPr>
          <w:rFonts w:ascii="Arial" w:eastAsia="Calibri" w:hAnsi="Arial" w:cs="Arial"/>
          <w:kern w:val="24"/>
          <w:sz w:val="22"/>
          <w:szCs w:val="22"/>
          <w:lang w:val="fr-FR"/>
        </w:rPr>
        <w:t xml:space="preserve"> étant un</w:t>
      </w:r>
      <w:r w:rsidRPr="006B277A">
        <w:rPr>
          <w:rFonts w:ascii="Arial" w:eastAsia="Calibri" w:hAnsi="Arial" w:cs="Arial"/>
          <w:kern w:val="24"/>
          <w:sz w:val="22"/>
          <w:szCs w:val="22"/>
          <w:lang w:val="fr-FR"/>
        </w:rPr>
        <w:t xml:space="preserve"> </w:t>
      </w:r>
      <w:r w:rsidRPr="006B277A">
        <w:rPr>
          <w:rFonts w:ascii="Arial" w:eastAsia="Calibri" w:hAnsi="Arial" w:cs="Arial"/>
          <w:i/>
          <w:kern w:val="24"/>
          <w:sz w:val="22"/>
          <w:szCs w:val="22"/>
          <w:lang w:val="fr-FR"/>
        </w:rPr>
        <w:t>Champion Extraordinaire</w:t>
      </w:r>
      <w:r w:rsidRPr="006B277A">
        <w:rPr>
          <w:rFonts w:ascii="Arial" w:eastAsia="Calibri" w:hAnsi="Arial" w:cs="Arial"/>
          <w:kern w:val="24"/>
          <w:sz w:val="22"/>
          <w:szCs w:val="22"/>
          <w:lang w:val="fr-FR"/>
        </w:rPr>
        <w:t xml:space="preserve"> pour son appui aux opérations du Secrétariat d’ACCOBAMS;</w:t>
      </w:r>
    </w:p>
    <w:p w:rsidR="008B3956" w:rsidRPr="006B277A" w:rsidRDefault="008B3956" w:rsidP="00F244D3">
      <w:pPr>
        <w:pStyle w:val="NormalWeb"/>
        <w:numPr>
          <w:ilvl w:val="0"/>
          <w:numId w:val="3"/>
        </w:numPr>
        <w:spacing w:before="40" w:beforeAutospacing="0" w:after="0" w:afterAutospacing="0"/>
        <w:jc w:val="both"/>
        <w:rPr>
          <w:rFonts w:ascii="Arial" w:eastAsia="Calibri" w:hAnsi="Arial" w:cs="Arial"/>
          <w:kern w:val="24"/>
          <w:sz w:val="22"/>
          <w:szCs w:val="22"/>
          <w:lang w:val="fr-FR"/>
        </w:rPr>
      </w:pPr>
      <w:r w:rsidRPr="006B277A">
        <w:rPr>
          <w:rFonts w:ascii="Arial" w:eastAsia="Calibri" w:hAnsi="Arial" w:cs="Arial"/>
          <w:kern w:val="24"/>
          <w:sz w:val="22"/>
          <w:szCs w:val="22"/>
          <w:lang w:val="fr-FR"/>
        </w:rPr>
        <w:t>Le Gouvernement de la Principauté de Monaco a été reconnu comme</w:t>
      </w:r>
      <w:r w:rsidR="002A33AF" w:rsidRPr="006B277A">
        <w:rPr>
          <w:rFonts w:ascii="Arial" w:eastAsia="Calibri" w:hAnsi="Arial" w:cs="Arial"/>
          <w:kern w:val="24"/>
          <w:sz w:val="22"/>
          <w:szCs w:val="22"/>
          <w:lang w:val="fr-FR"/>
        </w:rPr>
        <w:t xml:space="preserve"> étant un</w:t>
      </w:r>
      <w:r w:rsidRPr="006B277A">
        <w:rPr>
          <w:rFonts w:ascii="Arial" w:eastAsia="Calibri" w:hAnsi="Arial" w:cs="Arial"/>
          <w:kern w:val="24"/>
          <w:sz w:val="22"/>
          <w:szCs w:val="22"/>
          <w:lang w:val="fr-FR"/>
        </w:rPr>
        <w:t xml:space="preserve"> </w:t>
      </w:r>
      <w:r w:rsidRPr="006B277A">
        <w:rPr>
          <w:rFonts w:ascii="Arial" w:eastAsia="Calibri" w:hAnsi="Arial" w:cs="Arial"/>
          <w:i/>
          <w:kern w:val="24"/>
          <w:sz w:val="22"/>
          <w:szCs w:val="22"/>
          <w:lang w:val="fr-FR"/>
        </w:rPr>
        <w:t>Champion</w:t>
      </w:r>
      <w:r w:rsidRPr="006B277A">
        <w:rPr>
          <w:rFonts w:ascii="Arial" w:eastAsia="Calibri" w:hAnsi="Arial" w:cs="Arial"/>
          <w:kern w:val="24"/>
          <w:sz w:val="22"/>
          <w:szCs w:val="22"/>
          <w:lang w:val="fr-FR"/>
        </w:rPr>
        <w:t xml:space="preserve"> pour son appui à la conservation des espèces marines en 2015-2017;</w:t>
      </w:r>
    </w:p>
    <w:p w:rsidR="008B3956" w:rsidRPr="006B277A" w:rsidRDefault="008B3956" w:rsidP="00F244D3">
      <w:pPr>
        <w:pStyle w:val="NormalWeb"/>
        <w:numPr>
          <w:ilvl w:val="0"/>
          <w:numId w:val="3"/>
        </w:numPr>
        <w:spacing w:before="40" w:beforeAutospacing="0" w:after="0" w:afterAutospacing="0"/>
        <w:jc w:val="both"/>
        <w:rPr>
          <w:rFonts w:ascii="Arial" w:eastAsia="Calibri" w:hAnsi="Arial" w:cs="Arial"/>
          <w:kern w:val="24"/>
          <w:sz w:val="22"/>
          <w:szCs w:val="22"/>
          <w:lang w:val="fr-FR"/>
        </w:rPr>
      </w:pPr>
      <w:r w:rsidRPr="006B277A">
        <w:rPr>
          <w:rFonts w:ascii="Arial" w:eastAsia="Calibri" w:hAnsi="Arial" w:cs="Arial"/>
          <w:kern w:val="24"/>
          <w:sz w:val="22"/>
          <w:szCs w:val="22"/>
          <w:lang w:val="fr-FR"/>
        </w:rPr>
        <w:t>Le Gouvernement de l’Australie a été reconnu comme</w:t>
      </w:r>
      <w:r w:rsidR="002A33AF" w:rsidRPr="006B277A">
        <w:rPr>
          <w:rFonts w:ascii="Arial" w:eastAsia="Calibri" w:hAnsi="Arial" w:cs="Arial"/>
          <w:kern w:val="24"/>
          <w:sz w:val="22"/>
          <w:szCs w:val="22"/>
          <w:lang w:val="fr-FR"/>
        </w:rPr>
        <w:t xml:space="preserve"> étant un</w:t>
      </w:r>
      <w:r w:rsidRPr="006B277A">
        <w:rPr>
          <w:rFonts w:ascii="Arial" w:eastAsia="Calibri" w:hAnsi="Arial" w:cs="Arial"/>
          <w:kern w:val="24"/>
          <w:sz w:val="22"/>
          <w:szCs w:val="22"/>
          <w:lang w:val="fr-FR"/>
        </w:rPr>
        <w:t xml:space="preserve"> </w:t>
      </w:r>
      <w:r w:rsidRPr="006B277A">
        <w:rPr>
          <w:rFonts w:ascii="Arial" w:eastAsia="Calibri" w:hAnsi="Arial" w:cs="Arial"/>
          <w:i/>
          <w:kern w:val="24"/>
          <w:sz w:val="22"/>
          <w:szCs w:val="22"/>
          <w:lang w:val="fr-FR"/>
        </w:rPr>
        <w:t>Champion</w:t>
      </w:r>
      <w:r w:rsidRPr="006B277A">
        <w:rPr>
          <w:rFonts w:ascii="Arial" w:eastAsia="Calibri" w:hAnsi="Arial" w:cs="Arial"/>
          <w:kern w:val="24"/>
          <w:sz w:val="22"/>
          <w:szCs w:val="22"/>
          <w:lang w:val="fr-FR"/>
        </w:rPr>
        <w:t xml:space="preserve"> pour son appui à la conservation de la tortue caouanne en 2015-2017;</w:t>
      </w:r>
    </w:p>
    <w:p w:rsidR="008B3956" w:rsidRPr="006B277A" w:rsidRDefault="008B3956" w:rsidP="00F244D3">
      <w:pPr>
        <w:pStyle w:val="NormalWeb"/>
        <w:numPr>
          <w:ilvl w:val="0"/>
          <w:numId w:val="3"/>
        </w:numPr>
        <w:spacing w:before="40" w:beforeAutospacing="0" w:after="0" w:afterAutospacing="0"/>
        <w:jc w:val="both"/>
        <w:rPr>
          <w:rFonts w:ascii="Arial" w:hAnsi="Arial" w:cs="Arial"/>
          <w:sz w:val="22"/>
          <w:szCs w:val="22"/>
          <w:lang w:val="fr-FR"/>
        </w:rPr>
      </w:pPr>
      <w:r w:rsidRPr="006B277A">
        <w:rPr>
          <w:rFonts w:ascii="Arial" w:eastAsia="Calibri" w:hAnsi="Arial" w:cs="Arial"/>
          <w:kern w:val="24"/>
          <w:sz w:val="22"/>
          <w:szCs w:val="22"/>
          <w:lang w:val="fr-FR"/>
        </w:rPr>
        <w:t>La Commission européenne a été reconnue comme</w:t>
      </w:r>
      <w:r w:rsidR="002A33AF" w:rsidRPr="006B277A">
        <w:rPr>
          <w:rFonts w:ascii="Arial" w:eastAsia="Calibri" w:hAnsi="Arial" w:cs="Arial"/>
          <w:kern w:val="24"/>
          <w:sz w:val="22"/>
          <w:szCs w:val="22"/>
          <w:lang w:val="fr-FR"/>
        </w:rPr>
        <w:t xml:space="preserve"> étant un</w:t>
      </w:r>
      <w:r w:rsidRPr="006B277A">
        <w:rPr>
          <w:rFonts w:ascii="Arial" w:eastAsia="Calibri" w:hAnsi="Arial" w:cs="Arial"/>
          <w:kern w:val="24"/>
          <w:sz w:val="22"/>
          <w:szCs w:val="22"/>
          <w:lang w:val="fr-FR"/>
        </w:rPr>
        <w:t xml:space="preserve"> </w:t>
      </w:r>
      <w:r w:rsidRPr="006B277A">
        <w:rPr>
          <w:rFonts w:ascii="Arial" w:eastAsia="Calibri" w:hAnsi="Arial" w:cs="Arial"/>
          <w:i/>
          <w:iCs/>
          <w:kern w:val="24"/>
          <w:sz w:val="22"/>
          <w:szCs w:val="22"/>
          <w:lang w:val="fr-FR"/>
        </w:rPr>
        <w:t>Champion Plus</w:t>
      </w:r>
      <w:r w:rsidRPr="006B277A">
        <w:rPr>
          <w:rFonts w:ascii="Arial" w:eastAsia="Calibri" w:hAnsi="Arial" w:cs="Arial"/>
          <w:kern w:val="24"/>
          <w:sz w:val="22"/>
          <w:szCs w:val="22"/>
          <w:lang w:val="fr-FR"/>
        </w:rPr>
        <w:t xml:space="preserve"> pour son appui à la question de l’abattage, du prélèvement et du commerce illégaux des oiseaux migrateurs dans la région méditerranéenne en</w:t>
      </w:r>
      <w:r w:rsidRPr="006B277A">
        <w:rPr>
          <w:rFonts w:ascii="Arial" w:hAnsi="Arial" w:cs="Arial"/>
          <w:sz w:val="22"/>
          <w:szCs w:val="22"/>
          <w:lang w:val="fr-FR"/>
        </w:rPr>
        <w:t xml:space="preserve"> 2015-2018 </w:t>
      </w:r>
      <w:r w:rsidR="002A33AF" w:rsidRPr="006B277A">
        <w:rPr>
          <w:rFonts w:ascii="Arial" w:hAnsi="Arial" w:cs="Arial"/>
          <w:sz w:val="22"/>
          <w:szCs w:val="22"/>
          <w:lang w:val="fr-FR"/>
        </w:rPr>
        <w:t>par le biais des</w:t>
      </w:r>
      <w:r w:rsidRPr="006B277A">
        <w:rPr>
          <w:rFonts w:ascii="Arial" w:hAnsi="Arial" w:cs="Arial"/>
          <w:sz w:val="22"/>
          <w:szCs w:val="22"/>
          <w:lang w:val="fr-FR"/>
        </w:rPr>
        <w:t xml:space="preserve"> Accords de coopération </w:t>
      </w:r>
      <w:r w:rsidR="002A33AF" w:rsidRPr="006B277A">
        <w:rPr>
          <w:rFonts w:ascii="Arial" w:hAnsi="Arial" w:cs="Arial"/>
          <w:sz w:val="22"/>
          <w:szCs w:val="22"/>
          <w:lang w:val="fr-FR"/>
        </w:rPr>
        <w:t>pour le programme « Défis et biens publics mondiaux » avec l’</w:t>
      </w:r>
      <w:r w:rsidR="00381346" w:rsidRPr="006B277A">
        <w:rPr>
          <w:rFonts w:ascii="Arial" w:hAnsi="Arial" w:cs="Arial"/>
          <w:sz w:val="22"/>
          <w:szCs w:val="22"/>
          <w:lang w:val="fr-FR"/>
        </w:rPr>
        <w:t>ONU-Environnement</w:t>
      </w:r>
      <w:r w:rsidR="002A33AF" w:rsidRPr="006B277A">
        <w:rPr>
          <w:rFonts w:ascii="Arial" w:hAnsi="Arial" w:cs="Arial"/>
          <w:sz w:val="22"/>
          <w:szCs w:val="22"/>
          <w:lang w:val="fr-FR"/>
        </w:rPr>
        <w:t>;</w:t>
      </w:r>
    </w:p>
    <w:p w:rsidR="008B3956" w:rsidRPr="006B277A" w:rsidRDefault="008B3956" w:rsidP="00F244D3">
      <w:pPr>
        <w:pStyle w:val="NormalWeb"/>
        <w:numPr>
          <w:ilvl w:val="0"/>
          <w:numId w:val="3"/>
        </w:numPr>
        <w:spacing w:before="40" w:beforeAutospacing="0" w:after="0" w:afterAutospacing="0"/>
        <w:jc w:val="both"/>
        <w:rPr>
          <w:rFonts w:ascii="Arial" w:hAnsi="Arial" w:cs="Arial"/>
          <w:sz w:val="22"/>
          <w:szCs w:val="22"/>
          <w:lang w:val="fr-FR"/>
        </w:rPr>
      </w:pPr>
      <w:r w:rsidRPr="006B277A">
        <w:rPr>
          <w:rFonts w:ascii="Arial" w:eastAsia="Calibri" w:hAnsi="Arial" w:cs="Arial"/>
          <w:kern w:val="24"/>
          <w:sz w:val="22"/>
          <w:szCs w:val="22"/>
          <w:lang w:val="fr-FR"/>
        </w:rPr>
        <w:t>La Commission européenne a été reconnue comme</w:t>
      </w:r>
      <w:r w:rsidR="002A33AF" w:rsidRPr="006B277A">
        <w:rPr>
          <w:rFonts w:ascii="Arial" w:eastAsia="Calibri" w:hAnsi="Arial" w:cs="Arial"/>
          <w:kern w:val="24"/>
          <w:sz w:val="22"/>
          <w:szCs w:val="22"/>
          <w:lang w:val="fr-FR"/>
        </w:rPr>
        <w:t xml:space="preserve"> étant un</w:t>
      </w:r>
      <w:r w:rsidRPr="006B277A">
        <w:rPr>
          <w:rFonts w:ascii="Arial" w:eastAsia="Calibri" w:hAnsi="Arial" w:cs="Arial"/>
          <w:kern w:val="24"/>
          <w:sz w:val="22"/>
          <w:szCs w:val="22"/>
          <w:lang w:val="fr-FR"/>
        </w:rPr>
        <w:t xml:space="preserve"> </w:t>
      </w:r>
      <w:r w:rsidRPr="006B277A">
        <w:rPr>
          <w:rFonts w:ascii="Arial" w:eastAsia="Calibri" w:hAnsi="Arial" w:cs="Arial"/>
          <w:i/>
          <w:kern w:val="24"/>
          <w:sz w:val="22"/>
          <w:szCs w:val="22"/>
          <w:lang w:val="fr-FR"/>
        </w:rPr>
        <w:t>Champion Plus</w:t>
      </w:r>
      <w:r w:rsidRPr="006B277A">
        <w:rPr>
          <w:rFonts w:ascii="Arial" w:eastAsia="Calibri" w:hAnsi="Arial" w:cs="Arial"/>
          <w:kern w:val="24"/>
          <w:sz w:val="22"/>
          <w:szCs w:val="22"/>
          <w:lang w:val="fr-FR"/>
        </w:rPr>
        <w:t xml:space="preserve"> pour son appui au renforcement des capacités en matière de conservation des espèces migratrices en 2015-2018. </w:t>
      </w:r>
    </w:p>
    <w:p w:rsidR="008B3956" w:rsidRPr="006B277A" w:rsidRDefault="008B3956" w:rsidP="006B277A">
      <w:pPr>
        <w:pStyle w:val="ListParagraph"/>
        <w:autoSpaceDE/>
        <w:adjustRightInd/>
        <w:ind w:left="450"/>
        <w:contextualSpacing w:val="0"/>
        <w:jc w:val="both"/>
        <w:rPr>
          <w:rFonts w:ascii="Arial" w:hAnsi="Arial" w:cs="Arial"/>
          <w:sz w:val="22"/>
          <w:szCs w:val="22"/>
          <w:lang w:val="fr-FR"/>
        </w:rPr>
      </w:pPr>
    </w:p>
    <w:p w:rsidR="008B3956" w:rsidRPr="006B277A" w:rsidRDefault="008B3956" w:rsidP="00897C92">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 xml:space="preserve">Cinq nouveaux Champions </w:t>
      </w:r>
      <w:r w:rsidR="002A33AF" w:rsidRPr="006B277A">
        <w:rPr>
          <w:rFonts w:ascii="Arial" w:hAnsi="Arial" w:cs="Arial"/>
          <w:sz w:val="22"/>
          <w:szCs w:val="22"/>
          <w:lang w:val="fr-FR"/>
        </w:rPr>
        <w:t>seront</w:t>
      </w:r>
      <w:r w:rsidRPr="006B277A">
        <w:rPr>
          <w:rFonts w:ascii="Arial" w:hAnsi="Arial" w:cs="Arial"/>
          <w:sz w:val="22"/>
          <w:szCs w:val="22"/>
          <w:lang w:val="fr-FR"/>
        </w:rPr>
        <w:t xml:space="preserve"> nomm</w:t>
      </w:r>
      <w:r w:rsidR="002A33AF" w:rsidRPr="006B277A">
        <w:rPr>
          <w:rFonts w:ascii="Arial" w:hAnsi="Arial" w:cs="Arial"/>
          <w:sz w:val="22"/>
          <w:szCs w:val="22"/>
          <w:lang w:val="fr-FR"/>
        </w:rPr>
        <w:t>é</w:t>
      </w:r>
      <w:r w:rsidRPr="006B277A">
        <w:rPr>
          <w:rFonts w:ascii="Arial" w:hAnsi="Arial" w:cs="Arial"/>
          <w:sz w:val="22"/>
          <w:szCs w:val="22"/>
          <w:lang w:val="fr-FR"/>
        </w:rPr>
        <w:t>s à la COP12, à savoir:</w:t>
      </w:r>
    </w:p>
    <w:p w:rsidR="008B3956" w:rsidRPr="006B277A" w:rsidRDefault="008B3956" w:rsidP="00F244D3">
      <w:pPr>
        <w:pStyle w:val="NormalWeb"/>
        <w:numPr>
          <w:ilvl w:val="0"/>
          <w:numId w:val="3"/>
        </w:numPr>
        <w:spacing w:before="40" w:beforeAutospacing="0" w:after="0" w:afterAutospacing="0"/>
        <w:jc w:val="both"/>
        <w:rPr>
          <w:rFonts w:ascii="Arial" w:eastAsia="Calibri" w:hAnsi="Arial" w:cs="Arial"/>
          <w:kern w:val="24"/>
          <w:sz w:val="22"/>
          <w:szCs w:val="22"/>
          <w:lang w:val="fr-FR"/>
        </w:rPr>
      </w:pPr>
      <w:r w:rsidRPr="006B277A">
        <w:rPr>
          <w:rFonts w:ascii="Arial" w:eastAsia="Calibri" w:hAnsi="Arial" w:cs="Arial"/>
          <w:kern w:val="24"/>
          <w:sz w:val="22"/>
          <w:szCs w:val="22"/>
          <w:lang w:val="fr-FR"/>
        </w:rPr>
        <w:t>Le Gouvernement de la Principauté de Monaco sera reconnu comme</w:t>
      </w:r>
      <w:r w:rsidR="002A33AF" w:rsidRPr="006B277A">
        <w:rPr>
          <w:rFonts w:ascii="Arial" w:eastAsia="Calibri" w:hAnsi="Arial" w:cs="Arial"/>
          <w:kern w:val="24"/>
          <w:sz w:val="22"/>
          <w:szCs w:val="22"/>
          <w:lang w:val="fr-FR"/>
        </w:rPr>
        <w:t xml:space="preserve"> étant un</w:t>
      </w:r>
      <w:r w:rsidRPr="006B277A">
        <w:rPr>
          <w:rFonts w:ascii="Arial" w:eastAsia="Calibri" w:hAnsi="Arial" w:cs="Arial"/>
          <w:kern w:val="24"/>
          <w:sz w:val="22"/>
          <w:szCs w:val="22"/>
          <w:lang w:val="fr-FR"/>
        </w:rPr>
        <w:t xml:space="preserve"> </w:t>
      </w:r>
      <w:r w:rsidRPr="006B277A">
        <w:rPr>
          <w:rFonts w:ascii="Arial" w:eastAsia="Calibri" w:hAnsi="Arial" w:cs="Arial"/>
          <w:i/>
          <w:kern w:val="24"/>
          <w:sz w:val="22"/>
          <w:szCs w:val="22"/>
          <w:lang w:val="fr-FR"/>
        </w:rPr>
        <w:t>Champion Plus</w:t>
      </w:r>
      <w:r w:rsidRPr="006B277A">
        <w:rPr>
          <w:rFonts w:ascii="Arial" w:eastAsia="Calibri" w:hAnsi="Arial" w:cs="Arial"/>
          <w:kern w:val="24"/>
          <w:sz w:val="22"/>
          <w:szCs w:val="22"/>
          <w:lang w:val="fr-FR"/>
        </w:rPr>
        <w:t xml:space="preserve"> pour son appui à la conservation des espèces marines en 2018-2020;</w:t>
      </w:r>
    </w:p>
    <w:p w:rsidR="008B3956" w:rsidRPr="006B277A" w:rsidRDefault="008B3956" w:rsidP="00F244D3">
      <w:pPr>
        <w:pStyle w:val="NormalWeb"/>
        <w:numPr>
          <w:ilvl w:val="0"/>
          <w:numId w:val="3"/>
        </w:numPr>
        <w:spacing w:before="40" w:beforeAutospacing="0" w:after="0" w:afterAutospacing="0"/>
        <w:jc w:val="both"/>
        <w:rPr>
          <w:rFonts w:ascii="Arial" w:eastAsia="Calibri" w:hAnsi="Arial" w:cs="Arial"/>
          <w:kern w:val="24"/>
          <w:sz w:val="22"/>
          <w:szCs w:val="22"/>
          <w:lang w:val="fr-FR"/>
        </w:rPr>
      </w:pPr>
      <w:r w:rsidRPr="006B277A">
        <w:rPr>
          <w:rFonts w:ascii="Arial" w:eastAsia="Calibri" w:hAnsi="Arial" w:cs="Arial"/>
          <w:kern w:val="24"/>
          <w:sz w:val="22"/>
          <w:szCs w:val="22"/>
          <w:lang w:val="fr-FR"/>
        </w:rPr>
        <w:t>Le Gouvernement de l’Italie sera reconnu comme</w:t>
      </w:r>
      <w:r w:rsidR="002A33AF" w:rsidRPr="006B277A">
        <w:rPr>
          <w:rFonts w:ascii="Arial" w:eastAsia="Calibri" w:hAnsi="Arial" w:cs="Arial"/>
          <w:kern w:val="24"/>
          <w:sz w:val="22"/>
          <w:szCs w:val="22"/>
          <w:lang w:val="fr-FR"/>
        </w:rPr>
        <w:t xml:space="preserve"> étant un</w:t>
      </w:r>
      <w:r w:rsidRPr="006B277A">
        <w:rPr>
          <w:rFonts w:ascii="Arial" w:eastAsia="Calibri" w:hAnsi="Arial" w:cs="Arial"/>
          <w:kern w:val="24"/>
          <w:sz w:val="22"/>
          <w:szCs w:val="22"/>
          <w:lang w:val="fr-FR"/>
        </w:rPr>
        <w:t xml:space="preserve"> </w:t>
      </w:r>
      <w:r w:rsidRPr="006B277A">
        <w:rPr>
          <w:rFonts w:ascii="Arial" w:eastAsia="Calibri" w:hAnsi="Arial" w:cs="Arial"/>
          <w:i/>
          <w:kern w:val="24"/>
          <w:sz w:val="22"/>
          <w:szCs w:val="22"/>
          <w:lang w:val="fr-FR"/>
        </w:rPr>
        <w:t>Champion Plus</w:t>
      </w:r>
      <w:r w:rsidRPr="006B277A">
        <w:rPr>
          <w:rFonts w:ascii="Arial" w:eastAsia="Calibri" w:hAnsi="Arial" w:cs="Arial"/>
          <w:kern w:val="24"/>
          <w:sz w:val="22"/>
          <w:szCs w:val="22"/>
          <w:lang w:val="fr-FR"/>
        </w:rPr>
        <w:t xml:space="preserve"> pour son appui à l’élaboration d’un Atlas mondial des migrations animales en 2017-2020;</w:t>
      </w:r>
    </w:p>
    <w:p w:rsidR="008B3956" w:rsidRPr="006B277A" w:rsidRDefault="008B3956" w:rsidP="00F244D3">
      <w:pPr>
        <w:pStyle w:val="NormalWeb"/>
        <w:numPr>
          <w:ilvl w:val="0"/>
          <w:numId w:val="3"/>
        </w:numPr>
        <w:spacing w:before="40" w:beforeAutospacing="0" w:after="0" w:afterAutospacing="0"/>
        <w:jc w:val="both"/>
        <w:rPr>
          <w:rFonts w:ascii="Arial" w:eastAsia="Calibri" w:hAnsi="Arial" w:cs="Arial"/>
          <w:kern w:val="24"/>
          <w:sz w:val="22"/>
          <w:szCs w:val="22"/>
          <w:lang w:val="fr-FR"/>
        </w:rPr>
      </w:pPr>
      <w:r w:rsidRPr="006B277A">
        <w:rPr>
          <w:rFonts w:ascii="Arial" w:eastAsia="Calibri" w:hAnsi="Arial" w:cs="Arial"/>
          <w:kern w:val="24"/>
          <w:sz w:val="22"/>
          <w:szCs w:val="22"/>
          <w:lang w:val="fr-FR"/>
        </w:rPr>
        <w:t>Le Gouvernement de l’Allemagne par le biais du BMUB sera reconnu comme</w:t>
      </w:r>
      <w:r w:rsidR="002A33AF" w:rsidRPr="006B277A">
        <w:rPr>
          <w:rFonts w:ascii="Arial" w:eastAsia="Calibri" w:hAnsi="Arial" w:cs="Arial"/>
          <w:kern w:val="24"/>
          <w:sz w:val="22"/>
          <w:szCs w:val="22"/>
          <w:lang w:val="fr-FR"/>
        </w:rPr>
        <w:t xml:space="preserve"> étant un</w:t>
      </w:r>
      <w:r w:rsidRPr="006B277A">
        <w:rPr>
          <w:rFonts w:ascii="Arial" w:eastAsia="Calibri" w:hAnsi="Arial" w:cs="Arial"/>
          <w:kern w:val="24"/>
          <w:sz w:val="22"/>
          <w:szCs w:val="22"/>
          <w:lang w:val="fr-FR"/>
        </w:rPr>
        <w:t xml:space="preserve"> </w:t>
      </w:r>
      <w:r w:rsidRPr="006B277A">
        <w:rPr>
          <w:rFonts w:ascii="Arial" w:eastAsia="Calibri" w:hAnsi="Arial" w:cs="Arial"/>
          <w:i/>
          <w:kern w:val="24"/>
          <w:sz w:val="22"/>
          <w:szCs w:val="22"/>
          <w:lang w:val="fr-FR"/>
        </w:rPr>
        <w:t>Champion Plus</w:t>
      </w:r>
      <w:r w:rsidRPr="006B277A">
        <w:rPr>
          <w:rFonts w:ascii="Arial" w:eastAsia="Calibri" w:hAnsi="Arial" w:cs="Arial"/>
          <w:kern w:val="24"/>
          <w:sz w:val="22"/>
          <w:szCs w:val="22"/>
          <w:lang w:val="fr-FR"/>
        </w:rPr>
        <w:t xml:space="preserve"> pour son </w:t>
      </w:r>
      <w:r w:rsidR="002A33AF" w:rsidRPr="006B277A">
        <w:rPr>
          <w:rFonts w:ascii="Arial" w:eastAsia="Calibri" w:hAnsi="Arial" w:cs="Arial"/>
          <w:kern w:val="24"/>
          <w:sz w:val="22"/>
          <w:szCs w:val="22"/>
          <w:lang w:val="fr-FR"/>
        </w:rPr>
        <w:t>engagement à concilier les</w:t>
      </w:r>
      <w:r w:rsidRPr="006B277A">
        <w:rPr>
          <w:rFonts w:ascii="Arial" w:eastAsia="Calibri" w:hAnsi="Arial" w:cs="Arial"/>
          <w:kern w:val="24"/>
          <w:sz w:val="22"/>
          <w:szCs w:val="22"/>
          <w:lang w:val="fr-FR"/>
        </w:rPr>
        <w:t xml:space="preserve"> développements du secteur </w:t>
      </w:r>
      <w:r w:rsidR="002A33AF" w:rsidRPr="006B277A">
        <w:rPr>
          <w:rFonts w:ascii="Arial" w:eastAsia="Calibri" w:hAnsi="Arial" w:cs="Arial"/>
          <w:kern w:val="24"/>
          <w:sz w:val="22"/>
          <w:szCs w:val="22"/>
          <w:lang w:val="fr-FR"/>
        </w:rPr>
        <w:t>énergétique</w:t>
      </w:r>
      <w:r w:rsidRPr="006B277A">
        <w:rPr>
          <w:rFonts w:ascii="Arial" w:eastAsia="Calibri" w:hAnsi="Arial" w:cs="Arial"/>
          <w:kern w:val="24"/>
          <w:sz w:val="22"/>
          <w:szCs w:val="22"/>
          <w:lang w:val="fr-FR"/>
        </w:rPr>
        <w:t xml:space="preserve"> avec la conservation des espèces migratrices en 2018-2020;</w:t>
      </w:r>
    </w:p>
    <w:p w:rsidR="008B3956" w:rsidRPr="006B277A" w:rsidRDefault="008B3956" w:rsidP="00F244D3">
      <w:pPr>
        <w:pStyle w:val="NormalWeb"/>
        <w:numPr>
          <w:ilvl w:val="0"/>
          <w:numId w:val="3"/>
        </w:numPr>
        <w:spacing w:before="40" w:beforeAutospacing="0" w:after="0" w:afterAutospacing="0"/>
        <w:jc w:val="both"/>
        <w:rPr>
          <w:rFonts w:ascii="Arial" w:hAnsi="Arial" w:cs="Arial"/>
          <w:sz w:val="22"/>
          <w:szCs w:val="22"/>
          <w:lang w:val="fr-FR"/>
        </w:rPr>
      </w:pPr>
      <w:r w:rsidRPr="006B277A">
        <w:rPr>
          <w:rFonts w:ascii="Arial" w:eastAsia="Calibri" w:hAnsi="Arial" w:cs="Arial"/>
          <w:kern w:val="24"/>
          <w:sz w:val="22"/>
          <w:szCs w:val="22"/>
          <w:lang w:val="fr-FR"/>
        </w:rPr>
        <w:t>La Commission européenne sera reconnue comme</w:t>
      </w:r>
      <w:r w:rsidR="002A33AF" w:rsidRPr="006B277A">
        <w:rPr>
          <w:rFonts w:ascii="Arial" w:eastAsia="Calibri" w:hAnsi="Arial" w:cs="Arial"/>
          <w:kern w:val="24"/>
          <w:sz w:val="22"/>
          <w:szCs w:val="22"/>
          <w:lang w:val="fr-FR"/>
        </w:rPr>
        <w:t xml:space="preserve"> étant un</w:t>
      </w:r>
      <w:r w:rsidRPr="006B277A">
        <w:rPr>
          <w:rFonts w:ascii="Arial" w:eastAsia="Calibri" w:hAnsi="Arial" w:cs="Arial"/>
          <w:kern w:val="24"/>
          <w:sz w:val="22"/>
          <w:szCs w:val="22"/>
          <w:lang w:val="fr-FR"/>
        </w:rPr>
        <w:t xml:space="preserve"> </w:t>
      </w:r>
      <w:r w:rsidRPr="006B277A">
        <w:rPr>
          <w:rFonts w:ascii="Arial" w:eastAsia="Calibri" w:hAnsi="Arial" w:cs="Arial"/>
          <w:i/>
          <w:iCs/>
          <w:kern w:val="24"/>
          <w:sz w:val="22"/>
          <w:szCs w:val="22"/>
          <w:lang w:val="fr-FR"/>
        </w:rPr>
        <w:t>Champion Plus</w:t>
      </w:r>
      <w:r w:rsidRPr="006B277A">
        <w:rPr>
          <w:rFonts w:ascii="Arial" w:eastAsia="Calibri" w:hAnsi="Arial" w:cs="Arial"/>
          <w:kern w:val="24"/>
          <w:sz w:val="22"/>
          <w:szCs w:val="22"/>
          <w:lang w:val="fr-FR"/>
        </w:rPr>
        <w:t xml:space="preserve"> pour son appui à la question de l’abattage, du prélèvement et du commerce illégaux des oiseaux migrateurs dans la région méditerranéenne en </w:t>
      </w:r>
      <w:r w:rsidRPr="006B277A">
        <w:rPr>
          <w:rFonts w:ascii="Arial" w:hAnsi="Arial" w:cs="Arial"/>
          <w:sz w:val="22"/>
          <w:szCs w:val="22"/>
          <w:lang w:val="fr-FR"/>
        </w:rPr>
        <w:t>2018-2020;</w:t>
      </w:r>
    </w:p>
    <w:p w:rsidR="008B3956" w:rsidRPr="006B277A" w:rsidRDefault="008B3956" w:rsidP="00F244D3">
      <w:pPr>
        <w:pStyle w:val="NormalWeb"/>
        <w:numPr>
          <w:ilvl w:val="0"/>
          <w:numId w:val="3"/>
        </w:numPr>
        <w:spacing w:before="40" w:beforeAutospacing="0" w:after="0" w:afterAutospacing="0"/>
        <w:jc w:val="both"/>
        <w:rPr>
          <w:rFonts w:ascii="Arial" w:hAnsi="Arial" w:cs="Arial"/>
          <w:sz w:val="22"/>
          <w:szCs w:val="22"/>
          <w:lang w:val="fr-FR"/>
        </w:rPr>
      </w:pPr>
      <w:r w:rsidRPr="006B277A">
        <w:rPr>
          <w:rFonts w:ascii="Arial" w:eastAsia="Calibri" w:hAnsi="Arial" w:cs="Arial"/>
          <w:kern w:val="24"/>
          <w:sz w:val="22"/>
          <w:szCs w:val="22"/>
          <w:lang w:val="fr-FR"/>
        </w:rPr>
        <w:t>L’Agence pour l’environnement - Ab</w:t>
      </w:r>
      <w:r w:rsidR="002A33AF" w:rsidRPr="006B277A">
        <w:rPr>
          <w:rFonts w:ascii="Arial" w:eastAsia="Calibri" w:hAnsi="Arial" w:cs="Arial"/>
          <w:kern w:val="24"/>
          <w:sz w:val="22"/>
          <w:szCs w:val="22"/>
          <w:lang w:val="fr-FR"/>
        </w:rPr>
        <w:t>o</w:t>
      </w:r>
      <w:r w:rsidRPr="006B277A">
        <w:rPr>
          <w:rFonts w:ascii="Arial" w:eastAsia="Calibri" w:hAnsi="Arial" w:cs="Arial"/>
          <w:kern w:val="24"/>
          <w:sz w:val="22"/>
          <w:szCs w:val="22"/>
          <w:lang w:val="fr-FR"/>
        </w:rPr>
        <w:t>u Dhabi au nom du Gouvernement des Émirats arabes unis sera reconnue comme</w:t>
      </w:r>
      <w:r w:rsidR="002A33AF" w:rsidRPr="006B277A">
        <w:rPr>
          <w:rFonts w:ascii="Arial" w:eastAsia="Calibri" w:hAnsi="Arial" w:cs="Arial"/>
          <w:kern w:val="24"/>
          <w:sz w:val="22"/>
          <w:szCs w:val="22"/>
          <w:lang w:val="fr-FR"/>
        </w:rPr>
        <w:t xml:space="preserve"> étant un</w:t>
      </w:r>
      <w:r w:rsidRPr="006B277A">
        <w:rPr>
          <w:rFonts w:ascii="Arial" w:eastAsia="Calibri" w:hAnsi="Arial" w:cs="Arial"/>
          <w:kern w:val="24"/>
          <w:sz w:val="22"/>
          <w:szCs w:val="22"/>
          <w:lang w:val="fr-FR"/>
        </w:rPr>
        <w:t xml:space="preserve"> </w:t>
      </w:r>
      <w:r w:rsidRPr="006B277A">
        <w:rPr>
          <w:rFonts w:ascii="Arial" w:eastAsia="Calibri" w:hAnsi="Arial" w:cs="Arial"/>
          <w:i/>
          <w:iCs/>
          <w:kern w:val="24"/>
          <w:sz w:val="22"/>
          <w:szCs w:val="22"/>
          <w:lang w:val="fr-FR"/>
        </w:rPr>
        <w:t>Champion Plus</w:t>
      </w:r>
      <w:r w:rsidRPr="006B277A">
        <w:rPr>
          <w:rFonts w:ascii="Arial" w:eastAsia="Calibri" w:hAnsi="Arial" w:cs="Arial"/>
          <w:kern w:val="24"/>
          <w:sz w:val="22"/>
          <w:szCs w:val="22"/>
          <w:lang w:val="fr-FR"/>
        </w:rPr>
        <w:t xml:space="preserve"> pour son appui à la conservation des dugongs et des oiseaux de proie en</w:t>
      </w:r>
      <w:r w:rsidRPr="006B277A">
        <w:rPr>
          <w:rFonts w:ascii="Arial" w:hAnsi="Arial" w:cs="Arial"/>
          <w:sz w:val="22"/>
          <w:szCs w:val="22"/>
          <w:lang w:val="fr-FR"/>
        </w:rPr>
        <w:t xml:space="preserve"> 2015-2019.</w:t>
      </w:r>
    </w:p>
    <w:p w:rsidR="008B3956" w:rsidRPr="006B277A" w:rsidRDefault="008B3956" w:rsidP="006B277A">
      <w:pPr>
        <w:pStyle w:val="NormalWeb"/>
        <w:spacing w:before="0" w:beforeAutospacing="0" w:after="0" w:afterAutospacing="0"/>
        <w:ind w:left="720"/>
        <w:jc w:val="both"/>
        <w:rPr>
          <w:rFonts w:ascii="Arial" w:hAnsi="Arial" w:cs="Arial"/>
          <w:sz w:val="22"/>
          <w:szCs w:val="22"/>
          <w:lang w:val="fr-FR"/>
        </w:rPr>
      </w:pPr>
    </w:p>
    <w:p w:rsidR="008B3956" w:rsidRPr="00897C92" w:rsidRDefault="008B3956" w:rsidP="006B277A">
      <w:pPr>
        <w:pStyle w:val="ListParagraph"/>
        <w:ind w:left="0"/>
        <w:contextualSpacing w:val="0"/>
        <w:jc w:val="both"/>
        <w:rPr>
          <w:rFonts w:ascii="Arial" w:hAnsi="Arial" w:cs="Arial"/>
          <w:b/>
          <w:szCs w:val="20"/>
          <w:lang w:val="fr-FR"/>
        </w:rPr>
      </w:pPr>
      <w:r w:rsidRPr="00897C92">
        <w:rPr>
          <w:rFonts w:ascii="Arial" w:hAnsi="Arial" w:cs="Arial"/>
          <w:b/>
          <w:szCs w:val="20"/>
          <w:lang w:val="fr-FR"/>
        </w:rPr>
        <w:t>Renforcer l’engagement avec le Fonds pour l’environnement mondial (</w:t>
      </w:r>
      <w:r w:rsidR="002A33AF" w:rsidRPr="00897C92">
        <w:rPr>
          <w:rFonts w:ascii="Arial" w:hAnsi="Arial" w:cs="Arial"/>
          <w:b/>
          <w:szCs w:val="20"/>
          <w:lang w:val="fr-FR"/>
        </w:rPr>
        <w:t>FEM</w:t>
      </w:r>
      <w:r w:rsidRPr="00897C92">
        <w:rPr>
          <w:rFonts w:ascii="Arial" w:hAnsi="Arial" w:cs="Arial"/>
          <w:b/>
          <w:szCs w:val="20"/>
          <w:lang w:val="fr-FR"/>
        </w:rPr>
        <w:t>)</w:t>
      </w:r>
    </w:p>
    <w:p w:rsidR="008B3956" w:rsidRPr="006B277A" w:rsidRDefault="008B3956" w:rsidP="006B277A">
      <w:pPr>
        <w:pStyle w:val="ListParagraph"/>
        <w:ind w:left="0"/>
        <w:contextualSpacing w:val="0"/>
        <w:jc w:val="both"/>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Conformément à la Résolution 11.10 de la CMS, le Secrétariat a fait des progrès concernant la promotion du financement des priorités nationales pour la CMS à travers le FEM. Des détails figurent dans le document UNEP/CMS/COP12/Doc.23.1.</w:t>
      </w:r>
    </w:p>
    <w:p w:rsidR="008B3956" w:rsidRPr="006B277A" w:rsidRDefault="008B3956" w:rsidP="006B277A">
      <w:pPr>
        <w:pStyle w:val="ListParagraph"/>
        <w:ind w:left="0"/>
        <w:contextualSpacing w:val="0"/>
        <w:rPr>
          <w:rFonts w:ascii="Arial" w:hAnsi="Arial" w:cs="Arial"/>
          <w:sz w:val="22"/>
          <w:szCs w:val="22"/>
          <w:lang w:val="fr-FR"/>
        </w:rPr>
      </w:pPr>
    </w:p>
    <w:p w:rsidR="008B3956" w:rsidRPr="00897C92" w:rsidRDefault="00F244D3" w:rsidP="006B277A">
      <w:pPr>
        <w:pStyle w:val="ListParagraph"/>
        <w:ind w:left="0"/>
        <w:contextualSpacing w:val="0"/>
        <w:jc w:val="both"/>
        <w:rPr>
          <w:rFonts w:ascii="Arial" w:hAnsi="Arial" w:cs="Arial"/>
          <w:b/>
          <w:szCs w:val="20"/>
          <w:lang w:val="fr-FR"/>
        </w:rPr>
      </w:pPr>
      <w:r>
        <w:rPr>
          <w:rFonts w:ascii="Arial" w:hAnsi="Arial" w:cs="Arial"/>
          <w:b/>
          <w:szCs w:val="20"/>
          <w:lang w:val="fr-FR"/>
        </w:rPr>
        <w:br w:type="column"/>
      </w:r>
      <w:r w:rsidR="008B3956" w:rsidRPr="00897C92">
        <w:rPr>
          <w:rFonts w:ascii="Arial" w:hAnsi="Arial" w:cs="Arial"/>
          <w:b/>
          <w:szCs w:val="20"/>
          <w:lang w:val="fr-FR"/>
        </w:rPr>
        <w:lastRenderedPageBreak/>
        <w:t>Appui aux activités de conservation</w:t>
      </w:r>
    </w:p>
    <w:p w:rsidR="008B3956" w:rsidRPr="006B277A" w:rsidRDefault="008B3956" w:rsidP="006B277A">
      <w:pPr>
        <w:pStyle w:val="ListParagraph"/>
        <w:ind w:left="0"/>
        <w:contextualSpacing w:val="0"/>
        <w:rPr>
          <w:rFonts w:ascii="Arial" w:hAnsi="Arial" w:cs="Arial"/>
          <w:sz w:val="22"/>
          <w:szCs w:val="22"/>
          <w:highlight w:val="yellow"/>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Des articles et des notifications sur l’Internet concernant les possibilités de financement pour des acti</w:t>
      </w:r>
      <w:r w:rsidR="002A33AF" w:rsidRPr="006B277A">
        <w:rPr>
          <w:rFonts w:ascii="Arial" w:hAnsi="Arial" w:cs="Arial"/>
          <w:sz w:val="22"/>
          <w:szCs w:val="22"/>
          <w:lang w:val="fr-FR"/>
        </w:rPr>
        <w:t>vités</w:t>
      </w:r>
      <w:r w:rsidRPr="006B277A">
        <w:rPr>
          <w:rFonts w:ascii="Arial" w:hAnsi="Arial" w:cs="Arial"/>
          <w:sz w:val="22"/>
          <w:szCs w:val="22"/>
          <w:lang w:val="fr-FR"/>
        </w:rPr>
        <w:t xml:space="preserve"> de conservation ont été produits, selon que de besoin, pour encourager les acteurs à proposer des projets qui puissent contribuer à la mise en œuvre de la Convention et de ses instruments. Plusieurs propositions de partenaires de la CMS ont été appuyées par le Secrétariat </w:t>
      </w:r>
      <w:r w:rsidR="002A33AF" w:rsidRPr="006B277A">
        <w:rPr>
          <w:rFonts w:ascii="Arial" w:hAnsi="Arial" w:cs="Arial"/>
          <w:sz w:val="22"/>
          <w:szCs w:val="22"/>
          <w:lang w:val="fr-FR"/>
        </w:rPr>
        <w:t>par</w:t>
      </w:r>
      <w:r w:rsidRPr="006B277A">
        <w:rPr>
          <w:rFonts w:ascii="Arial" w:hAnsi="Arial" w:cs="Arial"/>
          <w:sz w:val="22"/>
          <w:szCs w:val="22"/>
          <w:lang w:val="fr-FR"/>
        </w:rPr>
        <w:t xml:space="preserve"> des lettres d’approbation. </w:t>
      </w:r>
    </w:p>
    <w:p w:rsidR="008B3956" w:rsidRPr="006B277A" w:rsidRDefault="008B3956" w:rsidP="006B277A">
      <w:pPr>
        <w:pStyle w:val="ListParagraph"/>
        <w:ind w:left="0"/>
        <w:contextualSpacing w:val="0"/>
        <w:rPr>
          <w:rFonts w:ascii="Arial" w:hAnsi="Arial" w:cs="Arial"/>
          <w:sz w:val="22"/>
          <w:szCs w:val="22"/>
          <w:lang w:val="fr-FR"/>
        </w:rPr>
      </w:pPr>
    </w:p>
    <w:p w:rsidR="008B3956" w:rsidRPr="006B277A" w:rsidRDefault="008B3956" w:rsidP="006B277A">
      <w:pPr>
        <w:rPr>
          <w:rFonts w:ascii="Arial" w:hAnsi="Arial" w:cs="Arial"/>
          <w:sz w:val="22"/>
          <w:szCs w:val="22"/>
          <w:u w:val="single"/>
          <w:lang w:val="en-GB"/>
        </w:rPr>
      </w:pPr>
      <w:r w:rsidRPr="006B277A">
        <w:rPr>
          <w:rFonts w:ascii="Arial" w:hAnsi="Arial" w:cs="Arial"/>
          <w:sz w:val="22"/>
          <w:szCs w:val="22"/>
          <w:u w:val="single"/>
          <w:lang w:val="en-GB"/>
        </w:rPr>
        <w:t>Situation actuelle</w:t>
      </w:r>
    </w:p>
    <w:p w:rsidR="008B3956" w:rsidRPr="006B277A" w:rsidRDefault="008B3956" w:rsidP="006B277A">
      <w:pPr>
        <w:pStyle w:val="ListParagraph"/>
        <w:ind w:left="0"/>
        <w:contextualSpacing w:val="0"/>
        <w:rPr>
          <w:rFonts w:ascii="Arial" w:hAnsi="Arial" w:cs="Arial"/>
          <w:sz w:val="22"/>
          <w:szCs w:val="22"/>
          <w:highlight w:val="yellow"/>
          <w:lang w:val="en-GB"/>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 xml:space="preserve">On attend une confirmation finale de la participation de </w:t>
      </w:r>
      <w:r w:rsidR="002A33AF" w:rsidRPr="006B277A">
        <w:rPr>
          <w:rFonts w:ascii="Arial" w:hAnsi="Arial" w:cs="Arial"/>
          <w:sz w:val="22"/>
          <w:szCs w:val="22"/>
          <w:lang w:val="fr-FR"/>
        </w:rPr>
        <w:t>l</w:t>
      </w:r>
      <w:r w:rsidRPr="006B277A">
        <w:rPr>
          <w:rFonts w:ascii="Arial" w:hAnsi="Arial" w:cs="Arial"/>
          <w:sz w:val="22"/>
          <w:szCs w:val="22"/>
          <w:lang w:val="fr-FR"/>
        </w:rPr>
        <w:t xml:space="preserve">a CMS au programme de conservation de la </w:t>
      </w:r>
      <w:r w:rsidR="002A33AF" w:rsidRPr="006B277A">
        <w:rPr>
          <w:rFonts w:ascii="Arial" w:hAnsi="Arial" w:cs="Arial"/>
          <w:sz w:val="22"/>
          <w:szCs w:val="22"/>
          <w:lang w:val="fr-FR"/>
        </w:rPr>
        <w:t xml:space="preserve">nature </w:t>
      </w:r>
      <w:r w:rsidRPr="006B277A">
        <w:rPr>
          <w:rFonts w:ascii="Arial" w:hAnsi="Arial" w:cs="Arial"/>
          <w:sz w:val="22"/>
          <w:szCs w:val="22"/>
          <w:lang w:val="fr-FR"/>
        </w:rPr>
        <w:t xml:space="preserve">de l’UE pour les communautés économiques </w:t>
      </w:r>
      <w:r w:rsidR="002A33AF" w:rsidRPr="006B277A">
        <w:rPr>
          <w:rFonts w:ascii="Arial" w:hAnsi="Arial" w:cs="Arial"/>
          <w:sz w:val="22"/>
          <w:szCs w:val="22"/>
          <w:lang w:val="fr-FR"/>
        </w:rPr>
        <w:t>régionales</w:t>
      </w:r>
      <w:r w:rsidRPr="006B277A">
        <w:rPr>
          <w:rFonts w:ascii="Arial" w:hAnsi="Arial" w:cs="Arial"/>
          <w:sz w:val="22"/>
          <w:szCs w:val="22"/>
          <w:lang w:val="fr-FR"/>
        </w:rPr>
        <w:t xml:space="preserve"> de l’Afrique de l’Est (EAC), de l’Afrique australe (SADC) et de la Corne de l’Afrique (IGAD (2014-2020). Le projet met en œuvre le </w:t>
      </w:r>
      <w:r w:rsidR="002A33AF" w:rsidRPr="006B277A">
        <w:rPr>
          <w:rFonts w:ascii="Arial" w:hAnsi="Arial" w:cs="Arial"/>
          <w:sz w:val="22"/>
          <w:szCs w:val="22"/>
          <w:lang w:val="fr-FR"/>
        </w:rPr>
        <w:t xml:space="preserve">Programme indicatif régional du </w:t>
      </w:r>
      <w:r w:rsidRPr="006B277A">
        <w:rPr>
          <w:rFonts w:ascii="Arial" w:hAnsi="Arial" w:cs="Arial"/>
          <w:sz w:val="22"/>
          <w:szCs w:val="22"/>
          <w:lang w:val="fr-FR"/>
        </w:rPr>
        <w:t>11</w:t>
      </w:r>
      <w:r w:rsidRPr="006B277A">
        <w:rPr>
          <w:rFonts w:ascii="Arial" w:hAnsi="Arial" w:cs="Arial"/>
          <w:sz w:val="22"/>
          <w:szCs w:val="22"/>
          <w:vertAlign w:val="superscript"/>
          <w:lang w:val="fr-FR"/>
        </w:rPr>
        <w:t>ème</w:t>
      </w:r>
      <w:r w:rsidRPr="006B277A">
        <w:rPr>
          <w:rFonts w:ascii="Arial" w:hAnsi="Arial" w:cs="Arial"/>
          <w:sz w:val="22"/>
          <w:szCs w:val="22"/>
          <w:lang w:val="fr-FR"/>
        </w:rPr>
        <w:t xml:space="preserve"> </w:t>
      </w:r>
      <w:r w:rsidR="002A33AF" w:rsidRPr="006B277A">
        <w:rPr>
          <w:rFonts w:ascii="Arial" w:hAnsi="Arial" w:cs="Arial"/>
          <w:sz w:val="22"/>
          <w:szCs w:val="22"/>
          <w:lang w:val="fr-FR"/>
        </w:rPr>
        <w:t xml:space="preserve">Fonds européen de développement (FED) </w:t>
      </w:r>
      <w:r w:rsidRPr="006B277A">
        <w:rPr>
          <w:rFonts w:ascii="Arial" w:hAnsi="Arial" w:cs="Arial"/>
          <w:sz w:val="22"/>
          <w:szCs w:val="22"/>
          <w:lang w:val="fr-FR"/>
        </w:rPr>
        <w:t>et s’aligne sur les politiques régionales pertinentes</w:t>
      </w:r>
      <w:r w:rsidR="002A33AF" w:rsidRPr="006B277A">
        <w:rPr>
          <w:rFonts w:ascii="Arial" w:hAnsi="Arial" w:cs="Arial"/>
          <w:sz w:val="22"/>
          <w:szCs w:val="22"/>
          <w:lang w:val="fr-FR"/>
        </w:rPr>
        <w:t xml:space="preserve"> et sur l’Approche d</w:t>
      </w:r>
      <w:r w:rsidR="00486911">
        <w:rPr>
          <w:rFonts w:ascii="Arial" w:hAnsi="Arial" w:cs="Arial"/>
          <w:sz w:val="22"/>
          <w:szCs w:val="22"/>
          <w:lang w:val="fr-FR"/>
        </w:rPr>
        <w:t>e l’UE « Au-delà des éléphants </w:t>
      </w:r>
      <w:r w:rsidR="002A33AF" w:rsidRPr="006B277A">
        <w:rPr>
          <w:rFonts w:ascii="Arial" w:hAnsi="Arial" w:cs="Arial"/>
          <w:sz w:val="22"/>
          <w:szCs w:val="22"/>
          <w:lang w:val="fr-FR"/>
        </w:rPr>
        <w:t xml:space="preserve">- </w:t>
      </w:r>
      <w:r w:rsidR="00553DB1" w:rsidRPr="006B277A">
        <w:rPr>
          <w:rFonts w:ascii="Arial" w:hAnsi="Arial" w:cs="Arial"/>
          <w:sz w:val="22"/>
          <w:szCs w:val="22"/>
          <w:lang w:val="fr-FR"/>
        </w:rPr>
        <w:t>Éléments</w:t>
      </w:r>
      <w:r w:rsidR="002A33AF" w:rsidRPr="006B277A">
        <w:rPr>
          <w:rFonts w:ascii="Arial" w:hAnsi="Arial" w:cs="Arial"/>
          <w:sz w:val="22"/>
          <w:szCs w:val="22"/>
          <w:lang w:val="fr-FR"/>
        </w:rPr>
        <w:t xml:space="preserve"> d’une approche stratégique de l’UE pour la conservation de la nature en Afrique » </w:t>
      </w:r>
      <w:r w:rsidRPr="006B277A">
        <w:rPr>
          <w:rFonts w:ascii="Arial" w:hAnsi="Arial" w:cs="Arial"/>
          <w:sz w:val="22"/>
          <w:szCs w:val="22"/>
          <w:lang w:val="fr-FR"/>
        </w:rPr>
        <w:t>et le Plan d’action de l’U</w:t>
      </w:r>
      <w:r w:rsidR="002A33AF" w:rsidRPr="006B277A">
        <w:rPr>
          <w:rFonts w:ascii="Arial" w:hAnsi="Arial" w:cs="Arial"/>
          <w:sz w:val="22"/>
          <w:szCs w:val="22"/>
          <w:lang w:val="fr-FR"/>
        </w:rPr>
        <w:t>nion européenne contre le trafic d’espèces</w:t>
      </w:r>
      <w:r w:rsidRPr="006B277A">
        <w:rPr>
          <w:rFonts w:ascii="Arial" w:hAnsi="Arial" w:cs="Arial"/>
          <w:sz w:val="22"/>
          <w:szCs w:val="22"/>
          <w:lang w:val="fr-FR"/>
        </w:rPr>
        <w:t xml:space="preserve"> sauvages. En partenariat avec la CITES et l’</w:t>
      </w:r>
      <w:r w:rsidR="00553DB1" w:rsidRPr="006B277A">
        <w:rPr>
          <w:rFonts w:ascii="Arial" w:hAnsi="Arial" w:cs="Arial"/>
          <w:sz w:val="22"/>
          <w:szCs w:val="22"/>
          <w:lang w:val="fr-FR"/>
        </w:rPr>
        <w:t>ONUDC</w:t>
      </w:r>
      <w:r w:rsidRPr="006B277A">
        <w:rPr>
          <w:rFonts w:ascii="Arial" w:hAnsi="Arial" w:cs="Arial"/>
          <w:sz w:val="22"/>
          <w:szCs w:val="22"/>
          <w:lang w:val="fr-FR"/>
        </w:rPr>
        <w:t>, la CMS sera l’organe d’exécution pilote, responsable de l’établissement d’aires de conservation transfrontalières dans les régions. Le budget alloué pour</w:t>
      </w:r>
      <w:r w:rsidR="00553DB1" w:rsidRPr="006B277A">
        <w:rPr>
          <w:rFonts w:ascii="Arial" w:hAnsi="Arial" w:cs="Arial"/>
          <w:sz w:val="22"/>
          <w:szCs w:val="22"/>
          <w:lang w:val="fr-FR"/>
        </w:rPr>
        <w:t xml:space="preserve"> c</w:t>
      </w:r>
      <w:r w:rsidRPr="006B277A">
        <w:rPr>
          <w:rFonts w:ascii="Arial" w:hAnsi="Arial" w:cs="Arial"/>
          <w:sz w:val="22"/>
          <w:szCs w:val="22"/>
          <w:lang w:val="fr-FR"/>
        </w:rPr>
        <w:t xml:space="preserve">s activités de la CMS se monte à 2,7 millions d’US$. </w:t>
      </w:r>
    </w:p>
    <w:p w:rsidR="008B3956" w:rsidRPr="006B277A" w:rsidRDefault="008B3956" w:rsidP="009C344B">
      <w:pPr>
        <w:pStyle w:val="ListParagraph"/>
        <w:autoSpaceDE/>
        <w:adjustRightInd/>
        <w:ind w:left="360" w:hanging="360"/>
        <w:contextualSpacing w:val="0"/>
        <w:jc w:val="both"/>
        <w:rPr>
          <w:rFonts w:ascii="Arial" w:hAnsi="Arial" w:cs="Arial"/>
          <w:sz w:val="22"/>
          <w:szCs w:val="22"/>
          <w:lang w:val="fr-FR"/>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 xml:space="preserve">Deux propositions de grands projets soutenant la conservation des espèces </w:t>
      </w:r>
      <w:r w:rsidR="00553DB1" w:rsidRPr="006B277A">
        <w:rPr>
          <w:rFonts w:ascii="Arial" w:hAnsi="Arial" w:cs="Arial"/>
          <w:sz w:val="22"/>
          <w:szCs w:val="22"/>
          <w:lang w:val="fr-FR"/>
        </w:rPr>
        <w:t xml:space="preserve">couvertes par </w:t>
      </w:r>
      <w:r w:rsidRPr="006B277A">
        <w:rPr>
          <w:rFonts w:ascii="Arial" w:hAnsi="Arial" w:cs="Arial"/>
          <w:sz w:val="22"/>
          <w:szCs w:val="22"/>
          <w:lang w:val="fr-FR"/>
        </w:rPr>
        <w:t>la CMS ont été soumis</w:t>
      </w:r>
      <w:r w:rsidR="00AF75AE" w:rsidRPr="006B277A">
        <w:rPr>
          <w:rFonts w:ascii="Arial" w:hAnsi="Arial" w:cs="Arial"/>
          <w:sz w:val="22"/>
          <w:szCs w:val="22"/>
          <w:lang w:val="fr-FR"/>
        </w:rPr>
        <w:t>es</w:t>
      </w:r>
      <w:r w:rsidRPr="006B277A">
        <w:rPr>
          <w:rFonts w:ascii="Arial" w:hAnsi="Arial" w:cs="Arial"/>
          <w:sz w:val="22"/>
          <w:szCs w:val="22"/>
          <w:lang w:val="fr-FR"/>
        </w:rPr>
        <w:t xml:space="preserve"> à l’Initiative internationale sur le climat du BMUB. En juin 2016, le Secrétariat du MdE Dugongs (Bureau de la CMS – Abou Dhabi) a présenté une proposition de 4,8 millions d’euros axée sur la promotion de la durabilité, de la productivité et de la résilience de l’écosystème des herbiers marins, y compris dans le contexte du changement climatique, écosystème qui est critique pour les populations d’espèces marines menacées telles que les dugongs et les tortues vertes dans cinq pays (Malaisie, Îles Salomon, Thaïlande, Timor-Leste et Vanuatu). Le Secrétariat de la CMS a également contribué à une demande de </w:t>
      </w:r>
      <w:r w:rsidR="00553DB1" w:rsidRPr="006B277A">
        <w:rPr>
          <w:rFonts w:ascii="Arial" w:hAnsi="Arial" w:cs="Arial"/>
          <w:sz w:val="22"/>
          <w:szCs w:val="22"/>
          <w:lang w:val="fr-FR"/>
        </w:rPr>
        <w:t>financement</w:t>
      </w:r>
      <w:r w:rsidR="00772A7E" w:rsidRPr="006B277A">
        <w:rPr>
          <w:rFonts w:ascii="Arial" w:hAnsi="Arial" w:cs="Arial"/>
          <w:sz w:val="22"/>
          <w:szCs w:val="22"/>
          <w:lang w:val="fr-FR"/>
        </w:rPr>
        <w:t xml:space="preserve"> soumise par le Bureau de l’</w:t>
      </w:r>
      <w:r w:rsidR="00381346" w:rsidRPr="006B277A">
        <w:rPr>
          <w:rFonts w:ascii="Arial" w:hAnsi="Arial" w:cs="Arial"/>
          <w:sz w:val="22"/>
          <w:szCs w:val="22"/>
          <w:lang w:val="fr-FR"/>
        </w:rPr>
        <w:t>ONU-Environnement</w:t>
      </w:r>
      <w:r w:rsidRPr="006B277A">
        <w:rPr>
          <w:rFonts w:ascii="Arial" w:hAnsi="Arial" w:cs="Arial"/>
          <w:sz w:val="22"/>
          <w:szCs w:val="22"/>
          <w:lang w:val="fr-FR"/>
        </w:rPr>
        <w:t xml:space="preserve"> à Vienne visant à renforcer la capacité d’adaptation au changement climatique des espèces migratrices phares d’Asie centrale (comme l’argali, le léopard des neiges, l’antilope saïga, la gazelle à goitre) et les écosystèmes associés au changement climatique. La confirmation finale de l’acceptation de</w:t>
      </w:r>
      <w:r w:rsidR="00772A7E" w:rsidRPr="006B277A">
        <w:rPr>
          <w:rFonts w:ascii="Arial" w:hAnsi="Arial" w:cs="Arial"/>
          <w:sz w:val="22"/>
          <w:szCs w:val="22"/>
          <w:lang w:val="fr-FR"/>
        </w:rPr>
        <w:t>s</w:t>
      </w:r>
      <w:r w:rsidRPr="006B277A">
        <w:rPr>
          <w:rFonts w:ascii="Arial" w:hAnsi="Arial" w:cs="Arial"/>
          <w:sz w:val="22"/>
          <w:szCs w:val="22"/>
          <w:lang w:val="fr-FR"/>
        </w:rPr>
        <w:t xml:space="preserve"> deux projets devrait arriver très bientôt. Le budget alloué pour les activités de la CMS au titre du dernier projet se monte à 950.000 €.</w:t>
      </w:r>
    </w:p>
    <w:p w:rsidR="008B3956" w:rsidRPr="006B277A" w:rsidRDefault="008B3956" w:rsidP="006B277A">
      <w:pPr>
        <w:pStyle w:val="ListParagraph"/>
        <w:ind w:left="0"/>
        <w:contextualSpacing w:val="0"/>
        <w:rPr>
          <w:rFonts w:ascii="Arial" w:hAnsi="Arial" w:cs="Arial"/>
          <w:sz w:val="22"/>
          <w:szCs w:val="22"/>
          <w:highlight w:val="yellow"/>
          <w:lang w:val="fr-FR"/>
        </w:rPr>
      </w:pPr>
    </w:p>
    <w:p w:rsidR="008B3956" w:rsidRPr="006B277A" w:rsidRDefault="008B3956" w:rsidP="006B277A">
      <w:pPr>
        <w:rPr>
          <w:rFonts w:ascii="Arial" w:hAnsi="Arial" w:cs="Arial"/>
          <w:sz w:val="22"/>
          <w:szCs w:val="22"/>
          <w:u w:val="single"/>
          <w:lang w:val="en-GB"/>
        </w:rPr>
      </w:pPr>
      <w:r w:rsidRPr="006B277A">
        <w:rPr>
          <w:rFonts w:ascii="Arial" w:hAnsi="Arial" w:cs="Arial"/>
          <w:sz w:val="22"/>
          <w:szCs w:val="22"/>
          <w:u w:val="single"/>
          <w:lang w:val="en-GB"/>
        </w:rPr>
        <w:t>Besoins futurs</w:t>
      </w:r>
    </w:p>
    <w:p w:rsidR="008B3956" w:rsidRPr="006B277A" w:rsidRDefault="008B3956" w:rsidP="006B277A">
      <w:pPr>
        <w:pStyle w:val="ListParagraph"/>
        <w:ind w:left="0"/>
        <w:contextualSpacing w:val="0"/>
        <w:rPr>
          <w:rFonts w:ascii="Arial" w:hAnsi="Arial" w:cs="Arial"/>
          <w:sz w:val="22"/>
          <w:szCs w:val="22"/>
          <w:highlight w:val="yellow"/>
          <w:lang w:val="en-GB"/>
        </w:rPr>
      </w:pPr>
    </w:p>
    <w:p w:rsidR="008B3956" w:rsidRPr="006B277A" w:rsidRDefault="008B3956" w:rsidP="009C344B">
      <w:pPr>
        <w:pStyle w:val="ListParagraph"/>
        <w:numPr>
          <w:ilvl w:val="0"/>
          <w:numId w:val="2"/>
        </w:numPr>
        <w:autoSpaceDE/>
        <w:adjustRightInd/>
        <w:ind w:left="360" w:hanging="360"/>
        <w:contextualSpacing w:val="0"/>
        <w:jc w:val="both"/>
        <w:rPr>
          <w:rFonts w:ascii="Arial" w:hAnsi="Arial" w:cs="Arial"/>
          <w:sz w:val="22"/>
          <w:szCs w:val="22"/>
          <w:lang w:val="fr-FR"/>
        </w:rPr>
      </w:pPr>
      <w:r w:rsidRPr="006B277A">
        <w:rPr>
          <w:rFonts w:ascii="Arial" w:hAnsi="Arial" w:cs="Arial"/>
          <w:sz w:val="22"/>
          <w:szCs w:val="22"/>
          <w:lang w:val="fr-FR"/>
        </w:rPr>
        <w:t>Le Secrétariat a élaboré un programme de travail (voir le document UNEP/CMS/COP12/Doc.14.2) qui sera examin</w:t>
      </w:r>
      <w:r w:rsidR="00772A7E" w:rsidRPr="006B277A">
        <w:rPr>
          <w:rFonts w:ascii="Arial" w:hAnsi="Arial" w:cs="Arial"/>
          <w:sz w:val="22"/>
          <w:szCs w:val="22"/>
          <w:lang w:val="fr-FR"/>
        </w:rPr>
        <w:t>é</w:t>
      </w:r>
      <w:r w:rsidRPr="006B277A">
        <w:rPr>
          <w:rFonts w:ascii="Arial" w:hAnsi="Arial" w:cs="Arial"/>
          <w:sz w:val="22"/>
          <w:szCs w:val="22"/>
          <w:lang w:val="fr-FR"/>
        </w:rPr>
        <w:t xml:space="preserve"> par la COP12, qui estime les ressources, humaines et financières, nécessaires pour mener à bien les activités pendant la période 2018-2020. </w:t>
      </w:r>
      <w:r w:rsidR="00772A7E" w:rsidRPr="006B277A">
        <w:rPr>
          <w:rFonts w:ascii="Arial" w:hAnsi="Arial" w:cs="Arial"/>
          <w:sz w:val="22"/>
          <w:szCs w:val="22"/>
          <w:lang w:val="fr-FR"/>
        </w:rPr>
        <w:t>C</w:t>
      </w:r>
      <w:r w:rsidRPr="006B277A">
        <w:rPr>
          <w:rFonts w:ascii="Arial" w:hAnsi="Arial" w:cs="Arial"/>
          <w:sz w:val="22"/>
          <w:szCs w:val="22"/>
          <w:lang w:val="fr-FR"/>
        </w:rPr>
        <w:t>e programme de travail est basé sur les sommes allouées dans les trois scénarios de budget pour 2018-2020 et indique le niveau de ressources supplémentaires dont a besoin le Secrétariat pour remplir complètement son mandat futur. Le présent document constituera la base pour les efforts de mobilisation de ressources durant la prochaine période triennale.</w:t>
      </w:r>
    </w:p>
    <w:p w:rsidR="008B3956" w:rsidRPr="006B277A" w:rsidRDefault="008B3956" w:rsidP="009C344B">
      <w:pPr>
        <w:ind w:left="360" w:hanging="360"/>
        <w:jc w:val="both"/>
        <w:rPr>
          <w:rFonts w:ascii="Arial" w:hAnsi="Arial" w:cs="Arial"/>
          <w:i/>
          <w:sz w:val="22"/>
          <w:szCs w:val="22"/>
          <w:lang w:val="fr-FR"/>
        </w:rPr>
      </w:pPr>
    </w:p>
    <w:p w:rsidR="008B3956" w:rsidRPr="006B277A" w:rsidRDefault="008B3956" w:rsidP="006B277A">
      <w:pPr>
        <w:jc w:val="both"/>
        <w:rPr>
          <w:rFonts w:ascii="Arial" w:hAnsi="Arial" w:cs="Arial"/>
          <w:sz w:val="22"/>
          <w:szCs w:val="22"/>
          <w:lang w:val="fr-FR"/>
        </w:rPr>
      </w:pPr>
    </w:p>
    <w:p w:rsidR="008B3956" w:rsidRPr="006B277A" w:rsidRDefault="008B3956" w:rsidP="006B277A">
      <w:pPr>
        <w:rPr>
          <w:rFonts w:ascii="Arial" w:hAnsi="Arial" w:cs="Arial"/>
          <w:sz w:val="22"/>
          <w:szCs w:val="22"/>
          <w:lang w:val="fr-FR"/>
        </w:rPr>
      </w:pPr>
      <w:r w:rsidRPr="006B277A">
        <w:rPr>
          <w:rFonts w:ascii="Arial" w:hAnsi="Arial" w:cs="Arial"/>
          <w:sz w:val="22"/>
          <w:szCs w:val="22"/>
          <w:u w:val="single"/>
          <w:lang w:val="fr-FR"/>
        </w:rPr>
        <w:t>Actions recommandées</w:t>
      </w:r>
    </w:p>
    <w:p w:rsidR="008B3956" w:rsidRPr="006B277A" w:rsidRDefault="008B3956" w:rsidP="006B277A">
      <w:pPr>
        <w:rPr>
          <w:rFonts w:ascii="Arial" w:hAnsi="Arial" w:cs="Arial"/>
          <w:sz w:val="22"/>
          <w:szCs w:val="22"/>
          <w:lang w:val="fr-FR"/>
        </w:rPr>
      </w:pPr>
    </w:p>
    <w:p w:rsidR="0079075D" w:rsidRPr="006B277A" w:rsidRDefault="008B3956" w:rsidP="006B277A">
      <w:pPr>
        <w:widowControl/>
        <w:pBdr>
          <w:top w:val="single" w:sz="6" w:space="0" w:color="FFFFFF"/>
          <w:left w:val="single" w:sz="6" w:space="0" w:color="FFFFFF"/>
          <w:bottom w:val="single" w:sz="6" w:space="0" w:color="FFFFFF"/>
          <w:right w:val="single" w:sz="6" w:space="0" w:color="FFFFFF"/>
        </w:pBdr>
        <w:autoSpaceDE/>
        <w:adjustRightInd/>
        <w:outlineLvl w:val="1"/>
        <w:rPr>
          <w:rFonts w:ascii="Arial" w:hAnsi="Arial" w:cs="Arial"/>
          <w:sz w:val="22"/>
          <w:szCs w:val="22"/>
          <w:lang w:val="fr-FR"/>
        </w:rPr>
      </w:pPr>
      <w:r w:rsidRPr="006B277A">
        <w:rPr>
          <w:rFonts w:ascii="Arial" w:hAnsi="Arial" w:cs="Arial"/>
          <w:sz w:val="22"/>
          <w:szCs w:val="22"/>
          <w:lang w:val="fr-FR" w:eastAsia="en-GB"/>
        </w:rPr>
        <w:t>La Conférence des Parties est invitée à prendre note du présent document</w:t>
      </w:r>
      <w:r w:rsidRPr="006B277A">
        <w:rPr>
          <w:rFonts w:ascii="Arial" w:hAnsi="Arial" w:cs="Arial"/>
          <w:sz w:val="22"/>
          <w:szCs w:val="22"/>
          <w:lang w:val="fr-FR"/>
        </w:rPr>
        <w:t>.</w:t>
      </w:r>
    </w:p>
    <w:sectPr w:rsidR="0079075D" w:rsidRPr="006B277A" w:rsidSect="00F244D3">
      <w:headerReference w:type="even" r:id="rId17"/>
      <w:headerReference w:type="default" r:id="rId18"/>
      <w:headerReference w:type="first" r:id="rId19"/>
      <w:footerReference w:type="first" r:id="rId20"/>
      <w:endnotePr>
        <w:numFmt w:val="decimal"/>
      </w:endnotePr>
      <w:pgSz w:w="11905" w:h="16837" w:code="9"/>
      <w:pgMar w:top="1008" w:right="1411" w:bottom="1080"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E53" w:rsidRDefault="00546E53">
      <w:r>
        <w:separator/>
      </w:r>
    </w:p>
  </w:endnote>
  <w:endnote w:type="continuationSeparator" w:id="0">
    <w:p w:rsidR="00546E53" w:rsidRDefault="0054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56" w:rsidRPr="00922791" w:rsidRDefault="008B31A8" w:rsidP="00056DC1">
    <w:pPr>
      <w:pStyle w:val="Footer"/>
      <w:ind w:right="-367"/>
      <w:jc w:val="center"/>
      <w:rPr>
        <w:rFonts w:cs="Arial"/>
        <w:szCs w:val="18"/>
      </w:rPr>
    </w:pPr>
    <w:r w:rsidRPr="00922791">
      <w:rPr>
        <w:rFonts w:cs="Arial"/>
        <w:szCs w:val="18"/>
      </w:rPr>
      <w:fldChar w:fldCharType="begin"/>
    </w:r>
    <w:r w:rsidR="008B3956" w:rsidRPr="00922791">
      <w:rPr>
        <w:rFonts w:cs="Arial"/>
        <w:szCs w:val="18"/>
      </w:rPr>
      <w:instrText xml:space="preserve"> PAGE   \* MERGEFORMAT </w:instrText>
    </w:r>
    <w:r w:rsidRPr="00922791">
      <w:rPr>
        <w:rFonts w:cs="Arial"/>
        <w:szCs w:val="18"/>
      </w:rPr>
      <w:fldChar w:fldCharType="separate"/>
    </w:r>
    <w:r w:rsidR="003772B2">
      <w:rPr>
        <w:rFonts w:cs="Arial"/>
        <w:noProof/>
        <w:szCs w:val="18"/>
      </w:rPr>
      <w:t>6</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56" w:rsidRPr="00F12E7B" w:rsidRDefault="008B31A8" w:rsidP="00056DC1">
    <w:pPr>
      <w:pStyle w:val="Footer"/>
      <w:ind w:right="-367"/>
      <w:jc w:val="center"/>
      <w:rPr>
        <w:rFonts w:cs="Arial"/>
        <w:szCs w:val="18"/>
      </w:rPr>
    </w:pPr>
    <w:r w:rsidRPr="00F12E7B">
      <w:rPr>
        <w:rFonts w:cs="Arial"/>
        <w:szCs w:val="18"/>
      </w:rPr>
      <w:fldChar w:fldCharType="begin"/>
    </w:r>
    <w:r w:rsidR="008B3956" w:rsidRPr="00F12E7B">
      <w:rPr>
        <w:rFonts w:cs="Arial"/>
        <w:szCs w:val="18"/>
      </w:rPr>
      <w:instrText xml:space="preserve"> PAGE   \* MERGEFORMAT </w:instrText>
    </w:r>
    <w:r w:rsidRPr="00F12E7B">
      <w:rPr>
        <w:rFonts w:cs="Arial"/>
        <w:szCs w:val="18"/>
      </w:rPr>
      <w:fldChar w:fldCharType="separate"/>
    </w:r>
    <w:r w:rsidR="003772B2">
      <w:rPr>
        <w:rFonts w:cs="Arial"/>
        <w:noProof/>
        <w:szCs w:val="18"/>
      </w:rPr>
      <w:t>5</w:t>
    </w:r>
    <w:r w:rsidRPr="00F12E7B">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56" w:rsidRPr="00CD7355" w:rsidRDefault="008B3956"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8B31A8">
    <w:pPr>
      <w:pStyle w:val="Footer"/>
      <w:jc w:val="center"/>
      <w:rPr>
        <w:rFonts w:ascii="Arial" w:hAnsi="Arial" w:cs="Arial"/>
        <w:sz w:val="18"/>
        <w:szCs w:val="18"/>
      </w:rPr>
    </w:pPr>
    <w:r w:rsidRPr="00D605A4">
      <w:rPr>
        <w:rFonts w:ascii="Arial" w:hAnsi="Arial" w:cs="Arial"/>
        <w:sz w:val="18"/>
        <w:szCs w:val="18"/>
      </w:rPr>
      <w:fldChar w:fldCharType="begin"/>
    </w:r>
    <w:r w:rsidR="00D605A4"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3772B2">
      <w:rPr>
        <w:rFonts w:ascii="Arial" w:hAnsi="Arial" w:cs="Arial"/>
        <w:noProof/>
        <w:sz w:val="18"/>
        <w:szCs w:val="18"/>
      </w:rPr>
      <w:t>2</w:t>
    </w:r>
    <w:r w:rsidRPr="00D605A4">
      <w:rPr>
        <w:rFonts w:ascii="Arial" w:hAnsi="Arial" w:cs="Arial"/>
        <w:noProof/>
        <w:sz w:val="18"/>
        <w:szCs w:val="18"/>
      </w:rPr>
      <w:fldChar w:fldCharType="end"/>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E53" w:rsidRDefault="00546E53">
      <w:r>
        <w:separator/>
      </w:r>
    </w:p>
  </w:footnote>
  <w:footnote w:type="continuationSeparator" w:id="0">
    <w:p w:rsidR="00546E53" w:rsidRDefault="00546E53">
      <w:r>
        <w:continuationSeparator/>
      </w:r>
    </w:p>
  </w:footnote>
  <w:footnote w:id="1">
    <w:p w:rsidR="008B3956" w:rsidRPr="00897C92" w:rsidRDefault="008B3956" w:rsidP="008B3956">
      <w:pPr>
        <w:pStyle w:val="FootnoteText"/>
        <w:rPr>
          <w:rFonts w:ascii="Arial" w:hAnsi="Arial" w:cs="Arial"/>
          <w:sz w:val="18"/>
          <w:szCs w:val="18"/>
          <w:lang w:val="fr-FR"/>
        </w:rPr>
      </w:pPr>
      <w:r w:rsidRPr="00897C92">
        <w:rPr>
          <w:rStyle w:val="FootnoteReference"/>
          <w:rFonts w:ascii="Arial" w:hAnsi="Arial" w:cs="Arial"/>
          <w:sz w:val="18"/>
          <w:szCs w:val="18"/>
        </w:rPr>
        <w:footnoteRef/>
      </w:r>
      <w:r w:rsidR="00CF6401" w:rsidRPr="00897C92">
        <w:rPr>
          <w:rFonts w:ascii="Arial" w:hAnsi="Arial" w:cs="Arial"/>
          <w:sz w:val="18"/>
          <w:szCs w:val="18"/>
          <w:lang w:val="fr-FR"/>
        </w:rPr>
        <w:t xml:space="preserve"> </w:t>
      </w:r>
      <w:r w:rsidRPr="00897C92">
        <w:rPr>
          <w:rFonts w:ascii="Arial" w:hAnsi="Arial" w:cs="Arial"/>
          <w:sz w:val="18"/>
          <w:szCs w:val="18"/>
          <w:lang w:val="fr-FR"/>
        </w:rPr>
        <w:t>C</w:t>
      </w:r>
      <w:r w:rsidR="00CF6401" w:rsidRPr="00897C92">
        <w:rPr>
          <w:rFonts w:ascii="Arial" w:hAnsi="Arial" w:cs="Arial"/>
          <w:sz w:val="18"/>
          <w:szCs w:val="18"/>
          <w:lang w:val="fr-FR"/>
        </w:rPr>
        <w:t>E</w:t>
      </w:r>
      <w:r w:rsidRPr="00897C92">
        <w:rPr>
          <w:rFonts w:ascii="Arial" w:hAnsi="Arial" w:cs="Arial"/>
          <w:sz w:val="18"/>
          <w:szCs w:val="18"/>
          <w:lang w:val="fr-FR"/>
        </w:rPr>
        <w:t>: Commission européenne</w:t>
      </w:r>
    </w:p>
  </w:footnote>
  <w:footnote w:id="2">
    <w:p w:rsidR="008B3956" w:rsidRPr="00897C92" w:rsidRDefault="008B3956" w:rsidP="008B3956">
      <w:pPr>
        <w:pStyle w:val="FootnoteText"/>
        <w:rPr>
          <w:rFonts w:ascii="Arial" w:hAnsi="Arial" w:cs="Arial"/>
          <w:sz w:val="18"/>
          <w:szCs w:val="18"/>
          <w:lang w:val="fr-FR"/>
        </w:rPr>
      </w:pPr>
      <w:r w:rsidRPr="00897C92">
        <w:rPr>
          <w:rStyle w:val="FootnoteReference"/>
          <w:rFonts w:ascii="Arial" w:hAnsi="Arial" w:cs="Arial"/>
          <w:sz w:val="18"/>
          <w:szCs w:val="18"/>
        </w:rPr>
        <w:footnoteRef/>
      </w:r>
      <w:r w:rsidRPr="00897C92">
        <w:rPr>
          <w:rFonts w:ascii="Arial" w:hAnsi="Arial" w:cs="Arial"/>
          <w:sz w:val="18"/>
          <w:szCs w:val="18"/>
          <w:lang w:val="fr-FR"/>
        </w:rPr>
        <w:t xml:space="preserve"> IKI: </w:t>
      </w:r>
      <w:r w:rsidR="00CF6401" w:rsidRPr="00897C92">
        <w:rPr>
          <w:rFonts w:ascii="Arial" w:hAnsi="Arial" w:cs="Arial"/>
          <w:sz w:val="18"/>
          <w:szCs w:val="18"/>
          <w:lang w:val="fr-FR"/>
        </w:rPr>
        <w:t>Initiative</w:t>
      </w:r>
      <w:r w:rsidRPr="00897C92">
        <w:rPr>
          <w:rFonts w:ascii="Arial" w:hAnsi="Arial" w:cs="Arial"/>
          <w:sz w:val="18"/>
          <w:szCs w:val="18"/>
          <w:lang w:val="fr-FR"/>
        </w:rPr>
        <w:t xml:space="preserve"> </w:t>
      </w:r>
      <w:r w:rsidR="00CF6401" w:rsidRPr="00897C92">
        <w:rPr>
          <w:rFonts w:ascii="Arial" w:hAnsi="Arial" w:cs="Arial"/>
          <w:sz w:val="18"/>
          <w:szCs w:val="18"/>
          <w:lang w:val="fr-FR"/>
        </w:rPr>
        <w:t>internationale</w:t>
      </w:r>
      <w:r w:rsidRPr="00897C92">
        <w:rPr>
          <w:rFonts w:ascii="Arial" w:hAnsi="Arial" w:cs="Arial"/>
          <w:sz w:val="18"/>
          <w:szCs w:val="18"/>
          <w:lang w:val="fr-FR"/>
        </w:rPr>
        <w:t xml:space="preserve"> sur le </w:t>
      </w:r>
      <w:r w:rsidR="00CF6401" w:rsidRPr="00897C92">
        <w:rPr>
          <w:rFonts w:ascii="Arial" w:hAnsi="Arial" w:cs="Arial"/>
          <w:sz w:val="18"/>
          <w:szCs w:val="18"/>
          <w:lang w:val="fr-FR"/>
        </w:rPr>
        <w:t>climat</w:t>
      </w:r>
      <w:r w:rsidRPr="00897C92">
        <w:rPr>
          <w:rFonts w:ascii="Arial" w:hAnsi="Arial" w:cs="Arial"/>
          <w:sz w:val="18"/>
          <w:szCs w:val="18"/>
          <w:lang w:val="fr-FR"/>
        </w:rPr>
        <w:t xml:space="preserve"> </w:t>
      </w:r>
    </w:p>
  </w:footnote>
  <w:footnote w:id="3">
    <w:p w:rsidR="008B3956" w:rsidRPr="00897C92" w:rsidRDefault="008B3956" w:rsidP="008B3956">
      <w:pPr>
        <w:pStyle w:val="FootnoteText"/>
        <w:rPr>
          <w:rFonts w:ascii="Arial" w:hAnsi="Arial" w:cs="Arial"/>
          <w:sz w:val="18"/>
          <w:szCs w:val="18"/>
          <w:lang w:val="fr-FR"/>
        </w:rPr>
      </w:pPr>
      <w:r w:rsidRPr="00897C92">
        <w:rPr>
          <w:rStyle w:val="FootnoteReference"/>
          <w:rFonts w:ascii="Arial" w:hAnsi="Arial" w:cs="Arial"/>
          <w:sz w:val="18"/>
          <w:szCs w:val="18"/>
        </w:rPr>
        <w:footnoteRef/>
      </w:r>
      <w:r w:rsidRPr="00897C92">
        <w:rPr>
          <w:rFonts w:ascii="Arial" w:hAnsi="Arial" w:cs="Arial"/>
          <w:sz w:val="18"/>
          <w:szCs w:val="18"/>
          <w:lang w:val="fr-FR"/>
        </w:rPr>
        <w:t xml:space="preserve"> </w:t>
      </w:r>
      <w:r w:rsidR="00CF6401" w:rsidRPr="00897C92">
        <w:rPr>
          <w:rFonts w:ascii="Arial" w:hAnsi="Arial" w:cs="Arial"/>
          <w:sz w:val="18"/>
          <w:szCs w:val="18"/>
          <w:lang w:val="fr-FR"/>
        </w:rPr>
        <w:t>SMT</w:t>
      </w:r>
      <w:r w:rsidRPr="00897C92">
        <w:rPr>
          <w:rFonts w:ascii="Arial" w:hAnsi="Arial" w:cs="Arial"/>
          <w:sz w:val="18"/>
          <w:szCs w:val="18"/>
          <w:lang w:val="fr-FR"/>
        </w:rPr>
        <w:t xml:space="preserve"> et P</w:t>
      </w:r>
      <w:r w:rsidR="00CF6401" w:rsidRPr="00897C92">
        <w:rPr>
          <w:rFonts w:ascii="Arial" w:hAnsi="Arial" w:cs="Arial"/>
          <w:sz w:val="18"/>
          <w:szCs w:val="18"/>
          <w:lang w:val="fr-FR"/>
        </w:rPr>
        <w:t>dT</w:t>
      </w:r>
      <w:r w:rsidRPr="00897C92">
        <w:rPr>
          <w:rFonts w:ascii="Arial" w:hAnsi="Arial" w:cs="Arial"/>
          <w:sz w:val="18"/>
          <w:szCs w:val="18"/>
          <w:lang w:val="fr-FR"/>
        </w:rPr>
        <w:t xml:space="preserve"> - Stratégie à moyen terme et Programme de travail</w:t>
      </w:r>
    </w:p>
  </w:footnote>
  <w:footnote w:id="4">
    <w:p w:rsidR="008B3956" w:rsidRPr="00897C92" w:rsidRDefault="008B3956" w:rsidP="008B3956">
      <w:pPr>
        <w:pStyle w:val="FootnoteText"/>
        <w:rPr>
          <w:rFonts w:ascii="Arial" w:hAnsi="Arial" w:cs="Arial"/>
          <w:sz w:val="18"/>
          <w:szCs w:val="18"/>
        </w:rPr>
      </w:pPr>
      <w:r w:rsidRPr="00897C92">
        <w:rPr>
          <w:rFonts w:ascii="Arial" w:hAnsi="Arial" w:cs="Arial"/>
          <w:sz w:val="18"/>
          <w:szCs w:val="18"/>
        </w:rPr>
        <w:footnoteRef/>
      </w:r>
      <w:r w:rsidR="00CF6401" w:rsidRPr="00897C92">
        <w:rPr>
          <w:rFonts w:ascii="Arial" w:hAnsi="Arial" w:cs="Arial"/>
          <w:sz w:val="18"/>
          <w:szCs w:val="18"/>
        </w:rPr>
        <w:t xml:space="preserve"> FEM: Fonds pour l’</w:t>
      </w:r>
      <w:r w:rsidRPr="00897C92">
        <w:rPr>
          <w:rFonts w:ascii="Arial" w:hAnsi="Arial" w:cs="Arial"/>
          <w:sz w:val="18"/>
          <w:szCs w:val="18"/>
        </w:rPr>
        <w:t>environnement mondial</w:t>
      </w:r>
    </w:p>
  </w:footnote>
  <w:footnote w:id="5">
    <w:p w:rsidR="008B3956" w:rsidRPr="00897C92" w:rsidRDefault="008B3956" w:rsidP="008B3956">
      <w:pPr>
        <w:pStyle w:val="FootnoteText"/>
        <w:rPr>
          <w:rFonts w:ascii="Arial" w:hAnsi="Arial" w:cs="Arial"/>
          <w:sz w:val="18"/>
          <w:szCs w:val="18"/>
        </w:rPr>
      </w:pPr>
      <w:r w:rsidRPr="00897C92">
        <w:rPr>
          <w:rStyle w:val="FootnoteReference"/>
          <w:rFonts w:ascii="Arial" w:hAnsi="Arial" w:cs="Arial"/>
          <w:sz w:val="18"/>
          <w:szCs w:val="18"/>
        </w:rPr>
        <w:footnoteRef/>
      </w:r>
      <w:r w:rsidRPr="00897C92">
        <w:rPr>
          <w:rFonts w:ascii="Arial" w:hAnsi="Arial" w:cs="Arial"/>
          <w:sz w:val="18"/>
          <w:szCs w:val="18"/>
        </w:rPr>
        <w:t xml:space="preserve"> USFWS: Unites States Fish and Wildlife Service</w:t>
      </w:r>
    </w:p>
  </w:footnote>
  <w:footnote w:id="6">
    <w:p w:rsidR="008B3956" w:rsidRPr="00486911" w:rsidRDefault="008B3956" w:rsidP="008B3956">
      <w:pPr>
        <w:pStyle w:val="FootnoteText"/>
        <w:rPr>
          <w:rFonts w:ascii="Arial" w:hAnsi="Arial" w:cs="Arial"/>
          <w:sz w:val="18"/>
          <w:szCs w:val="18"/>
        </w:rPr>
      </w:pPr>
      <w:r w:rsidRPr="00897C92">
        <w:rPr>
          <w:rStyle w:val="FootnoteReference"/>
          <w:rFonts w:ascii="Arial" w:hAnsi="Arial" w:cs="Arial"/>
          <w:sz w:val="18"/>
          <w:szCs w:val="18"/>
        </w:rPr>
        <w:footnoteRef/>
      </w:r>
      <w:r w:rsidRPr="00486911">
        <w:rPr>
          <w:rFonts w:ascii="Arial" w:hAnsi="Arial" w:cs="Arial"/>
          <w:sz w:val="18"/>
          <w:szCs w:val="18"/>
        </w:rPr>
        <w:t xml:space="preserve"> SOS: Save our Species</w:t>
      </w:r>
    </w:p>
  </w:footnote>
  <w:footnote w:id="7">
    <w:p w:rsidR="008B3956" w:rsidRPr="00897C92" w:rsidRDefault="008B3956" w:rsidP="00897C92">
      <w:pPr>
        <w:pStyle w:val="FootnoteText"/>
        <w:jc w:val="both"/>
        <w:rPr>
          <w:rFonts w:ascii="Arial" w:hAnsi="Arial" w:cs="Arial"/>
          <w:lang w:val="fr-FR"/>
        </w:rPr>
      </w:pPr>
      <w:r w:rsidRPr="00897C92">
        <w:rPr>
          <w:rStyle w:val="FootnoteReference"/>
          <w:rFonts w:ascii="Arial" w:hAnsi="Arial" w:cs="Arial"/>
        </w:rPr>
        <w:footnoteRef/>
      </w:r>
      <w:r w:rsidRPr="00897C92">
        <w:rPr>
          <w:rFonts w:ascii="Arial" w:hAnsi="Arial" w:cs="Arial"/>
          <w:lang w:val="fr-FR"/>
        </w:rPr>
        <w:t xml:space="preserve"> Le Ministère fédéral allemand de l’environnement, de la </w:t>
      </w:r>
      <w:r w:rsidR="00755313" w:rsidRPr="00897C92">
        <w:rPr>
          <w:rFonts w:ascii="Arial" w:hAnsi="Arial" w:cs="Arial"/>
          <w:lang w:val="fr-FR"/>
        </w:rPr>
        <w:t>protection</w:t>
      </w:r>
      <w:r w:rsidRPr="00897C92">
        <w:rPr>
          <w:rFonts w:ascii="Arial" w:hAnsi="Arial" w:cs="Arial"/>
          <w:lang w:val="fr-FR"/>
        </w:rPr>
        <w:t xml:space="preserve"> de la nature, de la construction et de la sécurité nucléaire (BMUB) et l’Académie internationale pour la conservation de la nature de l’</w:t>
      </w:r>
      <w:r w:rsidR="00755313" w:rsidRPr="00897C92">
        <w:rPr>
          <w:rFonts w:ascii="Arial" w:hAnsi="Arial" w:cs="Arial"/>
          <w:lang w:val="fr-FR"/>
        </w:rPr>
        <w:t>Office</w:t>
      </w:r>
      <w:r w:rsidRPr="00897C92">
        <w:rPr>
          <w:rFonts w:ascii="Arial" w:hAnsi="Arial" w:cs="Arial"/>
          <w:lang w:val="fr-FR"/>
        </w:rPr>
        <w:t xml:space="preserve"> fédéral allemand</w:t>
      </w:r>
      <w:r w:rsidR="00755313" w:rsidRPr="00897C92">
        <w:rPr>
          <w:rFonts w:ascii="Arial" w:hAnsi="Arial" w:cs="Arial"/>
          <w:lang w:val="fr-FR"/>
        </w:rPr>
        <w:t xml:space="preserve"> de protection de la</w:t>
      </w:r>
      <w:r w:rsidRPr="00897C92">
        <w:rPr>
          <w:rFonts w:ascii="Arial" w:hAnsi="Arial" w:cs="Arial"/>
          <w:lang w:val="fr-FR"/>
        </w:rPr>
        <w:t xml:space="preserve"> nature (BfN)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56" w:rsidRPr="00497E66" w:rsidRDefault="008B3956" w:rsidP="00F12E7B">
    <w:pPr>
      <w:pStyle w:val="Heading1"/>
      <w:keepNext w:val="0"/>
      <w:pBdr>
        <w:bottom w:val="single" w:sz="4" w:space="1" w:color="auto"/>
      </w:pBdr>
      <w:tabs>
        <w:tab w:val="clear" w:pos="-720"/>
      </w:tabs>
      <w:ind w:left="261" w:right="11"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14.3</w:t>
    </w:r>
  </w:p>
  <w:p w:rsidR="008B3956" w:rsidRPr="00497E66" w:rsidRDefault="008B3956" w:rsidP="00A27BE3">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56" w:rsidRDefault="006B277A" w:rsidP="00894D19">
    <w:pPr>
      <w:pStyle w:val="Header"/>
    </w:pPr>
    <w:r>
      <w:rPr>
        <w:noProof/>
        <w:lang w:val="en-US"/>
      </w:rPr>
      <w:drawing>
        <wp:anchor distT="0" distB="0" distL="114300" distR="114300" simplePos="0" relativeHeight="251662848" behindDoc="1" locked="0" layoutInCell="1" allowOverlap="1" wp14:anchorId="691B31C7" wp14:editId="53519202">
          <wp:simplePos x="0" y="0"/>
          <wp:positionH relativeFrom="column">
            <wp:posOffset>-193040</wp:posOffset>
          </wp:positionH>
          <wp:positionV relativeFrom="paragraph">
            <wp:posOffset>-76200</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956">
      <w:rPr>
        <w:noProof/>
        <w:lang w:val="en-US"/>
      </w:rPr>
      <w:drawing>
        <wp:anchor distT="0" distB="0" distL="114300" distR="114300" simplePos="0" relativeHeight="251656704" behindDoc="1" locked="0" layoutInCell="1" allowOverlap="1">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anchor>
      </w:drawing>
    </w:r>
  </w:p>
  <w:p w:rsidR="008B3956" w:rsidRDefault="008B3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92" w:rsidRPr="00D605A4" w:rsidRDefault="00897C92" w:rsidP="00897C92">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14.3</w:t>
    </w:r>
  </w:p>
  <w:p w:rsidR="00897C92" w:rsidRPr="00897C92" w:rsidRDefault="00897C92" w:rsidP="00897C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92" w:rsidRPr="00D605A4" w:rsidRDefault="00897C92" w:rsidP="00897C92">
    <w:pPr>
      <w:pStyle w:val="Header"/>
      <w:pBdr>
        <w:bottom w:val="single" w:sz="4" w:space="1" w:color="auto"/>
      </w:pBdr>
      <w:jc w:val="right"/>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14.3</w:t>
    </w:r>
  </w:p>
  <w:p w:rsidR="00897C92" w:rsidRPr="00497E66" w:rsidRDefault="00897C92" w:rsidP="00A27BE3">
    <w:pPr>
      <w:jc w:val="right"/>
      <w:rPr>
        <w:i/>
        <w:szCs w:val="20"/>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D605A4" w:rsidP="00D605A4">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sidR="006B277A">
      <w:rPr>
        <w:rFonts w:ascii="Arial" w:hAnsi="Arial" w:cs="Arial"/>
        <w:i/>
        <w:sz w:val="18"/>
        <w:szCs w:val="18"/>
        <w:lang w:val="de-DE"/>
      </w:rPr>
      <w:t>14.3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4D190994"/>
    <w:multiLevelType w:val="hybridMultilevel"/>
    <w:tmpl w:val="194853E4"/>
    <w:lvl w:ilvl="0" w:tplc="151E79B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C3F4230"/>
    <w:multiLevelType w:val="hybridMultilevel"/>
    <w:tmpl w:val="BA282EB6"/>
    <w:lvl w:ilvl="0" w:tplc="A0ECFF5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518C2"/>
    <w:rsid w:val="00056DC1"/>
    <w:rsid w:val="00060156"/>
    <w:rsid w:val="000662EF"/>
    <w:rsid w:val="00070BBC"/>
    <w:rsid w:val="00073C92"/>
    <w:rsid w:val="00080F03"/>
    <w:rsid w:val="000900E1"/>
    <w:rsid w:val="0009076A"/>
    <w:rsid w:val="000A5B40"/>
    <w:rsid w:val="000B6220"/>
    <w:rsid w:val="000B6EE6"/>
    <w:rsid w:val="000C21B1"/>
    <w:rsid w:val="000C3C87"/>
    <w:rsid w:val="000C7460"/>
    <w:rsid w:val="000E01C1"/>
    <w:rsid w:val="000F1156"/>
    <w:rsid w:val="000F52BA"/>
    <w:rsid w:val="001151A3"/>
    <w:rsid w:val="0012294F"/>
    <w:rsid w:val="001245DF"/>
    <w:rsid w:val="001261A6"/>
    <w:rsid w:val="00130BFD"/>
    <w:rsid w:val="001419C7"/>
    <w:rsid w:val="00150AC4"/>
    <w:rsid w:val="00162D88"/>
    <w:rsid w:val="00166ABA"/>
    <w:rsid w:val="001743FD"/>
    <w:rsid w:val="001764E6"/>
    <w:rsid w:val="001808F1"/>
    <w:rsid w:val="001A1788"/>
    <w:rsid w:val="001A33B6"/>
    <w:rsid w:val="001C6038"/>
    <w:rsid w:val="001D3898"/>
    <w:rsid w:val="001F60A1"/>
    <w:rsid w:val="00200A67"/>
    <w:rsid w:val="00201F88"/>
    <w:rsid w:val="00202332"/>
    <w:rsid w:val="002210F4"/>
    <w:rsid w:val="00234857"/>
    <w:rsid w:val="00254721"/>
    <w:rsid w:val="00260772"/>
    <w:rsid w:val="00263159"/>
    <w:rsid w:val="002779F7"/>
    <w:rsid w:val="002A33AF"/>
    <w:rsid w:val="002C187A"/>
    <w:rsid w:val="002C20F1"/>
    <w:rsid w:val="002D2863"/>
    <w:rsid w:val="002D5EC0"/>
    <w:rsid w:val="002E3DEA"/>
    <w:rsid w:val="002E7CC2"/>
    <w:rsid w:val="002F6F9B"/>
    <w:rsid w:val="00320B4E"/>
    <w:rsid w:val="003331C6"/>
    <w:rsid w:val="00345044"/>
    <w:rsid w:val="00351095"/>
    <w:rsid w:val="00354A9C"/>
    <w:rsid w:val="00364973"/>
    <w:rsid w:val="00372347"/>
    <w:rsid w:val="003772B2"/>
    <w:rsid w:val="003779D4"/>
    <w:rsid w:val="00381346"/>
    <w:rsid w:val="00382398"/>
    <w:rsid w:val="003909E4"/>
    <w:rsid w:val="003A0D8F"/>
    <w:rsid w:val="003A3E30"/>
    <w:rsid w:val="003A70FE"/>
    <w:rsid w:val="003B0C35"/>
    <w:rsid w:val="003B219E"/>
    <w:rsid w:val="003E21B3"/>
    <w:rsid w:val="00411E65"/>
    <w:rsid w:val="00420040"/>
    <w:rsid w:val="00423388"/>
    <w:rsid w:val="00426D73"/>
    <w:rsid w:val="0043185C"/>
    <w:rsid w:val="00436CD2"/>
    <w:rsid w:val="00454913"/>
    <w:rsid w:val="00457441"/>
    <w:rsid w:val="004579F6"/>
    <w:rsid w:val="004656D0"/>
    <w:rsid w:val="00473ABD"/>
    <w:rsid w:val="00482DCA"/>
    <w:rsid w:val="00486911"/>
    <w:rsid w:val="004950CD"/>
    <w:rsid w:val="004B6CFD"/>
    <w:rsid w:val="004C204D"/>
    <w:rsid w:val="004D0436"/>
    <w:rsid w:val="004D0936"/>
    <w:rsid w:val="004F243D"/>
    <w:rsid w:val="004F3D8D"/>
    <w:rsid w:val="005076F1"/>
    <w:rsid w:val="00512B91"/>
    <w:rsid w:val="005158EB"/>
    <w:rsid w:val="0052082F"/>
    <w:rsid w:val="00542FCC"/>
    <w:rsid w:val="00546E53"/>
    <w:rsid w:val="00553795"/>
    <w:rsid w:val="00553DB1"/>
    <w:rsid w:val="0055762E"/>
    <w:rsid w:val="00565445"/>
    <w:rsid w:val="00575334"/>
    <w:rsid w:val="00593736"/>
    <w:rsid w:val="005B0F06"/>
    <w:rsid w:val="005B6141"/>
    <w:rsid w:val="005C3F15"/>
    <w:rsid w:val="005F3989"/>
    <w:rsid w:val="005F4303"/>
    <w:rsid w:val="00601B52"/>
    <w:rsid w:val="0060280B"/>
    <w:rsid w:val="00604422"/>
    <w:rsid w:val="00625DBB"/>
    <w:rsid w:val="00644060"/>
    <w:rsid w:val="00651341"/>
    <w:rsid w:val="00667726"/>
    <w:rsid w:val="006815B2"/>
    <w:rsid w:val="00682B31"/>
    <w:rsid w:val="006864E1"/>
    <w:rsid w:val="006B1037"/>
    <w:rsid w:val="006B277A"/>
    <w:rsid w:val="006E56AD"/>
    <w:rsid w:val="006E5763"/>
    <w:rsid w:val="006F6A33"/>
    <w:rsid w:val="007101BB"/>
    <w:rsid w:val="00713308"/>
    <w:rsid w:val="00727E01"/>
    <w:rsid w:val="00755313"/>
    <w:rsid w:val="00757614"/>
    <w:rsid w:val="007728B4"/>
    <w:rsid w:val="00772A7E"/>
    <w:rsid w:val="0077622E"/>
    <w:rsid w:val="00777913"/>
    <w:rsid w:val="00777FE4"/>
    <w:rsid w:val="0079075D"/>
    <w:rsid w:val="007C1468"/>
    <w:rsid w:val="007C41D7"/>
    <w:rsid w:val="007E5032"/>
    <w:rsid w:val="007F16FB"/>
    <w:rsid w:val="007F1BBA"/>
    <w:rsid w:val="0081600F"/>
    <w:rsid w:val="0082722D"/>
    <w:rsid w:val="008274F7"/>
    <w:rsid w:val="008441F9"/>
    <w:rsid w:val="00846A99"/>
    <w:rsid w:val="008641D1"/>
    <w:rsid w:val="00872F67"/>
    <w:rsid w:val="00875512"/>
    <w:rsid w:val="00884DF7"/>
    <w:rsid w:val="00893346"/>
    <w:rsid w:val="00897C92"/>
    <w:rsid w:val="008A0D8D"/>
    <w:rsid w:val="008B1A69"/>
    <w:rsid w:val="008B31A8"/>
    <w:rsid w:val="008B3956"/>
    <w:rsid w:val="008C1A39"/>
    <w:rsid w:val="008E7DFB"/>
    <w:rsid w:val="008F7327"/>
    <w:rsid w:val="009076C8"/>
    <w:rsid w:val="00915BBE"/>
    <w:rsid w:val="00921D62"/>
    <w:rsid w:val="00922791"/>
    <w:rsid w:val="00927CD6"/>
    <w:rsid w:val="00933572"/>
    <w:rsid w:val="009363C7"/>
    <w:rsid w:val="00945FFB"/>
    <w:rsid w:val="00962637"/>
    <w:rsid w:val="00971F31"/>
    <w:rsid w:val="00972D36"/>
    <w:rsid w:val="00980406"/>
    <w:rsid w:val="009A2C8F"/>
    <w:rsid w:val="009A4CD2"/>
    <w:rsid w:val="009A7B65"/>
    <w:rsid w:val="009C344B"/>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3C52"/>
    <w:rsid w:val="00AA7368"/>
    <w:rsid w:val="00AA7A90"/>
    <w:rsid w:val="00AB4FF9"/>
    <w:rsid w:val="00AD09F1"/>
    <w:rsid w:val="00AE245A"/>
    <w:rsid w:val="00AE7B21"/>
    <w:rsid w:val="00AF1980"/>
    <w:rsid w:val="00AF2021"/>
    <w:rsid w:val="00AF75AE"/>
    <w:rsid w:val="00B06C8C"/>
    <w:rsid w:val="00B471BD"/>
    <w:rsid w:val="00B50C2D"/>
    <w:rsid w:val="00B64904"/>
    <w:rsid w:val="00BA60C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281B"/>
    <w:rsid w:val="00CA367A"/>
    <w:rsid w:val="00CB1D26"/>
    <w:rsid w:val="00CC4C21"/>
    <w:rsid w:val="00CC57AD"/>
    <w:rsid w:val="00CE5B83"/>
    <w:rsid w:val="00CF5A60"/>
    <w:rsid w:val="00CF6401"/>
    <w:rsid w:val="00CF6EDD"/>
    <w:rsid w:val="00D05922"/>
    <w:rsid w:val="00D42AE1"/>
    <w:rsid w:val="00D50B39"/>
    <w:rsid w:val="00D605A4"/>
    <w:rsid w:val="00D61B13"/>
    <w:rsid w:val="00D7746A"/>
    <w:rsid w:val="00D838FE"/>
    <w:rsid w:val="00D8406F"/>
    <w:rsid w:val="00D859C7"/>
    <w:rsid w:val="00D9021F"/>
    <w:rsid w:val="00D94B8E"/>
    <w:rsid w:val="00DA1080"/>
    <w:rsid w:val="00DA12C2"/>
    <w:rsid w:val="00DB30A6"/>
    <w:rsid w:val="00DD6A9E"/>
    <w:rsid w:val="00E23367"/>
    <w:rsid w:val="00E30B00"/>
    <w:rsid w:val="00E31B92"/>
    <w:rsid w:val="00E475D4"/>
    <w:rsid w:val="00E74D1C"/>
    <w:rsid w:val="00E8213F"/>
    <w:rsid w:val="00E8776E"/>
    <w:rsid w:val="00E9237A"/>
    <w:rsid w:val="00EA0B88"/>
    <w:rsid w:val="00EB2285"/>
    <w:rsid w:val="00EC4294"/>
    <w:rsid w:val="00EC681E"/>
    <w:rsid w:val="00ED02D3"/>
    <w:rsid w:val="00ED5E31"/>
    <w:rsid w:val="00EE64C1"/>
    <w:rsid w:val="00F05AA0"/>
    <w:rsid w:val="00F061CB"/>
    <w:rsid w:val="00F24050"/>
    <w:rsid w:val="00F244D3"/>
    <w:rsid w:val="00F248AA"/>
    <w:rsid w:val="00F31539"/>
    <w:rsid w:val="00F444EC"/>
    <w:rsid w:val="00F45FE3"/>
    <w:rsid w:val="00F54D03"/>
    <w:rsid w:val="00F6347A"/>
    <w:rsid w:val="00F7503A"/>
    <w:rsid w:val="00F81FEF"/>
    <w:rsid w:val="00F87AF6"/>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5:docId w15:val="{8FB3CED9-9844-44A7-8AF7-2E04C656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character" w:customStyle="1" w:styleId="st">
    <w:name w:val="st"/>
    <w:rsid w:val="008B3956"/>
  </w:style>
  <w:style w:type="table" w:styleId="TableGrid">
    <w:name w:val="Table Grid"/>
    <w:basedOn w:val="TableNormal"/>
    <w:locked/>
    <w:rsid w:val="008B3956"/>
    <w:rPr>
      <w:rFonts w:ascii="Arial" w:hAnsi="Arial"/>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956"/>
    <w:pPr>
      <w:widowControl/>
      <w:autoSpaceDE/>
      <w:autoSpaceDN/>
      <w:adjustRightInd/>
      <w:spacing w:before="100" w:beforeAutospacing="1" w:after="100" w:afterAutospacing="1"/>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ms.int/sites/default/files/document/Res_11_01_Questions_financi%C3%A8res_et_administratives_F.pdf"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8</Pages>
  <Words>3255</Words>
  <Characters>17828</Characters>
  <Application>Microsoft Office Word</Application>
  <DocSecurity>0</DocSecurity>
  <Lines>148</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Ximena Cancino</cp:lastModifiedBy>
  <cp:revision>2</cp:revision>
  <cp:lastPrinted>2017-01-20T10:09:00Z</cp:lastPrinted>
  <dcterms:created xsi:type="dcterms:W3CDTF">2017-08-21T11:21:00Z</dcterms:created>
  <dcterms:modified xsi:type="dcterms:W3CDTF">2017-08-21T11:21:00Z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