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8A3CF9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8A3CF9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p w:rsidR="008F2373" w:rsidRPr="008A3CF9" w:rsidRDefault="008F2373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8A3CF9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8A3CF9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8A3CF9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8A3CF9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3CF9">
              <w:rPr>
                <w:rFonts w:ascii="Arial" w:hAnsi="Arial" w:cs="Arial"/>
                <w:noProof/>
                <w:sz w:val="22"/>
                <w:szCs w:val="22"/>
                <w:lang w:val="es-ES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8A3CF9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8A3CF9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8A3CF9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8A3CF9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8A3CF9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8A3CF9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8A3CF9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A3CF9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8A3CF9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8A3CF9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3CF9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 w:rsidRPr="008A3CF9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2B6CC7" w:rsidRPr="008A3CF9">
              <w:rPr>
                <w:rFonts w:ascii="Arial" w:hAnsi="Arial" w:cs="Arial"/>
                <w:sz w:val="22"/>
                <w:szCs w:val="22"/>
                <w:lang w:val="es-ES"/>
              </w:rPr>
              <w:t>42</w:t>
            </w:r>
          </w:p>
          <w:p w:rsidR="00992727" w:rsidRPr="008A3CF9" w:rsidRDefault="002B6CC7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3CF9">
              <w:rPr>
                <w:rFonts w:ascii="Arial" w:hAnsi="Arial" w:cs="Arial"/>
                <w:sz w:val="22"/>
                <w:szCs w:val="22"/>
                <w:lang w:val="es-ES"/>
              </w:rPr>
              <w:t>27</w:t>
            </w:r>
            <w:r w:rsidR="00BA7075" w:rsidRPr="008A3CF9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 w:rsidRPr="008A3CF9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8A3CF9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8A3CF9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8A3CF9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8F2373" w:rsidRPr="008A3CF9" w:rsidRDefault="008F2373" w:rsidP="008F2373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sz w:val="22"/>
          <w:szCs w:val="22"/>
          <w:lang w:val="es-ES"/>
        </w:rPr>
        <w:t>ENMIENDAS PROPUESTAS A LA RESOLUCIÓN 11.10</w:t>
      </w:r>
    </w:p>
    <w:p w:rsidR="006A709B" w:rsidRPr="008A3CF9" w:rsidRDefault="006A709B" w:rsidP="00CE5F90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2B6CC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 w:firstLine="90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8A3CF9">
        <w:rPr>
          <w:rFonts w:ascii="Arial" w:hAnsi="Arial" w:cs="Arial"/>
          <w:b/>
          <w:bCs/>
          <w:caps/>
          <w:sz w:val="22"/>
          <w:szCs w:val="22"/>
          <w:lang w:val="es-ES"/>
        </w:rPr>
        <w:t>SINERGIAS Y ASOCIACIONES</w:t>
      </w:r>
    </w:p>
    <w:p w:rsidR="002B6CC7" w:rsidRPr="008A3CF9" w:rsidRDefault="002B6CC7" w:rsidP="002B6CC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caps/>
          <w:sz w:val="22"/>
          <w:szCs w:val="22"/>
          <w:lang w:val="es-ES"/>
        </w:rPr>
      </w:pPr>
      <w:r w:rsidRPr="008A3CF9">
        <w:rPr>
          <w:rFonts w:ascii="Arial" w:hAnsi="Arial" w:cs="Arial"/>
          <w:caps/>
          <w:sz w:val="22"/>
          <w:szCs w:val="22"/>
          <w:lang w:val="es-ES"/>
        </w:rPr>
        <w:t xml:space="preserve"> </w:t>
      </w:r>
    </w:p>
    <w:p w:rsidR="006A709B" w:rsidRPr="008A3CF9" w:rsidRDefault="006A709B" w:rsidP="002B6CC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8A3CF9">
        <w:rPr>
          <w:rFonts w:ascii="Arial" w:hAnsi="Arial" w:cs="Arial"/>
          <w:caps/>
          <w:sz w:val="22"/>
          <w:szCs w:val="22"/>
          <w:lang w:val="es-ES"/>
        </w:rPr>
        <w:t>(UNEP/CMS/COP12/</w:t>
      </w:r>
      <w:r w:rsidR="00040591" w:rsidRPr="008A3CF9">
        <w:rPr>
          <w:rFonts w:ascii="Arial" w:hAnsi="Arial" w:cs="Arial"/>
          <w:sz w:val="22"/>
          <w:szCs w:val="22"/>
          <w:lang w:val="es-ES"/>
        </w:rPr>
        <w:t>Doc</w:t>
      </w:r>
      <w:r w:rsidRPr="008A3CF9">
        <w:rPr>
          <w:rFonts w:ascii="Arial" w:hAnsi="Arial" w:cs="Arial"/>
          <w:caps/>
          <w:sz w:val="22"/>
          <w:szCs w:val="22"/>
          <w:lang w:val="es-ES"/>
        </w:rPr>
        <w:t>.</w:t>
      </w:r>
      <w:r w:rsidR="002B6CC7" w:rsidRPr="008A3CF9">
        <w:rPr>
          <w:rFonts w:ascii="Arial" w:hAnsi="Arial" w:cs="Arial"/>
          <w:caps/>
          <w:sz w:val="22"/>
          <w:szCs w:val="22"/>
          <w:lang w:val="es-ES"/>
        </w:rPr>
        <w:t>23.1</w:t>
      </w:r>
      <w:r w:rsidRPr="008A3CF9">
        <w:rPr>
          <w:rFonts w:ascii="Arial" w:hAnsi="Arial" w:cs="Arial"/>
          <w:caps/>
          <w:sz w:val="22"/>
          <w:szCs w:val="22"/>
          <w:lang w:val="es-ES"/>
        </w:rPr>
        <w:t>)</w:t>
      </w:r>
    </w:p>
    <w:p w:rsidR="006A709B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5C0467" w:rsidRPr="008A3CF9" w:rsidRDefault="005C0467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1764E6" w:rsidRPr="008A3CF9" w:rsidRDefault="008F2373" w:rsidP="008F2373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sz w:val="22"/>
          <w:szCs w:val="22"/>
          <w:lang w:val="es-ES"/>
        </w:rPr>
        <w:t>BORRADOR DE RESOLUCIÓN</w:t>
      </w:r>
    </w:p>
    <w:p w:rsidR="006A709B" w:rsidRPr="008A3CF9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8A3CF9">
        <w:rPr>
          <w:rFonts w:ascii="Arial" w:hAnsi="Arial" w:cs="Arial"/>
          <w:i/>
          <w:iCs/>
          <w:sz w:val="22"/>
          <w:szCs w:val="22"/>
          <w:lang w:val="es-ES"/>
        </w:rPr>
        <w:t>Recordando</w:t>
      </w:r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la Resolución 7.9 sobre “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con otros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Órganos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y Procesos”, la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8.11 sobre “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con otras Convenciones”, la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9.6 sobre “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con otros Organismos” y la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10.21 sobre “Sinergias y Asociaciones”,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asi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́ como la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10.25 sobre “Mejora de la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Implicación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con el Fondo para el Medio Ambiente Mundial”; 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/>
          <w:sz w:val="22"/>
          <w:szCs w:val="22"/>
          <w:highlight w:val="yellow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8A3CF9">
        <w:rPr>
          <w:rFonts w:ascii="Arial" w:hAnsi="Arial" w:cs="Arial"/>
          <w:i/>
          <w:iCs/>
          <w:sz w:val="22"/>
          <w:szCs w:val="22"/>
          <w:lang w:val="es-ES"/>
        </w:rPr>
        <w:t>Reconociendo</w:t>
      </w:r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la importancia de la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y las sinergias con otros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órganos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, incluidos los acuerdos ambientales multilaterales (AAM) y con organizaciones no gubernamentales, </w:t>
      </w:r>
      <w:proofErr w:type="spellStart"/>
      <w:r w:rsidRPr="008A3CF9">
        <w:rPr>
          <w:rFonts w:ascii="Arial" w:hAnsi="Arial" w:cs="Arial"/>
          <w:iCs/>
          <w:sz w:val="22"/>
          <w:szCs w:val="22"/>
          <w:lang w:val="es-ES"/>
        </w:rPr>
        <w:t>asi</w:t>
      </w:r>
      <w:proofErr w:type="spellEnd"/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́ como el sector privado; 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el papel fundamental de las organizaciones asociadas en el desarrollo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implementación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CMS y sus iniciativas y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campañas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divulgación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conexas, incluida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negociación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propia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>;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Apreciando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el valor de tales asociaciones para llegar a un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público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amplio y aumentar la sensibilidad del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público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respecto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 importancia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conservación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especies migratorias a escala mundial;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Tomando nota con reconocimiento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de todas las personas y las organizaciones que han contribuido a los logros del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Año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Tortuga (2006), 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Año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Delfín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(2007/8), 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Año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del Gorila (2009) y 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Año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Murciélago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(2011/12);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Expresando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su gratitud a las numerosas organizaciones asociadas que han ayudado a promover la CMS y su mandato, por ejemplo, facilitando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negociación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implementación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acuerdos sobre las especies en el marco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>;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Acogiendo con agrado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el informe sobre sinergias y asociaciones (UNEP/CMS/COP11/Doc.21.1), preparado por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</w:t>
      </w:r>
      <w:r w:rsidR="008F2373" w:rsidRPr="008A3CF9">
        <w:rPr>
          <w:rFonts w:ascii="Arial" w:hAnsi="Arial" w:cs="Arial"/>
          <w:sz w:val="22"/>
          <w:szCs w:val="22"/>
          <w:lang w:val="es-ES"/>
        </w:rPr>
        <w:t>l Programa de las Naciones Unidas para el Medio Ambiente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/CMS, y los progresos realizados en la mejora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las sinergias,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asi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>́ como las asociaciones con los convenios relacionados con la biodiversidad y otras instituciones pertinentes;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8F2373" w:rsidRPr="008A3CF9" w:rsidRDefault="008F2373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Acogiendo con beneplácito </w:t>
      </w:r>
      <w:r w:rsidRPr="008A3CF9">
        <w:rPr>
          <w:rFonts w:ascii="Arial" w:hAnsi="Arial" w:cs="Arial"/>
          <w:sz w:val="22"/>
          <w:szCs w:val="22"/>
          <w:lang w:val="es-ES"/>
        </w:rPr>
        <w:t>también la Declaración de Manila sobre el Desarrollo Sostenible y las Especies Migratorias (COP12/Doc. 27*) que tiene por objeto promover los vínculos entre el desarrollo sostenible y la conservación de la vida silvestre, con especial hincapié en las especies migratorias y los objetivos de desarrollo sostenible;</w:t>
      </w:r>
    </w:p>
    <w:p w:rsidR="008F2373" w:rsidRPr="008A3CF9" w:rsidRDefault="008F2373" w:rsidP="008201F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lastRenderedPageBreak/>
        <w:t xml:space="preserve">Tomando nota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resultados del proyecto </w:t>
      </w:r>
      <w:r w:rsidR="008F2373" w:rsidRPr="008A3CF9">
        <w:rPr>
          <w:rFonts w:ascii="Arial" w:hAnsi="Arial" w:cs="Arial"/>
          <w:sz w:val="22"/>
          <w:szCs w:val="22"/>
          <w:lang w:val="es-ES"/>
        </w:rPr>
        <w:t xml:space="preserve">Programa de las Naciones Unidas para el Medio Ambiente 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sobre la mejora de la efectividad y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entre los convenios relacionados con la biodiversidad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búsqueda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oportunidades para futuras sinergias;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Acogiendo favorablemente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las decisiones adoptadas por el Convenio sobre la Diversidad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Biológica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(CDB)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sobre el comercio internacional de especies amenazadas de fauna y flora silvestres (CITES) sobre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las sinergias entre los convenios relacionados con la biodiversidad;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Acogiendo con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satisfacción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</w:t>
      </w:r>
      <w:r w:rsidRPr="008A3CF9">
        <w:rPr>
          <w:rFonts w:ascii="Arial" w:hAnsi="Arial" w:cs="Arial"/>
          <w:i/>
          <w:sz w:val="22"/>
          <w:szCs w:val="22"/>
          <w:lang w:val="es-ES"/>
        </w:rPr>
        <w:t>asimismo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constante e importante entre las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convenios relacionados con la biodiversidad, en particular 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través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Memorandos de Entendimiento establecidos entre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CMS y las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Comisión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Ballenera Internacional, la UNESCO,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Ramsar,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Berna y la CITES;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Acogiendo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 favorablemente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los Memorandos de Entendimiento establecidos con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Migratory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Wildlife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Network</w:t>
      </w:r>
      <w:r w:rsidRPr="008A3CF9">
        <w:rPr>
          <w:rFonts w:ascii="Arial" w:hAnsi="Arial"/>
          <w:sz w:val="22"/>
          <w:szCs w:val="22"/>
          <w:vertAlign w:val="superscript"/>
          <w:lang w:val="es-ES"/>
        </w:rPr>
        <w:footnoteReference w:customMarkFollows="1" w:id="1"/>
        <w:t>1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y el Centro de Derecho Ambiental de la UICN;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de los debates en curso con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Organización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Naciones Unidas para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Alimentación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 Agricultura (FAO) en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relación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formalización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un memorando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y </w:t>
      </w:r>
      <w:r w:rsidRPr="008A3CF9">
        <w:rPr>
          <w:rFonts w:ascii="Arial" w:hAnsi="Arial" w:cs="Arial"/>
          <w:i/>
          <w:sz w:val="22"/>
          <w:szCs w:val="22"/>
          <w:lang w:val="es-ES"/>
        </w:rPr>
        <w:t>apreciando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los importantes esfuerzos realizados por la CMS para mejorar las relaciones con organizaciones que tienen distintos mandatos u objetivos, tales como la FAO, que proporcionan soluciones multidisciplinarias encaminadas a lograr en la actualidad la seguridad alimentaria,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conservación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biodiversidad y la salud de la fauna silvestre y del ecosistema;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la importancia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 curso entre las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convenios relacionados con la biodiversidad 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través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del Grupo de Enlace sobre la Biodiversidad para implementar el Plan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para la Biodiversidad 2011-2020, a fin de lograr las Metas de Aichi para la Biodiversidad (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Decisión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X/2 del CDB)</w:t>
      </w:r>
      <w:r w:rsidR="008F2373" w:rsidRPr="008A3CF9">
        <w:rPr>
          <w:lang w:val="es-ES"/>
        </w:rPr>
        <w:t xml:space="preserve"> </w:t>
      </w:r>
      <w:r w:rsidR="008F2373" w:rsidRPr="008A3CF9">
        <w:rPr>
          <w:rFonts w:ascii="Arial" w:hAnsi="Arial" w:cs="Arial"/>
          <w:sz w:val="22"/>
          <w:szCs w:val="22"/>
          <w:lang w:val="es-ES"/>
        </w:rPr>
        <w:t>y tomando nota del establecimiento de un grupo consultivo oficioso sobre sinergias para prestar asesoramiento sobre la fijación de prioridades y la aplicación de medidas (Decisión XIII/24 del CDB);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Destacando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el Plan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para las especies migratorias 2015-2023 como un marco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para las sinergias y asociaciones con otros AAM, organizaciones y partes interesadas, las cuales aportarán una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contribución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importante al Plan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para la Biodiversidad 2011-2020</w:t>
      </w:r>
      <w:r w:rsidR="008F2373" w:rsidRPr="008A3CF9">
        <w:rPr>
          <w:lang w:val="es-ES"/>
        </w:rPr>
        <w:t xml:space="preserve"> </w:t>
      </w:r>
      <w:r w:rsidR="008F2373" w:rsidRPr="008A3CF9">
        <w:rPr>
          <w:rFonts w:ascii="Arial" w:hAnsi="Arial" w:cs="Arial"/>
          <w:sz w:val="22"/>
          <w:szCs w:val="22"/>
          <w:lang w:val="es-ES"/>
        </w:rPr>
        <w:t>y apoyar el logro de los ODS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Reconociendo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las conclusiones de la Conferencia de las Naciones Unidas sobre el Desarrollo Sostenible, </w:t>
      </w:r>
      <w:r w:rsidRPr="008A3CF9">
        <w:rPr>
          <w:rFonts w:ascii="Arial" w:hAnsi="Arial" w:cs="Arial"/>
          <w:i/>
          <w:sz w:val="22"/>
          <w:szCs w:val="22"/>
          <w:lang w:val="es-ES"/>
        </w:rPr>
        <w:t>El futuro que queremos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, donde se reconocen las contribuciones considerables al desarrollo sostenible aportadas por los AAM y </w:t>
      </w:r>
      <w:r w:rsidRPr="008A3CF9">
        <w:rPr>
          <w:rFonts w:ascii="Arial" w:hAnsi="Arial" w:cs="Arial"/>
          <w:i/>
          <w:sz w:val="22"/>
          <w:szCs w:val="22"/>
          <w:lang w:val="es-ES"/>
        </w:rPr>
        <w:t>alentando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Partes de los AAM a examinar nuevas medidas para promover la coherencia de las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políticas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todos los niveles pertinentes, a mejorar la eficiencia, reducir solapamientos y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duplicación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innecesarios y a potenciar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entre los AAM;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Default="002B6CC7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Convencida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del considerable potencial para el aumento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las sinergias entre los convenios relacionados con la biodiversidad para mejorar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implementación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coherente a nivel nacional de cada uno de los convenios; </w:t>
      </w:r>
    </w:p>
    <w:p w:rsidR="008201F1" w:rsidRPr="008A3CF9" w:rsidRDefault="008201F1" w:rsidP="008201F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iCs/>
          <w:sz w:val="22"/>
          <w:szCs w:val="22"/>
          <w:lang w:val="es-ES"/>
        </w:rPr>
        <w:t xml:space="preserve">Recordando </w:t>
      </w:r>
      <w:r w:rsidRPr="008A3CF9">
        <w:rPr>
          <w:rFonts w:ascii="Arial" w:hAnsi="Arial" w:cs="Arial"/>
          <w:iCs/>
          <w:sz w:val="22"/>
          <w:szCs w:val="22"/>
          <w:lang w:val="es-ES"/>
        </w:rPr>
        <w:t>la Resolución 11.11, la cual invitaba a la Secretaría, Partes, otros gobiernos, OSC y ONG asociadas, a examinar opciones para promover la relación entre la Familia CMS y la sociedad civil; y</w:t>
      </w:r>
    </w:p>
    <w:p w:rsidR="002B6CC7" w:rsidRPr="008A3CF9" w:rsidRDefault="002B6CC7" w:rsidP="008201F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las recomendaciones para fortalecer la relación entre la Familia CMS y la sociedad civil presentadas a la Conferencia de las Partes;</w:t>
      </w:r>
    </w:p>
    <w:p w:rsidR="002B6CC7" w:rsidRDefault="002B6CC7" w:rsidP="008201F1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autoSpaceDE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  <w:r w:rsidRPr="008A3CF9">
        <w:rPr>
          <w:rFonts w:ascii="Arial" w:hAnsi="Arial" w:cs="Arial"/>
          <w:i/>
          <w:sz w:val="22"/>
          <w:szCs w:val="22"/>
          <w:lang w:val="es-ES"/>
        </w:rPr>
        <w:lastRenderedPageBreak/>
        <w:t xml:space="preserve">La Conferencia de las Partes de la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 sobre la</w:t>
      </w:r>
    </w:p>
    <w:p w:rsidR="002B6CC7" w:rsidRPr="008A3CF9" w:rsidRDefault="002B6CC7" w:rsidP="008201F1">
      <w:pPr>
        <w:widowControl/>
        <w:autoSpaceDE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Conservación</w:t>
      </w:r>
      <w:proofErr w:type="spellEnd"/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 de las Especies Migratorias de Animales Silvestres</w:t>
      </w:r>
    </w:p>
    <w:p w:rsidR="002B6CC7" w:rsidRPr="008A3CF9" w:rsidRDefault="002B6CC7" w:rsidP="008201F1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Subraya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la importancia de apoyar los objetivos de los acuerdos ambientales multilaterales relacionados con la biodiversidad para mejorar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colaboración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comunicación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nacionales con las organizaciones y los procesos pertinentes;</w:t>
      </w:r>
    </w:p>
    <w:p w:rsidR="002B6CC7" w:rsidRPr="008A3CF9" w:rsidRDefault="002B6CC7" w:rsidP="008201F1">
      <w:pPr>
        <w:widowControl/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Solicita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al Secretario Ejecutivo informar a los acuerdos relacionados con la biodiversidad, incluyendo 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través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acuerdos multilaterales medioambientales relacionados con el Grupo Enlace sobre la Biodiversidad y otros socios relevantes sobre el Plan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para las especies migratorias 2015-2013 y proseguir con nuevas actividades relacionadas con las sinergias y asociaciones dentro de ese marco;</w:t>
      </w:r>
    </w:p>
    <w:p w:rsidR="002B6CC7" w:rsidRPr="008A3CF9" w:rsidRDefault="002B6CC7" w:rsidP="008201F1">
      <w:pPr>
        <w:widowControl/>
        <w:autoSpaceDE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Pide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continúe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fomentando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eficaz y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práctica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 las partes interesadas pertinentes, incluidos otros instrumentos y organizaciones internacionales relacionados con la biodiversidad;</w:t>
      </w:r>
    </w:p>
    <w:p w:rsidR="002B6CC7" w:rsidRPr="008A3CF9" w:rsidRDefault="002B6CC7" w:rsidP="008201F1">
      <w:pPr>
        <w:widowControl/>
        <w:autoSpaceDE/>
        <w:adjustRightInd/>
        <w:ind w:left="36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identifique posibles socios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colabore con ellos en la elaboración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campañas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otras actividades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divulgación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alienta a todas las partes interesadas a contribuir a estas iniciativas;</w:t>
      </w:r>
    </w:p>
    <w:p w:rsidR="002B6CC7" w:rsidRPr="008A3CF9" w:rsidRDefault="002B6CC7" w:rsidP="008201F1">
      <w:pPr>
        <w:ind w:left="720"/>
        <w:contextualSpacing/>
        <w:rPr>
          <w:rFonts w:ascii="Arial" w:hAnsi="Arial" w:cs="Arial"/>
          <w:iCs/>
          <w:sz w:val="22"/>
          <w:szCs w:val="22"/>
          <w:highlight w:val="yellow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8A3CF9">
        <w:rPr>
          <w:rFonts w:ascii="Arial" w:hAnsi="Arial" w:cs="Arial"/>
          <w:i/>
          <w:iCs/>
          <w:sz w:val="22"/>
          <w:szCs w:val="22"/>
          <w:lang w:val="es-ES"/>
        </w:rPr>
        <w:t>A</w:t>
      </w:r>
      <w:r w:rsidR="008F2373" w:rsidRPr="008A3CF9">
        <w:rPr>
          <w:rFonts w:ascii="Arial" w:hAnsi="Arial" w:cs="Arial"/>
          <w:i/>
          <w:iCs/>
          <w:sz w:val="22"/>
          <w:szCs w:val="22"/>
          <w:lang w:val="es-ES"/>
        </w:rPr>
        <w:t>lienta</w:t>
      </w:r>
      <w:r w:rsidRPr="008A3CF9">
        <w:rPr>
          <w:rFonts w:ascii="Arial" w:hAnsi="Arial" w:cs="Arial"/>
          <w:iCs/>
          <w:sz w:val="22"/>
          <w:szCs w:val="22"/>
          <w:lang w:val="es-ES"/>
        </w:rPr>
        <w:t xml:space="preserve"> la implementación de las recomendaciones en respuesta a la solicitud de las Partes presentada en la Resolución 11.11 dirigida a potenciar las relaciones entre la Familia CMS y la sociedad civil tanto a nivel internacional como nacional:</w:t>
      </w:r>
    </w:p>
    <w:p w:rsidR="002B6CC7" w:rsidRPr="008A3CF9" w:rsidRDefault="002B6CC7" w:rsidP="008201F1">
      <w:pPr>
        <w:widowControl/>
        <w:adjustRightInd/>
        <w:ind w:left="72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8A3CF9" w:rsidRPr="008A3CF9" w:rsidRDefault="008A3CF9" w:rsidP="008201F1">
      <w:pPr>
        <w:widowControl/>
        <w:numPr>
          <w:ilvl w:val="0"/>
          <w:numId w:val="46"/>
        </w:numPr>
        <w:autoSpaceDE/>
        <w:adjustRightInd/>
        <w:ind w:left="426" w:hanging="426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Alienta además </w:t>
      </w:r>
      <w:r w:rsidRPr="008A3CF9">
        <w:rPr>
          <w:rFonts w:ascii="Arial" w:hAnsi="Arial" w:cs="Arial"/>
          <w:sz w:val="22"/>
          <w:szCs w:val="22"/>
          <w:lang w:val="es-ES"/>
        </w:rPr>
        <w:t>a la Secretaría de la CMS, las Partes, otros gobiernos, organizaciones de la sociedad civil (OSC) y organizaciones no gubernamentales (ONG) y socios a elaborar e informar a la Conferencia de las Partes sobre los mecanismos, modelos y modalidades para mejorar la relación entre la familia de la CMS y la sociedad civil, tal como se indica en la Resolución 11.11, incluyendo:</w:t>
      </w: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8A3CF9" w:rsidRPr="008A3CF9" w:rsidRDefault="008A3CF9" w:rsidP="008201F1">
      <w:pPr>
        <w:pStyle w:val="ListParagraph"/>
        <w:rPr>
          <w:rFonts w:ascii="Arial" w:hAnsi="Arial" w:cs="Arial"/>
          <w:i/>
          <w:sz w:val="22"/>
          <w:szCs w:val="22"/>
          <w:lang w:val="es-ES"/>
        </w:rPr>
      </w:pPr>
    </w:p>
    <w:p w:rsidR="008A3CF9" w:rsidRPr="008A3CF9" w:rsidRDefault="008A3CF9" w:rsidP="008201F1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sz w:val="22"/>
          <w:szCs w:val="22"/>
          <w:lang w:val="es-ES"/>
        </w:rPr>
        <w:t>Mecanismos que facilitarán el trabajo proporcionado por las OSC y las ONG para que se informe de manera oficial y coherente en toda la familia CMS y para que sean considerados por las Partes y los órganos rectores de los acuerdos de la familia CMS;</w:t>
      </w:r>
    </w:p>
    <w:p w:rsidR="008A3CF9" w:rsidRPr="008A3CF9" w:rsidRDefault="008A3CF9" w:rsidP="008201F1">
      <w:pPr>
        <w:pStyle w:val="ListParagraph"/>
        <w:jc w:val="both"/>
        <w:rPr>
          <w:rFonts w:ascii="Arial" w:hAnsi="Arial" w:cs="Arial"/>
          <w:sz w:val="22"/>
          <w:szCs w:val="22"/>
          <w:lang w:val="es-ES"/>
        </w:rPr>
      </w:pPr>
    </w:p>
    <w:p w:rsidR="008A3CF9" w:rsidRPr="008A3CF9" w:rsidRDefault="008A3CF9" w:rsidP="008201F1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sz w:val="22"/>
          <w:szCs w:val="22"/>
          <w:lang w:val="es-ES"/>
        </w:rPr>
        <w:t>Modelos para una mayor participación de las OSC y las ONG en los procesos de la CMS; y</w:t>
      </w:r>
    </w:p>
    <w:p w:rsidR="008A3CF9" w:rsidRPr="008A3CF9" w:rsidRDefault="008A3CF9" w:rsidP="008201F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A3CF9" w:rsidRPr="008A3CF9" w:rsidRDefault="008A3CF9" w:rsidP="008201F1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sz w:val="22"/>
          <w:szCs w:val="22"/>
          <w:lang w:val="es-ES"/>
        </w:rPr>
        <w:t>Modalidades para un mayor compromiso estratégico con las organizaciones de la sociedad civil y las ONG para proporcionar conocimientos especializados en materia de ejecución y fomento de la capacidad;</w:t>
      </w:r>
    </w:p>
    <w:p w:rsidR="008A3CF9" w:rsidRPr="008A3CF9" w:rsidRDefault="008A3CF9" w:rsidP="008201F1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426" w:hanging="426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facilite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colaboración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no formalizada con asociados como la FAO, que pueden contribuir a ampliar 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ámbito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multidisciplinario y transdisciplinario de los enfoques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colaboración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>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trate de fortalecer las alianzas con el sector privado, de acuerdo con 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Código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Conducta de la CMS;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a sus Acuerdos hijos en el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ámbito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mandatos conferidos por sus Partes/Signatarios y al Consejo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Científico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potencien su compromiso con los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comités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expertos y procesos iniciados por los asociados,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según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proceda;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Recibe con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beneplácito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el plan de trabajo en conjunto entre las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CMS y CITES y </w:t>
      </w: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prepare propuestas para fortalecer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las sinergias con otros convenios relacionados con la biodiversidad, incluso mediante planes de trabajo conjuntos con objetivos y plazos claros </w:t>
      </w:r>
      <w:r w:rsidRPr="008A3CF9">
        <w:rPr>
          <w:rFonts w:ascii="Arial" w:hAnsi="Arial" w:cs="Arial"/>
          <w:sz w:val="22"/>
          <w:szCs w:val="22"/>
          <w:lang w:val="es-ES"/>
        </w:rPr>
        <w:lastRenderedPageBreak/>
        <w:t xml:space="preserve">en consonancia con el plan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CMS, para su examen por la Conferencia de las Partes en su siguiente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reunión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>;</w:t>
      </w:r>
    </w:p>
    <w:p w:rsidR="002B6CC7" w:rsidRPr="008A3CF9" w:rsidRDefault="002B6CC7" w:rsidP="008201F1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Pide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adopte medidas para fortalecer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implementación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CMS 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través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procesos sobre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revisión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estrategias y planes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acción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nacionales en materia de biodiversidad (EPANB), incluso mediante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 las oficinas regionales de</w:t>
      </w:r>
      <w:r w:rsidR="008A3CF9" w:rsidRPr="008A3CF9">
        <w:rPr>
          <w:rFonts w:ascii="Arial" w:hAnsi="Arial" w:cs="Arial"/>
          <w:sz w:val="22"/>
          <w:szCs w:val="22"/>
          <w:lang w:val="es-ES"/>
        </w:rPr>
        <w:t>l Programa de las Naciones Unidas para el Medio Ambiente</w:t>
      </w:r>
      <w:r w:rsidRPr="008A3CF9">
        <w:rPr>
          <w:rFonts w:ascii="Arial" w:hAnsi="Arial" w:cs="Arial"/>
          <w:sz w:val="22"/>
          <w:szCs w:val="22"/>
          <w:lang w:val="es-ES"/>
        </w:rPr>
        <w:t>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 </w:t>
      </w:r>
      <w:r w:rsidRPr="008A3CF9">
        <w:rPr>
          <w:rFonts w:ascii="Arial" w:hAnsi="Arial" w:cs="Arial"/>
          <w:i/>
          <w:sz w:val="22"/>
          <w:szCs w:val="22"/>
          <w:lang w:val="es-ES"/>
        </w:rPr>
        <w:t>invita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otros convenios a seguir manteniendo el enlace con las oficinas regionales de</w:t>
      </w:r>
      <w:r w:rsidR="008A3CF9" w:rsidRPr="008A3CF9">
        <w:rPr>
          <w:rFonts w:ascii="Arial" w:hAnsi="Arial" w:cs="Arial"/>
          <w:sz w:val="22"/>
          <w:szCs w:val="22"/>
          <w:lang w:val="es-ES"/>
        </w:rPr>
        <w:t>l Programa de las Naciones Unidas para el Medio Ambiente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para hacer el mejor uso posible de su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función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prestación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asistencia para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implementación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los AAM relacionados con la biodiversidad; 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Pide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</w:t>
      </w:r>
      <w:r w:rsidRPr="008A3CF9">
        <w:rPr>
          <w:rFonts w:ascii="Arial" w:hAnsi="Arial" w:cs="Arial"/>
          <w:i/>
          <w:sz w:val="22"/>
          <w:szCs w:val="22"/>
          <w:lang w:val="es-ES"/>
        </w:rPr>
        <w:t>asimismo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e </w:t>
      </w:r>
      <w:r w:rsidRPr="008A3CF9">
        <w:rPr>
          <w:rFonts w:ascii="Arial" w:hAnsi="Arial" w:cs="Arial"/>
          <w:i/>
          <w:sz w:val="22"/>
          <w:szCs w:val="22"/>
          <w:lang w:val="es-ES"/>
        </w:rPr>
        <w:t>invita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del CDB y otros AAM pertinentes que examinen posibles medios y maneras de abordar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coherentemente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cuestión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conservación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utilización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especies de animales en los procesos del CDB, en particular en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relación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implementación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convenciones relacionadas con la biodiversidad del Plan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Estratégico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para la Diversidad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Biológica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2011-2020 y sus Metas de Aichi y proporcionen asesoramiento al respecto, y </w:t>
      </w: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presente informes sobre los progresos realizados al Consejo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Científico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a cada reunión de la COP;</w:t>
      </w:r>
    </w:p>
    <w:p w:rsidR="008201F1" w:rsidRDefault="008201F1" w:rsidP="008201F1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potencie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través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del Grupo de Enlace sobre la Biodiversidad y la Alianza sobre Indicadores de Biodiversidad para potenciar un conjunto mundial de indicadores de biodiversidad;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Solicita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reforzar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las sinergias con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Ramsar para continuar las acciones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efectivas para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conservación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aves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acuáticas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sus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hábitats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 humedales;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Recibe con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beneplácito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Declaración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Gangwon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adoptada en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ocasión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décima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segunda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reunión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Conferencia de las Partes de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Convención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sobre la Diversidad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Biológica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cual acoge la importancia dada a la biodiversidad de acuerdo al resultado del documento final del Grupo de Trabajo Abierto sobre los Objetivos de Desarrollo Sostenible y hace un llamamiento para que se lleve a cabo una mayor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integración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incorporación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biodiversidad en la agenda de desarrollo posterior a 2015, y </w:t>
      </w:r>
      <w:r w:rsidRPr="008A3CF9">
        <w:rPr>
          <w:rFonts w:ascii="Arial" w:hAnsi="Arial" w:cs="Arial"/>
          <w:i/>
          <w:sz w:val="22"/>
          <w:szCs w:val="22"/>
          <w:lang w:val="es-ES"/>
        </w:rPr>
        <w:t>pide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siga participando en el proceso de establecimiento de los objetivos de desarrollo sostenible, en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colaboración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 el Grupo de Enlace sobre la Biodiversidad; 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Invita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los miembros del Grupo de Enlace sobre la Biodiversidad a mejorar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con vistas a incrementar las sinergias entre sus respectivas exploraciones y actividades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presentación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informes en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línea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como medio para incrementar las sinergias en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presentación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informes nacionales en el marco de los convenios relacionados con la biodiversidad;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Invita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los miembros del Grupo de Enlace sobre la Biodiversidad a examinar posibles medios y maneras de aumentar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 sus estrategias de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divulgación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comunicación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>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 xml:space="preserve">Invita </w:t>
      </w:r>
      <w:proofErr w:type="spellStart"/>
      <w:r w:rsidRPr="008A3CF9">
        <w:rPr>
          <w:rFonts w:ascii="Arial" w:hAnsi="Arial" w:cs="Arial"/>
          <w:i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al Grupo de Enlace sobre la Biodiversidad a tener en la debida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consideración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la necesidad de optimizar los esfuerzos de seguimiento y mejorar la eficacia mediante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utilización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marcos de seguimiento y sistemas de indicadores que sean coherentes;</w:t>
      </w:r>
    </w:p>
    <w:p w:rsidR="002B6CC7" w:rsidRPr="008A3CF9" w:rsidRDefault="002B6CC7" w:rsidP="008201F1">
      <w:pPr>
        <w:widowControl/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Pide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evite en la medida de lo posible toda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duplicación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trabajos sobre las mismas cuestiones entre los AAM dedicados a las cuestiones relativas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protección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 naturaleza, e </w:t>
      </w:r>
      <w:r w:rsidRPr="008A3CF9">
        <w:rPr>
          <w:rFonts w:ascii="Arial" w:hAnsi="Arial" w:cs="Arial"/>
          <w:i/>
          <w:sz w:val="22"/>
          <w:szCs w:val="22"/>
          <w:lang w:val="es-ES"/>
        </w:rPr>
        <w:t>invita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al Grupo de Enlace sobre la Biodiversidad a que en sus futuras reuniones aborden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cuestión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opciones para mejorar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 los trabajos </w:t>
      </w:r>
      <w:r w:rsidRPr="008A3CF9">
        <w:rPr>
          <w:rFonts w:ascii="Arial" w:hAnsi="Arial" w:cs="Arial"/>
          <w:sz w:val="22"/>
          <w:szCs w:val="22"/>
          <w:lang w:val="es-ES"/>
        </w:rPr>
        <w:lastRenderedPageBreak/>
        <w:t xml:space="preserve">sobre cuestiones transversales, tales como el cambio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climático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la carne de animales silvestres y las especies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exóticas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invasivas, en particular examinando la posibilidad de identificar los AAM principales en forma coherente con sus mandatos, disposiciones de gobernanza y programas acordados; 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Pide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además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continúe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presentando informes al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Comite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́ Permanente sobre los progresos realizados incluso sobre los resultados de las actividades conjuntas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según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había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debatido y acordado en el Grupo de Enlace sobre la Biodiversidad;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Reconoce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que se requieren recursos suficientes para poder crear asociaciones, y que esos recursos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podrían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obtenerse, en parte, 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través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contribuciones voluntarias de las Partes y </w:t>
      </w:r>
      <w:r w:rsidRPr="008A3CF9">
        <w:rPr>
          <w:rFonts w:ascii="Arial" w:hAnsi="Arial" w:cs="Arial"/>
          <w:i/>
          <w:sz w:val="22"/>
          <w:szCs w:val="22"/>
          <w:lang w:val="es-ES"/>
        </w:rPr>
        <w:t>pide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Partes que se aseguren de que se proporcionen recursos suficientes a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Secretaría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para poder crear asociaciones y fortalecerlas;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Insta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Partes a establecer una estrecha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colaboración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a nivel nacional entre el punto focal de la CMS y los puntos focales de otros convenios pertinentes, con el fin de que los gobiernos elaboren enfoques coherentes y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sinérgicos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entre los convenios y aumenten la eficacia de los esfuerzos nacionales, por ejemplo mediante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creación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grupos de trabajo nacionales sobre biodiversidad para coordinar los trabajos de los puntos focales de los AAM pertinentes y otras partes interesadas, entre otras cosas, mediante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adopción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medidas pertinentes en las EPANB,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presentación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informes nacionales armonizados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adopción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posiciones nacionales coherentes respecto de cada AAM;</w:t>
      </w: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Insta igualmente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Partes a que faciliten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cooperación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entre las organizaciones internacionales, y promuevan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integración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las preocupaciones relacionadas con la biodiversidad de las especies migratorias en todos los sectores pertinentes mediante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coordinación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de sus posiciones nacionales entre los diferentes convenios y otros foros internacionales en los que participan;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Alienta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Partes y otros gobiernos y organizaciones a utilizar instrumentos de trabajo basados en la web, tales como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InforMEA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, al elaborar e implementar actividades de apoyo mutuo entre los Acuerdos de la CMS y los convenios relacionados con la biodiversidad, con el fin de mejorar la coherencia en su </w:t>
      </w:r>
      <w:r w:rsidRPr="008A3CF9">
        <w:rPr>
          <w:rFonts w:ascii="Arial" w:hAnsi="Arial" w:cs="Arial"/>
          <w:noProof/>
          <w:sz w:val="22"/>
          <w:szCs w:val="22"/>
          <w:lang w:val="es-ES"/>
        </w:rPr>
        <w:t>aplicación</w:t>
      </w:r>
      <w:r w:rsidRPr="008A3CF9">
        <w:rPr>
          <w:rFonts w:ascii="Arial" w:hAnsi="Arial" w:cs="Arial"/>
          <w:sz w:val="22"/>
          <w:szCs w:val="22"/>
          <w:lang w:val="es-ES"/>
        </w:rPr>
        <w:t>;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Insta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a las organizaciones asociadas a que sigan promoviendo y dando a conocer los beneficios que derivan de una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colaboración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eficaz para ellos, para la CMS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conservación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>; y</w:t>
      </w:r>
    </w:p>
    <w:p w:rsidR="002B6CC7" w:rsidRPr="008A3CF9" w:rsidRDefault="002B6CC7" w:rsidP="008201F1">
      <w:pPr>
        <w:widowControl/>
        <w:autoSpaceDE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2B6CC7" w:rsidRPr="008A3CF9" w:rsidRDefault="002B6CC7" w:rsidP="008201F1">
      <w:pPr>
        <w:widowControl/>
        <w:numPr>
          <w:ilvl w:val="0"/>
          <w:numId w:val="46"/>
        </w:numPr>
        <w:autoSpaceDE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A3CF9">
        <w:rPr>
          <w:rFonts w:ascii="Arial" w:hAnsi="Arial" w:cs="Arial"/>
          <w:i/>
          <w:sz w:val="22"/>
          <w:szCs w:val="22"/>
          <w:lang w:val="es-ES"/>
        </w:rPr>
        <w:t>Revoca</w:t>
      </w:r>
      <w:r w:rsidRPr="008A3CF9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7.9,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8.11,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9.6, y la </w:t>
      </w:r>
      <w:proofErr w:type="spellStart"/>
      <w:r w:rsidRPr="008A3CF9">
        <w:rPr>
          <w:rFonts w:ascii="Arial" w:hAnsi="Arial" w:cs="Arial"/>
          <w:sz w:val="22"/>
          <w:szCs w:val="22"/>
          <w:lang w:val="es-ES"/>
        </w:rPr>
        <w:t>Resolución</w:t>
      </w:r>
      <w:proofErr w:type="spellEnd"/>
      <w:r w:rsidRPr="008A3CF9">
        <w:rPr>
          <w:rFonts w:ascii="Arial" w:hAnsi="Arial" w:cs="Arial"/>
          <w:sz w:val="22"/>
          <w:szCs w:val="22"/>
          <w:lang w:val="es-ES"/>
        </w:rPr>
        <w:t xml:space="preserve"> 10.21.</w:t>
      </w:r>
    </w:p>
    <w:p w:rsidR="00F50CF5" w:rsidRPr="008A3CF9" w:rsidRDefault="00F50CF5" w:rsidP="008201F1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50CF5" w:rsidRPr="008A3CF9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</w:t>
    </w:r>
    <w:r w:rsidR="002B6CC7">
      <w:rPr>
        <w:rFonts w:ascii="Arial" w:hAnsi="Arial" w:cs="Arial"/>
        <w:noProof/>
        <w:sz w:val="18"/>
        <w:szCs w:val="18"/>
      </w:rPr>
      <w:t>CMS/COP12/CRP42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  <w:footnote w:id="1">
    <w:p w:rsidR="002B6CC7" w:rsidRDefault="002B6CC7" w:rsidP="002B6CC7">
      <w:pPr>
        <w:pStyle w:val="p1"/>
        <w:rPr>
          <w:rFonts w:ascii="Arial" w:eastAsia="Times New Roman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E19">
        <w:rPr>
          <w:rFonts w:ascii="Arial" w:hAnsi="Arial" w:cs="Arial"/>
          <w:sz w:val="18"/>
          <w:szCs w:val="18"/>
        </w:rPr>
        <w:t>Ahora</w:t>
      </w:r>
      <w:proofErr w:type="spellEnd"/>
      <w:r w:rsidRPr="00B01E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E19">
        <w:rPr>
          <w:rFonts w:ascii="Arial" w:hAnsi="Arial" w:cs="Arial"/>
          <w:sz w:val="18"/>
          <w:szCs w:val="18"/>
        </w:rPr>
        <w:t>conocida</w:t>
      </w:r>
      <w:proofErr w:type="spellEnd"/>
      <w:r w:rsidRPr="00B01E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E19">
        <w:rPr>
          <w:rFonts w:ascii="Arial" w:hAnsi="Arial" w:cs="Arial"/>
          <w:sz w:val="18"/>
          <w:szCs w:val="18"/>
        </w:rPr>
        <w:t>como</w:t>
      </w:r>
      <w:proofErr w:type="spellEnd"/>
      <w:r w:rsidRPr="00B01E19">
        <w:rPr>
          <w:rFonts w:ascii="Arial" w:hAnsi="Arial" w:cs="Arial"/>
          <w:sz w:val="18"/>
          <w:szCs w:val="18"/>
        </w:rPr>
        <w:t xml:space="preserve"> Wild Migration</w:t>
      </w:r>
      <w:r w:rsidRPr="00B01E19">
        <w:rPr>
          <w:rFonts w:ascii="Arial" w:eastAsia="Times New Roman" w:hAnsi="Arial" w:cs="Arial"/>
          <w:sz w:val="18"/>
          <w:szCs w:val="18"/>
        </w:rPr>
        <w:t xml:space="preserve"> 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006CD1"/>
    <w:multiLevelType w:val="hybridMultilevel"/>
    <w:tmpl w:val="0A50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2B446A"/>
    <w:multiLevelType w:val="hybridMultilevel"/>
    <w:tmpl w:val="A6FA4528"/>
    <w:lvl w:ilvl="0" w:tplc="01DA4F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4B80CDC"/>
    <w:multiLevelType w:val="hybridMultilevel"/>
    <w:tmpl w:val="E69ECFB2"/>
    <w:lvl w:ilvl="0" w:tplc="B45E1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5"/>
  </w:num>
  <w:num w:numId="3">
    <w:abstractNumId w:val="13"/>
  </w:num>
  <w:num w:numId="4">
    <w:abstractNumId w:val="25"/>
  </w:num>
  <w:num w:numId="5">
    <w:abstractNumId w:val="14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9"/>
  </w:num>
  <w:num w:numId="10">
    <w:abstractNumId w:val="24"/>
  </w:num>
  <w:num w:numId="11">
    <w:abstractNumId w:val="40"/>
  </w:num>
  <w:num w:numId="12">
    <w:abstractNumId w:val="4"/>
  </w:num>
  <w:num w:numId="13">
    <w:abstractNumId w:val="21"/>
  </w:num>
  <w:num w:numId="14">
    <w:abstractNumId w:val="36"/>
  </w:num>
  <w:num w:numId="15">
    <w:abstractNumId w:val="2"/>
  </w:num>
  <w:num w:numId="16">
    <w:abstractNumId w:val="12"/>
  </w:num>
  <w:num w:numId="17">
    <w:abstractNumId w:val="41"/>
  </w:num>
  <w:num w:numId="18">
    <w:abstractNumId w:val="23"/>
  </w:num>
  <w:num w:numId="19">
    <w:abstractNumId w:val="38"/>
  </w:num>
  <w:num w:numId="20">
    <w:abstractNumId w:val="46"/>
  </w:num>
  <w:num w:numId="21">
    <w:abstractNumId w:val="5"/>
  </w:num>
  <w:num w:numId="22">
    <w:abstractNumId w:val="19"/>
  </w:num>
  <w:num w:numId="23">
    <w:abstractNumId w:val="27"/>
  </w:num>
  <w:num w:numId="24">
    <w:abstractNumId w:val="17"/>
  </w:num>
  <w:num w:numId="25">
    <w:abstractNumId w:val="31"/>
  </w:num>
  <w:num w:numId="26">
    <w:abstractNumId w:val="0"/>
  </w:num>
  <w:num w:numId="27">
    <w:abstractNumId w:val="43"/>
  </w:num>
  <w:num w:numId="28">
    <w:abstractNumId w:val="8"/>
  </w:num>
  <w:num w:numId="29">
    <w:abstractNumId w:val="22"/>
  </w:num>
  <w:num w:numId="30">
    <w:abstractNumId w:val="15"/>
  </w:num>
  <w:num w:numId="31">
    <w:abstractNumId w:val="29"/>
  </w:num>
  <w:num w:numId="32">
    <w:abstractNumId w:val="28"/>
  </w:num>
  <w:num w:numId="33">
    <w:abstractNumId w:val="7"/>
  </w:num>
  <w:num w:numId="34">
    <w:abstractNumId w:val="20"/>
  </w:num>
  <w:num w:numId="35">
    <w:abstractNumId w:val="16"/>
  </w:num>
  <w:num w:numId="36">
    <w:abstractNumId w:val="32"/>
  </w:num>
  <w:num w:numId="37">
    <w:abstractNumId w:val="35"/>
  </w:num>
  <w:num w:numId="38">
    <w:abstractNumId w:val="11"/>
  </w:num>
  <w:num w:numId="39">
    <w:abstractNumId w:val="30"/>
  </w:num>
  <w:num w:numId="40">
    <w:abstractNumId w:val="44"/>
  </w:num>
  <w:num w:numId="41">
    <w:abstractNumId w:val="26"/>
  </w:num>
  <w:num w:numId="42">
    <w:abstractNumId w:val="18"/>
  </w:num>
  <w:num w:numId="43">
    <w:abstractNumId w:val="10"/>
  </w:num>
  <w:num w:numId="44">
    <w:abstractNumId w:val="3"/>
  </w:num>
  <w:num w:numId="45">
    <w:abstractNumId w:val="6"/>
  </w:num>
  <w:num w:numId="46">
    <w:abstractNumId w:val="37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B6CC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0467"/>
    <w:rsid w:val="005C3F15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01F1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A3CF9"/>
    <w:rsid w:val="008B1A69"/>
    <w:rsid w:val="008C1A39"/>
    <w:rsid w:val="008E7DFB"/>
    <w:rsid w:val="008F2373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E5F90"/>
    <w:rsid w:val="00CF21A2"/>
    <w:rsid w:val="00CF6EDD"/>
    <w:rsid w:val="00D05922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AF5FE8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p1">
    <w:name w:val="p1"/>
    <w:basedOn w:val="Normal"/>
    <w:rsid w:val="002B6CC7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4</TotalTime>
  <Pages>5</Pages>
  <Words>2411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4</cp:revision>
  <cp:lastPrinted>2017-03-22T12:39:00Z</cp:lastPrinted>
  <dcterms:created xsi:type="dcterms:W3CDTF">2017-10-27T16:17:00Z</dcterms:created>
  <dcterms:modified xsi:type="dcterms:W3CDTF">2017-10-27T17:20:00Z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