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Layout w:type="fixed"/>
        <w:tblCellMar>
          <w:top w:w="198" w:type="dxa"/>
        </w:tblCellMar>
        <w:tblLook w:val="0000" w:firstRow="0" w:lastRow="0" w:firstColumn="0" w:lastColumn="0" w:noHBand="0" w:noVBand="0"/>
      </w:tblPr>
      <w:tblGrid>
        <w:gridCol w:w="1384"/>
        <w:gridCol w:w="4536"/>
        <w:gridCol w:w="3402"/>
      </w:tblGrid>
      <w:tr w:rsidR="00190D70" w:rsidRPr="00735ED8" w:rsidTr="009B0BC0">
        <w:trPr>
          <w:trHeight w:val="725"/>
        </w:trPr>
        <w:tc>
          <w:tcPr>
            <w:tcW w:w="9322" w:type="dxa"/>
            <w:gridSpan w:val="3"/>
            <w:tcBorders>
              <w:top w:val="nil"/>
              <w:left w:val="nil"/>
              <w:bottom w:val="single" w:sz="12" w:space="0" w:color="auto"/>
              <w:right w:val="nil"/>
            </w:tcBorders>
            <w:tcMar>
              <w:top w:w="85" w:type="dxa"/>
              <w:left w:w="108" w:type="dxa"/>
              <w:bottom w:w="0" w:type="dxa"/>
              <w:right w:w="108" w:type="dxa"/>
            </w:tcMar>
          </w:tcPr>
          <w:p w:rsidR="00190D70" w:rsidRPr="00735ED8" w:rsidRDefault="00E91ABE" w:rsidP="009B0BC0">
            <w:pPr>
              <w:tabs>
                <w:tab w:val="left" w:pos="-1057"/>
                <w:tab w:val="left" w:pos="-720"/>
                <w:tab w:val="left" w:pos="0"/>
                <w:tab w:val="left" w:pos="141"/>
                <w:tab w:val="left" w:pos="720"/>
                <w:tab w:val="right" w:pos="9106"/>
              </w:tabs>
              <w:rPr>
                <w:lang w:val="es-ES"/>
              </w:rPr>
            </w:pPr>
            <w:r>
              <w:rPr>
                <w:noProof/>
              </w:rPr>
              <w:drawing>
                <wp:anchor distT="0" distB="0" distL="114300" distR="114300" simplePos="0" relativeHeight="251657216" behindDoc="1" locked="0" layoutInCell="1" allowOverlap="1">
                  <wp:simplePos x="0" y="0"/>
                  <wp:positionH relativeFrom="column">
                    <wp:posOffset>-77470</wp:posOffset>
                  </wp:positionH>
                  <wp:positionV relativeFrom="paragraph">
                    <wp:posOffset>45085</wp:posOffset>
                  </wp:positionV>
                  <wp:extent cx="326390" cy="374015"/>
                  <wp:effectExtent l="0" t="0" r="0" b="6985"/>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2478" t="-96" r="-2478" b="-96"/>
                          <a:stretch>
                            <a:fillRect/>
                          </a:stretch>
                        </pic:blipFill>
                        <pic:spPr bwMode="auto">
                          <a:xfrm>
                            <a:off x="0" y="0"/>
                            <a:ext cx="326390" cy="374015"/>
                          </a:xfrm>
                          <a:prstGeom prst="rect">
                            <a:avLst/>
                          </a:prstGeom>
                          <a:noFill/>
                          <a:ln>
                            <a:noFill/>
                          </a:ln>
                        </pic:spPr>
                      </pic:pic>
                    </a:graphicData>
                  </a:graphic>
                  <wp14:sizeRelH relativeFrom="page">
                    <wp14:pctWidth>0</wp14:pctWidth>
                  </wp14:sizeRelH>
                  <wp14:sizeRelV relativeFrom="page">
                    <wp14:pctHeight>0</wp14:pctHeight>
                  </wp14:sizeRelV>
                </wp:anchor>
              </w:drawing>
            </w:r>
            <w:r w:rsidR="00190D70" w:rsidRPr="00735ED8">
              <w:rPr>
                <w:lang w:val="es-ES"/>
              </w:rPr>
              <w:t xml:space="preserve">       </w:t>
            </w:r>
            <w:r>
              <w:rPr>
                <w:noProof/>
              </w:rPr>
              <w:drawing>
                <wp:inline distT="0" distB="0" distL="0" distR="0">
                  <wp:extent cx="365760" cy="38735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2766" t="-1329" r="60167" b="48798"/>
                          <a:stretch>
                            <a:fillRect/>
                          </a:stretch>
                        </pic:blipFill>
                        <pic:spPr bwMode="auto">
                          <a:xfrm>
                            <a:off x="0" y="0"/>
                            <a:ext cx="365760" cy="387350"/>
                          </a:xfrm>
                          <a:prstGeom prst="rect">
                            <a:avLst/>
                          </a:prstGeom>
                          <a:noFill/>
                          <a:ln>
                            <a:noFill/>
                          </a:ln>
                        </pic:spPr>
                      </pic:pic>
                    </a:graphicData>
                  </a:graphic>
                </wp:inline>
              </w:drawing>
            </w:r>
            <w:r w:rsidR="00190D70" w:rsidRPr="00735ED8">
              <w:rPr>
                <w:lang w:val="es-ES"/>
              </w:rPr>
              <w:tab/>
            </w:r>
            <w:r w:rsidR="00190D70" w:rsidRPr="00735ED8">
              <w:rPr>
                <w:rFonts w:ascii="Arial" w:hAnsi="Arial" w:cs="Arial"/>
                <w:b/>
                <w:sz w:val="36"/>
                <w:szCs w:val="36"/>
                <w:lang w:val="es-ES"/>
              </w:rPr>
              <w:t>CMS</w:t>
            </w:r>
          </w:p>
        </w:tc>
      </w:tr>
      <w:tr w:rsidR="00190D70" w:rsidRPr="0092339E" w:rsidTr="009B0BC0">
        <w:trPr>
          <w:trHeight w:val="1518"/>
        </w:trPr>
        <w:tc>
          <w:tcPr>
            <w:tcW w:w="1384"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E91ABE" w:rsidP="009B0BC0">
            <w:pPr>
              <w:ind w:left="-142"/>
              <w:rPr>
                <w:lang w:val="es-ES"/>
              </w:rPr>
            </w:pPr>
            <w:r>
              <w:rPr>
                <w:noProof/>
              </w:rPr>
              <w:drawing>
                <wp:inline distT="0" distB="0" distL="0" distR="0">
                  <wp:extent cx="774700" cy="774700"/>
                  <wp:effectExtent l="0" t="0" r="6350" b="635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2541" t="-722" r="-2541" b="-722"/>
                          <a:stretch>
                            <a:fillRect/>
                          </a:stretch>
                        </pic:blipFill>
                        <pic:spPr bwMode="auto">
                          <a:xfrm>
                            <a:off x="0" y="0"/>
                            <a:ext cx="774700" cy="774700"/>
                          </a:xfrm>
                          <a:prstGeom prst="rect">
                            <a:avLst/>
                          </a:prstGeom>
                          <a:noFill/>
                          <a:ln>
                            <a:noFill/>
                          </a:ln>
                        </pic:spPr>
                      </pic:pic>
                    </a:graphicData>
                  </a:graphic>
                </wp:inline>
              </w:drawing>
            </w:r>
          </w:p>
          <w:p w:rsidR="00190D70" w:rsidRPr="00735ED8" w:rsidRDefault="00190D70" w:rsidP="00A13D43">
            <w:pPr>
              <w:rPr>
                <w:lang w:val="es-ES"/>
              </w:rPr>
            </w:pPr>
          </w:p>
        </w:tc>
        <w:tc>
          <w:tcPr>
            <w:tcW w:w="4536" w:type="dxa"/>
            <w:tcBorders>
              <w:top w:val="single" w:sz="12" w:space="0" w:color="auto"/>
              <w:left w:val="nil"/>
              <w:bottom w:val="single" w:sz="12" w:space="0" w:color="auto"/>
              <w:right w:val="nil"/>
            </w:tcBorders>
            <w:tcMar>
              <w:top w:w="85" w:type="dxa"/>
              <w:left w:w="108" w:type="dxa"/>
              <w:bottom w:w="0" w:type="dxa"/>
              <w:right w:w="108" w:type="dxa"/>
            </w:tcMar>
          </w:tcPr>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CONVENCIÓN SOBRE</w:t>
            </w:r>
          </w:p>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LAS ESPECIES</w:t>
            </w:r>
          </w:p>
          <w:p w:rsidR="00190D70" w:rsidRPr="000D3074" w:rsidRDefault="00190D70" w:rsidP="00877009">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40"/>
                <w:szCs w:val="40"/>
                <w:lang w:val="es-ES" w:eastAsia="en-US"/>
              </w:rPr>
            </w:pPr>
            <w:r w:rsidRPr="009B0BC0">
              <w:rPr>
                <w:rFonts w:ascii="Arial" w:hAnsi="Arial" w:cs="Arial"/>
                <w:bCs w:val="0"/>
                <w:sz w:val="40"/>
                <w:szCs w:val="40"/>
                <w:lang w:val="es-ES" w:eastAsia="en-US"/>
              </w:rPr>
              <w:t>MIGRATORIAS</w:t>
            </w:r>
          </w:p>
        </w:tc>
        <w:tc>
          <w:tcPr>
            <w:tcW w:w="3402"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190D70" w:rsidP="000D3074">
            <w:pPr>
              <w:widowControl w:val="0"/>
              <w:rPr>
                <w:rFonts w:ascii="Arial" w:hAnsi="Arial" w:cs="Arial"/>
                <w:sz w:val="22"/>
                <w:lang w:val="es-ES"/>
              </w:rPr>
            </w:pPr>
            <w:r w:rsidRPr="00735ED8">
              <w:rPr>
                <w:rFonts w:ascii="Arial" w:hAnsi="Arial" w:cs="Arial"/>
                <w:sz w:val="22"/>
                <w:lang w:val="es-ES"/>
              </w:rPr>
              <w:t>Distribución: General</w:t>
            </w:r>
          </w:p>
          <w:p w:rsidR="00190D70" w:rsidRPr="00735ED8" w:rsidRDefault="00190D70" w:rsidP="000D3074">
            <w:pPr>
              <w:widowControl w:val="0"/>
              <w:rPr>
                <w:rFonts w:ascii="Arial" w:hAnsi="Arial" w:cs="Arial"/>
                <w:sz w:val="22"/>
                <w:lang w:val="es-ES"/>
              </w:rPr>
            </w:pPr>
          </w:p>
          <w:p w:rsidR="00190D70" w:rsidRPr="00E700B3" w:rsidRDefault="00190D70" w:rsidP="000D3074">
            <w:pPr>
              <w:widowControl w:val="0"/>
              <w:rPr>
                <w:rFonts w:ascii="Arial" w:hAnsi="Arial" w:cs="Arial"/>
                <w:spacing w:val="-6"/>
                <w:sz w:val="20"/>
                <w:szCs w:val="20"/>
                <w:lang w:val="pt-PT"/>
              </w:rPr>
            </w:pPr>
            <w:r w:rsidRPr="00E700B3">
              <w:rPr>
                <w:rFonts w:ascii="Arial" w:hAnsi="Arial" w:cs="Arial"/>
                <w:spacing w:val="-6"/>
                <w:sz w:val="20"/>
                <w:szCs w:val="20"/>
                <w:lang w:val="pt-PT"/>
              </w:rPr>
              <w:t>PNUMA/CMS/</w:t>
            </w:r>
            <w:r w:rsidR="00877009" w:rsidRPr="00E700B3">
              <w:rPr>
                <w:rFonts w:ascii="Arial" w:hAnsi="Arial" w:cs="Arial"/>
                <w:spacing w:val="-6"/>
                <w:sz w:val="20"/>
                <w:szCs w:val="20"/>
                <w:lang w:val="pt-PT"/>
              </w:rPr>
              <w:t>COP11/</w:t>
            </w:r>
            <w:r w:rsidR="0092339E">
              <w:rPr>
                <w:rFonts w:ascii="Arial" w:hAnsi="Arial" w:cs="Arial"/>
                <w:spacing w:val="-6"/>
                <w:sz w:val="20"/>
                <w:szCs w:val="20"/>
                <w:lang w:val="pt-PT"/>
              </w:rPr>
              <w:t>Doc.23.1</w:t>
            </w:r>
            <w:r w:rsidR="00E700B3" w:rsidRPr="00E700B3">
              <w:rPr>
                <w:rFonts w:ascii="Arial" w:hAnsi="Arial" w:cs="Arial"/>
                <w:spacing w:val="-6"/>
                <w:sz w:val="20"/>
                <w:szCs w:val="20"/>
                <w:lang w:val="pt-PT"/>
              </w:rPr>
              <w:t>.5.1</w:t>
            </w:r>
          </w:p>
          <w:p w:rsidR="00190D70" w:rsidRPr="00735ED8" w:rsidRDefault="00E700B3" w:rsidP="000D3074">
            <w:pPr>
              <w:widowControl w:val="0"/>
              <w:rPr>
                <w:rFonts w:ascii="Arial" w:hAnsi="Arial" w:cs="Arial"/>
                <w:sz w:val="22"/>
                <w:lang w:val="es-ES"/>
              </w:rPr>
            </w:pPr>
            <w:r>
              <w:rPr>
                <w:rFonts w:ascii="Arial" w:hAnsi="Arial" w:cs="Arial"/>
                <w:sz w:val="22"/>
                <w:lang w:val="es-ES"/>
              </w:rPr>
              <w:t xml:space="preserve">12 de agosto de </w:t>
            </w:r>
            <w:r w:rsidR="00190D70" w:rsidRPr="00735ED8">
              <w:rPr>
                <w:rFonts w:ascii="Arial" w:hAnsi="Arial" w:cs="Arial"/>
                <w:sz w:val="22"/>
                <w:lang w:val="es-ES"/>
              </w:rPr>
              <w:t>201</w:t>
            </w:r>
            <w:r w:rsidR="00190D70">
              <w:rPr>
                <w:rFonts w:ascii="Arial" w:hAnsi="Arial" w:cs="Arial"/>
                <w:sz w:val="22"/>
                <w:lang w:val="es-ES"/>
              </w:rPr>
              <w:t>4</w:t>
            </w:r>
          </w:p>
          <w:p w:rsidR="00190D70" w:rsidRPr="00735ED8" w:rsidRDefault="00190D70" w:rsidP="000D3074">
            <w:pPr>
              <w:widowControl w:val="0"/>
              <w:rPr>
                <w:rFonts w:ascii="Arial" w:hAnsi="Arial" w:cs="Arial"/>
                <w:sz w:val="22"/>
                <w:lang w:val="es-ES"/>
              </w:rPr>
            </w:pPr>
          </w:p>
          <w:p w:rsidR="00190D70" w:rsidRPr="00735ED8" w:rsidRDefault="00190D70" w:rsidP="000D3074">
            <w:pPr>
              <w:widowControl w:val="0"/>
              <w:rPr>
                <w:rFonts w:ascii="Arial" w:hAnsi="Arial" w:cs="Arial"/>
                <w:sz w:val="22"/>
                <w:lang w:val="es-ES"/>
              </w:rPr>
            </w:pPr>
            <w:r w:rsidRPr="00735ED8">
              <w:rPr>
                <w:rFonts w:ascii="Arial" w:hAnsi="Arial" w:cs="Arial"/>
                <w:sz w:val="22"/>
                <w:lang w:val="es-ES"/>
              </w:rPr>
              <w:t>Español</w:t>
            </w:r>
          </w:p>
          <w:p w:rsidR="00190D70" w:rsidRPr="00735ED8" w:rsidRDefault="00190D70" w:rsidP="000D3074">
            <w:pPr>
              <w:widowControl w:val="0"/>
              <w:rPr>
                <w:lang w:val="es-ES"/>
              </w:rPr>
            </w:pPr>
            <w:r w:rsidRPr="00735ED8">
              <w:rPr>
                <w:rFonts w:ascii="Arial" w:hAnsi="Arial" w:cs="Arial"/>
                <w:sz w:val="22"/>
                <w:lang w:val="es-ES"/>
              </w:rPr>
              <w:t>Original: Inglés</w:t>
            </w:r>
          </w:p>
        </w:tc>
      </w:tr>
    </w:tbl>
    <w:p w:rsidR="00877009" w:rsidRDefault="00877009" w:rsidP="00877009">
      <w:pPr>
        <w:rPr>
          <w:sz w:val="22"/>
          <w:lang w:val="es-ES_tradnl"/>
        </w:rPr>
      </w:pPr>
      <w:r>
        <w:rPr>
          <w:sz w:val="22"/>
          <w:lang w:val="es-ES_tradnl"/>
        </w:rPr>
        <w:t>11</w:t>
      </w:r>
      <w:r>
        <w:rPr>
          <w:sz w:val="22"/>
          <w:vertAlign w:val="superscript"/>
          <w:lang w:val="es-ES_tradnl"/>
        </w:rPr>
        <w:t>a</w:t>
      </w:r>
      <w:r>
        <w:rPr>
          <w:sz w:val="22"/>
          <w:lang w:val="es-ES_tradnl"/>
        </w:rPr>
        <w:t xml:space="preserve"> REUNIÓN DE LA CONFERENCIA DE LAS PARTES</w:t>
      </w:r>
    </w:p>
    <w:p w:rsidR="00877009" w:rsidRDefault="00877009" w:rsidP="00877009">
      <w:pPr>
        <w:rPr>
          <w:sz w:val="22"/>
          <w:lang w:val="es-ES_tradnl"/>
        </w:rPr>
      </w:pPr>
      <w:r>
        <w:rPr>
          <w:sz w:val="22"/>
          <w:lang w:val="es-ES_tradnl"/>
        </w:rPr>
        <w:t>Quito, Ecuador, del 4 al 9 de noviembre del 2014</w:t>
      </w:r>
    </w:p>
    <w:p w:rsidR="00877009" w:rsidRDefault="00877009" w:rsidP="00877009">
      <w:pPr>
        <w:spacing w:line="228" w:lineRule="auto"/>
        <w:rPr>
          <w:iCs/>
          <w:sz w:val="22"/>
          <w:szCs w:val="24"/>
          <w:lang w:val="es-ES_tradnl"/>
        </w:rPr>
      </w:pPr>
      <w:r>
        <w:rPr>
          <w:sz w:val="22"/>
          <w:szCs w:val="23"/>
          <w:lang w:val="es-ES_tradnl"/>
        </w:rPr>
        <w:t xml:space="preserve">Punto </w:t>
      </w:r>
      <w:r w:rsidR="0092339E">
        <w:rPr>
          <w:sz w:val="22"/>
          <w:szCs w:val="23"/>
          <w:lang w:val="es-ES_tradnl"/>
        </w:rPr>
        <w:t>23.1</w:t>
      </w:r>
      <w:r w:rsidR="00E700B3">
        <w:rPr>
          <w:sz w:val="22"/>
          <w:szCs w:val="23"/>
          <w:lang w:val="es-ES_tradnl"/>
        </w:rPr>
        <w:t xml:space="preserve">.5 </w:t>
      </w:r>
      <w:r>
        <w:rPr>
          <w:sz w:val="22"/>
          <w:szCs w:val="23"/>
          <w:lang w:val="es-ES_tradnl"/>
        </w:rPr>
        <w:t>del orden del día</w:t>
      </w:r>
    </w:p>
    <w:p w:rsidR="00871D3F" w:rsidRPr="00795426" w:rsidRDefault="00871D3F">
      <w:pPr>
        <w:rPr>
          <w:szCs w:val="24"/>
          <w:lang w:val="es-ES"/>
        </w:rPr>
      </w:pPr>
    </w:p>
    <w:p w:rsidR="00795426" w:rsidRPr="00795426" w:rsidRDefault="00795426" w:rsidP="0092339E">
      <w:pPr>
        <w:jc w:val="center"/>
        <w:rPr>
          <w:szCs w:val="24"/>
          <w:lang w:val="es-ES"/>
        </w:rPr>
      </w:pPr>
    </w:p>
    <w:p w:rsidR="00E700B3" w:rsidRPr="00E700B3" w:rsidRDefault="00E700B3" w:rsidP="0092339E">
      <w:pPr>
        <w:widowControl w:val="0"/>
        <w:autoSpaceDE w:val="0"/>
        <w:autoSpaceDN w:val="0"/>
        <w:adjustRightInd w:val="0"/>
        <w:jc w:val="center"/>
        <w:rPr>
          <w:rFonts w:eastAsia="Times New Roman"/>
          <w:b/>
          <w:caps/>
          <w:szCs w:val="24"/>
          <w:lang w:val="es-ES"/>
        </w:rPr>
      </w:pPr>
      <w:r w:rsidRPr="00E700B3">
        <w:rPr>
          <w:rFonts w:eastAsia="Times New Roman"/>
          <w:b/>
          <w:caps/>
          <w:szCs w:val="24"/>
          <w:lang w:val="es-ES"/>
        </w:rPr>
        <w:t>INFORME RESUMIDO DEL GRUPO DE TRABAJO SOBRE EL HALCÓN SACRE</w:t>
      </w:r>
    </w:p>
    <w:p w:rsidR="00601422" w:rsidRPr="00795426" w:rsidRDefault="00601422">
      <w:pPr>
        <w:rPr>
          <w:szCs w:val="24"/>
          <w:lang w:val="es-ES"/>
        </w:rPr>
      </w:pPr>
    </w:p>
    <w:p w:rsidR="00761732" w:rsidRPr="00795426" w:rsidRDefault="00761732" w:rsidP="00761732">
      <w:pPr>
        <w:rPr>
          <w:szCs w:val="24"/>
          <w:lang w:val="es-ES"/>
        </w:rPr>
      </w:pPr>
    </w:p>
    <w:p w:rsidR="00761732" w:rsidRPr="00CD7456" w:rsidRDefault="00761732" w:rsidP="00761732">
      <w:pPr>
        <w:rPr>
          <w:sz w:val="2"/>
          <w:szCs w:val="2"/>
          <w:lang w:val="es-ES"/>
        </w:rPr>
      </w:pPr>
    </w:p>
    <w:p w:rsidR="00761732" w:rsidRDefault="00761732" w:rsidP="00761732">
      <w:pPr>
        <w:rPr>
          <w:lang w:val="es-ES"/>
        </w:rPr>
      </w:pPr>
    </w:p>
    <w:p w:rsidR="0014405B" w:rsidRDefault="0014405B" w:rsidP="00761732">
      <w:pPr>
        <w:rPr>
          <w:lang w:val="es-ES"/>
        </w:rPr>
      </w:pPr>
    </w:p>
    <w:p w:rsidR="0014405B" w:rsidRDefault="0014405B" w:rsidP="00761732">
      <w:pPr>
        <w:rPr>
          <w:lang w:val="es-ES"/>
        </w:rPr>
      </w:pPr>
    </w:p>
    <w:p w:rsidR="0014405B" w:rsidRDefault="00E91ABE" w:rsidP="00761732">
      <w:pPr>
        <w:rPr>
          <w:lang w:val="es-ES"/>
        </w:rPr>
      </w:pPr>
      <w:r>
        <w:rPr>
          <w:noProof/>
        </w:rPr>
        <mc:AlternateContent>
          <mc:Choice Requires="wps">
            <w:drawing>
              <wp:anchor distT="0" distB="0" distL="114300" distR="114300" simplePos="0" relativeHeight="251658240" behindDoc="0" locked="0" layoutInCell="1" allowOverlap="1">
                <wp:simplePos x="0" y="0"/>
                <wp:positionH relativeFrom="column">
                  <wp:posOffset>979170</wp:posOffset>
                </wp:positionH>
                <wp:positionV relativeFrom="paragraph">
                  <wp:posOffset>93980</wp:posOffset>
                </wp:positionV>
                <wp:extent cx="4305300" cy="3111500"/>
                <wp:effectExtent l="0" t="0" r="19050" b="1270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111500"/>
                        </a:xfrm>
                        <a:prstGeom prst="rect">
                          <a:avLst/>
                        </a:prstGeom>
                        <a:solidFill>
                          <a:srgbClr val="FFFFFF"/>
                        </a:solidFill>
                        <a:ln w="25400">
                          <a:solidFill>
                            <a:srgbClr val="000000"/>
                          </a:solidFill>
                          <a:miter lim="800000"/>
                          <a:headEnd/>
                          <a:tailEnd/>
                        </a:ln>
                      </wps:spPr>
                      <wps:txbx>
                        <w:txbxContent>
                          <w:p w:rsidR="009B0BC0" w:rsidRPr="00BB441C" w:rsidRDefault="009B0BC0" w:rsidP="009B0BC0">
                            <w:pPr>
                              <w:rPr>
                                <w:lang w:val="es-ES"/>
                              </w:rPr>
                            </w:pPr>
                            <w:r w:rsidRPr="00BB441C">
                              <w:rPr>
                                <w:lang w:val="es-ES"/>
                              </w:rPr>
                              <w:t>Sumario</w:t>
                            </w:r>
                          </w:p>
                          <w:p w:rsidR="009B0BC0" w:rsidRDefault="009B0BC0" w:rsidP="009B0BC0">
                            <w:pPr>
                              <w:rPr>
                                <w:lang w:val="es-ES"/>
                              </w:rPr>
                            </w:pPr>
                          </w:p>
                          <w:p w:rsidR="00E700B3" w:rsidRPr="00E700B3" w:rsidRDefault="00E700B3" w:rsidP="00E700B3">
                            <w:pPr>
                              <w:widowControl w:val="0"/>
                              <w:autoSpaceDE w:val="0"/>
                              <w:autoSpaceDN w:val="0"/>
                              <w:adjustRightInd w:val="0"/>
                              <w:jc w:val="both"/>
                              <w:rPr>
                                <w:rFonts w:eastAsia="Times New Roman"/>
                                <w:szCs w:val="24"/>
                                <w:lang w:val="es-ES_tradnl"/>
                              </w:rPr>
                            </w:pPr>
                            <w:r w:rsidRPr="00E700B3">
                              <w:rPr>
                                <w:rFonts w:eastAsia="Times New Roman"/>
                                <w:szCs w:val="24"/>
                                <w:lang w:val="es-ES_tradnl"/>
                              </w:rPr>
                              <w:t xml:space="preserve">Bajo el punto </w:t>
                            </w:r>
                            <w:r>
                              <w:rPr>
                                <w:rFonts w:eastAsia="Times New Roman"/>
                                <w:szCs w:val="24"/>
                                <w:lang w:val="es-ES_tradnl"/>
                              </w:rPr>
                              <w:t>23.1.5</w:t>
                            </w:r>
                            <w:r w:rsidRPr="00E700B3">
                              <w:rPr>
                                <w:rFonts w:eastAsia="Times New Roman"/>
                                <w:szCs w:val="24"/>
                                <w:lang w:val="es-ES_tradnl"/>
                              </w:rPr>
                              <w:t xml:space="preserve"> del orden del día de la </w:t>
                            </w:r>
                            <w:r w:rsidR="0092339E">
                              <w:rPr>
                                <w:rFonts w:eastAsia="Times New Roman"/>
                                <w:szCs w:val="24"/>
                                <w:lang w:val="es-ES_tradnl"/>
                              </w:rPr>
                              <w:t xml:space="preserve">11ª Conferencia de las Partes </w:t>
                            </w:r>
                            <w:r w:rsidRPr="00E700B3">
                              <w:rPr>
                                <w:rFonts w:eastAsia="Times New Roman"/>
                                <w:szCs w:val="24"/>
                                <w:lang w:val="es-ES_tradnl"/>
                              </w:rPr>
                              <w:t>se presenta</w:t>
                            </w:r>
                            <w:r>
                              <w:rPr>
                                <w:rFonts w:eastAsia="Times New Roman"/>
                                <w:szCs w:val="24"/>
                                <w:lang w:val="es-ES_tradnl"/>
                              </w:rPr>
                              <w:t>n tres documentos de referencia</w:t>
                            </w:r>
                            <w:r w:rsidRPr="00E700B3">
                              <w:rPr>
                                <w:rFonts w:eastAsia="Times New Roman"/>
                                <w:szCs w:val="24"/>
                                <w:lang w:val="es-ES_tradnl"/>
                              </w:rPr>
                              <w:t xml:space="preserve">: esta nota introductoria como informe resumido del Grupo de Trabajo sobre el halcón sacre, </w:t>
                            </w:r>
                            <w:r w:rsidR="001A026F">
                              <w:rPr>
                                <w:rFonts w:eastAsia="Times New Roman"/>
                                <w:szCs w:val="24"/>
                                <w:lang w:val="es-ES_tradnl"/>
                              </w:rPr>
                              <w:t>la versión final</w:t>
                            </w:r>
                            <w:r w:rsidRPr="00E700B3">
                              <w:rPr>
                                <w:rFonts w:eastAsia="Times New Roman"/>
                                <w:szCs w:val="24"/>
                                <w:lang w:val="es-ES_tradnl"/>
                              </w:rPr>
                              <w:t xml:space="preserve"> del Plan de Acción Global para el halcón sacre (PAGSacre) </w:t>
                            </w:r>
                            <w:r w:rsidRPr="00E700B3">
                              <w:rPr>
                                <w:rFonts w:eastAsia="Times New Roman"/>
                                <w:szCs w:val="24"/>
                                <w:lang w:val="es-ES"/>
                              </w:rPr>
                              <w:t>PNUMA/CMS/</w:t>
                            </w:r>
                            <w:r>
                              <w:rPr>
                                <w:rFonts w:eastAsia="Times New Roman"/>
                                <w:szCs w:val="24"/>
                                <w:lang w:val="es-ES"/>
                              </w:rPr>
                              <w:t>COP11/Doc.23.1.5.2</w:t>
                            </w:r>
                            <w:r w:rsidRPr="00E700B3">
                              <w:rPr>
                                <w:rFonts w:eastAsia="Times New Roman"/>
                                <w:szCs w:val="24"/>
                                <w:lang w:val="es-ES"/>
                              </w:rPr>
                              <w:t xml:space="preserve"> y </w:t>
                            </w:r>
                            <w:r w:rsidRPr="00E700B3">
                              <w:rPr>
                                <w:rFonts w:eastAsia="Times New Roman"/>
                                <w:szCs w:val="24"/>
                                <w:lang w:val="es-ES_tradnl"/>
                              </w:rPr>
                              <w:t xml:space="preserve">un proyecto de Resolución anexo a esta nota introductoria. Estos documentos derivan de la Resolución 10.28 de la CMS sobre el halcón sacre </w:t>
                            </w:r>
                            <w:r w:rsidRPr="00E700B3">
                              <w:rPr>
                                <w:rFonts w:eastAsia="Times New Roman"/>
                                <w:i/>
                                <w:szCs w:val="24"/>
                                <w:lang w:val="es-ES_tradnl"/>
                              </w:rPr>
                              <w:t>Falco cherrug</w:t>
                            </w:r>
                            <w:r w:rsidRPr="00E700B3">
                              <w:rPr>
                                <w:rFonts w:eastAsia="Times New Roman"/>
                                <w:szCs w:val="24"/>
                                <w:lang w:val="es-ES_tradnl"/>
                              </w:rPr>
                              <w:t xml:space="preserve"> </w:t>
                            </w:r>
                            <w:r>
                              <w:rPr>
                                <w:rFonts w:eastAsia="Times New Roman"/>
                                <w:szCs w:val="24"/>
                                <w:lang w:val="es-ES_tradnl"/>
                              </w:rPr>
                              <w:t>la cual</w:t>
                            </w:r>
                            <w:r w:rsidRPr="00E700B3">
                              <w:rPr>
                                <w:rFonts w:eastAsia="Times New Roman"/>
                                <w:szCs w:val="24"/>
                                <w:lang w:val="es-ES_tradnl"/>
                              </w:rPr>
                              <w:t xml:space="preserve"> promulgó una Acción Concertada inmediata para la especie, incluyendo la formación de un Grupo de Trabajo sobre el halcón sacre con el fin de unir a los estados del área de distribución, socios y otras partes interesadas para desarrollar un Plan de Acción Global coordinado con un sistema de gestión y seguimiento para conservar la especie.</w:t>
                            </w:r>
                          </w:p>
                          <w:p w:rsidR="00E700B3" w:rsidRPr="00E700B3" w:rsidRDefault="00E700B3" w:rsidP="00E700B3">
                            <w:pPr>
                              <w:widowControl w:val="0"/>
                              <w:autoSpaceDE w:val="0"/>
                              <w:autoSpaceDN w:val="0"/>
                              <w:adjustRightInd w:val="0"/>
                              <w:rPr>
                                <w:rFonts w:eastAsia="Times New Roman"/>
                                <w:szCs w:val="24"/>
                                <w:lang w:val="es-ES"/>
                              </w:rPr>
                            </w:pPr>
                          </w:p>
                          <w:p w:rsidR="00E700B3" w:rsidRDefault="00E700B3" w:rsidP="009B0BC0">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77.1pt;margin-top:7.4pt;width:339pt;height:2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" strokeweight="2pt">
                <v:textbox>
                  <w:txbxContent>
                    <w:p w:rsidR="009B0BC0" w:rsidRPr="00BB441C" w:rsidRDefault="009B0BC0" w:rsidP="009B0BC0">
                      <w:pPr>
                        <w:rPr>
                          <w:lang w:val="es-ES"/>
                        </w:rPr>
                      </w:pPr>
                      <w:r w:rsidRPr="00BB441C">
                        <w:rPr>
                          <w:lang w:val="es-ES"/>
                        </w:rPr>
                        <w:t>Sumario</w:t>
                      </w:r>
                    </w:p>
                    <w:p w:rsidR="009B0BC0" w:rsidRDefault="009B0BC0" w:rsidP="009B0BC0">
                      <w:pPr>
                        <w:rPr>
                          <w:lang w:val="es-ES"/>
                        </w:rPr>
                      </w:pPr>
                    </w:p>
                    <w:p w:rsidR="00E700B3" w:rsidRPr="00E700B3" w:rsidRDefault="00E700B3" w:rsidP="00E700B3">
                      <w:pPr>
                        <w:widowControl w:val="0"/>
                        <w:autoSpaceDE w:val="0"/>
                        <w:autoSpaceDN w:val="0"/>
                        <w:adjustRightInd w:val="0"/>
                        <w:jc w:val="both"/>
                        <w:rPr>
                          <w:rFonts w:eastAsia="Times New Roman"/>
                          <w:szCs w:val="24"/>
                          <w:lang w:val="es-ES_tradnl"/>
                        </w:rPr>
                      </w:pPr>
                      <w:r w:rsidRPr="00E700B3">
                        <w:rPr>
                          <w:rFonts w:eastAsia="Times New Roman"/>
                          <w:szCs w:val="24"/>
                          <w:lang w:val="es-ES_tradnl"/>
                        </w:rPr>
                        <w:t xml:space="preserve">Bajo el punto </w:t>
                      </w:r>
                      <w:r>
                        <w:rPr>
                          <w:rFonts w:eastAsia="Times New Roman"/>
                          <w:szCs w:val="24"/>
                          <w:lang w:val="es-ES_tradnl"/>
                        </w:rPr>
                        <w:t>23.1.5</w:t>
                      </w:r>
                      <w:r w:rsidRPr="00E700B3">
                        <w:rPr>
                          <w:rFonts w:eastAsia="Times New Roman"/>
                          <w:szCs w:val="24"/>
                          <w:lang w:val="es-ES_tradnl"/>
                        </w:rPr>
                        <w:t xml:space="preserve"> del orden del día de la </w:t>
                      </w:r>
                      <w:r w:rsidR="0092339E">
                        <w:rPr>
                          <w:rFonts w:eastAsia="Times New Roman"/>
                          <w:szCs w:val="24"/>
                          <w:lang w:val="es-ES_tradnl"/>
                        </w:rPr>
                        <w:t xml:space="preserve">11ª Conferencia de las Partes </w:t>
                      </w:r>
                      <w:r w:rsidRPr="00E700B3">
                        <w:rPr>
                          <w:rFonts w:eastAsia="Times New Roman"/>
                          <w:szCs w:val="24"/>
                          <w:lang w:val="es-ES_tradnl"/>
                        </w:rPr>
                        <w:t>se presenta</w:t>
                      </w:r>
                      <w:r>
                        <w:rPr>
                          <w:rFonts w:eastAsia="Times New Roman"/>
                          <w:szCs w:val="24"/>
                          <w:lang w:val="es-ES_tradnl"/>
                        </w:rPr>
                        <w:t>n tres documentos de referencia</w:t>
                      </w:r>
                      <w:r w:rsidRPr="00E700B3">
                        <w:rPr>
                          <w:rFonts w:eastAsia="Times New Roman"/>
                          <w:szCs w:val="24"/>
                          <w:lang w:val="es-ES_tradnl"/>
                        </w:rPr>
                        <w:t xml:space="preserve">: esta nota introductoria como informe resumido del Grupo de Trabajo sobre el halcón sacre, </w:t>
                      </w:r>
                      <w:r w:rsidR="001A026F">
                        <w:rPr>
                          <w:rFonts w:eastAsia="Times New Roman"/>
                          <w:szCs w:val="24"/>
                          <w:lang w:val="es-ES_tradnl"/>
                        </w:rPr>
                        <w:t>la versión final</w:t>
                      </w:r>
                      <w:r w:rsidRPr="00E700B3">
                        <w:rPr>
                          <w:rFonts w:eastAsia="Times New Roman"/>
                          <w:szCs w:val="24"/>
                          <w:lang w:val="es-ES_tradnl"/>
                        </w:rPr>
                        <w:t xml:space="preserve"> del Plan de Acción Global para el halcón sacre (PAGSacre) </w:t>
                      </w:r>
                      <w:r w:rsidRPr="00E700B3">
                        <w:rPr>
                          <w:rFonts w:eastAsia="Times New Roman"/>
                          <w:szCs w:val="24"/>
                          <w:lang w:val="es-ES"/>
                        </w:rPr>
                        <w:t>PNUMA/CMS/</w:t>
                      </w:r>
                      <w:r>
                        <w:rPr>
                          <w:rFonts w:eastAsia="Times New Roman"/>
                          <w:szCs w:val="24"/>
                          <w:lang w:val="es-ES"/>
                        </w:rPr>
                        <w:t>COP11/Doc.23.1.5.2</w:t>
                      </w:r>
                      <w:r w:rsidRPr="00E700B3">
                        <w:rPr>
                          <w:rFonts w:eastAsia="Times New Roman"/>
                          <w:szCs w:val="24"/>
                          <w:lang w:val="es-ES"/>
                        </w:rPr>
                        <w:t xml:space="preserve"> y </w:t>
                      </w:r>
                      <w:r w:rsidRPr="00E700B3">
                        <w:rPr>
                          <w:rFonts w:eastAsia="Times New Roman"/>
                          <w:szCs w:val="24"/>
                          <w:lang w:val="es-ES_tradnl"/>
                        </w:rPr>
                        <w:t xml:space="preserve">un proyecto de Resolución anexo a esta nota introductoria. Estos documentos derivan de la Resolución 10.28 de la CMS sobre el halcón sacre </w:t>
                      </w:r>
                      <w:r w:rsidRPr="00E700B3">
                        <w:rPr>
                          <w:rFonts w:eastAsia="Times New Roman"/>
                          <w:i/>
                          <w:szCs w:val="24"/>
                          <w:lang w:val="es-ES_tradnl"/>
                        </w:rPr>
                        <w:t>Falco cherrug</w:t>
                      </w:r>
                      <w:r w:rsidRPr="00E700B3">
                        <w:rPr>
                          <w:rFonts w:eastAsia="Times New Roman"/>
                          <w:szCs w:val="24"/>
                          <w:lang w:val="es-ES_tradnl"/>
                        </w:rPr>
                        <w:t xml:space="preserve"> </w:t>
                      </w:r>
                      <w:r>
                        <w:rPr>
                          <w:rFonts w:eastAsia="Times New Roman"/>
                          <w:szCs w:val="24"/>
                          <w:lang w:val="es-ES_tradnl"/>
                        </w:rPr>
                        <w:t>la cual</w:t>
                      </w:r>
                      <w:r w:rsidRPr="00E700B3">
                        <w:rPr>
                          <w:rFonts w:eastAsia="Times New Roman"/>
                          <w:szCs w:val="24"/>
                          <w:lang w:val="es-ES_tradnl"/>
                        </w:rPr>
                        <w:t xml:space="preserve"> promulgó una Acción Concertada inmediata para la especie, incluyendo la formación de un Grupo de Trabajo sobre el halcón sacre con el fin de unir a los estados del área de distribución, socios y otras partes interesadas para desarrollar un Plan de Acción Global coordinado con un sistema de gestión y seguimiento para conservar la especie.</w:t>
                      </w:r>
                    </w:p>
                    <w:p w:rsidR="00E700B3" w:rsidRPr="00E700B3" w:rsidRDefault="00E700B3" w:rsidP="00E700B3">
                      <w:pPr>
                        <w:widowControl w:val="0"/>
                        <w:autoSpaceDE w:val="0"/>
                        <w:autoSpaceDN w:val="0"/>
                        <w:adjustRightInd w:val="0"/>
                        <w:rPr>
                          <w:rFonts w:eastAsia="Times New Roman"/>
                          <w:szCs w:val="24"/>
                          <w:lang w:val="es-ES"/>
                        </w:rPr>
                      </w:pPr>
                    </w:p>
                    <w:p w:rsidR="00E700B3" w:rsidRDefault="00E700B3" w:rsidP="009B0BC0">
                      <w:pPr>
                        <w:rPr>
                          <w:lang w:val="es-ES"/>
                        </w:rPr>
                      </w:pPr>
                    </w:p>
                  </w:txbxContent>
                </v:textbox>
              </v:shape>
            </w:pict>
          </mc:Fallback>
        </mc:AlternateContent>
      </w: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4A18D3" w:rsidRDefault="004A18D3" w:rsidP="00761732">
      <w:pPr>
        <w:rPr>
          <w:lang w:val="es-ES"/>
        </w:rPr>
      </w:pPr>
    </w:p>
    <w:p w:rsidR="004A18D3" w:rsidRDefault="004A18D3" w:rsidP="00761732">
      <w:pPr>
        <w:rPr>
          <w:lang w:val="es-ES"/>
        </w:rPr>
      </w:pPr>
    </w:p>
    <w:p w:rsidR="004A18D3" w:rsidRDefault="004A18D3" w:rsidP="00761732">
      <w:pPr>
        <w:rPr>
          <w:lang w:val="es-ES"/>
        </w:rPr>
      </w:pPr>
    </w:p>
    <w:p w:rsidR="009B0BC0" w:rsidRDefault="009B0BC0" w:rsidP="00761732">
      <w:pPr>
        <w:rPr>
          <w:lang w:val="es-ES"/>
        </w:rPr>
      </w:pPr>
    </w:p>
    <w:p w:rsidR="008239DA" w:rsidRDefault="008239DA" w:rsidP="00761732">
      <w:pPr>
        <w:rPr>
          <w:lang w:val="es-ES"/>
        </w:rPr>
        <w:sectPr w:rsidR="008239DA" w:rsidSect="00D6057F">
          <w:footerReference w:type="even" r:id="rId12"/>
          <w:footerReference w:type="default" r:id="rId13"/>
          <w:footerReference w:type="first" r:id="rId14"/>
          <w:pgSz w:w="11907" w:h="16840" w:code="9"/>
          <w:pgMar w:top="1134" w:right="1418" w:bottom="1418" w:left="1418" w:header="510" w:footer="510" w:gutter="0"/>
          <w:cols w:space="720"/>
          <w:titlePg/>
          <w:docGrid w:linePitch="360"/>
        </w:sectPr>
      </w:pPr>
    </w:p>
    <w:p w:rsidR="00E700B3" w:rsidRPr="001A026F" w:rsidRDefault="00E700B3" w:rsidP="00E700B3">
      <w:pPr>
        <w:widowControl w:val="0"/>
        <w:autoSpaceDE w:val="0"/>
        <w:autoSpaceDN w:val="0"/>
        <w:adjustRightInd w:val="0"/>
        <w:jc w:val="center"/>
        <w:rPr>
          <w:rFonts w:eastAsia="Times New Roman"/>
          <w:b/>
          <w:caps/>
          <w:szCs w:val="24"/>
          <w:lang w:val="es-ES"/>
        </w:rPr>
      </w:pPr>
      <w:r w:rsidRPr="001A026F">
        <w:rPr>
          <w:rFonts w:eastAsia="Times New Roman"/>
          <w:b/>
          <w:caps/>
          <w:szCs w:val="24"/>
          <w:lang w:val="es-ES"/>
        </w:rPr>
        <w:lastRenderedPageBreak/>
        <w:t>INFORME RESUMIDO DEL GRUPO DE TRABAJO SOBRE EL HALCÓN SACRE</w:t>
      </w:r>
    </w:p>
    <w:p w:rsidR="00E700B3" w:rsidRPr="001A026F" w:rsidRDefault="00E700B3" w:rsidP="00E700B3">
      <w:pPr>
        <w:widowControl w:val="0"/>
        <w:autoSpaceDE w:val="0"/>
        <w:autoSpaceDN w:val="0"/>
        <w:adjustRightInd w:val="0"/>
        <w:rPr>
          <w:rFonts w:eastAsia="Times New Roman"/>
          <w:sz w:val="16"/>
          <w:szCs w:val="16"/>
          <w:lang w:val="es-ES"/>
        </w:rPr>
      </w:pPr>
    </w:p>
    <w:p w:rsidR="00E700B3" w:rsidRPr="001A026F" w:rsidRDefault="00E700B3" w:rsidP="00E700B3">
      <w:pPr>
        <w:widowControl w:val="0"/>
        <w:autoSpaceDE w:val="0"/>
        <w:autoSpaceDN w:val="0"/>
        <w:adjustRightInd w:val="0"/>
        <w:jc w:val="center"/>
        <w:rPr>
          <w:rFonts w:eastAsia="Times New Roman"/>
          <w:i/>
          <w:szCs w:val="24"/>
          <w:lang w:val="es-ES_tradnl"/>
        </w:rPr>
      </w:pPr>
      <w:r w:rsidRPr="001A026F">
        <w:rPr>
          <w:rFonts w:eastAsia="Times New Roman"/>
          <w:i/>
          <w:szCs w:val="24"/>
          <w:lang w:val="es-ES_tradnl"/>
        </w:rPr>
        <w:t>(Preparado por la Unidad de Coordinación del MDE sobre rapaces)</w:t>
      </w:r>
    </w:p>
    <w:p w:rsidR="00E700B3" w:rsidRPr="001A026F" w:rsidRDefault="00E700B3" w:rsidP="00E700B3">
      <w:pPr>
        <w:widowControl w:val="0"/>
        <w:autoSpaceDE w:val="0"/>
        <w:autoSpaceDN w:val="0"/>
        <w:adjustRightInd w:val="0"/>
        <w:jc w:val="both"/>
        <w:rPr>
          <w:rFonts w:eastAsia="Times New Roman"/>
          <w:szCs w:val="24"/>
          <w:lang w:val="es-ES"/>
        </w:rPr>
      </w:pPr>
    </w:p>
    <w:p w:rsidR="00E700B3" w:rsidRPr="001A026F" w:rsidRDefault="00E700B3" w:rsidP="00E700B3">
      <w:pPr>
        <w:widowControl w:val="0"/>
        <w:autoSpaceDE w:val="0"/>
        <w:autoSpaceDN w:val="0"/>
        <w:adjustRightInd w:val="0"/>
        <w:contextualSpacing/>
        <w:jc w:val="both"/>
        <w:rPr>
          <w:rFonts w:eastAsia="Times New Roman"/>
          <w:sz w:val="20"/>
          <w:szCs w:val="24"/>
          <w:lang w:val="es-ES_tradnl"/>
        </w:rPr>
      </w:pPr>
    </w:p>
    <w:p w:rsidR="00E700B3" w:rsidRPr="001A026F" w:rsidRDefault="00E700B3" w:rsidP="001A026F">
      <w:pPr>
        <w:widowControl w:val="0"/>
        <w:numPr>
          <w:ilvl w:val="0"/>
          <w:numId w:val="10"/>
        </w:numPr>
        <w:tabs>
          <w:tab w:val="left" w:pos="0"/>
        </w:tabs>
        <w:autoSpaceDE w:val="0"/>
        <w:autoSpaceDN w:val="0"/>
        <w:adjustRightInd w:val="0"/>
        <w:ind w:left="0" w:firstLine="0"/>
        <w:contextualSpacing/>
        <w:jc w:val="both"/>
        <w:rPr>
          <w:rFonts w:eastAsia="Times New Roman"/>
          <w:szCs w:val="24"/>
          <w:lang w:val="es-ES_tradnl"/>
        </w:rPr>
      </w:pPr>
      <w:r w:rsidRPr="001A026F">
        <w:rPr>
          <w:rFonts w:eastAsia="Times New Roman"/>
          <w:szCs w:val="24"/>
          <w:lang w:val="es-ES_tradnl"/>
        </w:rPr>
        <w:t>La Resolución 10.28</w:t>
      </w:r>
      <w:r w:rsidR="001A026F">
        <w:rPr>
          <w:rFonts w:eastAsia="Times New Roman"/>
          <w:szCs w:val="24"/>
          <w:lang w:val="es-ES_tradnl"/>
        </w:rPr>
        <w:t xml:space="preserve"> de la CMS</w:t>
      </w:r>
      <w:r w:rsidRPr="001A026F">
        <w:rPr>
          <w:rFonts w:eastAsia="Times New Roman"/>
          <w:szCs w:val="24"/>
          <w:lang w:val="es-ES_tradnl"/>
        </w:rPr>
        <w:t xml:space="preserve"> sobre el Halcón Sacre </w:t>
      </w:r>
      <w:r w:rsidRPr="001A026F">
        <w:rPr>
          <w:rFonts w:eastAsia="Times New Roman"/>
          <w:i/>
          <w:szCs w:val="24"/>
          <w:lang w:val="es-ES_tradnl"/>
        </w:rPr>
        <w:t xml:space="preserve">Falco cherrug </w:t>
      </w:r>
      <w:r w:rsidRPr="001A026F">
        <w:rPr>
          <w:rFonts w:eastAsia="Times New Roman"/>
          <w:szCs w:val="24"/>
          <w:lang w:val="es-ES_tradnl"/>
        </w:rPr>
        <w:t>fue adoptada en noviembre de 2011 durante la décima reunión de la Conferencia de las Partes de la CMS (COP10). Estableció una Acción Concertada inmediata, incluyendo la formación de un Grupo de Trabajo sobre el Halcón Sacre (GTHS) bajo los auspicios de la Unidad de Coordinación del Memorando de Entendimiento de la CMS sobre la conservación de las aves de presa migratorias de África y Eurasia (MDE sobre rapaces). La misión general del Grupo de Trabajo era la de unir a los estados del área de distribución, socios y otras partes interesadas para desarrollar un Plan de Acción Global coordinado (PAGSacre), incluyendo un sistema de gestión y seguimiento para la conservación del halcón sacre.</w:t>
      </w:r>
    </w:p>
    <w:p w:rsidR="00E700B3" w:rsidRPr="001A026F" w:rsidRDefault="00E700B3" w:rsidP="00E700B3">
      <w:pPr>
        <w:widowControl w:val="0"/>
        <w:autoSpaceDE w:val="0"/>
        <w:autoSpaceDN w:val="0"/>
        <w:adjustRightInd w:val="0"/>
        <w:contextualSpacing/>
        <w:jc w:val="both"/>
        <w:rPr>
          <w:rFonts w:eastAsia="Times New Roman"/>
          <w:szCs w:val="24"/>
          <w:lang w:val="es-ES"/>
        </w:rPr>
      </w:pPr>
    </w:p>
    <w:p w:rsidR="00E700B3" w:rsidRPr="001A026F" w:rsidRDefault="00E700B3" w:rsidP="001A026F">
      <w:pPr>
        <w:widowControl w:val="0"/>
        <w:numPr>
          <w:ilvl w:val="0"/>
          <w:numId w:val="10"/>
        </w:numPr>
        <w:autoSpaceDE w:val="0"/>
        <w:autoSpaceDN w:val="0"/>
        <w:adjustRightInd w:val="0"/>
        <w:ind w:left="0" w:firstLine="0"/>
        <w:contextualSpacing/>
        <w:jc w:val="both"/>
        <w:rPr>
          <w:rFonts w:eastAsia="Times New Roman"/>
          <w:szCs w:val="24"/>
          <w:lang w:val="es-ES_tradnl"/>
        </w:rPr>
      </w:pPr>
      <w:r w:rsidRPr="001A026F">
        <w:rPr>
          <w:rFonts w:eastAsia="Times New Roman"/>
          <w:szCs w:val="24"/>
          <w:lang w:val="es-ES_tradnl"/>
        </w:rPr>
        <w:t>Conforme a lo dispuesto por la Resolución 10.28, la primera reunión del Grupo de Trabajo tuvo lugar el 29 de marzo de 2012 en Abu Dabi, Emiratos Árabes Unidos (EAU). A ella asistieron 27 participantes de 11 países. En la reunión se eligieron el Presidente y el Vicepresidente del Grupo de Trabajo, se acordaron los Términos de Referencia y un Programa de Trabajo para 2012-2014 y se pidió a la Unidad de Coordinación del MDE sobre rapaces que liderara la redacción del PAGSacre.</w:t>
      </w:r>
    </w:p>
    <w:p w:rsidR="00E700B3" w:rsidRPr="001A026F" w:rsidRDefault="00E700B3" w:rsidP="001A026F">
      <w:pPr>
        <w:widowControl w:val="0"/>
        <w:autoSpaceDE w:val="0"/>
        <w:autoSpaceDN w:val="0"/>
        <w:adjustRightInd w:val="0"/>
        <w:contextualSpacing/>
        <w:rPr>
          <w:rFonts w:eastAsia="Times New Roman"/>
          <w:szCs w:val="24"/>
          <w:lang w:val="es-ES_tradnl"/>
        </w:rPr>
      </w:pPr>
    </w:p>
    <w:p w:rsidR="00E700B3" w:rsidRPr="001A026F" w:rsidRDefault="00E700B3" w:rsidP="001A026F">
      <w:pPr>
        <w:widowControl w:val="0"/>
        <w:numPr>
          <w:ilvl w:val="0"/>
          <w:numId w:val="10"/>
        </w:numPr>
        <w:autoSpaceDE w:val="0"/>
        <w:autoSpaceDN w:val="0"/>
        <w:adjustRightInd w:val="0"/>
        <w:ind w:left="0" w:firstLine="0"/>
        <w:contextualSpacing/>
        <w:jc w:val="both"/>
        <w:rPr>
          <w:rFonts w:eastAsia="Times New Roman"/>
          <w:szCs w:val="24"/>
          <w:lang w:val="es-ES_tradnl"/>
        </w:rPr>
      </w:pPr>
      <w:r w:rsidRPr="001A026F">
        <w:rPr>
          <w:rFonts w:eastAsia="Times New Roman"/>
          <w:szCs w:val="24"/>
          <w:lang w:val="es-ES_tradnl"/>
        </w:rPr>
        <w:t>La Unidad de Coordinación contrató a un consultor Asesor Técnico Especialista en 2012 para facilitar el trabajo del GTHS y para comenzar a desarrollar el PAGSacre. La Unidad de Coordinación estableció una lista de contactos en 80 estados del área de distribución del halcón sacre y ha mantenido comunicación activa con esos países durante el desarrollo del PAGSacre. Las Partes de la CMS asignaron fondos limitados (€10.000) al GTHS en la COP10. Por consiguiente la Unidad de Coordinación dedicó gran parte de 2012 a recaudar fondos.</w:t>
      </w:r>
    </w:p>
    <w:p w:rsidR="00E700B3" w:rsidRPr="001A026F" w:rsidRDefault="00E700B3" w:rsidP="001A026F">
      <w:pPr>
        <w:widowControl w:val="0"/>
        <w:autoSpaceDE w:val="0"/>
        <w:autoSpaceDN w:val="0"/>
        <w:adjustRightInd w:val="0"/>
        <w:contextualSpacing/>
        <w:rPr>
          <w:rFonts w:eastAsia="Times New Roman"/>
          <w:szCs w:val="24"/>
          <w:lang w:val="es-ES_tradnl"/>
        </w:rPr>
      </w:pPr>
    </w:p>
    <w:p w:rsidR="00E700B3" w:rsidRPr="001A026F" w:rsidRDefault="00E700B3" w:rsidP="001A026F">
      <w:pPr>
        <w:widowControl w:val="0"/>
        <w:numPr>
          <w:ilvl w:val="0"/>
          <w:numId w:val="10"/>
        </w:numPr>
        <w:autoSpaceDE w:val="0"/>
        <w:autoSpaceDN w:val="0"/>
        <w:adjustRightInd w:val="0"/>
        <w:ind w:left="0" w:firstLine="0"/>
        <w:contextualSpacing/>
        <w:jc w:val="both"/>
        <w:rPr>
          <w:rFonts w:eastAsia="Times New Roman"/>
          <w:szCs w:val="24"/>
          <w:lang w:val="es-ES_tradnl"/>
        </w:rPr>
      </w:pPr>
      <w:r w:rsidRPr="001A026F">
        <w:rPr>
          <w:rFonts w:eastAsia="Times New Roman"/>
          <w:szCs w:val="24"/>
          <w:lang w:val="es-ES_tradnl"/>
        </w:rPr>
        <w:t>En consonancia con la Resolución 10.28, el Presidente del GTHS presentó un informe a la primera Reunión de los Signatarios del MDE sobre rapaces, celebrada en diciembre de 2012 en Abu Dabi, EAU. A finales de 2012, la Unidad de Coordinación había asegurado un apoyo económico considerable procedente de las tres fuentes siguientes: la Autoridad Saudí para la naturaleza en nombre del Gobierno del Reino de Arabia Saudita, una subvención bajo el Acuerdo de Cooperación ENTRP entre la Comisión Europea (DG Medio Ambiente) y el PNUMA; y a través de u</w:t>
      </w:r>
      <w:r w:rsidR="00E91ABE" w:rsidRPr="001A026F">
        <w:rPr>
          <w:rFonts w:eastAsia="Times New Roman"/>
          <w:szCs w:val="24"/>
          <w:lang w:val="es-ES_tradnl"/>
        </w:rPr>
        <w:t>n A</w:t>
      </w:r>
      <w:r w:rsidRPr="001A026F">
        <w:rPr>
          <w:rFonts w:eastAsia="Times New Roman"/>
          <w:szCs w:val="24"/>
          <w:lang w:val="es-ES_tradnl"/>
        </w:rPr>
        <w:t>cuerdo de C</w:t>
      </w:r>
      <w:r w:rsidR="00A96DFC" w:rsidRPr="001A026F">
        <w:rPr>
          <w:rFonts w:eastAsia="Times New Roman"/>
          <w:szCs w:val="24"/>
          <w:lang w:val="es-ES_tradnl"/>
        </w:rPr>
        <w:t>ooperación I</w:t>
      </w:r>
      <w:r w:rsidRPr="001A026F">
        <w:rPr>
          <w:rFonts w:eastAsia="Times New Roman"/>
          <w:szCs w:val="24"/>
          <w:lang w:val="es-ES_tradnl"/>
        </w:rPr>
        <w:t>nterna con la Secretaría de CITES.</w:t>
      </w:r>
    </w:p>
    <w:p w:rsidR="00E700B3" w:rsidRPr="001A026F" w:rsidRDefault="00E700B3" w:rsidP="001A026F">
      <w:pPr>
        <w:widowControl w:val="0"/>
        <w:autoSpaceDE w:val="0"/>
        <w:autoSpaceDN w:val="0"/>
        <w:adjustRightInd w:val="0"/>
        <w:contextualSpacing/>
        <w:rPr>
          <w:rFonts w:eastAsia="Times New Roman"/>
          <w:szCs w:val="24"/>
          <w:lang w:val="es-ES_tradnl"/>
        </w:rPr>
      </w:pPr>
    </w:p>
    <w:p w:rsidR="00E700B3" w:rsidRPr="001A026F" w:rsidRDefault="00E700B3" w:rsidP="001A026F">
      <w:pPr>
        <w:widowControl w:val="0"/>
        <w:numPr>
          <w:ilvl w:val="0"/>
          <w:numId w:val="10"/>
        </w:numPr>
        <w:autoSpaceDE w:val="0"/>
        <w:autoSpaceDN w:val="0"/>
        <w:adjustRightInd w:val="0"/>
        <w:ind w:left="0" w:firstLine="0"/>
        <w:contextualSpacing/>
        <w:jc w:val="both"/>
        <w:rPr>
          <w:rFonts w:eastAsia="Times New Roman"/>
          <w:szCs w:val="24"/>
          <w:lang w:val="es-ES_tradnl"/>
        </w:rPr>
      </w:pPr>
      <w:r w:rsidRPr="001A026F">
        <w:rPr>
          <w:rFonts w:eastAsia="Times New Roman"/>
          <w:szCs w:val="24"/>
          <w:lang w:val="es-ES_tradnl"/>
        </w:rPr>
        <w:t>En febrero de 2013 tuvo lugar una reunión del GTHS al completo por teleconferencia en la cual se contó con 18 participantes de 14 países. Se establecieron cuatro Grupos de Trabajo para tratar los siguientes temas: políticas y legislación internacional; análisis de carencias en el conocimiento; uso sostenible de los halcones de origen silvestre; y trabajo de campo, incluyendo metodologías. Además la Unidad de Coordinación encargó un estudio breve con el fin de elaborar un marco de trabajo para la creación de modelos con el fin de integrar la dinámica de poblaciones y el uso sostenible del halcón sacre, que se presentó en julio de 2013.</w:t>
      </w:r>
    </w:p>
    <w:p w:rsidR="00E700B3" w:rsidRPr="001A026F" w:rsidRDefault="00E700B3" w:rsidP="001A026F">
      <w:pPr>
        <w:widowControl w:val="0"/>
        <w:autoSpaceDE w:val="0"/>
        <w:autoSpaceDN w:val="0"/>
        <w:adjustRightInd w:val="0"/>
        <w:rPr>
          <w:rFonts w:eastAsia="Times New Roman"/>
          <w:szCs w:val="24"/>
          <w:lang w:val="es-ES_tradnl"/>
        </w:rPr>
      </w:pPr>
    </w:p>
    <w:p w:rsidR="00E700B3" w:rsidRPr="001A026F" w:rsidRDefault="00E700B3" w:rsidP="001A026F">
      <w:pPr>
        <w:widowControl w:val="0"/>
        <w:numPr>
          <w:ilvl w:val="0"/>
          <w:numId w:val="10"/>
        </w:numPr>
        <w:autoSpaceDE w:val="0"/>
        <w:autoSpaceDN w:val="0"/>
        <w:adjustRightInd w:val="0"/>
        <w:ind w:left="0" w:firstLine="0"/>
        <w:contextualSpacing/>
        <w:jc w:val="both"/>
        <w:rPr>
          <w:rFonts w:eastAsia="Times New Roman"/>
          <w:szCs w:val="24"/>
          <w:lang w:val="es-ES_tradnl"/>
        </w:rPr>
      </w:pPr>
      <w:r w:rsidRPr="001A026F">
        <w:rPr>
          <w:rFonts w:eastAsia="Times New Roman"/>
          <w:szCs w:val="24"/>
          <w:lang w:val="es-ES_tradnl"/>
        </w:rPr>
        <w:t xml:space="preserve">El primer borrador del PAGSacre se publicó en agosto de 2013. Este documento proporcionó la base para las discusiones pormenorizadas que tuvieron lugar en un </w:t>
      </w:r>
      <w:r w:rsidRPr="001A026F">
        <w:rPr>
          <w:rFonts w:eastAsia="Times New Roman"/>
          <w:szCs w:val="24"/>
          <w:lang w:val="es-ES_tradnl"/>
        </w:rPr>
        <w:lastRenderedPageBreak/>
        <w:t>taller de planificación de actividades de los interesados en el GTHS de tres días, celebrado en septiembre de 2013 en Abu Dabi</w:t>
      </w:r>
      <w:r w:rsidR="00A96DFC" w:rsidRPr="001A026F">
        <w:rPr>
          <w:rFonts w:eastAsia="Times New Roman"/>
          <w:szCs w:val="24"/>
          <w:lang w:val="es-ES_tradnl"/>
        </w:rPr>
        <w:t>, EAU</w:t>
      </w:r>
      <w:r w:rsidRPr="001A026F">
        <w:rPr>
          <w:rFonts w:eastAsia="Times New Roman"/>
          <w:szCs w:val="24"/>
          <w:lang w:val="es-ES_tradnl"/>
        </w:rPr>
        <w:t>. Al taller asi</w:t>
      </w:r>
      <w:r w:rsidR="00A96DFC" w:rsidRPr="001A026F">
        <w:rPr>
          <w:rFonts w:eastAsia="Times New Roman"/>
          <w:szCs w:val="24"/>
          <w:lang w:val="es-ES_tradnl"/>
        </w:rPr>
        <w:t xml:space="preserve">stieron más de 70 participantes representantes </w:t>
      </w:r>
      <w:r w:rsidRPr="001A026F">
        <w:rPr>
          <w:rFonts w:eastAsia="Times New Roman"/>
          <w:szCs w:val="24"/>
          <w:lang w:val="es-ES_tradnl"/>
        </w:rPr>
        <w:t>de 31 países, organizaciones intergubernamentales, instituciones, organizaciones no gubernamentales y otros actores interesados. Las deliberaciones acontecidas en el taller sirvieron como referencia para el desarrollo posterior del segundo borrador del PAGSacre.</w:t>
      </w:r>
    </w:p>
    <w:p w:rsidR="00E700B3" w:rsidRPr="001A026F" w:rsidRDefault="00E700B3" w:rsidP="001A026F">
      <w:pPr>
        <w:widowControl w:val="0"/>
        <w:autoSpaceDE w:val="0"/>
        <w:autoSpaceDN w:val="0"/>
        <w:adjustRightInd w:val="0"/>
        <w:contextualSpacing/>
        <w:rPr>
          <w:rFonts w:eastAsia="Times New Roman"/>
          <w:szCs w:val="24"/>
          <w:lang w:val="es-ES_tradnl"/>
        </w:rPr>
      </w:pPr>
    </w:p>
    <w:p w:rsidR="00E700B3" w:rsidRPr="001A026F" w:rsidRDefault="00E700B3" w:rsidP="001A026F">
      <w:pPr>
        <w:widowControl w:val="0"/>
        <w:numPr>
          <w:ilvl w:val="0"/>
          <w:numId w:val="10"/>
        </w:numPr>
        <w:autoSpaceDE w:val="0"/>
        <w:autoSpaceDN w:val="0"/>
        <w:adjustRightInd w:val="0"/>
        <w:ind w:left="0" w:firstLine="0"/>
        <w:contextualSpacing/>
        <w:jc w:val="both"/>
        <w:rPr>
          <w:rFonts w:eastAsia="Times New Roman"/>
          <w:szCs w:val="24"/>
          <w:lang w:val="es-ES_tradnl"/>
        </w:rPr>
      </w:pPr>
      <w:r w:rsidRPr="001A026F">
        <w:rPr>
          <w:rFonts w:eastAsia="Times New Roman"/>
          <w:szCs w:val="24"/>
          <w:lang w:val="es-ES_tradnl"/>
        </w:rPr>
        <w:t>La segunda reunión del Grupo de Trabajo se celebró paralelamente al taller de los interesados en septiembre de 2013. La reunión estudió acciones de la primera reunión del GTHS, identificó asuntos clave del taller de los interesados, el plazo de tiempo necesario para finalizar el PAGSacre y consideró opciones par</w:t>
      </w:r>
      <w:r w:rsidR="00A96DFC" w:rsidRPr="001A026F">
        <w:rPr>
          <w:rFonts w:eastAsia="Times New Roman"/>
          <w:szCs w:val="24"/>
          <w:lang w:val="es-ES_tradnl"/>
        </w:rPr>
        <w:t>a promover e implementar un</w:t>
      </w:r>
      <w:r w:rsidRPr="001A026F">
        <w:rPr>
          <w:rFonts w:eastAsia="Times New Roman"/>
          <w:szCs w:val="24"/>
          <w:lang w:val="es-ES_tradnl"/>
        </w:rPr>
        <w:t xml:space="preserve"> PAGSacre, incluyendo su financiación.</w:t>
      </w:r>
    </w:p>
    <w:p w:rsidR="00E700B3" w:rsidRPr="001A026F" w:rsidRDefault="00E700B3" w:rsidP="001A026F">
      <w:pPr>
        <w:widowControl w:val="0"/>
        <w:autoSpaceDE w:val="0"/>
        <w:autoSpaceDN w:val="0"/>
        <w:adjustRightInd w:val="0"/>
        <w:contextualSpacing/>
        <w:rPr>
          <w:rFonts w:eastAsia="Times New Roman"/>
          <w:szCs w:val="24"/>
          <w:lang w:val="es-ES"/>
        </w:rPr>
      </w:pPr>
    </w:p>
    <w:p w:rsidR="00E700B3" w:rsidRPr="001A026F" w:rsidRDefault="00A96DFC" w:rsidP="001A026F">
      <w:pPr>
        <w:widowControl w:val="0"/>
        <w:numPr>
          <w:ilvl w:val="0"/>
          <w:numId w:val="10"/>
        </w:numPr>
        <w:autoSpaceDE w:val="0"/>
        <w:autoSpaceDN w:val="0"/>
        <w:adjustRightInd w:val="0"/>
        <w:ind w:left="0" w:firstLine="0"/>
        <w:contextualSpacing/>
        <w:jc w:val="both"/>
        <w:rPr>
          <w:rFonts w:eastAsia="Times New Roman"/>
          <w:szCs w:val="24"/>
          <w:lang w:val="es-ES_tradnl"/>
        </w:rPr>
      </w:pPr>
      <w:r w:rsidRPr="001A026F">
        <w:rPr>
          <w:rFonts w:eastAsia="Times New Roman"/>
          <w:szCs w:val="24"/>
          <w:lang w:val="es-ES"/>
        </w:rPr>
        <w:t>Un</w:t>
      </w:r>
      <w:r w:rsidRPr="001A026F">
        <w:rPr>
          <w:rFonts w:eastAsia="Times New Roman"/>
          <w:szCs w:val="24"/>
          <w:lang w:val="es-ES_tradnl"/>
        </w:rPr>
        <w:t xml:space="preserve"> s</w:t>
      </w:r>
      <w:r w:rsidR="00E700B3" w:rsidRPr="001A026F">
        <w:rPr>
          <w:rFonts w:eastAsia="Times New Roman"/>
          <w:szCs w:val="24"/>
          <w:lang w:val="es-ES_tradnl"/>
        </w:rPr>
        <w:t xml:space="preserve">egundo borrador del PAGSacre fue publicado </w:t>
      </w:r>
      <w:r w:rsidRPr="001A026F">
        <w:rPr>
          <w:rFonts w:eastAsia="Times New Roman"/>
          <w:szCs w:val="24"/>
          <w:lang w:val="es-ES_tradnl"/>
        </w:rPr>
        <w:t xml:space="preserve">en línea </w:t>
      </w:r>
      <w:r w:rsidR="00E700B3" w:rsidRPr="001A026F">
        <w:rPr>
          <w:rFonts w:eastAsia="Times New Roman"/>
          <w:szCs w:val="24"/>
          <w:lang w:val="es-ES_tradnl"/>
        </w:rPr>
        <w:t xml:space="preserve">en febrero de 2014 y </w:t>
      </w:r>
      <w:r w:rsidRPr="001A026F">
        <w:rPr>
          <w:rFonts w:eastAsia="Times New Roman"/>
          <w:szCs w:val="24"/>
          <w:lang w:val="es-ES_tradnl"/>
        </w:rPr>
        <w:t xml:space="preserve">fue sujeto a un ejercicio de </w:t>
      </w:r>
      <w:r w:rsidR="00E700B3" w:rsidRPr="001A026F">
        <w:rPr>
          <w:rFonts w:eastAsia="Times New Roman"/>
          <w:szCs w:val="24"/>
          <w:lang w:val="es-ES_tradnl"/>
        </w:rPr>
        <w:t xml:space="preserve"> consulta pública de dos meses. Se recibieron treinta y ocho respuestas separadas con más de 200 comentarios pormenorizados. Posteriormente, todas estas contribuciones fueron revisadas detalladamente y consideradas para tomarse como referencia a la hora de desarro</w:t>
      </w:r>
      <w:r w:rsidRPr="001A026F">
        <w:rPr>
          <w:rFonts w:eastAsia="Times New Roman"/>
          <w:szCs w:val="24"/>
          <w:lang w:val="es-ES_tradnl"/>
        </w:rPr>
        <w:t>llar un</w:t>
      </w:r>
      <w:r w:rsidR="00E700B3" w:rsidRPr="001A026F">
        <w:rPr>
          <w:rFonts w:eastAsia="Times New Roman"/>
          <w:szCs w:val="24"/>
          <w:lang w:val="es-ES_tradnl"/>
        </w:rPr>
        <w:t xml:space="preserve"> tercer borrador del PAGSacre </w:t>
      </w:r>
      <w:r w:rsidR="00E700B3" w:rsidRPr="001A026F">
        <w:rPr>
          <w:rFonts w:eastAsia="Times New Roman"/>
          <w:szCs w:val="24"/>
          <w:lang w:val="es-ES"/>
        </w:rPr>
        <w:t>(PNUMA/CMS/ScC18/Inf.10.8).</w:t>
      </w:r>
    </w:p>
    <w:p w:rsidR="00E700B3" w:rsidRPr="001A026F" w:rsidRDefault="00E700B3" w:rsidP="001A026F">
      <w:pPr>
        <w:widowControl w:val="0"/>
        <w:autoSpaceDE w:val="0"/>
        <w:autoSpaceDN w:val="0"/>
        <w:adjustRightInd w:val="0"/>
        <w:contextualSpacing/>
        <w:jc w:val="both"/>
        <w:rPr>
          <w:rFonts w:eastAsia="Times New Roman"/>
          <w:szCs w:val="24"/>
          <w:lang w:val="es-ES_tradnl"/>
        </w:rPr>
      </w:pPr>
    </w:p>
    <w:p w:rsidR="008163DB" w:rsidRPr="001A026F" w:rsidRDefault="00A96DFC" w:rsidP="001A026F">
      <w:pPr>
        <w:widowControl w:val="0"/>
        <w:numPr>
          <w:ilvl w:val="0"/>
          <w:numId w:val="10"/>
        </w:numPr>
        <w:autoSpaceDE w:val="0"/>
        <w:autoSpaceDN w:val="0"/>
        <w:adjustRightInd w:val="0"/>
        <w:ind w:left="0" w:firstLine="0"/>
        <w:contextualSpacing/>
        <w:jc w:val="both"/>
        <w:rPr>
          <w:rFonts w:eastAsia="Times New Roman"/>
          <w:szCs w:val="24"/>
          <w:lang w:val="es-ES_tradnl"/>
        </w:rPr>
      </w:pPr>
      <w:r w:rsidRPr="001A026F">
        <w:rPr>
          <w:rFonts w:eastAsia="Times New Roman"/>
          <w:szCs w:val="24"/>
          <w:lang w:val="es-ES_tradnl"/>
        </w:rPr>
        <w:t>De acuerdo al calendario de informe establecido en la Resolución 10.28, el tercer borrador su presentado en la 18ª Reunión del Consejo Científico realizada entre el 1 al 3 de julio de 2014 en Bonn, Alemania. El borrador junto con el</w:t>
      </w:r>
      <w:r w:rsidR="008163DB" w:rsidRPr="001A026F">
        <w:rPr>
          <w:rFonts w:eastAsia="Times New Roman"/>
          <w:szCs w:val="24"/>
          <w:lang w:val="es-ES_tradnl"/>
        </w:rPr>
        <w:t xml:space="preserve"> Informe Resumen del GTHS y el proyecto de resolución fueron de manera unánime aprobados por el Consejo Científico.</w:t>
      </w:r>
    </w:p>
    <w:p w:rsidR="008163DB" w:rsidRPr="001A026F" w:rsidRDefault="008163DB" w:rsidP="001A026F">
      <w:pPr>
        <w:pStyle w:val="ListParagraph"/>
        <w:ind w:left="0"/>
        <w:rPr>
          <w:rFonts w:eastAsia="Times New Roman"/>
          <w:szCs w:val="24"/>
          <w:lang w:val="es-ES_tradnl"/>
        </w:rPr>
      </w:pPr>
    </w:p>
    <w:p w:rsidR="00E700B3" w:rsidRPr="001A026F" w:rsidRDefault="008163DB" w:rsidP="001A026F">
      <w:pPr>
        <w:widowControl w:val="0"/>
        <w:numPr>
          <w:ilvl w:val="0"/>
          <w:numId w:val="10"/>
        </w:numPr>
        <w:autoSpaceDE w:val="0"/>
        <w:autoSpaceDN w:val="0"/>
        <w:adjustRightInd w:val="0"/>
        <w:ind w:left="0" w:firstLine="0"/>
        <w:contextualSpacing/>
        <w:jc w:val="both"/>
        <w:rPr>
          <w:rFonts w:eastAsia="Times New Roman"/>
          <w:szCs w:val="24"/>
          <w:lang w:val="es-ES_tradnl"/>
        </w:rPr>
      </w:pPr>
      <w:r w:rsidRPr="001A026F">
        <w:rPr>
          <w:rFonts w:eastAsia="Times New Roman"/>
          <w:szCs w:val="24"/>
          <w:lang w:val="es-ES_tradnl"/>
        </w:rPr>
        <w:t xml:space="preserve"> Un cuarto borrador del PAGSacre fue circulado para el GTHS para su aprobación final en julio de 2014.  Algunas mejoras menores fueron incorporadas antes de la versión final</w:t>
      </w:r>
      <w:r w:rsidR="00E700B3" w:rsidRPr="001A026F">
        <w:rPr>
          <w:rFonts w:eastAsia="Times New Roman"/>
          <w:szCs w:val="24"/>
          <w:lang w:val="es-ES_tradnl"/>
        </w:rPr>
        <w:t xml:space="preserve"> del borrador por parte del Grupo de Trabajo del Halcón Sacre </w:t>
      </w:r>
      <w:r w:rsidRPr="001A026F">
        <w:rPr>
          <w:rFonts w:eastAsia="Times New Roman"/>
          <w:szCs w:val="24"/>
          <w:lang w:val="es-ES_tradnl"/>
        </w:rPr>
        <w:t>previsto para agosto de 2014.  Y es presentado como PNUMA/CMS/COP11/Doc.23.1.5.2</w:t>
      </w:r>
      <w:r w:rsidR="00E700B3" w:rsidRPr="001A026F">
        <w:rPr>
          <w:rFonts w:eastAsia="Times New Roman"/>
          <w:szCs w:val="24"/>
          <w:lang w:val="es-ES_tradnl"/>
        </w:rPr>
        <w:t>.</w:t>
      </w:r>
    </w:p>
    <w:p w:rsidR="00E700B3" w:rsidRPr="001A026F" w:rsidRDefault="00E700B3" w:rsidP="00E700B3">
      <w:pPr>
        <w:widowControl w:val="0"/>
        <w:autoSpaceDE w:val="0"/>
        <w:autoSpaceDN w:val="0"/>
        <w:adjustRightInd w:val="0"/>
        <w:ind w:left="720"/>
        <w:contextualSpacing/>
        <w:rPr>
          <w:rFonts w:eastAsia="Times New Roman"/>
          <w:szCs w:val="24"/>
          <w:lang w:val="es-ES"/>
        </w:rPr>
      </w:pPr>
    </w:p>
    <w:p w:rsidR="00E700B3" w:rsidRPr="001A026F" w:rsidRDefault="00E700B3" w:rsidP="00E700B3">
      <w:pPr>
        <w:widowControl w:val="0"/>
        <w:autoSpaceDE w:val="0"/>
        <w:autoSpaceDN w:val="0"/>
        <w:adjustRightInd w:val="0"/>
        <w:rPr>
          <w:rFonts w:eastAsia="Times New Roman"/>
          <w:b/>
          <w:i/>
          <w:szCs w:val="24"/>
          <w:u w:val="single"/>
          <w:lang w:val="es-ES_tradnl"/>
        </w:rPr>
      </w:pPr>
      <w:r w:rsidRPr="001A026F">
        <w:rPr>
          <w:rFonts w:eastAsia="Times New Roman"/>
          <w:b/>
          <w:i/>
          <w:szCs w:val="24"/>
          <w:u w:val="single"/>
          <w:lang w:val="es-ES_tradnl"/>
        </w:rPr>
        <w:t>Acción solicitada:</w:t>
      </w:r>
    </w:p>
    <w:p w:rsidR="00E700B3" w:rsidRPr="001A026F" w:rsidRDefault="00E700B3" w:rsidP="00E700B3">
      <w:pPr>
        <w:widowControl w:val="0"/>
        <w:autoSpaceDE w:val="0"/>
        <w:autoSpaceDN w:val="0"/>
        <w:adjustRightInd w:val="0"/>
        <w:rPr>
          <w:rFonts w:eastAsia="Times New Roman"/>
          <w:szCs w:val="24"/>
          <w:lang w:val="es-ES"/>
        </w:rPr>
      </w:pPr>
    </w:p>
    <w:p w:rsidR="00E700B3" w:rsidRPr="001A026F" w:rsidRDefault="00E700B3" w:rsidP="00E700B3">
      <w:pPr>
        <w:widowControl w:val="0"/>
        <w:autoSpaceDE w:val="0"/>
        <w:autoSpaceDN w:val="0"/>
        <w:adjustRightInd w:val="0"/>
        <w:jc w:val="both"/>
        <w:rPr>
          <w:rFonts w:eastAsia="Times New Roman"/>
          <w:szCs w:val="24"/>
          <w:lang w:val="es-ES_tradnl"/>
        </w:rPr>
      </w:pPr>
      <w:r w:rsidRPr="001A026F">
        <w:rPr>
          <w:rFonts w:eastAsia="Times New Roman"/>
          <w:szCs w:val="24"/>
          <w:lang w:val="es-ES_tradnl"/>
        </w:rPr>
        <w:t>Se invita al Consejo Científico a:</w:t>
      </w:r>
    </w:p>
    <w:p w:rsidR="00E700B3" w:rsidRPr="001A026F" w:rsidRDefault="00E700B3" w:rsidP="00E700B3">
      <w:pPr>
        <w:widowControl w:val="0"/>
        <w:jc w:val="both"/>
        <w:rPr>
          <w:rFonts w:eastAsia="Times New Roman"/>
          <w:szCs w:val="24"/>
          <w:lang w:val="es-ES"/>
        </w:rPr>
      </w:pPr>
    </w:p>
    <w:p w:rsidR="008163DB" w:rsidRPr="001A026F" w:rsidRDefault="00E700B3" w:rsidP="00E700B3">
      <w:pPr>
        <w:widowControl w:val="0"/>
        <w:numPr>
          <w:ilvl w:val="0"/>
          <w:numId w:val="14"/>
        </w:numPr>
        <w:autoSpaceDE w:val="0"/>
        <w:autoSpaceDN w:val="0"/>
        <w:adjustRightInd w:val="0"/>
        <w:ind w:hanging="720"/>
        <w:contextualSpacing/>
        <w:jc w:val="both"/>
        <w:rPr>
          <w:rFonts w:eastAsia="Times New Roman"/>
          <w:szCs w:val="24"/>
          <w:lang w:val="es-ES_tradnl"/>
        </w:rPr>
      </w:pPr>
      <w:r w:rsidRPr="001A026F">
        <w:rPr>
          <w:rFonts w:eastAsia="Times New Roman"/>
          <w:szCs w:val="24"/>
          <w:lang w:val="es-ES_tradnl"/>
        </w:rPr>
        <w:t>Tomar nota de este informe resumido del Grupo de Trabajo sobre el Halcón Sacre</w:t>
      </w:r>
      <w:r w:rsidR="008163DB" w:rsidRPr="001A026F">
        <w:rPr>
          <w:rFonts w:eastAsia="Times New Roman"/>
          <w:szCs w:val="24"/>
          <w:lang w:val="es-ES_tradnl"/>
        </w:rPr>
        <w:t>.</w:t>
      </w:r>
    </w:p>
    <w:p w:rsidR="00E91ABE" w:rsidRPr="001A026F" w:rsidRDefault="00E91ABE" w:rsidP="00E91ABE">
      <w:pPr>
        <w:widowControl w:val="0"/>
        <w:autoSpaceDE w:val="0"/>
        <w:autoSpaceDN w:val="0"/>
        <w:adjustRightInd w:val="0"/>
        <w:ind w:left="720"/>
        <w:contextualSpacing/>
        <w:jc w:val="both"/>
        <w:rPr>
          <w:rFonts w:eastAsia="Times New Roman"/>
          <w:szCs w:val="24"/>
          <w:lang w:val="es-ES_tradnl"/>
        </w:rPr>
      </w:pPr>
    </w:p>
    <w:p w:rsidR="00E700B3" w:rsidRPr="001A026F" w:rsidRDefault="00E91ABE" w:rsidP="00E700B3">
      <w:pPr>
        <w:widowControl w:val="0"/>
        <w:numPr>
          <w:ilvl w:val="0"/>
          <w:numId w:val="14"/>
        </w:numPr>
        <w:autoSpaceDE w:val="0"/>
        <w:autoSpaceDN w:val="0"/>
        <w:adjustRightInd w:val="0"/>
        <w:ind w:hanging="720"/>
        <w:contextualSpacing/>
        <w:jc w:val="both"/>
        <w:rPr>
          <w:rFonts w:eastAsia="Times New Roman"/>
          <w:szCs w:val="24"/>
          <w:lang w:val="es-ES_tradnl"/>
        </w:rPr>
      </w:pPr>
      <w:r w:rsidRPr="001A026F">
        <w:rPr>
          <w:rFonts w:eastAsia="Times New Roman"/>
          <w:szCs w:val="24"/>
          <w:lang w:val="es-ES_tradnl"/>
        </w:rPr>
        <w:t xml:space="preserve"> Adoptar la versión final del </w:t>
      </w:r>
      <w:r w:rsidR="00E700B3" w:rsidRPr="001A026F">
        <w:rPr>
          <w:rFonts w:eastAsia="Times New Roman"/>
          <w:szCs w:val="24"/>
          <w:lang w:val="es-ES_tradnl"/>
        </w:rPr>
        <w:t xml:space="preserve">Plan de Acción Global para el halcón sacre (PAGSacre) </w:t>
      </w:r>
      <w:r w:rsidR="00E700B3" w:rsidRPr="001A026F">
        <w:rPr>
          <w:rFonts w:eastAsia="Times New Roman"/>
          <w:szCs w:val="24"/>
          <w:lang w:val="es-ES"/>
        </w:rPr>
        <w:t>(PNUMA</w:t>
      </w:r>
      <w:r w:rsidR="008163DB" w:rsidRPr="001A026F">
        <w:rPr>
          <w:rFonts w:eastAsia="Times New Roman"/>
          <w:szCs w:val="24"/>
          <w:lang w:val="es-ES"/>
        </w:rPr>
        <w:t>/CMS/COP11/Doc. 23.1.5.2)</w:t>
      </w:r>
      <w:r w:rsidR="00E700B3" w:rsidRPr="001A026F">
        <w:rPr>
          <w:rFonts w:eastAsia="Times New Roman"/>
          <w:szCs w:val="24"/>
          <w:lang w:val="es-ES"/>
        </w:rPr>
        <w:t>;</w:t>
      </w:r>
      <w:r w:rsidR="008163DB" w:rsidRPr="001A026F">
        <w:rPr>
          <w:rFonts w:eastAsia="Times New Roman"/>
          <w:szCs w:val="24"/>
          <w:lang w:val="es-ES"/>
        </w:rPr>
        <w:t xml:space="preserve"> </w:t>
      </w:r>
      <w:r w:rsidRPr="001A026F">
        <w:rPr>
          <w:rFonts w:eastAsia="Times New Roman"/>
          <w:szCs w:val="24"/>
          <w:lang w:val="es-ES"/>
        </w:rPr>
        <w:t>y d</w:t>
      </w:r>
      <w:r w:rsidR="00E700B3" w:rsidRPr="001A026F">
        <w:rPr>
          <w:rFonts w:eastAsia="Times New Roman"/>
          <w:szCs w:val="24"/>
          <w:lang w:val="es-ES_tradnl"/>
        </w:rPr>
        <w:t>el proyecto de Resolución anexo a esta nota introductoria;</w:t>
      </w:r>
    </w:p>
    <w:p w:rsidR="00E700B3" w:rsidRPr="001A026F" w:rsidRDefault="00E700B3" w:rsidP="00E700B3">
      <w:pPr>
        <w:contextualSpacing/>
        <w:jc w:val="both"/>
        <w:rPr>
          <w:rFonts w:eastAsia="Times New Roman"/>
          <w:szCs w:val="24"/>
          <w:lang w:val="es-ES_tradnl"/>
        </w:rPr>
      </w:pPr>
    </w:p>
    <w:p w:rsidR="00E700B3" w:rsidRPr="001A026F" w:rsidRDefault="00E91ABE" w:rsidP="00E700B3">
      <w:pPr>
        <w:widowControl w:val="0"/>
        <w:numPr>
          <w:ilvl w:val="0"/>
          <w:numId w:val="14"/>
        </w:numPr>
        <w:autoSpaceDE w:val="0"/>
        <w:autoSpaceDN w:val="0"/>
        <w:adjustRightInd w:val="0"/>
        <w:ind w:hanging="720"/>
        <w:contextualSpacing/>
        <w:jc w:val="both"/>
        <w:rPr>
          <w:rFonts w:eastAsia="Times New Roman"/>
          <w:szCs w:val="24"/>
          <w:lang w:val="es-ES_tradnl"/>
        </w:rPr>
      </w:pPr>
      <w:r w:rsidRPr="001A026F">
        <w:rPr>
          <w:rFonts w:eastAsia="Times New Roman"/>
          <w:szCs w:val="24"/>
          <w:lang w:val="es-ES_tradnl"/>
        </w:rPr>
        <w:t xml:space="preserve">Decidir conservar el Halcón Sacre </w:t>
      </w:r>
      <w:r w:rsidR="00E700B3" w:rsidRPr="001A026F">
        <w:rPr>
          <w:rFonts w:eastAsia="Times New Roman"/>
          <w:szCs w:val="24"/>
          <w:lang w:val="es-ES_tradnl"/>
        </w:rPr>
        <w:t>dentro del proceso de Acciones Concertadas de la CMS para permitir el comienzo de la implementación del PAGSacre a</w:t>
      </w:r>
      <w:r w:rsidRPr="001A026F">
        <w:rPr>
          <w:rFonts w:eastAsia="Times New Roman"/>
          <w:szCs w:val="24"/>
          <w:lang w:val="es-ES_tradnl"/>
        </w:rPr>
        <w:t xml:space="preserve"> diez</w:t>
      </w:r>
      <w:r w:rsidR="00E700B3" w:rsidRPr="001A026F">
        <w:rPr>
          <w:rFonts w:eastAsia="Times New Roman"/>
          <w:szCs w:val="24"/>
          <w:lang w:val="es-ES_tradnl"/>
        </w:rPr>
        <w:t xml:space="preserve"> años.</w:t>
      </w:r>
    </w:p>
    <w:p w:rsidR="00E700B3" w:rsidRPr="001A026F" w:rsidRDefault="00E700B3" w:rsidP="00E700B3">
      <w:pPr>
        <w:widowControl w:val="0"/>
        <w:autoSpaceDE w:val="0"/>
        <w:autoSpaceDN w:val="0"/>
        <w:adjustRightInd w:val="0"/>
        <w:ind w:left="720" w:hanging="720"/>
        <w:jc w:val="both"/>
        <w:rPr>
          <w:rFonts w:eastAsia="Times New Roman"/>
          <w:szCs w:val="24"/>
          <w:lang w:val="es-ES"/>
        </w:rPr>
      </w:pPr>
    </w:p>
    <w:p w:rsidR="00E700B3" w:rsidRPr="001A026F" w:rsidRDefault="00E700B3" w:rsidP="00E700B3">
      <w:pPr>
        <w:widowControl w:val="0"/>
        <w:autoSpaceDE w:val="0"/>
        <w:autoSpaceDN w:val="0"/>
        <w:adjustRightInd w:val="0"/>
        <w:jc w:val="right"/>
        <w:rPr>
          <w:rFonts w:eastAsia="Times New Roman"/>
          <w:b/>
          <w:szCs w:val="24"/>
          <w:lang w:val="es-ES"/>
        </w:rPr>
        <w:sectPr w:rsidR="00E700B3" w:rsidRPr="001A026F" w:rsidSect="00AE7B21">
          <w:headerReference w:type="default" r:id="rId15"/>
          <w:headerReference w:type="first" r:id="rId16"/>
          <w:footerReference w:type="first" r:id="rId17"/>
          <w:endnotePr>
            <w:numFmt w:val="decimal"/>
          </w:endnotePr>
          <w:pgSz w:w="11905" w:h="16837" w:code="9"/>
          <w:pgMar w:top="1418" w:right="1418" w:bottom="1418" w:left="1418" w:header="510" w:footer="510" w:gutter="0"/>
          <w:cols w:space="720"/>
          <w:noEndnote/>
          <w:titlePg/>
        </w:sectPr>
      </w:pPr>
    </w:p>
    <w:p w:rsidR="00E700B3" w:rsidRPr="001A026F" w:rsidRDefault="00E700B3" w:rsidP="00E700B3">
      <w:pPr>
        <w:widowControl w:val="0"/>
        <w:autoSpaceDE w:val="0"/>
        <w:autoSpaceDN w:val="0"/>
        <w:adjustRightInd w:val="0"/>
        <w:jc w:val="right"/>
        <w:rPr>
          <w:rFonts w:eastAsia="Times New Roman"/>
          <w:b/>
          <w:szCs w:val="24"/>
          <w:lang w:val="es-ES"/>
        </w:rPr>
      </w:pPr>
      <w:r w:rsidRPr="001A026F">
        <w:rPr>
          <w:rFonts w:eastAsia="Times New Roman"/>
          <w:b/>
          <w:szCs w:val="24"/>
          <w:lang w:val="es-ES"/>
        </w:rPr>
        <w:t>ANEXO</w:t>
      </w:r>
    </w:p>
    <w:p w:rsidR="00E700B3" w:rsidRPr="001A026F" w:rsidRDefault="00E700B3" w:rsidP="00E700B3">
      <w:pPr>
        <w:widowControl w:val="0"/>
        <w:autoSpaceDE w:val="0"/>
        <w:autoSpaceDN w:val="0"/>
        <w:adjustRightInd w:val="0"/>
        <w:jc w:val="center"/>
        <w:rPr>
          <w:rFonts w:eastAsia="Times New Roman"/>
          <w:b/>
          <w:szCs w:val="24"/>
          <w:lang w:val="es-ES"/>
        </w:rPr>
      </w:pPr>
    </w:p>
    <w:p w:rsidR="00E700B3" w:rsidRPr="001A026F" w:rsidRDefault="00E700B3" w:rsidP="00E700B3">
      <w:pPr>
        <w:widowControl w:val="0"/>
        <w:autoSpaceDE w:val="0"/>
        <w:autoSpaceDN w:val="0"/>
        <w:adjustRightInd w:val="0"/>
        <w:jc w:val="center"/>
        <w:rPr>
          <w:rFonts w:eastAsia="Times New Roman"/>
          <w:b/>
          <w:szCs w:val="24"/>
          <w:lang w:val="es-ES"/>
        </w:rPr>
      </w:pPr>
      <w:r w:rsidRPr="001A026F">
        <w:rPr>
          <w:rFonts w:eastAsia="Times New Roman"/>
          <w:b/>
          <w:szCs w:val="24"/>
          <w:lang w:val="es-ES"/>
        </w:rPr>
        <w:t>PROYECTO DE RESOLUCIÓN</w:t>
      </w:r>
    </w:p>
    <w:p w:rsidR="00E700B3" w:rsidRPr="001A026F" w:rsidRDefault="00E700B3" w:rsidP="00E700B3">
      <w:pPr>
        <w:widowControl w:val="0"/>
        <w:autoSpaceDE w:val="0"/>
        <w:autoSpaceDN w:val="0"/>
        <w:adjustRightInd w:val="0"/>
        <w:jc w:val="center"/>
        <w:rPr>
          <w:rFonts w:eastAsia="Times New Roman"/>
          <w:b/>
          <w:szCs w:val="24"/>
          <w:lang w:val="es-ES"/>
        </w:rPr>
      </w:pPr>
    </w:p>
    <w:p w:rsidR="00E700B3" w:rsidRPr="001A026F" w:rsidRDefault="00E700B3" w:rsidP="00E700B3">
      <w:pPr>
        <w:widowControl w:val="0"/>
        <w:autoSpaceDE w:val="0"/>
        <w:autoSpaceDN w:val="0"/>
        <w:adjustRightInd w:val="0"/>
        <w:jc w:val="center"/>
        <w:rPr>
          <w:rFonts w:eastAsia="Times New Roman"/>
          <w:b/>
          <w:szCs w:val="24"/>
          <w:lang w:val="es-ES"/>
        </w:rPr>
      </w:pPr>
      <w:r w:rsidRPr="001A026F">
        <w:rPr>
          <w:rFonts w:eastAsia="Times New Roman"/>
          <w:b/>
          <w:szCs w:val="24"/>
          <w:lang w:val="es-ES"/>
        </w:rPr>
        <w:t xml:space="preserve">PLAN DE ACCIÓN GLOBAL PARA EL </w:t>
      </w:r>
    </w:p>
    <w:p w:rsidR="00E700B3" w:rsidRPr="001A026F" w:rsidRDefault="00E700B3" w:rsidP="00E700B3">
      <w:pPr>
        <w:widowControl w:val="0"/>
        <w:autoSpaceDE w:val="0"/>
        <w:autoSpaceDN w:val="0"/>
        <w:adjustRightInd w:val="0"/>
        <w:jc w:val="center"/>
        <w:rPr>
          <w:rFonts w:eastAsia="Times New Roman"/>
          <w:b/>
          <w:szCs w:val="24"/>
        </w:rPr>
      </w:pPr>
      <w:r w:rsidRPr="001A026F">
        <w:rPr>
          <w:rFonts w:eastAsia="Times New Roman"/>
          <w:b/>
          <w:szCs w:val="24"/>
        </w:rPr>
        <w:t xml:space="preserve">HALCÓN SACRE </w:t>
      </w:r>
      <w:r w:rsidRPr="001A026F">
        <w:rPr>
          <w:rFonts w:eastAsia="Times New Roman"/>
          <w:b/>
          <w:i/>
          <w:szCs w:val="24"/>
        </w:rPr>
        <w:t>Falco cherrug</w:t>
      </w:r>
      <w:r w:rsidRPr="001A026F">
        <w:rPr>
          <w:rFonts w:eastAsia="Times New Roman"/>
          <w:b/>
          <w:szCs w:val="24"/>
        </w:rPr>
        <w:t xml:space="preserve"> (PAGSacre)</w:t>
      </w:r>
    </w:p>
    <w:p w:rsidR="00E700B3" w:rsidRPr="001A026F" w:rsidRDefault="00E700B3" w:rsidP="00E700B3">
      <w:pPr>
        <w:widowControl w:val="0"/>
        <w:autoSpaceDE w:val="0"/>
        <w:autoSpaceDN w:val="0"/>
        <w:adjustRightInd w:val="0"/>
        <w:jc w:val="center"/>
        <w:rPr>
          <w:rFonts w:eastAsia="Times New Roman"/>
          <w:b/>
          <w:iCs/>
          <w:szCs w:val="24"/>
        </w:rPr>
      </w:pPr>
    </w:p>
    <w:p w:rsidR="00E700B3" w:rsidRPr="001A026F" w:rsidRDefault="00E700B3" w:rsidP="00E700B3">
      <w:pPr>
        <w:widowControl w:val="0"/>
        <w:autoSpaceDE w:val="0"/>
        <w:autoSpaceDN w:val="0"/>
        <w:adjustRightInd w:val="0"/>
        <w:jc w:val="center"/>
        <w:rPr>
          <w:rFonts w:eastAsia="Times New Roman"/>
          <w:bCs/>
          <w:i/>
          <w:szCs w:val="24"/>
          <w:lang w:val="es-ES_tradnl"/>
        </w:rPr>
      </w:pPr>
      <w:r w:rsidRPr="001A026F">
        <w:rPr>
          <w:rFonts w:eastAsia="Times New Roman"/>
          <w:bCs/>
          <w:i/>
          <w:szCs w:val="24"/>
          <w:lang w:val="es-ES_tradnl"/>
        </w:rPr>
        <w:t>(Preparado por la Unidad de Coordinación del MDE sobre rapaces de la CMS)</w:t>
      </w:r>
    </w:p>
    <w:p w:rsidR="00E700B3" w:rsidRPr="001A026F" w:rsidRDefault="00E700B3" w:rsidP="00E700B3">
      <w:pPr>
        <w:widowControl w:val="0"/>
        <w:autoSpaceDE w:val="0"/>
        <w:autoSpaceDN w:val="0"/>
        <w:adjustRightInd w:val="0"/>
        <w:jc w:val="both"/>
        <w:rPr>
          <w:rFonts w:eastAsia="Times New Roman"/>
          <w:b/>
          <w:szCs w:val="24"/>
          <w:lang w:val="es-ES"/>
        </w:rPr>
      </w:pPr>
    </w:p>
    <w:p w:rsidR="00E700B3" w:rsidRPr="001A026F" w:rsidRDefault="00E700B3" w:rsidP="00E700B3">
      <w:pPr>
        <w:widowControl w:val="0"/>
        <w:autoSpaceDE w:val="0"/>
        <w:autoSpaceDN w:val="0"/>
        <w:adjustRightInd w:val="0"/>
        <w:jc w:val="both"/>
        <w:rPr>
          <w:rFonts w:eastAsia="Times New Roman"/>
          <w:b/>
          <w:szCs w:val="24"/>
          <w:lang w:val="es-ES"/>
        </w:rPr>
      </w:pPr>
    </w:p>
    <w:p w:rsidR="00E700B3" w:rsidRPr="001A026F" w:rsidRDefault="00E700B3" w:rsidP="00E700B3">
      <w:pPr>
        <w:widowControl w:val="0"/>
        <w:autoSpaceDE w:val="0"/>
        <w:autoSpaceDN w:val="0"/>
        <w:adjustRightInd w:val="0"/>
        <w:ind w:firstLine="720"/>
        <w:jc w:val="both"/>
        <w:rPr>
          <w:rFonts w:eastAsia="Times New Roman"/>
          <w:i/>
          <w:iCs/>
          <w:szCs w:val="24"/>
          <w:lang w:val="es-ES_tradnl"/>
        </w:rPr>
      </w:pPr>
      <w:r w:rsidRPr="001A026F">
        <w:rPr>
          <w:rFonts w:eastAsia="Times New Roman"/>
          <w:i/>
          <w:iCs/>
          <w:szCs w:val="24"/>
          <w:lang w:val="es-ES_tradnl"/>
        </w:rPr>
        <w:t xml:space="preserve">Teniendo presente </w:t>
      </w:r>
      <w:r w:rsidRPr="001A026F">
        <w:rPr>
          <w:rFonts w:eastAsia="Times New Roman"/>
          <w:iCs/>
          <w:szCs w:val="24"/>
          <w:lang w:val="es-ES_tradnl"/>
        </w:rPr>
        <w:t xml:space="preserve">que en su décima reunión la Conferencia de las Partes </w:t>
      </w:r>
      <w:r w:rsidR="00E91ABE" w:rsidRPr="001A026F">
        <w:rPr>
          <w:rFonts w:eastAsia="Times New Roman"/>
          <w:iCs/>
          <w:szCs w:val="24"/>
          <w:lang w:val="es-ES_tradnl"/>
        </w:rPr>
        <w:t xml:space="preserve">(COP10) </w:t>
      </w:r>
      <w:r w:rsidRPr="001A026F">
        <w:rPr>
          <w:rFonts w:eastAsia="Times New Roman"/>
          <w:iCs/>
          <w:szCs w:val="24"/>
          <w:lang w:val="es-ES_tradnl"/>
        </w:rPr>
        <w:t>de la CMS decidió en la Resolución 10.28 establecer una Acción Concertada inmediata apoyada por todas las Partes, incluyendo la formación de un Grupo de Trabajo bajo los auspicios de la Unidad de Coordinación del Memorando de Entendimiento de la CMS sobre la conservación de las aves de presa migratorias de África y Eurasia (MDE sobre rapaces) con el propósito de unir a los estados del área de distribución, socios y partes interesadas para desarrollar un Plan de Acción Global, incluyendo un sistema de gestión y seguimiento para la conservación del halcón sacre;</w:t>
      </w:r>
    </w:p>
    <w:p w:rsidR="00E700B3" w:rsidRPr="001A026F" w:rsidRDefault="00E700B3" w:rsidP="00E700B3">
      <w:pPr>
        <w:widowControl w:val="0"/>
        <w:autoSpaceDE w:val="0"/>
        <w:autoSpaceDN w:val="0"/>
        <w:adjustRightInd w:val="0"/>
        <w:jc w:val="both"/>
        <w:rPr>
          <w:rFonts w:eastAsia="Times New Roman"/>
          <w:i/>
          <w:iCs/>
          <w:szCs w:val="24"/>
          <w:lang w:val="es-ES_tradnl"/>
        </w:rPr>
      </w:pPr>
    </w:p>
    <w:p w:rsidR="00E700B3" w:rsidRPr="001A026F" w:rsidRDefault="00E700B3" w:rsidP="00E700B3">
      <w:pPr>
        <w:widowControl w:val="0"/>
        <w:autoSpaceDE w:val="0"/>
        <w:autoSpaceDN w:val="0"/>
        <w:adjustRightInd w:val="0"/>
        <w:ind w:firstLine="720"/>
        <w:jc w:val="both"/>
        <w:rPr>
          <w:rFonts w:eastAsia="Times New Roman"/>
          <w:i/>
          <w:iCs/>
          <w:szCs w:val="24"/>
          <w:lang w:val="es-ES_tradnl"/>
        </w:rPr>
      </w:pPr>
      <w:r w:rsidRPr="001A026F">
        <w:rPr>
          <w:rFonts w:eastAsia="Times New Roman"/>
          <w:i/>
          <w:iCs/>
          <w:szCs w:val="24"/>
          <w:lang w:val="es-ES_tradnl"/>
        </w:rPr>
        <w:t xml:space="preserve">Teniendo presente además </w:t>
      </w:r>
      <w:r w:rsidRPr="001A026F">
        <w:rPr>
          <w:rFonts w:eastAsia="Times New Roman"/>
          <w:iCs/>
          <w:szCs w:val="24"/>
          <w:lang w:val="es-ES_tradnl"/>
        </w:rPr>
        <w:t>que la COP10 decidió que la mejora del estado de conservación del halcón sacre en cualquiera de los estados del área de distribución puede hacer que se permita su caza sostenible en la naturaleza en ese estado del área de distribución bajo un plan de gestión, y que en tales casos una o varias Partes pueden solicitar que se excluya del Apéndice I a ese estado, y que el Grupo de Trabajo se esforzaría por facilitar ese proceso de manera intersesional a través del Consejo Científico y la Conferencia de las Partes;</w:t>
      </w:r>
    </w:p>
    <w:p w:rsidR="00E700B3" w:rsidRPr="001A026F" w:rsidRDefault="00E700B3" w:rsidP="00E700B3">
      <w:pPr>
        <w:widowControl w:val="0"/>
        <w:autoSpaceDE w:val="0"/>
        <w:autoSpaceDN w:val="0"/>
        <w:adjustRightInd w:val="0"/>
        <w:jc w:val="both"/>
        <w:rPr>
          <w:rFonts w:eastAsia="Times New Roman"/>
          <w:i/>
          <w:iCs/>
          <w:szCs w:val="24"/>
          <w:lang w:val="es-ES"/>
        </w:rPr>
      </w:pPr>
    </w:p>
    <w:p w:rsidR="00E700B3" w:rsidRPr="001A026F" w:rsidRDefault="00E700B3" w:rsidP="00E700B3">
      <w:pPr>
        <w:widowControl w:val="0"/>
        <w:autoSpaceDE w:val="0"/>
        <w:autoSpaceDN w:val="0"/>
        <w:adjustRightInd w:val="0"/>
        <w:ind w:firstLine="720"/>
        <w:jc w:val="both"/>
        <w:rPr>
          <w:rFonts w:eastAsia="Times New Roman"/>
          <w:iCs/>
          <w:szCs w:val="24"/>
          <w:highlight w:val="yellow"/>
          <w:lang w:val="es-ES_tradnl"/>
        </w:rPr>
      </w:pPr>
      <w:r w:rsidRPr="001A026F">
        <w:rPr>
          <w:rFonts w:eastAsia="Times New Roman"/>
          <w:i/>
          <w:iCs/>
          <w:szCs w:val="24"/>
          <w:lang w:val="es-ES_tradnl"/>
        </w:rPr>
        <w:t xml:space="preserve">Recordando </w:t>
      </w:r>
      <w:r w:rsidRPr="001A026F">
        <w:rPr>
          <w:rFonts w:eastAsia="Times New Roman"/>
          <w:iCs/>
          <w:szCs w:val="24"/>
          <w:lang w:val="es-ES_tradnl"/>
        </w:rPr>
        <w:t>que al</w:t>
      </w:r>
      <w:r w:rsidRPr="001A026F">
        <w:rPr>
          <w:rFonts w:eastAsia="Times New Roman"/>
          <w:i/>
          <w:iCs/>
          <w:szCs w:val="24"/>
          <w:lang w:val="es-ES_tradnl"/>
        </w:rPr>
        <w:t xml:space="preserve"> </w:t>
      </w:r>
      <w:r w:rsidRPr="001A026F">
        <w:rPr>
          <w:rFonts w:eastAsia="Times New Roman"/>
          <w:iCs/>
          <w:szCs w:val="24"/>
          <w:lang w:val="es-ES_tradnl"/>
        </w:rPr>
        <w:t>Grupo de Trabajo sobre el Halcón Sacre se le encomendó informar a: la primera Reunión de los Signatarios del MDE sobre rapaces celebrada el último trimestre de 2012; la decimoctava reunión intersesiones del Consejo Científico de la CMS; y la undécima reunión de la Conferencia de las Partes de la CMS, considerando la exclusión del halcón sacre del Apéndice en ese momento;</w:t>
      </w:r>
    </w:p>
    <w:p w:rsidR="00E700B3" w:rsidRPr="001A026F" w:rsidRDefault="00E700B3" w:rsidP="00E700B3">
      <w:pPr>
        <w:widowControl w:val="0"/>
        <w:autoSpaceDE w:val="0"/>
        <w:autoSpaceDN w:val="0"/>
        <w:adjustRightInd w:val="0"/>
        <w:jc w:val="both"/>
        <w:rPr>
          <w:rFonts w:eastAsia="Times New Roman"/>
          <w:i/>
          <w:iCs/>
          <w:szCs w:val="24"/>
          <w:lang w:val="es-ES"/>
        </w:rPr>
      </w:pPr>
    </w:p>
    <w:p w:rsidR="00E700B3" w:rsidRPr="001A026F" w:rsidRDefault="00E700B3" w:rsidP="00E700B3">
      <w:pPr>
        <w:widowControl w:val="0"/>
        <w:autoSpaceDE w:val="0"/>
        <w:autoSpaceDN w:val="0"/>
        <w:adjustRightInd w:val="0"/>
        <w:ind w:firstLine="720"/>
        <w:jc w:val="both"/>
        <w:rPr>
          <w:rFonts w:eastAsia="Times New Roman"/>
          <w:iCs/>
          <w:szCs w:val="24"/>
          <w:lang w:val="es-ES_tradnl"/>
        </w:rPr>
      </w:pPr>
      <w:r w:rsidRPr="001A026F">
        <w:rPr>
          <w:rFonts w:eastAsia="Times New Roman"/>
          <w:i/>
          <w:iCs/>
          <w:szCs w:val="24"/>
          <w:lang w:val="es-ES_tradnl"/>
        </w:rPr>
        <w:t>Reconociendo</w:t>
      </w:r>
      <w:r w:rsidRPr="001A026F">
        <w:rPr>
          <w:rFonts w:eastAsia="Times New Roman"/>
          <w:iCs/>
          <w:szCs w:val="24"/>
          <w:lang w:val="es-ES_tradnl"/>
        </w:rPr>
        <w:t xml:space="preserve"> que</w:t>
      </w:r>
      <w:r w:rsidRPr="001A026F">
        <w:rPr>
          <w:rFonts w:eastAsia="Times New Roman"/>
          <w:i/>
          <w:iCs/>
          <w:szCs w:val="24"/>
          <w:lang w:val="es-ES_tradnl"/>
        </w:rPr>
        <w:t xml:space="preserve"> </w:t>
      </w:r>
      <w:r w:rsidRPr="001A026F">
        <w:rPr>
          <w:rFonts w:eastAsia="Times New Roman"/>
          <w:iCs/>
          <w:szCs w:val="24"/>
          <w:lang w:val="es-ES_tradnl"/>
        </w:rPr>
        <w:t>la inclusión del halcón sacre en el Apéndice I excluye la población de Mongolia, en reconocimiento a su programa de conservación y gestión el cual ha sido llevado a cabo en colaboración con la Agencia de Medio Ambiente de Abu Dabi, en nombre del Gobierno de los Emiratos Árabes Unidos;</w:t>
      </w:r>
    </w:p>
    <w:p w:rsidR="00E700B3" w:rsidRPr="001A026F" w:rsidRDefault="00E700B3" w:rsidP="00E700B3">
      <w:pPr>
        <w:widowControl w:val="0"/>
        <w:autoSpaceDE w:val="0"/>
        <w:autoSpaceDN w:val="0"/>
        <w:adjustRightInd w:val="0"/>
        <w:jc w:val="both"/>
        <w:rPr>
          <w:rFonts w:eastAsia="Times New Roman"/>
          <w:i/>
          <w:iCs/>
          <w:szCs w:val="24"/>
          <w:lang w:val="es-ES"/>
        </w:rPr>
      </w:pPr>
    </w:p>
    <w:p w:rsidR="00E700B3" w:rsidRPr="001A026F" w:rsidRDefault="00E700B3" w:rsidP="00E700B3">
      <w:pPr>
        <w:widowControl w:val="0"/>
        <w:autoSpaceDE w:val="0"/>
        <w:autoSpaceDN w:val="0"/>
        <w:adjustRightInd w:val="0"/>
        <w:ind w:firstLine="720"/>
        <w:jc w:val="both"/>
        <w:rPr>
          <w:rFonts w:eastAsia="Times New Roman"/>
          <w:i/>
          <w:iCs/>
          <w:szCs w:val="24"/>
          <w:lang w:val="es-ES_tradnl"/>
        </w:rPr>
      </w:pPr>
      <w:r w:rsidRPr="001A026F">
        <w:rPr>
          <w:rFonts w:eastAsia="Times New Roman"/>
          <w:i/>
          <w:iCs/>
          <w:szCs w:val="24"/>
          <w:lang w:val="es-ES_tradnl"/>
        </w:rPr>
        <w:t>Reconociendo además</w:t>
      </w:r>
      <w:r w:rsidRPr="001A026F">
        <w:rPr>
          <w:rFonts w:eastAsia="Times New Roman"/>
          <w:iCs/>
          <w:szCs w:val="24"/>
          <w:lang w:val="es-ES_tradnl"/>
        </w:rPr>
        <w:t xml:space="preserve"> que la labor del Grupo de Trabajo sobre el Halcón Sacre ha sido el producto de una asociación única y fructífera en la cual han participado una gran variedad de partes interesadas, y agradecidos en particular por las contribuciones económicas de las Partes en la COP10 de la CMS, la Unión Europea, la Autoridad Saudí para la naturaleza en nombre del Gobierno del Reino de Arabia Saudita y la Secretaría CITES, así como el apoyo más amplio en forma de horas de trabajo aportado por todos los miembros del Grupo de Trabajo sobre el halcón sacre;</w:t>
      </w:r>
    </w:p>
    <w:p w:rsidR="00E700B3" w:rsidRPr="001A026F" w:rsidRDefault="00E700B3" w:rsidP="00E700B3">
      <w:pPr>
        <w:widowControl w:val="0"/>
        <w:autoSpaceDE w:val="0"/>
        <w:autoSpaceDN w:val="0"/>
        <w:adjustRightInd w:val="0"/>
        <w:jc w:val="both"/>
        <w:rPr>
          <w:rFonts w:eastAsia="Times New Roman"/>
          <w:i/>
          <w:iCs/>
          <w:szCs w:val="24"/>
          <w:lang w:val="es-ES"/>
        </w:rPr>
      </w:pPr>
    </w:p>
    <w:p w:rsidR="00E700B3" w:rsidRPr="001A026F" w:rsidRDefault="00E700B3" w:rsidP="00E700B3">
      <w:pPr>
        <w:widowControl w:val="0"/>
        <w:autoSpaceDE w:val="0"/>
        <w:autoSpaceDN w:val="0"/>
        <w:adjustRightInd w:val="0"/>
        <w:ind w:firstLine="720"/>
        <w:jc w:val="both"/>
        <w:rPr>
          <w:rFonts w:eastAsia="Times New Roman"/>
          <w:i/>
          <w:iCs/>
          <w:szCs w:val="24"/>
          <w:lang w:val="es-ES_tradnl"/>
        </w:rPr>
      </w:pPr>
      <w:r w:rsidRPr="001A026F">
        <w:rPr>
          <w:rFonts w:eastAsia="Times New Roman"/>
          <w:i/>
          <w:iCs/>
          <w:szCs w:val="24"/>
          <w:lang w:val="es-ES_tradnl"/>
        </w:rPr>
        <w:t xml:space="preserve">Resaltando </w:t>
      </w:r>
      <w:r w:rsidRPr="001A026F">
        <w:rPr>
          <w:rFonts w:eastAsia="Times New Roman"/>
          <w:iCs/>
          <w:szCs w:val="24"/>
          <w:lang w:val="es-ES_tradnl"/>
        </w:rPr>
        <w:t>la necesidad de una acción inmediata por parte de los estados del área de distribución y los actores interesados para abordar las principales amenazas al halcón sacre en todas las etapas de su ciclo de vida y por todo su área de distribución migratoria;</w:t>
      </w:r>
    </w:p>
    <w:p w:rsidR="00E700B3" w:rsidRPr="001A026F" w:rsidRDefault="00E700B3" w:rsidP="00E700B3">
      <w:pPr>
        <w:widowControl w:val="0"/>
        <w:autoSpaceDE w:val="0"/>
        <w:autoSpaceDN w:val="0"/>
        <w:adjustRightInd w:val="0"/>
        <w:ind w:left="720"/>
        <w:contextualSpacing/>
        <w:jc w:val="both"/>
        <w:rPr>
          <w:rFonts w:eastAsia="Times New Roman"/>
          <w:szCs w:val="24"/>
          <w:lang w:val="es-ES_tradnl"/>
        </w:rPr>
      </w:pPr>
    </w:p>
    <w:p w:rsidR="00E700B3" w:rsidRPr="001A026F" w:rsidRDefault="00E700B3" w:rsidP="00E700B3">
      <w:pPr>
        <w:widowControl w:val="0"/>
        <w:autoSpaceDE w:val="0"/>
        <w:autoSpaceDN w:val="0"/>
        <w:adjustRightInd w:val="0"/>
        <w:ind w:left="720"/>
        <w:contextualSpacing/>
        <w:jc w:val="center"/>
        <w:rPr>
          <w:rFonts w:eastAsia="Times New Roman"/>
          <w:i/>
          <w:szCs w:val="24"/>
          <w:lang w:val="es-ES_tradnl"/>
        </w:rPr>
      </w:pPr>
    </w:p>
    <w:p w:rsidR="00E700B3" w:rsidRPr="001A026F" w:rsidRDefault="00E700B3" w:rsidP="00E700B3">
      <w:pPr>
        <w:widowControl w:val="0"/>
        <w:autoSpaceDE w:val="0"/>
        <w:autoSpaceDN w:val="0"/>
        <w:adjustRightInd w:val="0"/>
        <w:ind w:left="720"/>
        <w:contextualSpacing/>
        <w:jc w:val="center"/>
        <w:rPr>
          <w:rFonts w:eastAsia="Times New Roman"/>
          <w:i/>
          <w:szCs w:val="24"/>
          <w:lang w:val="es-ES_tradnl"/>
        </w:rPr>
      </w:pPr>
      <w:r w:rsidRPr="001A026F">
        <w:rPr>
          <w:rFonts w:eastAsia="Times New Roman"/>
          <w:i/>
          <w:szCs w:val="24"/>
          <w:lang w:val="es-ES_tradnl"/>
        </w:rPr>
        <w:t xml:space="preserve">La Conferencia de las Partes de la Convención sobre la </w:t>
      </w:r>
    </w:p>
    <w:p w:rsidR="00E700B3" w:rsidRPr="001A026F" w:rsidRDefault="00E700B3" w:rsidP="00E700B3">
      <w:pPr>
        <w:widowControl w:val="0"/>
        <w:autoSpaceDE w:val="0"/>
        <w:autoSpaceDN w:val="0"/>
        <w:adjustRightInd w:val="0"/>
        <w:ind w:left="720"/>
        <w:contextualSpacing/>
        <w:jc w:val="center"/>
        <w:rPr>
          <w:rFonts w:eastAsia="Times New Roman"/>
          <w:i/>
          <w:szCs w:val="24"/>
          <w:lang w:val="es-ES_tradnl"/>
        </w:rPr>
      </w:pPr>
      <w:r w:rsidRPr="001A026F">
        <w:rPr>
          <w:rFonts w:eastAsia="Times New Roman"/>
          <w:i/>
          <w:szCs w:val="24"/>
          <w:lang w:val="es-ES_tradnl"/>
        </w:rPr>
        <w:t>conservación de las especies migratorias de animales silvestres</w:t>
      </w:r>
    </w:p>
    <w:p w:rsidR="00E700B3" w:rsidRPr="001A026F" w:rsidRDefault="00E700B3" w:rsidP="00E700B3">
      <w:pPr>
        <w:widowControl w:val="0"/>
        <w:autoSpaceDE w:val="0"/>
        <w:autoSpaceDN w:val="0"/>
        <w:adjustRightInd w:val="0"/>
        <w:ind w:left="720"/>
        <w:contextualSpacing/>
        <w:jc w:val="both"/>
        <w:rPr>
          <w:rFonts w:eastAsia="Times New Roman"/>
          <w:i/>
          <w:szCs w:val="24"/>
          <w:lang w:val="es-ES"/>
        </w:rPr>
      </w:pPr>
    </w:p>
    <w:p w:rsidR="00E700B3" w:rsidRPr="001A026F" w:rsidRDefault="00E700B3" w:rsidP="001A026F">
      <w:pPr>
        <w:widowControl w:val="0"/>
        <w:numPr>
          <w:ilvl w:val="0"/>
          <w:numId w:val="11"/>
        </w:numPr>
        <w:autoSpaceDE w:val="0"/>
        <w:autoSpaceDN w:val="0"/>
        <w:adjustRightInd w:val="0"/>
        <w:ind w:left="0" w:firstLine="0"/>
        <w:contextualSpacing/>
        <w:jc w:val="both"/>
        <w:rPr>
          <w:rFonts w:eastAsia="Times New Roman"/>
          <w:szCs w:val="24"/>
          <w:lang w:val="es-ES_tradnl"/>
        </w:rPr>
      </w:pPr>
      <w:r w:rsidRPr="001A026F">
        <w:rPr>
          <w:rFonts w:eastAsia="Times New Roman"/>
          <w:i/>
          <w:szCs w:val="24"/>
          <w:lang w:val="es-ES_tradnl"/>
        </w:rPr>
        <w:t>Felicita</w:t>
      </w:r>
      <w:r w:rsidRPr="001A026F">
        <w:rPr>
          <w:rFonts w:eastAsia="Times New Roman"/>
          <w:szCs w:val="24"/>
          <w:lang w:val="es-ES_tradnl"/>
        </w:rPr>
        <w:t xml:space="preserve"> al Grupo de Trabajo sobre el Halcón Sacre por su labor, especialmente por el método de búsqueda de consenso transparente que ha empleado, y </w:t>
      </w:r>
      <w:r w:rsidRPr="001A026F">
        <w:rPr>
          <w:rFonts w:eastAsia="Times New Roman"/>
          <w:i/>
          <w:szCs w:val="24"/>
          <w:lang w:val="es-ES_tradnl"/>
        </w:rPr>
        <w:t>reconoce</w:t>
      </w:r>
      <w:r w:rsidRPr="001A026F">
        <w:rPr>
          <w:rFonts w:eastAsia="Times New Roman"/>
          <w:szCs w:val="24"/>
          <w:lang w:val="es-ES_tradnl"/>
        </w:rPr>
        <w:t xml:space="preserve"> la importancia del desarrollo del Plan de Acción Global para el halc</w:t>
      </w:r>
      <w:bookmarkStart w:id="0" w:name="_GoBack"/>
      <w:bookmarkEnd w:id="0"/>
      <w:r w:rsidRPr="001A026F">
        <w:rPr>
          <w:rFonts w:eastAsia="Times New Roman"/>
          <w:szCs w:val="24"/>
          <w:lang w:val="es-ES_tradnl"/>
        </w:rPr>
        <w:t>ón sacre (PAGSacre) en la conservación y la gestión de la especie;</w:t>
      </w:r>
    </w:p>
    <w:p w:rsidR="00E700B3" w:rsidRPr="001A026F" w:rsidRDefault="00E700B3" w:rsidP="001A026F">
      <w:pPr>
        <w:widowControl w:val="0"/>
        <w:autoSpaceDE w:val="0"/>
        <w:autoSpaceDN w:val="0"/>
        <w:adjustRightInd w:val="0"/>
        <w:contextualSpacing/>
        <w:jc w:val="both"/>
        <w:rPr>
          <w:rFonts w:eastAsia="Times New Roman"/>
          <w:szCs w:val="24"/>
          <w:lang w:val="es-ES_tradnl"/>
        </w:rPr>
      </w:pPr>
    </w:p>
    <w:p w:rsidR="00E700B3" w:rsidRPr="001A026F" w:rsidRDefault="00E700B3" w:rsidP="001A026F">
      <w:pPr>
        <w:widowControl w:val="0"/>
        <w:numPr>
          <w:ilvl w:val="0"/>
          <w:numId w:val="11"/>
        </w:numPr>
        <w:autoSpaceDE w:val="0"/>
        <w:autoSpaceDN w:val="0"/>
        <w:adjustRightInd w:val="0"/>
        <w:ind w:left="0" w:firstLine="0"/>
        <w:contextualSpacing/>
        <w:jc w:val="both"/>
        <w:rPr>
          <w:rFonts w:eastAsia="Times New Roman"/>
          <w:iCs/>
          <w:szCs w:val="24"/>
          <w:lang w:val="es-ES_tradnl"/>
        </w:rPr>
      </w:pPr>
      <w:r w:rsidRPr="001A026F">
        <w:rPr>
          <w:rFonts w:eastAsia="Times New Roman"/>
          <w:i/>
          <w:iCs/>
          <w:szCs w:val="24"/>
          <w:lang w:val="es-ES_tradnl"/>
        </w:rPr>
        <w:t>Adopta</w:t>
      </w:r>
      <w:r w:rsidRPr="001A026F">
        <w:rPr>
          <w:rFonts w:eastAsia="Times New Roman"/>
          <w:iCs/>
          <w:szCs w:val="24"/>
          <w:lang w:val="es-ES_tradnl"/>
        </w:rPr>
        <w:t xml:space="preserve"> el PAG</w:t>
      </w:r>
      <w:r w:rsidR="00E91ABE" w:rsidRPr="001A026F">
        <w:rPr>
          <w:rFonts w:eastAsia="Times New Roman"/>
          <w:iCs/>
          <w:szCs w:val="24"/>
          <w:lang w:val="es-ES_tradnl"/>
        </w:rPr>
        <w:t>Sacre a diez</w:t>
      </w:r>
      <w:r w:rsidRPr="001A026F">
        <w:rPr>
          <w:rFonts w:eastAsia="Times New Roman"/>
          <w:iCs/>
          <w:szCs w:val="24"/>
          <w:lang w:val="es-ES_tradnl"/>
        </w:rPr>
        <w:t xml:space="preserve"> años presentado en </w:t>
      </w:r>
      <w:r w:rsidRPr="001A026F">
        <w:rPr>
          <w:rFonts w:eastAsia="Times New Roman"/>
          <w:szCs w:val="24"/>
          <w:lang w:val="es-ES_tradnl"/>
        </w:rPr>
        <w:t>PNUMA/CMS/</w:t>
      </w:r>
      <w:r w:rsidR="00E91ABE" w:rsidRPr="001A026F">
        <w:rPr>
          <w:rFonts w:eastAsia="Times New Roman"/>
          <w:szCs w:val="24"/>
          <w:lang w:val="es-ES_tradnl"/>
        </w:rPr>
        <w:t>COP11/Doc.23.1.5.2</w:t>
      </w:r>
      <w:r w:rsidRPr="001A026F">
        <w:rPr>
          <w:rFonts w:eastAsia="Times New Roman"/>
          <w:szCs w:val="24"/>
          <w:lang w:val="es-ES_tradnl"/>
        </w:rPr>
        <w:t xml:space="preserve"> como base para la acción en la conservación y gestión del halcón sacre para el próximo trienio y más allá, con el objetivo general de “restablecer una población silvestre de halcón sacre saludable y auto-sostenida en todo su área de distribución y asegurar que cualquier uso que se haga de ella sea sostenible”;</w:t>
      </w:r>
    </w:p>
    <w:p w:rsidR="00E700B3" w:rsidRPr="001A026F" w:rsidRDefault="00E700B3" w:rsidP="001A026F">
      <w:pPr>
        <w:widowControl w:val="0"/>
        <w:autoSpaceDE w:val="0"/>
        <w:autoSpaceDN w:val="0"/>
        <w:adjustRightInd w:val="0"/>
        <w:contextualSpacing/>
        <w:rPr>
          <w:rFonts w:eastAsia="Times New Roman"/>
          <w:iCs/>
          <w:szCs w:val="24"/>
          <w:lang w:val="es-ES"/>
        </w:rPr>
      </w:pPr>
    </w:p>
    <w:p w:rsidR="00E700B3" w:rsidRPr="001A026F" w:rsidRDefault="00E700B3" w:rsidP="001A026F">
      <w:pPr>
        <w:widowControl w:val="0"/>
        <w:numPr>
          <w:ilvl w:val="0"/>
          <w:numId w:val="11"/>
        </w:numPr>
        <w:autoSpaceDE w:val="0"/>
        <w:autoSpaceDN w:val="0"/>
        <w:adjustRightInd w:val="0"/>
        <w:ind w:left="0" w:firstLine="0"/>
        <w:contextualSpacing/>
        <w:jc w:val="both"/>
        <w:rPr>
          <w:rFonts w:eastAsia="Times New Roman"/>
          <w:szCs w:val="24"/>
          <w:lang w:val="es-ES_tradnl"/>
        </w:rPr>
      </w:pPr>
      <w:r w:rsidRPr="001A026F">
        <w:rPr>
          <w:rFonts w:eastAsia="Times New Roman"/>
          <w:i/>
          <w:szCs w:val="24"/>
          <w:lang w:val="es-ES_tradnl"/>
        </w:rPr>
        <w:t>Decide</w:t>
      </w:r>
      <w:r w:rsidRPr="001A026F">
        <w:rPr>
          <w:rFonts w:eastAsia="Times New Roman"/>
          <w:szCs w:val="24"/>
          <w:lang w:val="es-ES_tradnl"/>
        </w:rPr>
        <w:t xml:space="preserve"> continuar la Acción Concertada para el halcón sacre durante el próximo trienio como mínimo, para permitir que comience la implementación inicial del PAGSacre;</w:t>
      </w:r>
    </w:p>
    <w:p w:rsidR="00E700B3" w:rsidRPr="001A026F" w:rsidRDefault="00E700B3" w:rsidP="001A026F">
      <w:pPr>
        <w:widowControl w:val="0"/>
        <w:autoSpaceDE w:val="0"/>
        <w:autoSpaceDN w:val="0"/>
        <w:adjustRightInd w:val="0"/>
        <w:contextualSpacing/>
        <w:rPr>
          <w:rFonts w:eastAsia="Times New Roman"/>
          <w:szCs w:val="24"/>
          <w:lang w:val="es-ES_tradnl"/>
        </w:rPr>
      </w:pPr>
    </w:p>
    <w:p w:rsidR="00E700B3" w:rsidRPr="001A026F" w:rsidRDefault="00E700B3" w:rsidP="001A026F">
      <w:pPr>
        <w:widowControl w:val="0"/>
        <w:numPr>
          <w:ilvl w:val="0"/>
          <w:numId w:val="11"/>
        </w:numPr>
        <w:autoSpaceDE w:val="0"/>
        <w:autoSpaceDN w:val="0"/>
        <w:adjustRightInd w:val="0"/>
        <w:ind w:left="0" w:firstLine="0"/>
        <w:contextualSpacing/>
        <w:jc w:val="both"/>
        <w:rPr>
          <w:rFonts w:eastAsia="Times New Roman"/>
          <w:szCs w:val="24"/>
          <w:lang w:val="es-ES"/>
        </w:rPr>
      </w:pPr>
      <w:r w:rsidRPr="001A026F">
        <w:rPr>
          <w:rFonts w:eastAsia="Times New Roman"/>
          <w:i/>
          <w:szCs w:val="24"/>
          <w:lang w:val="es-ES_tradnl"/>
        </w:rPr>
        <w:t>Decide además</w:t>
      </w:r>
      <w:r w:rsidRPr="001A026F">
        <w:rPr>
          <w:rFonts w:eastAsia="Times New Roman"/>
          <w:szCs w:val="24"/>
          <w:lang w:val="es-ES_tradnl"/>
        </w:rPr>
        <w:t xml:space="preserve"> continuar el Grupo de Trabajo sobre el Halcón Sacre bajo los auspicios de la Unidad de Coordinación del MDE sobre rapaces de la CMS, e </w:t>
      </w:r>
      <w:r w:rsidRPr="001A026F">
        <w:rPr>
          <w:rFonts w:eastAsia="Times New Roman"/>
          <w:i/>
          <w:szCs w:val="24"/>
          <w:lang w:val="es-ES_tradnl"/>
        </w:rPr>
        <w:t>instruye</w:t>
      </w:r>
      <w:r w:rsidRPr="001A026F">
        <w:rPr>
          <w:rFonts w:eastAsia="Times New Roman"/>
          <w:szCs w:val="24"/>
          <w:lang w:val="es-ES_tradnl"/>
        </w:rPr>
        <w:t xml:space="preserve"> al Grupo de Trabajo a:</w:t>
      </w:r>
    </w:p>
    <w:p w:rsidR="00E700B3" w:rsidRPr="001A026F" w:rsidRDefault="00E700B3" w:rsidP="001A026F">
      <w:pPr>
        <w:widowControl w:val="0"/>
        <w:autoSpaceDE w:val="0"/>
        <w:autoSpaceDN w:val="0"/>
        <w:adjustRightInd w:val="0"/>
        <w:contextualSpacing/>
        <w:rPr>
          <w:rFonts w:eastAsia="Times New Roman"/>
          <w:szCs w:val="24"/>
          <w:lang w:val="es-ES"/>
        </w:rPr>
      </w:pPr>
    </w:p>
    <w:p w:rsidR="00E700B3" w:rsidRPr="001A026F" w:rsidRDefault="00E700B3" w:rsidP="001A026F">
      <w:pPr>
        <w:widowControl w:val="0"/>
        <w:numPr>
          <w:ilvl w:val="0"/>
          <w:numId w:val="13"/>
        </w:numPr>
        <w:autoSpaceDE w:val="0"/>
        <w:autoSpaceDN w:val="0"/>
        <w:adjustRightInd w:val="0"/>
        <w:ind w:left="1440" w:hanging="720"/>
        <w:contextualSpacing/>
        <w:jc w:val="both"/>
        <w:rPr>
          <w:rFonts w:eastAsia="Times New Roman"/>
          <w:szCs w:val="24"/>
          <w:lang w:val="es-ES_tradnl"/>
        </w:rPr>
      </w:pPr>
      <w:r w:rsidRPr="001A026F">
        <w:rPr>
          <w:rFonts w:eastAsia="Times New Roman"/>
          <w:szCs w:val="24"/>
          <w:lang w:val="es-ES_tradnl"/>
        </w:rPr>
        <w:t>Promover activamente la implementación del PAGSacre, continuando la facilitación de la participación, la comunicación, la cooperación y la colaboración entre las partes interesadas;</w:t>
      </w:r>
    </w:p>
    <w:p w:rsidR="00E700B3" w:rsidRPr="001A026F" w:rsidRDefault="00E700B3" w:rsidP="001A026F">
      <w:pPr>
        <w:widowControl w:val="0"/>
        <w:numPr>
          <w:ilvl w:val="0"/>
          <w:numId w:val="13"/>
        </w:numPr>
        <w:autoSpaceDE w:val="0"/>
        <w:autoSpaceDN w:val="0"/>
        <w:adjustRightInd w:val="0"/>
        <w:ind w:left="1440" w:hanging="720"/>
        <w:contextualSpacing/>
        <w:jc w:val="both"/>
        <w:rPr>
          <w:rFonts w:eastAsia="Times New Roman"/>
          <w:szCs w:val="24"/>
          <w:lang w:val="es-ES_tradnl"/>
        </w:rPr>
      </w:pPr>
      <w:r w:rsidRPr="001A026F">
        <w:rPr>
          <w:rFonts w:eastAsia="Times New Roman"/>
          <w:szCs w:val="24"/>
          <w:lang w:val="es-ES_tradnl"/>
        </w:rPr>
        <w:t>Continuar desarrollando, refinando e implementando un marco de trabajo adaptativo de gestión y seguimiento para mejorar el estado de conservación actual del halcón sacre mediante, entre otros, su uso regulado y sostenible;</w:t>
      </w:r>
    </w:p>
    <w:p w:rsidR="00E700B3" w:rsidRPr="001A026F" w:rsidRDefault="00E700B3" w:rsidP="001A026F">
      <w:pPr>
        <w:widowControl w:val="0"/>
        <w:numPr>
          <w:ilvl w:val="0"/>
          <w:numId w:val="13"/>
        </w:numPr>
        <w:autoSpaceDE w:val="0"/>
        <w:autoSpaceDN w:val="0"/>
        <w:adjustRightInd w:val="0"/>
        <w:ind w:left="1440" w:hanging="720"/>
        <w:contextualSpacing/>
        <w:jc w:val="both"/>
        <w:rPr>
          <w:rFonts w:eastAsia="Times New Roman"/>
          <w:szCs w:val="24"/>
          <w:lang w:val="es-ES_tradnl"/>
        </w:rPr>
      </w:pPr>
      <w:r w:rsidRPr="001A026F">
        <w:rPr>
          <w:rFonts w:eastAsia="Times New Roman"/>
          <w:szCs w:val="24"/>
          <w:lang w:val="es-ES_tradnl"/>
        </w:rPr>
        <w:t>Continuar examinando la opción de excluir la especie del Apéndice;</w:t>
      </w:r>
    </w:p>
    <w:p w:rsidR="00E700B3" w:rsidRPr="001A026F" w:rsidRDefault="00E700B3" w:rsidP="001A026F">
      <w:pPr>
        <w:widowControl w:val="0"/>
        <w:autoSpaceDE w:val="0"/>
        <w:autoSpaceDN w:val="0"/>
        <w:adjustRightInd w:val="0"/>
        <w:ind w:left="1440" w:hanging="720"/>
        <w:contextualSpacing/>
        <w:jc w:val="both"/>
        <w:rPr>
          <w:rFonts w:eastAsia="Times New Roman"/>
          <w:szCs w:val="24"/>
          <w:lang w:val="es-ES_tradnl"/>
        </w:rPr>
      </w:pPr>
    </w:p>
    <w:p w:rsidR="00E700B3" w:rsidRPr="001A026F" w:rsidRDefault="00E700B3" w:rsidP="001A026F">
      <w:pPr>
        <w:widowControl w:val="0"/>
        <w:numPr>
          <w:ilvl w:val="0"/>
          <w:numId w:val="11"/>
        </w:numPr>
        <w:autoSpaceDE w:val="0"/>
        <w:autoSpaceDN w:val="0"/>
        <w:adjustRightInd w:val="0"/>
        <w:ind w:left="0" w:firstLine="0"/>
        <w:contextualSpacing/>
        <w:jc w:val="both"/>
        <w:rPr>
          <w:rFonts w:eastAsia="Times New Roman"/>
          <w:szCs w:val="24"/>
          <w:lang w:val="es-ES_tradnl"/>
        </w:rPr>
      </w:pPr>
      <w:r w:rsidRPr="001A026F">
        <w:rPr>
          <w:rFonts w:eastAsia="Times New Roman"/>
          <w:i/>
          <w:szCs w:val="24"/>
          <w:lang w:val="es-ES_tradnl"/>
        </w:rPr>
        <w:t>Recomienda</w:t>
      </w:r>
      <w:r w:rsidRPr="001A026F">
        <w:rPr>
          <w:rFonts w:eastAsia="Times New Roman"/>
          <w:szCs w:val="24"/>
          <w:lang w:val="es-ES_tradnl"/>
        </w:rPr>
        <w:t xml:space="preserve"> el siguiente marco de trabajo y calendario para los informes del Grupo de Trabajo:</w:t>
      </w:r>
    </w:p>
    <w:p w:rsidR="00E700B3" w:rsidRPr="001A026F" w:rsidRDefault="00E700B3" w:rsidP="001A026F">
      <w:pPr>
        <w:contextualSpacing/>
        <w:jc w:val="both"/>
        <w:rPr>
          <w:rFonts w:eastAsia="Times New Roman"/>
          <w:iCs/>
          <w:szCs w:val="24"/>
          <w:lang w:val="es-ES_tradnl"/>
        </w:rPr>
      </w:pPr>
    </w:p>
    <w:p w:rsidR="00E700B3" w:rsidRPr="001A026F" w:rsidRDefault="00E700B3" w:rsidP="001A026F">
      <w:pPr>
        <w:widowControl w:val="0"/>
        <w:numPr>
          <w:ilvl w:val="0"/>
          <w:numId w:val="12"/>
        </w:numPr>
        <w:autoSpaceDE w:val="0"/>
        <w:autoSpaceDN w:val="0"/>
        <w:adjustRightInd w:val="0"/>
        <w:ind w:left="1440" w:hanging="720"/>
        <w:contextualSpacing/>
        <w:jc w:val="both"/>
        <w:rPr>
          <w:rFonts w:eastAsia="Times New Roman"/>
          <w:szCs w:val="24"/>
          <w:lang w:val="es-ES_tradnl"/>
        </w:rPr>
      </w:pPr>
      <w:r w:rsidRPr="001A026F">
        <w:rPr>
          <w:rFonts w:eastAsia="Times New Roman"/>
          <w:szCs w:val="24"/>
          <w:lang w:val="es-ES_tradnl"/>
        </w:rPr>
        <w:t>Informar a la segunda Reunión de los Signatarios del MDE sobre rapaces de la CMS;</w:t>
      </w:r>
    </w:p>
    <w:p w:rsidR="00E700B3" w:rsidRPr="001A026F" w:rsidRDefault="00E700B3" w:rsidP="001A026F">
      <w:pPr>
        <w:widowControl w:val="0"/>
        <w:numPr>
          <w:ilvl w:val="0"/>
          <w:numId w:val="12"/>
        </w:numPr>
        <w:autoSpaceDE w:val="0"/>
        <w:autoSpaceDN w:val="0"/>
        <w:adjustRightInd w:val="0"/>
        <w:ind w:left="1440" w:hanging="720"/>
        <w:contextualSpacing/>
        <w:jc w:val="both"/>
        <w:rPr>
          <w:rFonts w:eastAsia="Times New Roman"/>
          <w:szCs w:val="24"/>
          <w:lang w:val="es-ES_tradnl"/>
        </w:rPr>
      </w:pPr>
      <w:r w:rsidRPr="001A026F">
        <w:rPr>
          <w:rFonts w:eastAsia="Times New Roman"/>
          <w:szCs w:val="24"/>
          <w:lang w:val="es-ES_tradnl"/>
        </w:rPr>
        <w:t>Informar a la decimonovena reunión del Consejo Científico de la CMS;</w:t>
      </w:r>
    </w:p>
    <w:p w:rsidR="00E700B3" w:rsidRPr="001A026F" w:rsidRDefault="00E700B3" w:rsidP="001A026F">
      <w:pPr>
        <w:widowControl w:val="0"/>
        <w:numPr>
          <w:ilvl w:val="0"/>
          <w:numId w:val="12"/>
        </w:numPr>
        <w:autoSpaceDE w:val="0"/>
        <w:autoSpaceDN w:val="0"/>
        <w:adjustRightInd w:val="0"/>
        <w:ind w:left="1440" w:hanging="720"/>
        <w:contextualSpacing/>
        <w:jc w:val="both"/>
        <w:rPr>
          <w:rFonts w:eastAsia="Times New Roman"/>
          <w:szCs w:val="24"/>
          <w:lang w:val="es-ES_tradnl"/>
        </w:rPr>
      </w:pPr>
      <w:r w:rsidRPr="001A026F">
        <w:rPr>
          <w:rFonts w:eastAsia="Times New Roman"/>
          <w:szCs w:val="24"/>
          <w:lang w:val="es-ES_tradnl"/>
        </w:rPr>
        <w:t>Analizar el progreso de la implementación del PAGSacre e informar a la duodécima reunión de la Conferencia de las Partes de la CMS;</w:t>
      </w:r>
    </w:p>
    <w:p w:rsidR="00E700B3" w:rsidRPr="001A026F" w:rsidRDefault="00E700B3" w:rsidP="001A026F">
      <w:pPr>
        <w:widowControl w:val="0"/>
        <w:autoSpaceDE w:val="0"/>
        <w:autoSpaceDN w:val="0"/>
        <w:adjustRightInd w:val="0"/>
        <w:contextualSpacing/>
        <w:jc w:val="both"/>
        <w:rPr>
          <w:rFonts w:eastAsia="Times New Roman"/>
          <w:szCs w:val="24"/>
          <w:lang w:val="es-ES_tradnl"/>
        </w:rPr>
      </w:pPr>
    </w:p>
    <w:p w:rsidR="00E700B3" w:rsidRPr="001A026F" w:rsidRDefault="00E700B3" w:rsidP="001A026F">
      <w:pPr>
        <w:widowControl w:val="0"/>
        <w:numPr>
          <w:ilvl w:val="0"/>
          <w:numId w:val="11"/>
        </w:numPr>
        <w:autoSpaceDE w:val="0"/>
        <w:autoSpaceDN w:val="0"/>
        <w:adjustRightInd w:val="0"/>
        <w:ind w:left="0" w:firstLine="0"/>
        <w:contextualSpacing/>
        <w:jc w:val="both"/>
        <w:rPr>
          <w:rFonts w:eastAsia="Times New Roman"/>
          <w:szCs w:val="24"/>
          <w:lang w:val="es-ES_tradnl"/>
        </w:rPr>
      </w:pPr>
      <w:r w:rsidRPr="001A026F">
        <w:rPr>
          <w:rFonts w:eastAsia="Times New Roman"/>
          <w:i/>
          <w:szCs w:val="24"/>
          <w:lang w:val="es-ES_tradnl"/>
        </w:rPr>
        <w:t>Urge</w:t>
      </w:r>
      <w:r w:rsidRPr="001A026F">
        <w:rPr>
          <w:rFonts w:eastAsia="Times New Roman"/>
          <w:szCs w:val="24"/>
          <w:lang w:val="es-ES_tradnl"/>
        </w:rPr>
        <w:t xml:space="preserve"> a las Partes, estados del área de distribución y otros interesados a apoyar activamente la labor del Grupo de Trabajo sobre el halcón sacre, incluyendo mediante contribuciones económicas voluntarias.</w:t>
      </w:r>
    </w:p>
    <w:p w:rsidR="00E700B3" w:rsidRPr="001A026F" w:rsidRDefault="00E700B3" w:rsidP="001A026F">
      <w:pPr>
        <w:widowControl w:val="0"/>
        <w:autoSpaceDE w:val="0"/>
        <w:autoSpaceDN w:val="0"/>
        <w:adjustRightInd w:val="0"/>
        <w:contextualSpacing/>
        <w:jc w:val="both"/>
        <w:rPr>
          <w:rFonts w:eastAsia="Times New Roman"/>
          <w:szCs w:val="24"/>
          <w:lang w:val="es-ES_tradnl"/>
        </w:rPr>
      </w:pPr>
    </w:p>
    <w:p w:rsidR="00E700B3" w:rsidRPr="001A026F" w:rsidRDefault="00E700B3" w:rsidP="001A026F">
      <w:pPr>
        <w:widowControl w:val="0"/>
        <w:numPr>
          <w:ilvl w:val="0"/>
          <w:numId w:val="11"/>
        </w:numPr>
        <w:autoSpaceDE w:val="0"/>
        <w:autoSpaceDN w:val="0"/>
        <w:adjustRightInd w:val="0"/>
        <w:ind w:left="0" w:firstLine="0"/>
        <w:contextualSpacing/>
        <w:jc w:val="both"/>
        <w:rPr>
          <w:rFonts w:eastAsia="Times New Roman"/>
          <w:szCs w:val="24"/>
          <w:lang w:val="es-ES_tradnl"/>
        </w:rPr>
      </w:pPr>
      <w:r w:rsidRPr="001A026F">
        <w:rPr>
          <w:rFonts w:eastAsia="Times New Roman"/>
          <w:i/>
          <w:szCs w:val="24"/>
          <w:lang w:val="es-ES_tradnl"/>
        </w:rPr>
        <w:t>Urge además</w:t>
      </w:r>
      <w:r w:rsidRPr="001A026F">
        <w:rPr>
          <w:rFonts w:eastAsia="Times New Roman"/>
          <w:szCs w:val="24"/>
          <w:lang w:val="es-ES_tradnl"/>
        </w:rPr>
        <w:t xml:space="preserve"> a las Partes, estados del área de distribución y otros interesados a comenzar la movilización inmediata de los recursos considerables necesarios para implementar plenamente el PAGSacre en todo el área de distribución de la especie;</w:t>
      </w:r>
    </w:p>
    <w:p w:rsidR="00E700B3" w:rsidRPr="001A026F" w:rsidRDefault="00E700B3" w:rsidP="001A026F">
      <w:pPr>
        <w:widowControl w:val="0"/>
        <w:autoSpaceDE w:val="0"/>
        <w:autoSpaceDN w:val="0"/>
        <w:adjustRightInd w:val="0"/>
        <w:contextualSpacing/>
        <w:rPr>
          <w:rFonts w:eastAsia="Times New Roman"/>
          <w:szCs w:val="24"/>
          <w:lang w:val="es-ES_tradnl"/>
        </w:rPr>
      </w:pPr>
    </w:p>
    <w:p w:rsidR="00E700B3" w:rsidRPr="001A026F" w:rsidRDefault="00E700B3" w:rsidP="001A026F">
      <w:pPr>
        <w:widowControl w:val="0"/>
        <w:numPr>
          <w:ilvl w:val="0"/>
          <w:numId w:val="11"/>
        </w:numPr>
        <w:autoSpaceDE w:val="0"/>
        <w:autoSpaceDN w:val="0"/>
        <w:adjustRightInd w:val="0"/>
        <w:ind w:left="0" w:firstLine="0"/>
        <w:contextualSpacing/>
        <w:jc w:val="both"/>
        <w:rPr>
          <w:rFonts w:eastAsia="Times New Roman"/>
          <w:szCs w:val="24"/>
          <w:lang w:val="es-ES_tradnl"/>
        </w:rPr>
      </w:pPr>
      <w:r w:rsidRPr="001A026F">
        <w:rPr>
          <w:rFonts w:eastAsia="Times New Roman"/>
          <w:i/>
          <w:szCs w:val="24"/>
          <w:lang w:val="es-ES_tradnl"/>
        </w:rPr>
        <w:t>Invita</w:t>
      </w:r>
      <w:r w:rsidRPr="001A026F">
        <w:rPr>
          <w:rFonts w:eastAsia="Times New Roman"/>
          <w:szCs w:val="24"/>
          <w:lang w:val="es-ES_tradnl"/>
        </w:rPr>
        <w:t xml:space="preserve"> a las Partes y a los estados del área de distribución a integrar la implementación del PAGSacre en sus estrategias y planes de acción de biodiversidad nacionales (NBSAP), desarrollados bajo el Convenio sobre la Diversidad Biológica (CDB);</w:t>
      </w:r>
    </w:p>
    <w:p w:rsidR="00E700B3" w:rsidRPr="001A026F" w:rsidRDefault="00E700B3" w:rsidP="001A026F">
      <w:pPr>
        <w:widowControl w:val="0"/>
        <w:autoSpaceDE w:val="0"/>
        <w:autoSpaceDN w:val="0"/>
        <w:adjustRightInd w:val="0"/>
        <w:contextualSpacing/>
        <w:jc w:val="both"/>
        <w:rPr>
          <w:rFonts w:eastAsia="Times New Roman"/>
          <w:szCs w:val="24"/>
          <w:lang w:val="es-ES"/>
        </w:rPr>
      </w:pPr>
    </w:p>
    <w:p w:rsidR="00E700B3" w:rsidRPr="001A026F" w:rsidRDefault="00E700B3" w:rsidP="001A026F">
      <w:pPr>
        <w:widowControl w:val="0"/>
        <w:numPr>
          <w:ilvl w:val="0"/>
          <w:numId w:val="11"/>
        </w:numPr>
        <w:autoSpaceDE w:val="0"/>
        <w:autoSpaceDN w:val="0"/>
        <w:adjustRightInd w:val="0"/>
        <w:ind w:left="0" w:firstLine="0"/>
        <w:contextualSpacing/>
        <w:jc w:val="both"/>
        <w:rPr>
          <w:rFonts w:eastAsia="Times New Roman"/>
          <w:szCs w:val="24"/>
          <w:lang w:val="es-ES_tradnl"/>
        </w:rPr>
      </w:pPr>
      <w:r w:rsidRPr="001A026F">
        <w:rPr>
          <w:rFonts w:eastAsia="Times New Roman"/>
          <w:i/>
          <w:szCs w:val="24"/>
          <w:lang w:val="es-ES_tradnl"/>
        </w:rPr>
        <w:t>Instruye</w:t>
      </w:r>
      <w:r w:rsidRPr="001A026F">
        <w:rPr>
          <w:rFonts w:eastAsia="Times New Roman"/>
          <w:szCs w:val="24"/>
          <w:lang w:val="es-ES_tradnl"/>
        </w:rPr>
        <w:t xml:space="preserve"> a la Secretaría a transmitir esta Resolución a las secretarías de otros Acuerdos Ambientales Multilaterales, en especial a CITES, buscando su apoyo y contribución a la implementación del PAGSacre.</w:t>
      </w:r>
    </w:p>
    <w:p w:rsidR="00E700B3" w:rsidRPr="001A026F" w:rsidRDefault="00E700B3" w:rsidP="001A026F">
      <w:pPr>
        <w:widowControl w:val="0"/>
        <w:autoSpaceDE w:val="0"/>
        <w:autoSpaceDN w:val="0"/>
        <w:adjustRightInd w:val="0"/>
        <w:contextualSpacing/>
        <w:jc w:val="both"/>
        <w:rPr>
          <w:rFonts w:eastAsia="Times New Roman"/>
          <w:szCs w:val="24"/>
          <w:lang w:val="es-ES"/>
        </w:rPr>
      </w:pPr>
    </w:p>
    <w:p w:rsidR="00E700B3" w:rsidRPr="001A026F" w:rsidRDefault="00E700B3" w:rsidP="001A026F">
      <w:pPr>
        <w:widowControl w:val="0"/>
        <w:autoSpaceDE w:val="0"/>
        <w:autoSpaceDN w:val="0"/>
        <w:adjustRightInd w:val="0"/>
        <w:jc w:val="both"/>
        <w:rPr>
          <w:rFonts w:eastAsia="Times New Roman"/>
          <w:szCs w:val="24"/>
          <w:lang w:val="es-ES"/>
        </w:rPr>
      </w:pPr>
    </w:p>
    <w:sectPr w:rsidR="00E700B3" w:rsidRPr="001A026F" w:rsidSect="00D6057F">
      <w:headerReference w:type="even" r:id="rId18"/>
      <w:headerReference w:type="default" r:id="rId19"/>
      <w:headerReference w:type="first" r:id="rId20"/>
      <w:footerReference w:type="first" r:id="rId21"/>
      <w:pgSz w:w="11907" w:h="16840" w:code="9"/>
      <w:pgMar w:top="1418" w:right="1418" w:bottom="1418" w:left="1418"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0B3" w:rsidRDefault="00E700B3" w:rsidP="00C96A00">
      <w:r>
        <w:separator/>
      </w:r>
    </w:p>
  </w:endnote>
  <w:endnote w:type="continuationSeparator" w:id="0">
    <w:p w:rsidR="00E700B3" w:rsidRDefault="00E700B3"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Default="00BF61F3"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881491">
      <w:rPr>
        <w:noProof/>
      </w:rPr>
      <w:t>6</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Default="00BF61F3"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881491">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Pr="00031FF2" w:rsidRDefault="00E91ABE" w:rsidP="00031FF2">
    <w:pPr>
      <w:pBdr>
        <w:top w:val="double" w:sz="6" w:space="0" w:color="000000"/>
        <w:left w:val="double" w:sz="6" w:space="0" w:color="000000"/>
        <w:bottom w:val="double" w:sz="6" w:space="0" w:color="000000"/>
        <w:right w:val="double" w:sz="6" w:space="0" w:color="000000"/>
      </w:pBdr>
      <w:ind w:left="851" w:right="-3"/>
      <w:jc w:val="center"/>
      <w:rPr>
        <w:rFonts w:ascii="Times New Roman Italic" w:hAnsi="Times New Roman Italic"/>
        <w:i/>
        <w:iCs/>
        <w:spacing w:val="-6"/>
        <w:sz w:val="20"/>
        <w:szCs w:val="20"/>
        <w:lang w:val="es-ES"/>
      </w:rPr>
    </w:pPr>
    <w:r>
      <w:rPr>
        <w:noProof/>
      </w:rPr>
      <w:drawing>
        <wp:anchor distT="0" distB="0" distL="114300" distR="114300" simplePos="0" relativeHeight="251658752" behindDoc="0" locked="0" layoutInCell="1" allowOverlap="1">
          <wp:simplePos x="0" y="0"/>
          <wp:positionH relativeFrom="column">
            <wp:posOffset>-425450</wp:posOffset>
          </wp:positionH>
          <wp:positionV relativeFrom="paragraph">
            <wp:posOffset>-376555</wp:posOffset>
          </wp:positionV>
          <wp:extent cx="861060" cy="845820"/>
          <wp:effectExtent l="0" t="0" r="0" b="0"/>
          <wp:wrapNone/>
          <wp:docPr id="4"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3"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BF61F3" w:rsidRPr="00031FF2">
      <w:rPr>
        <w:rFonts w:ascii="Times New Roman Italic" w:hAnsi="Times New Roman Italic"/>
        <w:i/>
        <w:iCs/>
        <w:spacing w:val="-6"/>
        <w:sz w:val="20"/>
        <w:szCs w:val="20"/>
        <w:lang w:val="es-ES"/>
      </w:rPr>
      <w:t xml:space="preserve">Por razones de economía, se ha impreso este documento en un tiraje limitado y no será distribuido en </w:t>
    </w:r>
    <w:r w:rsidR="00BF61F3" w:rsidRPr="00031FF2">
      <w:rPr>
        <w:rFonts w:ascii="Times New Roman Italic" w:hAnsi="Times New Roman Italic"/>
        <w:i/>
        <w:spacing w:val="-6"/>
        <w:sz w:val="20"/>
        <w:szCs w:val="20"/>
        <w:lang w:val="es-ES"/>
      </w:rPr>
      <w:t>la reunión.  Se ruega a los delegados traer sus copias a la reunión y a no solicitar copias adicionales.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0B3" w:rsidRPr="001764E6" w:rsidRDefault="00E700B3" w:rsidP="001764E6">
    <w:pPr>
      <w:pStyle w:val="Footer"/>
      <w:jc w:val="center"/>
    </w:pPr>
    <w:r w:rsidRPr="001764E6">
      <w:fldChar w:fldCharType="begin"/>
    </w:r>
    <w:r w:rsidRPr="001764E6">
      <w:instrText xml:space="preserve"> PAGE   \* MERGEFORMAT </w:instrText>
    </w:r>
    <w:r w:rsidRPr="001764E6">
      <w:fldChar w:fldCharType="separate"/>
    </w:r>
    <w:r w:rsidR="00881491">
      <w:rPr>
        <w:noProof/>
      </w:rPr>
      <w:t>2</w:t>
    </w:r>
    <w:r w:rsidRPr="001764E6">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FF2" w:rsidRDefault="00031FF2">
    <w:pPr>
      <w:pStyle w:val="Footer"/>
      <w:jc w:val="center"/>
    </w:pPr>
    <w:r>
      <w:fldChar w:fldCharType="begin"/>
    </w:r>
    <w:r>
      <w:instrText xml:space="preserve"> PAGE   \* MERGEFORMAT </w:instrText>
    </w:r>
    <w:r>
      <w:fldChar w:fldCharType="separate"/>
    </w:r>
    <w:r w:rsidR="00881491">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0B3" w:rsidRDefault="00E700B3" w:rsidP="00C96A00">
      <w:r>
        <w:separator/>
      </w:r>
    </w:p>
  </w:footnote>
  <w:footnote w:type="continuationSeparator" w:id="0">
    <w:p w:rsidR="00E700B3" w:rsidRDefault="00E700B3" w:rsidP="00C96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ABE" w:rsidRPr="00E91ABE" w:rsidRDefault="00E91ABE" w:rsidP="00E91ABE">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jc w:val="right"/>
      <w:outlineLvl w:val="0"/>
      <w:rPr>
        <w:rFonts w:eastAsia="Times New Roman"/>
        <w:bCs/>
        <w:i/>
        <w:sz w:val="20"/>
        <w:szCs w:val="20"/>
        <w:lang w:val="fr-FR"/>
      </w:rPr>
    </w:pPr>
    <w:r w:rsidRPr="00E91ABE">
      <w:rPr>
        <w:rFonts w:eastAsia="Times New Roman"/>
        <w:bCs/>
        <w:i/>
        <w:sz w:val="20"/>
        <w:szCs w:val="20"/>
        <w:lang w:val="fr-FR"/>
      </w:rPr>
      <w:t>P</w:t>
    </w:r>
    <w:r w:rsidR="001A026F">
      <w:rPr>
        <w:rFonts w:eastAsia="Times New Roman"/>
        <w:bCs/>
        <w:i/>
        <w:sz w:val="20"/>
        <w:szCs w:val="20"/>
        <w:lang w:val="fr-FR"/>
      </w:rPr>
      <w:t>NUMA</w:t>
    </w:r>
    <w:r w:rsidRPr="00E91ABE">
      <w:rPr>
        <w:rFonts w:eastAsia="Times New Roman"/>
        <w:bCs/>
        <w:i/>
        <w:sz w:val="20"/>
        <w:szCs w:val="20"/>
        <w:lang w:val="fr-FR"/>
      </w:rPr>
      <w:t>/CMS/COP11/Doc.</w:t>
    </w:r>
    <w:r w:rsidRPr="00E91ABE">
      <w:rPr>
        <w:rFonts w:eastAsia="Times New Roman"/>
        <w:bCs/>
        <w:i/>
        <w:sz w:val="20"/>
        <w:szCs w:val="36"/>
        <w:lang w:val="fr-FR"/>
      </w:rPr>
      <w:t>23.1.5.1</w:t>
    </w:r>
  </w:p>
  <w:p w:rsidR="00E91ABE" w:rsidRPr="00E91ABE" w:rsidRDefault="00E91ABE" w:rsidP="00E91ABE">
    <w:pPr>
      <w:widowControl w:val="0"/>
      <w:autoSpaceDE w:val="0"/>
      <w:autoSpaceDN w:val="0"/>
      <w:adjustRightInd w:val="0"/>
      <w:rPr>
        <w:rFonts w:eastAsia="Times New Roman"/>
        <w:i/>
        <w:sz w:val="20"/>
        <w:szCs w:val="20"/>
        <w:lang w:val="fr-FR"/>
      </w:rPr>
    </w:pPr>
  </w:p>
  <w:p w:rsidR="00E700B3" w:rsidRPr="00F45F32" w:rsidRDefault="00E700B3" w:rsidP="00F45F3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ABE" w:rsidRPr="00E91ABE" w:rsidRDefault="00E91ABE" w:rsidP="00E91ABE">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outlineLvl w:val="0"/>
      <w:rPr>
        <w:rFonts w:eastAsia="Times New Roman"/>
        <w:bCs/>
        <w:i/>
        <w:sz w:val="20"/>
        <w:szCs w:val="20"/>
        <w:lang w:val="fr-FR"/>
      </w:rPr>
    </w:pPr>
    <w:r w:rsidRPr="00E91ABE">
      <w:rPr>
        <w:rFonts w:eastAsia="Times New Roman"/>
        <w:bCs/>
        <w:i/>
        <w:sz w:val="20"/>
        <w:szCs w:val="20"/>
        <w:lang w:val="fr-FR"/>
      </w:rPr>
      <w:t>P</w:t>
    </w:r>
    <w:r>
      <w:rPr>
        <w:rFonts w:eastAsia="Times New Roman"/>
        <w:bCs/>
        <w:i/>
        <w:sz w:val="20"/>
        <w:szCs w:val="20"/>
        <w:lang w:val="fr-FR"/>
      </w:rPr>
      <w:t>NUMA</w:t>
    </w:r>
    <w:r w:rsidRPr="00E91ABE">
      <w:rPr>
        <w:rFonts w:eastAsia="Times New Roman"/>
        <w:bCs/>
        <w:i/>
        <w:sz w:val="20"/>
        <w:szCs w:val="20"/>
        <w:lang w:val="fr-FR"/>
      </w:rPr>
      <w:t>/CMS/COP11/Doc.</w:t>
    </w:r>
    <w:r w:rsidRPr="00E91ABE">
      <w:rPr>
        <w:rFonts w:eastAsia="Times New Roman"/>
        <w:bCs/>
        <w:i/>
        <w:sz w:val="20"/>
        <w:szCs w:val="36"/>
        <w:lang w:val="fr-FR"/>
      </w:rPr>
      <w:t>23.1.5.1</w:t>
    </w:r>
  </w:p>
  <w:p w:rsidR="00E91ABE" w:rsidRPr="00E91ABE" w:rsidRDefault="00E91ABE" w:rsidP="00E91ABE">
    <w:pPr>
      <w:widowControl w:val="0"/>
      <w:autoSpaceDE w:val="0"/>
      <w:autoSpaceDN w:val="0"/>
      <w:adjustRightInd w:val="0"/>
      <w:rPr>
        <w:rFonts w:eastAsia="Times New Roman"/>
        <w:i/>
        <w:sz w:val="20"/>
        <w:szCs w:val="20"/>
        <w:lang w:val="fr-FR"/>
      </w:rPr>
    </w:pPr>
  </w:p>
  <w:p w:rsidR="00E700B3" w:rsidRPr="00F45F32" w:rsidRDefault="00E700B3" w:rsidP="00F45F3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491" w:rsidRPr="00881491" w:rsidRDefault="00881491" w:rsidP="00881491">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outlineLvl w:val="0"/>
      <w:rPr>
        <w:rFonts w:eastAsia="Times New Roman"/>
        <w:bCs/>
        <w:i/>
        <w:sz w:val="20"/>
        <w:szCs w:val="20"/>
        <w:lang w:val="es-ES"/>
      </w:rPr>
    </w:pPr>
    <w:r w:rsidRPr="00881491">
      <w:rPr>
        <w:rFonts w:eastAsia="Times New Roman"/>
        <w:bCs/>
        <w:i/>
        <w:sz w:val="20"/>
        <w:szCs w:val="20"/>
        <w:lang w:val="es-ES"/>
      </w:rPr>
      <w:t>PNUMA/CMS/COP11/Doc.</w:t>
    </w:r>
    <w:r w:rsidRPr="00881491">
      <w:rPr>
        <w:rFonts w:eastAsia="Times New Roman"/>
        <w:bCs/>
        <w:i/>
        <w:sz w:val="20"/>
        <w:szCs w:val="36"/>
        <w:lang w:val="es-ES"/>
      </w:rPr>
      <w:t>23.1.5.1/</w:t>
    </w:r>
    <w:r w:rsidRPr="00881491">
      <w:rPr>
        <w:rFonts w:eastAsia="Times New Roman"/>
        <w:bCs/>
        <w:i/>
        <w:sz w:val="20"/>
        <w:szCs w:val="36"/>
        <w:lang w:val="es-ES"/>
      </w:rPr>
      <w:t>Anexo:</w:t>
    </w:r>
    <w:r w:rsidRPr="00881491">
      <w:rPr>
        <w:rFonts w:eastAsia="Times New Roman"/>
        <w:bCs/>
        <w:i/>
        <w:sz w:val="20"/>
        <w:szCs w:val="36"/>
        <w:lang w:val="es-ES"/>
      </w:rPr>
      <w:t xml:space="preserve"> Proyecto de Resoluci</w:t>
    </w:r>
    <w:r>
      <w:rPr>
        <w:rFonts w:eastAsia="Times New Roman"/>
        <w:bCs/>
        <w:i/>
        <w:sz w:val="20"/>
        <w:szCs w:val="36"/>
        <w:lang w:val="es-ES"/>
      </w:rPr>
      <w:t>ón</w:t>
    </w:r>
  </w:p>
  <w:p w:rsidR="00881491" w:rsidRPr="00881491" w:rsidRDefault="00881491" w:rsidP="00881491">
    <w:pPr>
      <w:widowControl w:val="0"/>
      <w:autoSpaceDE w:val="0"/>
      <w:autoSpaceDN w:val="0"/>
      <w:adjustRightInd w:val="0"/>
      <w:rPr>
        <w:rFonts w:eastAsia="Times New Roman"/>
        <w:i/>
        <w:sz w:val="20"/>
        <w:szCs w:val="20"/>
        <w:lang w:val="es-ES"/>
      </w:rPr>
    </w:pPr>
  </w:p>
  <w:p w:rsidR="00881491" w:rsidRPr="00881491" w:rsidRDefault="00881491">
    <w:pPr>
      <w:pStyle w:val="Header"/>
      <w:rPr>
        <w:lang w:val="es-E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491" w:rsidRPr="00881491" w:rsidRDefault="00881491" w:rsidP="00E91ABE">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jc w:val="right"/>
      <w:outlineLvl w:val="0"/>
      <w:rPr>
        <w:rFonts w:eastAsia="Times New Roman"/>
        <w:bCs/>
        <w:i/>
        <w:sz w:val="20"/>
        <w:szCs w:val="20"/>
        <w:lang w:val="es-ES"/>
      </w:rPr>
    </w:pPr>
    <w:r w:rsidRPr="00881491">
      <w:rPr>
        <w:rFonts w:eastAsia="Times New Roman"/>
        <w:bCs/>
        <w:i/>
        <w:sz w:val="20"/>
        <w:szCs w:val="20"/>
        <w:lang w:val="es-ES"/>
      </w:rPr>
      <w:t>PNUMA/CMS/COP11/Doc.</w:t>
    </w:r>
    <w:r w:rsidRPr="00881491">
      <w:rPr>
        <w:rFonts w:eastAsia="Times New Roman"/>
        <w:bCs/>
        <w:i/>
        <w:sz w:val="20"/>
        <w:szCs w:val="36"/>
        <w:lang w:val="es-ES"/>
      </w:rPr>
      <w:t>23.1.5.1/Anexo: Proyecto de Resoluci</w:t>
    </w:r>
    <w:r>
      <w:rPr>
        <w:rFonts w:eastAsia="Times New Roman"/>
        <w:bCs/>
        <w:i/>
        <w:sz w:val="20"/>
        <w:szCs w:val="36"/>
        <w:lang w:val="es-ES"/>
      </w:rPr>
      <w:t>ón</w:t>
    </w:r>
  </w:p>
  <w:p w:rsidR="00881491" w:rsidRPr="00881491" w:rsidRDefault="00881491" w:rsidP="00E91ABE">
    <w:pPr>
      <w:widowControl w:val="0"/>
      <w:autoSpaceDE w:val="0"/>
      <w:autoSpaceDN w:val="0"/>
      <w:adjustRightInd w:val="0"/>
      <w:rPr>
        <w:rFonts w:eastAsia="Times New Roman"/>
        <w:i/>
        <w:sz w:val="20"/>
        <w:szCs w:val="20"/>
        <w:lang w:val="es-ES"/>
      </w:rPr>
    </w:pPr>
  </w:p>
  <w:p w:rsidR="00881491" w:rsidRPr="00881491" w:rsidRDefault="00881491" w:rsidP="00F45F32">
    <w:pPr>
      <w:pStyle w:val="Header"/>
      <w:rPr>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ABE" w:rsidRPr="001A026F" w:rsidRDefault="00E91ABE" w:rsidP="00E91ABE">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outlineLvl w:val="0"/>
      <w:rPr>
        <w:rFonts w:eastAsia="Times New Roman"/>
        <w:bCs/>
        <w:i/>
        <w:sz w:val="20"/>
        <w:szCs w:val="20"/>
        <w:lang w:val="es-ES"/>
      </w:rPr>
    </w:pPr>
    <w:r w:rsidRPr="001A026F">
      <w:rPr>
        <w:rFonts w:eastAsia="Times New Roman"/>
        <w:bCs/>
        <w:i/>
        <w:sz w:val="20"/>
        <w:szCs w:val="20"/>
        <w:lang w:val="es-ES"/>
      </w:rPr>
      <w:t>P</w:t>
    </w:r>
    <w:r w:rsidR="001A026F" w:rsidRPr="001A026F">
      <w:rPr>
        <w:rFonts w:eastAsia="Times New Roman"/>
        <w:bCs/>
        <w:i/>
        <w:sz w:val="20"/>
        <w:szCs w:val="20"/>
        <w:lang w:val="es-ES"/>
      </w:rPr>
      <w:t>NUMA</w:t>
    </w:r>
    <w:r w:rsidRPr="001A026F">
      <w:rPr>
        <w:rFonts w:eastAsia="Times New Roman"/>
        <w:bCs/>
        <w:i/>
        <w:sz w:val="20"/>
        <w:szCs w:val="20"/>
        <w:lang w:val="es-ES"/>
      </w:rPr>
      <w:t>/CMS/COP11/Doc.</w:t>
    </w:r>
    <w:r w:rsidRPr="001A026F">
      <w:rPr>
        <w:rFonts w:eastAsia="Times New Roman"/>
        <w:bCs/>
        <w:i/>
        <w:sz w:val="20"/>
        <w:szCs w:val="36"/>
        <w:lang w:val="es-ES"/>
      </w:rPr>
      <w:t>23.1.5.1</w:t>
    </w:r>
    <w:r w:rsidR="001A026F" w:rsidRPr="001A026F">
      <w:rPr>
        <w:rFonts w:eastAsia="Times New Roman"/>
        <w:bCs/>
        <w:i/>
        <w:sz w:val="20"/>
        <w:szCs w:val="36"/>
        <w:lang w:val="es-ES"/>
      </w:rPr>
      <w:t>/</w:t>
    </w:r>
    <w:r w:rsidR="00881491" w:rsidRPr="001A026F">
      <w:rPr>
        <w:rFonts w:eastAsia="Times New Roman"/>
        <w:bCs/>
        <w:i/>
        <w:sz w:val="20"/>
        <w:szCs w:val="36"/>
        <w:lang w:val="es-ES"/>
      </w:rPr>
      <w:t>Anexo:</w:t>
    </w:r>
    <w:r w:rsidR="001A026F" w:rsidRPr="001A026F">
      <w:rPr>
        <w:rFonts w:eastAsia="Times New Roman"/>
        <w:bCs/>
        <w:i/>
        <w:sz w:val="20"/>
        <w:szCs w:val="36"/>
        <w:lang w:val="es-ES"/>
      </w:rPr>
      <w:t xml:space="preserve"> Proyecto de Resoluci</w:t>
    </w:r>
    <w:r w:rsidR="001A026F">
      <w:rPr>
        <w:rFonts w:eastAsia="Times New Roman"/>
        <w:bCs/>
        <w:i/>
        <w:sz w:val="20"/>
        <w:szCs w:val="36"/>
        <w:lang w:val="es-ES"/>
      </w:rPr>
      <w:t>ón</w:t>
    </w:r>
  </w:p>
  <w:p w:rsidR="00E91ABE" w:rsidRPr="001A026F" w:rsidRDefault="00E91ABE" w:rsidP="00E91ABE">
    <w:pPr>
      <w:widowControl w:val="0"/>
      <w:autoSpaceDE w:val="0"/>
      <w:autoSpaceDN w:val="0"/>
      <w:adjustRightInd w:val="0"/>
      <w:rPr>
        <w:rFonts w:eastAsia="Times New Roman"/>
        <w:i/>
        <w:sz w:val="20"/>
        <w:szCs w:val="20"/>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D0936DE"/>
    <w:multiLevelType w:val="hybridMultilevel"/>
    <w:tmpl w:val="854418E8"/>
    <w:lvl w:ilvl="0" w:tplc="08090001">
      <w:start w:val="1"/>
      <w:numFmt w:val="bullet"/>
      <w:lvlText w:val=""/>
      <w:lvlJc w:val="left"/>
      <w:pPr>
        <w:ind w:left="1425" w:hanging="360"/>
      </w:pPr>
      <w:rPr>
        <w:rFonts w:ascii="Symbol" w:hAnsi="Symbol" w:hint="default"/>
      </w:rPr>
    </w:lvl>
    <w:lvl w:ilvl="1" w:tplc="08090003" w:tentative="1">
      <w:start w:val="1"/>
      <w:numFmt w:val="bullet"/>
      <w:lvlText w:val="o"/>
      <w:lvlJc w:val="left"/>
      <w:pPr>
        <w:ind w:left="2145" w:hanging="360"/>
      </w:pPr>
      <w:rPr>
        <w:rFonts w:ascii="Courier New" w:hAnsi="Courier New" w:cs="Courier New" w:hint="default"/>
      </w:rPr>
    </w:lvl>
    <w:lvl w:ilvl="2" w:tplc="08090005" w:tentative="1">
      <w:start w:val="1"/>
      <w:numFmt w:val="bullet"/>
      <w:lvlText w:val=""/>
      <w:lvlJc w:val="left"/>
      <w:pPr>
        <w:ind w:left="2865" w:hanging="360"/>
      </w:pPr>
      <w:rPr>
        <w:rFonts w:ascii="Wingdings" w:hAnsi="Wingdings" w:hint="default"/>
      </w:rPr>
    </w:lvl>
    <w:lvl w:ilvl="3" w:tplc="08090001" w:tentative="1">
      <w:start w:val="1"/>
      <w:numFmt w:val="bullet"/>
      <w:lvlText w:val=""/>
      <w:lvlJc w:val="left"/>
      <w:pPr>
        <w:ind w:left="3585" w:hanging="360"/>
      </w:pPr>
      <w:rPr>
        <w:rFonts w:ascii="Symbol" w:hAnsi="Symbol" w:hint="default"/>
      </w:rPr>
    </w:lvl>
    <w:lvl w:ilvl="4" w:tplc="08090003" w:tentative="1">
      <w:start w:val="1"/>
      <w:numFmt w:val="bullet"/>
      <w:lvlText w:val="o"/>
      <w:lvlJc w:val="left"/>
      <w:pPr>
        <w:ind w:left="4305" w:hanging="360"/>
      </w:pPr>
      <w:rPr>
        <w:rFonts w:ascii="Courier New" w:hAnsi="Courier New" w:cs="Courier New" w:hint="default"/>
      </w:rPr>
    </w:lvl>
    <w:lvl w:ilvl="5" w:tplc="08090005" w:tentative="1">
      <w:start w:val="1"/>
      <w:numFmt w:val="bullet"/>
      <w:lvlText w:val=""/>
      <w:lvlJc w:val="left"/>
      <w:pPr>
        <w:ind w:left="5025" w:hanging="360"/>
      </w:pPr>
      <w:rPr>
        <w:rFonts w:ascii="Wingdings" w:hAnsi="Wingdings" w:hint="default"/>
      </w:rPr>
    </w:lvl>
    <w:lvl w:ilvl="6" w:tplc="08090001" w:tentative="1">
      <w:start w:val="1"/>
      <w:numFmt w:val="bullet"/>
      <w:lvlText w:val=""/>
      <w:lvlJc w:val="left"/>
      <w:pPr>
        <w:ind w:left="5745" w:hanging="360"/>
      </w:pPr>
      <w:rPr>
        <w:rFonts w:ascii="Symbol" w:hAnsi="Symbol" w:hint="default"/>
      </w:rPr>
    </w:lvl>
    <w:lvl w:ilvl="7" w:tplc="08090003" w:tentative="1">
      <w:start w:val="1"/>
      <w:numFmt w:val="bullet"/>
      <w:lvlText w:val="o"/>
      <w:lvlJc w:val="left"/>
      <w:pPr>
        <w:ind w:left="6465" w:hanging="360"/>
      </w:pPr>
      <w:rPr>
        <w:rFonts w:ascii="Courier New" w:hAnsi="Courier New" w:cs="Courier New" w:hint="default"/>
      </w:rPr>
    </w:lvl>
    <w:lvl w:ilvl="8" w:tplc="08090005" w:tentative="1">
      <w:start w:val="1"/>
      <w:numFmt w:val="bullet"/>
      <w:lvlText w:val=""/>
      <w:lvlJc w:val="left"/>
      <w:pPr>
        <w:ind w:left="7185" w:hanging="360"/>
      </w:pPr>
      <w:rPr>
        <w:rFonts w:ascii="Wingdings" w:hAnsi="Wingdings" w:hint="default"/>
      </w:rPr>
    </w:lvl>
  </w:abstractNum>
  <w:abstractNum w:abstractNumId="2">
    <w:nsid w:val="1060787B"/>
    <w:multiLevelType w:val="hybridMultilevel"/>
    <w:tmpl w:val="126C2616"/>
    <w:lvl w:ilvl="0" w:tplc="FD24ED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F51E89"/>
    <w:multiLevelType w:val="hybridMultilevel"/>
    <w:tmpl w:val="23D4C77C"/>
    <w:lvl w:ilvl="0" w:tplc="7DE8BE06">
      <w:start w:val="1"/>
      <w:numFmt w:val="decimal"/>
      <w:lvlText w:val="%1."/>
      <w:lvlJc w:val="left"/>
      <w:pPr>
        <w:ind w:left="705" w:hanging="360"/>
      </w:pPr>
      <w:rPr>
        <w:rFonts w:ascii="Times New Roman" w:eastAsia="Calibri" w:hAnsi="Times New Roman" w:cs="Times New Roman" w:hint="default"/>
        <w:color w:val="auto"/>
        <w:sz w:val="24"/>
        <w:szCs w:val="32"/>
      </w:rPr>
    </w:lvl>
    <w:lvl w:ilvl="1" w:tplc="08090019" w:tentative="1">
      <w:start w:val="1"/>
      <w:numFmt w:val="lowerLetter"/>
      <w:lvlText w:val="%2."/>
      <w:lvlJc w:val="left"/>
      <w:pPr>
        <w:ind w:left="1425" w:hanging="360"/>
      </w:pPr>
    </w:lvl>
    <w:lvl w:ilvl="2" w:tplc="0809001B" w:tentative="1">
      <w:start w:val="1"/>
      <w:numFmt w:val="lowerRoman"/>
      <w:lvlText w:val="%3."/>
      <w:lvlJc w:val="right"/>
      <w:pPr>
        <w:ind w:left="2145" w:hanging="180"/>
      </w:pPr>
    </w:lvl>
    <w:lvl w:ilvl="3" w:tplc="0809000F" w:tentative="1">
      <w:start w:val="1"/>
      <w:numFmt w:val="decimal"/>
      <w:lvlText w:val="%4."/>
      <w:lvlJc w:val="left"/>
      <w:pPr>
        <w:ind w:left="2865" w:hanging="360"/>
      </w:pPr>
    </w:lvl>
    <w:lvl w:ilvl="4" w:tplc="08090019" w:tentative="1">
      <w:start w:val="1"/>
      <w:numFmt w:val="lowerLetter"/>
      <w:lvlText w:val="%5."/>
      <w:lvlJc w:val="left"/>
      <w:pPr>
        <w:ind w:left="3585" w:hanging="360"/>
      </w:pPr>
    </w:lvl>
    <w:lvl w:ilvl="5" w:tplc="0809001B" w:tentative="1">
      <w:start w:val="1"/>
      <w:numFmt w:val="lowerRoman"/>
      <w:lvlText w:val="%6."/>
      <w:lvlJc w:val="right"/>
      <w:pPr>
        <w:ind w:left="4305" w:hanging="180"/>
      </w:pPr>
    </w:lvl>
    <w:lvl w:ilvl="6" w:tplc="0809000F" w:tentative="1">
      <w:start w:val="1"/>
      <w:numFmt w:val="decimal"/>
      <w:lvlText w:val="%7."/>
      <w:lvlJc w:val="left"/>
      <w:pPr>
        <w:ind w:left="5025" w:hanging="360"/>
      </w:pPr>
    </w:lvl>
    <w:lvl w:ilvl="7" w:tplc="08090019" w:tentative="1">
      <w:start w:val="1"/>
      <w:numFmt w:val="lowerLetter"/>
      <w:lvlText w:val="%8."/>
      <w:lvlJc w:val="left"/>
      <w:pPr>
        <w:ind w:left="5745" w:hanging="360"/>
      </w:pPr>
    </w:lvl>
    <w:lvl w:ilvl="8" w:tplc="0809001B" w:tentative="1">
      <w:start w:val="1"/>
      <w:numFmt w:val="lowerRoman"/>
      <w:lvlText w:val="%9."/>
      <w:lvlJc w:val="right"/>
      <w:pPr>
        <w:ind w:left="6465" w:hanging="180"/>
      </w:pPr>
    </w:lvl>
  </w:abstractNum>
  <w:abstractNum w:abstractNumId="4">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E54A85"/>
    <w:multiLevelType w:val="hybridMultilevel"/>
    <w:tmpl w:val="18F8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881FF7"/>
    <w:multiLevelType w:val="hybridMultilevel"/>
    <w:tmpl w:val="20F26EAC"/>
    <w:lvl w:ilvl="0" w:tplc="5554FAD0">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C05689E"/>
    <w:multiLevelType w:val="hybridMultilevel"/>
    <w:tmpl w:val="C36214A6"/>
    <w:lvl w:ilvl="0" w:tplc="A29CC3F4">
      <w:start w:val="1"/>
      <w:numFmt w:val="decimal"/>
      <w:lvlText w:val="%1."/>
      <w:lvlJc w:val="left"/>
      <w:pPr>
        <w:tabs>
          <w:tab w:val="num" w:pos="1080"/>
        </w:tabs>
        <w:ind w:left="1080" w:hanging="720"/>
      </w:pPr>
      <w:rPr>
        <w:rFonts w:hint="default"/>
      </w:rPr>
    </w:lvl>
    <w:lvl w:ilvl="1" w:tplc="DE66B3EE">
      <w:numFmt w:val="none"/>
      <w:lvlText w:val=""/>
      <w:lvlJc w:val="left"/>
      <w:pPr>
        <w:tabs>
          <w:tab w:val="num" w:pos="360"/>
        </w:tabs>
      </w:pPr>
    </w:lvl>
    <w:lvl w:ilvl="2" w:tplc="5F883EF8">
      <w:numFmt w:val="none"/>
      <w:lvlText w:val=""/>
      <w:lvlJc w:val="left"/>
      <w:pPr>
        <w:tabs>
          <w:tab w:val="num" w:pos="360"/>
        </w:tabs>
      </w:pPr>
    </w:lvl>
    <w:lvl w:ilvl="3" w:tplc="058ACD36">
      <w:numFmt w:val="none"/>
      <w:lvlText w:val=""/>
      <w:lvlJc w:val="left"/>
      <w:pPr>
        <w:tabs>
          <w:tab w:val="num" w:pos="360"/>
        </w:tabs>
      </w:pPr>
    </w:lvl>
    <w:lvl w:ilvl="4" w:tplc="1D6C37D0">
      <w:numFmt w:val="none"/>
      <w:lvlText w:val=""/>
      <w:lvlJc w:val="left"/>
      <w:pPr>
        <w:tabs>
          <w:tab w:val="num" w:pos="360"/>
        </w:tabs>
      </w:pPr>
    </w:lvl>
    <w:lvl w:ilvl="5" w:tplc="7F7ACEF8">
      <w:numFmt w:val="none"/>
      <w:lvlText w:val=""/>
      <w:lvlJc w:val="left"/>
      <w:pPr>
        <w:tabs>
          <w:tab w:val="num" w:pos="360"/>
        </w:tabs>
      </w:pPr>
    </w:lvl>
    <w:lvl w:ilvl="6" w:tplc="7D64E4F6">
      <w:numFmt w:val="none"/>
      <w:lvlText w:val=""/>
      <w:lvlJc w:val="left"/>
      <w:pPr>
        <w:tabs>
          <w:tab w:val="num" w:pos="360"/>
        </w:tabs>
      </w:pPr>
    </w:lvl>
    <w:lvl w:ilvl="7" w:tplc="3AF66BCA">
      <w:numFmt w:val="none"/>
      <w:lvlText w:val=""/>
      <w:lvlJc w:val="left"/>
      <w:pPr>
        <w:tabs>
          <w:tab w:val="num" w:pos="360"/>
        </w:tabs>
      </w:pPr>
    </w:lvl>
    <w:lvl w:ilvl="8" w:tplc="B61495FE">
      <w:numFmt w:val="none"/>
      <w:lvlText w:val=""/>
      <w:lvlJc w:val="left"/>
      <w:pPr>
        <w:tabs>
          <w:tab w:val="num" w:pos="360"/>
        </w:tabs>
      </w:pPr>
    </w:lvl>
  </w:abstractNum>
  <w:abstractNum w:abstractNumId="9">
    <w:nsid w:val="40D02A94"/>
    <w:multiLevelType w:val="hybridMultilevel"/>
    <w:tmpl w:val="EBCE06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FD90DD9"/>
    <w:multiLevelType w:val="hybridMultilevel"/>
    <w:tmpl w:val="CA98BF6E"/>
    <w:lvl w:ilvl="0" w:tplc="8BB2D4D0">
      <w:start w:val="1"/>
      <w:numFmt w:val="bullet"/>
      <w:lvlText w:val=""/>
      <w:lvlJc w:val="left"/>
      <w:pPr>
        <w:ind w:left="2145" w:hanging="360"/>
      </w:pPr>
      <w:rPr>
        <w:rFonts w:ascii="Symbol" w:hAnsi="Symbol" w:hint="default"/>
        <w:color w:val="auto"/>
      </w:rPr>
    </w:lvl>
    <w:lvl w:ilvl="1" w:tplc="08090003" w:tentative="1">
      <w:start w:val="1"/>
      <w:numFmt w:val="bullet"/>
      <w:lvlText w:val="o"/>
      <w:lvlJc w:val="left"/>
      <w:pPr>
        <w:ind w:left="2865" w:hanging="360"/>
      </w:pPr>
      <w:rPr>
        <w:rFonts w:ascii="Courier New" w:hAnsi="Courier New" w:cs="Courier New" w:hint="default"/>
      </w:rPr>
    </w:lvl>
    <w:lvl w:ilvl="2" w:tplc="08090005" w:tentative="1">
      <w:start w:val="1"/>
      <w:numFmt w:val="bullet"/>
      <w:lvlText w:val=""/>
      <w:lvlJc w:val="left"/>
      <w:pPr>
        <w:ind w:left="3585" w:hanging="360"/>
      </w:pPr>
      <w:rPr>
        <w:rFonts w:ascii="Wingdings" w:hAnsi="Wingdings" w:hint="default"/>
      </w:rPr>
    </w:lvl>
    <w:lvl w:ilvl="3" w:tplc="08090001" w:tentative="1">
      <w:start w:val="1"/>
      <w:numFmt w:val="bullet"/>
      <w:lvlText w:val=""/>
      <w:lvlJc w:val="left"/>
      <w:pPr>
        <w:ind w:left="4305" w:hanging="360"/>
      </w:pPr>
      <w:rPr>
        <w:rFonts w:ascii="Symbol" w:hAnsi="Symbol" w:hint="default"/>
      </w:rPr>
    </w:lvl>
    <w:lvl w:ilvl="4" w:tplc="08090003" w:tentative="1">
      <w:start w:val="1"/>
      <w:numFmt w:val="bullet"/>
      <w:lvlText w:val="o"/>
      <w:lvlJc w:val="left"/>
      <w:pPr>
        <w:ind w:left="5025" w:hanging="360"/>
      </w:pPr>
      <w:rPr>
        <w:rFonts w:ascii="Courier New" w:hAnsi="Courier New" w:cs="Courier New" w:hint="default"/>
      </w:rPr>
    </w:lvl>
    <w:lvl w:ilvl="5" w:tplc="08090005" w:tentative="1">
      <w:start w:val="1"/>
      <w:numFmt w:val="bullet"/>
      <w:lvlText w:val=""/>
      <w:lvlJc w:val="left"/>
      <w:pPr>
        <w:ind w:left="5745" w:hanging="360"/>
      </w:pPr>
      <w:rPr>
        <w:rFonts w:ascii="Wingdings" w:hAnsi="Wingdings" w:hint="default"/>
      </w:rPr>
    </w:lvl>
    <w:lvl w:ilvl="6" w:tplc="08090001" w:tentative="1">
      <w:start w:val="1"/>
      <w:numFmt w:val="bullet"/>
      <w:lvlText w:val=""/>
      <w:lvlJc w:val="left"/>
      <w:pPr>
        <w:ind w:left="6465" w:hanging="360"/>
      </w:pPr>
      <w:rPr>
        <w:rFonts w:ascii="Symbol" w:hAnsi="Symbol" w:hint="default"/>
      </w:rPr>
    </w:lvl>
    <w:lvl w:ilvl="7" w:tplc="08090003" w:tentative="1">
      <w:start w:val="1"/>
      <w:numFmt w:val="bullet"/>
      <w:lvlText w:val="o"/>
      <w:lvlJc w:val="left"/>
      <w:pPr>
        <w:ind w:left="7185" w:hanging="360"/>
      </w:pPr>
      <w:rPr>
        <w:rFonts w:ascii="Courier New" w:hAnsi="Courier New" w:cs="Courier New" w:hint="default"/>
      </w:rPr>
    </w:lvl>
    <w:lvl w:ilvl="8" w:tplc="08090005" w:tentative="1">
      <w:start w:val="1"/>
      <w:numFmt w:val="bullet"/>
      <w:lvlText w:val=""/>
      <w:lvlJc w:val="left"/>
      <w:pPr>
        <w:ind w:left="7905" w:hanging="360"/>
      </w:pPr>
      <w:rPr>
        <w:rFonts w:ascii="Wingdings" w:hAnsi="Wingdings" w:hint="default"/>
      </w:rPr>
    </w:lvl>
  </w:abstractNum>
  <w:abstractNum w:abstractNumId="11">
    <w:nsid w:val="50272C7A"/>
    <w:multiLevelType w:val="hybridMultilevel"/>
    <w:tmpl w:val="4B380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6254AE"/>
    <w:multiLevelType w:val="hybridMultilevel"/>
    <w:tmpl w:val="BA40A592"/>
    <w:lvl w:ilvl="0" w:tplc="9848927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6EBC646B"/>
    <w:multiLevelType w:val="multilevel"/>
    <w:tmpl w:val="E0C6980A"/>
    <w:lvl w:ilvl="0">
      <w:start w:val="1"/>
      <w:numFmt w:val="decimal"/>
      <w:lvlText w:val="%1."/>
      <w:lvlJc w:val="left"/>
      <w:pPr>
        <w:ind w:left="81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8"/>
  </w:num>
  <w:num w:numId="2">
    <w:abstractNumId w:val="9"/>
  </w:num>
  <w:num w:numId="3">
    <w:abstractNumId w:val="6"/>
  </w:num>
  <w:num w:numId="4">
    <w:abstractNumId w:val="2"/>
  </w:num>
  <w:num w:numId="5">
    <w:abstractNumId w:val="13"/>
  </w:num>
  <w:num w:numId="6">
    <w:abstractNumId w:val="4"/>
  </w:num>
  <w:num w:numId="7">
    <w:abstractNumId w:val="5"/>
  </w:num>
  <w:num w:numId="8">
    <w:abstractNumId w:val="0"/>
  </w:num>
  <w:num w:numId="9">
    <w:abstractNumId w:val="11"/>
  </w:num>
  <w:num w:numId="10">
    <w:abstractNumId w:val="7"/>
  </w:num>
  <w:num w:numId="11">
    <w:abstractNumId w:val="3"/>
  </w:num>
  <w:num w:numId="12">
    <w:abstractNumId w:val="1"/>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0B3"/>
    <w:rsid w:val="00022FCA"/>
    <w:rsid w:val="00023ECA"/>
    <w:rsid w:val="00031D49"/>
    <w:rsid w:val="00031FF2"/>
    <w:rsid w:val="00033272"/>
    <w:rsid w:val="00043DED"/>
    <w:rsid w:val="00050F99"/>
    <w:rsid w:val="00076D11"/>
    <w:rsid w:val="00091F6A"/>
    <w:rsid w:val="000A4AA9"/>
    <w:rsid w:val="000A6209"/>
    <w:rsid w:val="000B2583"/>
    <w:rsid w:val="000C3D25"/>
    <w:rsid w:val="000C5934"/>
    <w:rsid w:val="000D1A0B"/>
    <w:rsid w:val="000D3074"/>
    <w:rsid w:val="000D5656"/>
    <w:rsid w:val="00113CC4"/>
    <w:rsid w:val="0014405B"/>
    <w:rsid w:val="00172816"/>
    <w:rsid w:val="00190D70"/>
    <w:rsid w:val="001956D7"/>
    <w:rsid w:val="001A026F"/>
    <w:rsid w:val="001A0800"/>
    <w:rsid w:val="001A1228"/>
    <w:rsid w:val="001C226F"/>
    <w:rsid w:val="001D1130"/>
    <w:rsid w:val="00225DDF"/>
    <w:rsid w:val="0023227B"/>
    <w:rsid w:val="00234976"/>
    <w:rsid w:val="002355CF"/>
    <w:rsid w:val="00241D3F"/>
    <w:rsid w:val="00246F24"/>
    <w:rsid w:val="00256304"/>
    <w:rsid w:val="00256897"/>
    <w:rsid w:val="002823B0"/>
    <w:rsid w:val="00286D1D"/>
    <w:rsid w:val="002C4FB2"/>
    <w:rsid w:val="002F16CB"/>
    <w:rsid w:val="002F7638"/>
    <w:rsid w:val="003172D0"/>
    <w:rsid w:val="00325D81"/>
    <w:rsid w:val="003328D4"/>
    <w:rsid w:val="003550B6"/>
    <w:rsid w:val="003555C8"/>
    <w:rsid w:val="003A2E64"/>
    <w:rsid w:val="003B756F"/>
    <w:rsid w:val="003D0718"/>
    <w:rsid w:val="003F74EF"/>
    <w:rsid w:val="004152EC"/>
    <w:rsid w:val="0042255A"/>
    <w:rsid w:val="004630FC"/>
    <w:rsid w:val="004702EF"/>
    <w:rsid w:val="004758D5"/>
    <w:rsid w:val="0048032E"/>
    <w:rsid w:val="0048410B"/>
    <w:rsid w:val="00484510"/>
    <w:rsid w:val="00494DAC"/>
    <w:rsid w:val="00496A14"/>
    <w:rsid w:val="004A18D3"/>
    <w:rsid w:val="004B06CB"/>
    <w:rsid w:val="004B70CB"/>
    <w:rsid w:val="005049DE"/>
    <w:rsid w:val="00531BD1"/>
    <w:rsid w:val="0054242A"/>
    <w:rsid w:val="005510FA"/>
    <w:rsid w:val="00567790"/>
    <w:rsid w:val="005877FE"/>
    <w:rsid w:val="005A2F42"/>
    <w:rsid w:val="005B48D8"/>
    <w:rsid w:val="005B733D"/>
    <w:rsid w:val="005C6999"/>
    <w:rsid w:val="00601422"/>
    <w:rsid w:val="00603D73"/>
    <w:rsid w:val="0060585C"/>
    <w:rsid w:val="00640B0A"/>
    <w:rsid w:val="0065265A"/>
    <w:rsid w:val="00662AC3"/>
    <w:rsid w:val="006924F5"/>
    <w:rsid w:val="00696D1D"/>
    <w:rsid w:val="006A0F69"/>
    <w:rsid w:val="006A34E2"/>
    <w:rsid w:val="006B6DB2"/>
    <w:rsid w:val="006D2850"/>
    <w:rsid w:val="00725459"/>
    <w:rsid w:val="007314BF"/>
    <w:rsid w:val="0073562A"/>
    <w:rsid w:val="007359C6"/>
    <w:rsid w:val="00747A24"/>
    <w:rsid w:val="007563CA"/>
    <w:rsid w:val="0075758A"/>
    <w:rsid w:val="00761732"/>
    <w:rsid w:val="00772CCB"/>
    <w:rsid w:val="0078781C"/>
    <w:rsid w:val="00795426"/>
    <w:rsid w:val="007D217E"/>
    <w:rsid w:val="007E1E44"/>
    <w:rsid w:val="008163DB"/>
    <w:rsid w:val="008239DA"/>
    <w:rsid w:val="008319DA"/>
    <w:rsid w:val="00835F1F"/>
    <w:rsid w:val="0085400D"/>
    <w:rsid w:val="00854FF9"/>
    <w:rsid w:val="00871D3F"/>
    <w:rsid w:val="00877009"/>
    <w:rsid w:val="00877FA2"/>
    <w:rsid w:val="00881491"/>
    <w:rsid w:val="00886C44"/>
    <w:rsid w:val="008C424F"/>
    <w:rsid w:val="008E47CF"/>
    <w:rsid w:val="009113F4"/>
    <w:rsid w:val="0091211B"/>
    <w:rsid w:val="00915885"/>
    <w:rsid w:val="0092339E"/>
    <w:rsid w:val="0092465D"/>
    <w:rsid w:val="00925D84"/>
    <w:rsid w:val="00941F30"/>
    <w:rsid w:val="00966D7D"/>
    <w:rsid w:val="00974507"/>
    <w:rsid w:val="00991055"/>
    <w:rsid w:val="00993553"/>
    <w:rsid w:val="009A4C94"/>
    <w:rsid w:val="009B0BC0"/>
    <w:rsid w:val="009B7296"/>
    <w:rsid w:val="00A079D5"/>
    <w:rsid w:val="00A12FFB"/>
    <w:rsid w:val="00A13D43"/>
    <w:rsid w:val="00A17533"/>
    <w:rsid w:val="00A347D7"/>
    <w:rsid w:val="00A3666E"/>
    <w:rsid w:val="00A5744A"/>
    <w:rsid w:val="00A72E6C"/>
    <w:rsid w:val="00A96DFC"/>
    <w:rsid w:val="00A9767A"/>
    <w:rsid w:val="00AB0C7A"/>
    <w:rsid w:val="00AC22F8"/>
    <w:rsid w:val="00AC6844"/>
    <w:rsid w:val="00AD2F11"/>
    <w:rsid w:val="00AF6F73"/>
    <w:rsid w:val="00B007B0"/>
    <w:rsid w:val="00B016BB"/>
    <w:rsid w:val="00B24CE4"/>
    <w:rsid w:val="00B3336A"/>
    <w:rsid w:val="00B436D3"/>
    <w:rsid w:val="00B72D13"/>
    <w:rsid w:val="00B73B41"/>
    <w:rsid w:val="00B742E3"/>
    <w:rsid w:val="00B9461C"/>
    <w:rsid w:val="00B96483"/>
    <w:rsid w:val="00BD42FF"/>
    <w:rsid w:val="00BE365E"/>
    <w:rsid w:val="00BE4807"/>
    <w:rsid w:val="00BF61F3"/>
    <w:rsid w:val="00C15FDB"/>
    <w:rsid w:val="00C208F8"/>
    <w:rsid w:val="00C2540B"/>
    <w:rsid w:val="00C25BBA"/>
    <w:rsid w:val="00C3511F"/>
    <w:rsid w:val="00C54744"/>
    <w:rsid w:val="00C754C4"/>
    <w:rsid w:val="00C75DB8"/>
    <w:rsid w:val="00C85720"/>
    <w:rsid w:val="00C86D48"/>
    <w:rsid w:val="00C9458B"/>
    <w:rsid w:val="00C96A00"/>
    <w:rsid w:val="00CB058F"/>
    <w:rsid w:val="00CC19AA"/>
    <w:rsid w:val="00CD417B"/>
    <w:rsid w:val="00CD7456"/>
    <w:rsid w:val="00CE0D96"/>
    <w:rsid w:val="00D035E9"/>
    <w:rsid w:val="00D13EBE"/>
    <w:rsid w:val="00D1415C"/>
    <w:rsid w:val="00D16B0B"/>
    <w:rsid w:val="00D248EF"/>
    <w:rsid w:val="00D3014E"/>
    <w:rsid w:val="00D30FF5"/>
    <w:rsid w:val="00D33B7A"/>
    <w:rsid w:val="00D45F44"/>
    <w:rsid w:val="00D52F53"/>
    <w:rsid w:val="00D6057F"/>
    <w:rsid w:val="00D85978"/>
    <w:rsid w:val="00D92C5E"/>
    <w:rsid w:val="00DE1F2C"/>
    <w:rsid w:val="00DF2AF7"/>
    <w:rsid w:val="00DF5917"/>
    <w:rsid w:val="00E04F05"/>
    <w:rsid w:val="00E34730"/>
    <w:rsid w:val="00E700B3"/>
    <w:rsid w:val="00E91ABE"/>
    <w:rsid w:val="00E9660D"/>
    <w:rsid w:val="00ED1777"/>
    <w:rsid w:val="00EE451B"/>
    <w:rsid w:val="00EF1332"/>
    <w:rsid w:val="00EF35F9"/>
    <w:rsid w:val="00F07452"/>
    <w:rsid w:val="00F26339"/>
    <w:rsid w:val="00F67195"/>
    <w:rsid w:val="00F85E2F"/>
    <w:rsid w:val="00F861D4"/>
    <w:rsid w:val="00F91145"/>
    <w:rsid w:val="00F97125"/>
    <w:rsid w:val="00FA0973"/>
    <w:rsid w:val="00FD56C5"/>
    <w:rsid w:val="00FE1191"/>
    <w:rsid w:val="00FE65E3"/>
    <w:rsid w:val="00FE66BC"/>
    <w:rsid w:val="00FF7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semiHidden/>
    <w:rsid w:val="004B70CB"/>
    <w:rPr>
      <w:rFonts w:cs="Times New Roman"/>
    </w:rPr>
  </w:style>
  <w:style w:type="paragraph" w:styleId="FootnoteText">
    <w:name w:val="footnote text"/>
    <w:basedOn w:val="Normal"/>
    <w:link w:val="FootnoteTextChar"/>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semiHidden/>
    <w:rsid w:val="004B70CB"/>
    <w:rPr>
      <w:rFonts w:cs="Times New Roman"/>
    </w:rPr>
  </w:style>
  <w:style w:type="paragraph" w:styleId="FootnoteText">
    <w:name w:val="footnote text"/>
    <w:basedOn w:val="Normal"/>
    <w:link w:val="FootnoteTextChar"/>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46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Span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614C4-CFA7-449C-A1B6-E88DCFC22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COP11_Template_Spanish_new</Template>
  <TotalTime>0</TotalTime>
  <Pages>6</Pages>
  <Words>1778</Words>
  <Characters>10136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11891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Ximena Cancino</dc:creator>
  <cp:lastModifiedBy>Ximena Cancino</cp:lastModifiedBy>
  <cp:revision>2</cp:revision>
  <cp:lastPrinted>2014-02-20T07:49:00Z</cp:lastPrinted>
  <dcterms:created xsi:type="dcterms:W3CDTF">2014-08-19T12:35:00Z</dcterms:created>
  <dcterms:modified xsi:type="dcterms:W3CDTF">2014-08-19T12:35:00Z</dcterms:modified>
</cp:coreProperties>
</file>