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B046C0C" w14:textId="77777777" w:rsidR="003B3C3F" w:rsidRPr="003B3C3F" w:rsidRDefault="003B3C3F" w:rsidP="003B3C3F">
      <w:pPr>
        <w:pBdr>
          <w:top w:val="single" w:sz="6" w:space="0" w:color="FFFFFF"/>
          <w:left w:val="single" w:sz="6" w:space="0" w:color="FFFFFF"/>
          <w:bottom w:val="single" w:sz="6" w:space="0" w:color="FFFFFF"/>
          <w:right w:val="single" w:sz="6" w:space="0" w:color="FFFFFF"/>
        </w:pBdr>
        <w:jc w:val="center"/>
        <w:outlineLvl w:val="1"/>
        <w:rPr>
          <w:rFonts w:ascii="Arial" w:hAnsi="Arial" w:cs="Arial"/>
          <w:b/>
          <w:color w:val="000000"/>
          <w:sz w:val="22"/>
          <w:szCs w:val="22"/>
          <w:lang w:val="fr-FR"/>
        </w:rPr>
      </w:pPr>
      <w:r w:rsidRPr="003B3C3F">
        <w:rPr>
          <w:rFonts w:ascii="Arial" w:hAnsi="Arial" w:cs="Arial"/>
          <w:b/>
          <w:color w:val="000000"/>
          <w:sz w:val="22"/>
          <w:szCs w:val="22"/>
          <w:lang w:val="fr-FR"/>
        </w:rPr>
        <w:t xml:space="preserve">CONSÉQUENCES DE </w:t>
      </w:r>
      <w:bookmarkStart w:id="0" w:name="_Hlk20926125"/>
      <w:r w:rsidRPr="003B3C3F">
        <w:rPr>
          <w:rFonts w:ascii="Arial" w:hAnsi="Arial" w:cs="Arial"/>
          <w:b/>
          <w:color w:val="000000"/>
          <w:sz w:val="22"/>
          <w:szCs w:val="22"/>
          <w:lang w:val="fr-FR"/>
        </w:rPr>
        <w:t xml:space="preserve">LA POLLUTION PLASTIQUE SUR </w:t>
      </w:r>
    </w:p>
    <w:p w14:paraId="3AACBAC6" w14:textId="77777777" w:rsidR="003B3C3F" w:rsidRDefault="003B3C3F" w:rsidP="003B3C3F">
      <w:pPr>
        <w:jc w:val="center"/>
        <w:rPr>
          <w:rFonts w:ascii="Arial" w:hAnsi="Arial" w:cs="Arial"/>
          <w:b/>
          <w:color w:val="000000"/>
          <w:sz w:val="22"/>
          <w:szCs w:val="22"/>
          <w:lang w:val="fr-FR"/>
        </w:rPr>
      </w:pPr>
      <w:r w:rsidRPr="003B3C3F">
        <w:rPr>
          <w:rFonts w:ascii="Arial" w:hAnsi="Arial" w:cs="Arial"/>
          <w:b/>
          <w:color w:val="000000"/>
          <w:sz w:val="22"/>
          <w:szCs w:val="22"/>
          <w:lang w:val="fr-FR"/>
        </w:rPr>
        <w:t>LES ESPÈCES AQUATIQUES, TERRESTRES ET AVIAIRES</w:t>
      </w:r>
      <w:bookmarkEnd w:id="0"/>
    </w:p>
    <w:p w14:paraId="77BA811D" w14:textId="00F91CE0" w:rsidR="00D82C56" w:rsidRPr="001E5F32" w:rsidRDefault="005D43E4" w:rsidP="003B3C3F">
      <w:pPr>
        <w:jc w:val="center"/>
        <w:rPr>
          <w:rFonts w:ascii="Arial" w:hAnsi="Arial" w:cs="Arial"/>
          <w:bCs/>
          <w:sz w:val="22"/>
          <w:szCs w:val="22"/>
          <w:lang w:val="fr-FR"/>
        </w:rPr>
      </w:pPr>
      <w:r w:rsidRPr="001E5F32">
        <w:rPr>
          <w:rFonts w:ascii="Arial" w:hAnsi="Arial" w:cs="Arial"/>
          <w:bCs/>
          <w:sz w:val="22"/>
          <w:szCs w:val="22"/>
          <w:lang w:val="fr-FR"/>
        </w:rPr>
        <w:t>UNEP/CMS/COP13/Doc.</w:t>
      </w:r>
      <w:r w:rsidR="003B3C3F" w:rsidRPr="001E5F32">
        <w:rPr>
          <w:rFonts w:ascii="Arial" w:hAnsi="Arial" w:cs="Arial"/>
          <w:bCs/>
          <w:sz w:val="22"/>
          <w:szCs w:val="22"/>
          <w:lang w:val="fr-FR"/>
        </w:rPr>
        <w:t>26.4.7</w:t>
      </w:r>
    </w:p>
    <w:p w14:paraId="48F82B79" w14:textId="77777777" w:rsidR="00D82C56" w:rsidRPr="001E5F32" w:rsidRDefault="00D82C56" w:rsidP="00E829C9">
      <w:pPr>
        <w:jc w:val="center"/>
        <w:rPr>
          <w:rFonts w:ascii="Arial" w:hAnsi="Arial" w:cs="Arial"/>
          <w:sz w:val="22"/>
          <w:szCs w:val="22"/>
          <w:lang w:val="fr-FR"/>
        </w:rPr>
      </w:pPr>
    </w:p>
    <w:p w14:paraId="73A89732" w14:textId="4A9483B4"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3B3C3F">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3B3C3F">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49C5778" w14:textId="77777777" w:rsidR="00D82C56" w:rsidRPr="00A048E3" w:rsidRDefault="00D82C56" w:rsidP="00E829C9">
      <w:pPr>
        <w:rPr>
          <w:rFonts w:ascii="Arial" w:hAnsi="Arial" w:cs="Arial"/>
          <w:sz w:val="22"/>
          <w:szCs w:val="22"/>
          <w:lang w:val="fr-FR"/>
        </w:rPr>
      </w:pPr>
    </w:p>
    <w:p w14:paraId="5CD49333" w14:textId="08B980E7"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3B3C3F">
        <w:rPr>
          <w:rFonts w:ascii="Arial" w:hAnsi="Arial" w:cs="Arial"/>
          <w:sz w:val="22"/>
          <w:szCs w:val="22"/>
          <w:lang w:val="fr-FR"/>
        </w:rPr>
        <w:t>S</w:t>
      </w:r>
    </w:p>
    <w:p w14:paraId="621FE7FD" w14:textId="77777777" w:rsidR="00D82C56" w:rsidRPr="00A048E3" w:rsidRDefault="00D82C56" w:rsidP="00E829C9">
      <w:pPr>
        <w:rPr>
          <w:rFonts w:ascii="Arial" w:hAnsi="Arial" w:cs="Arial"/>
          <w:sz w:val="22"/>
          <w:szCs w:val="22"/>
          <w:lang w:val="fr-FR"/>
        </w:rPr>
      </w:pPr>
    </w:p>
    <w:p w14:paraId="5520A338" w14:textId="2C42D8EE" w:rsidR="003B3C3F" w:rsidRPr="003B3C3F" w:rsidRDefault="003B3C3F" w:rsidP="003B3C3F">
      <w:pPr>
        <w:jc w:val="both"/>
        <w:rPr>
          <w:rFonts w:ascii="Arial" w:hAnsi="Arial" w:cs="Arial"/>
          <w:b/>
          <w:i/>
          <w:sz w:val="22"/>
          <w:szCs w:val="22"/>
          <w:lang w:val="fr-FR"/>
        </w:rPr>
      </w:pPr>
      <w:r>
        <w:rPr>
          <w:rFonts w:ascii="Arial" w:hAnsi="Arial" w:cs="Arial"/>
          <w:b/>
          <w:i/>
          <w:sz w:val="22"/>
          <w:szCs w:val="22"/>
          <w:lang w:val="fr-FR"/>
        </w:rPr>
        <w:t>Adressé aux</w:t>
      </w:r>
      <w:r w:rsidRPr="003B3C3F">
        <w:rPr>
          <w:rFonts w:ascii="Arial" w:hAnsi="Arial" w:cs="Arial"/>
          <w:b/>
          <w:i/>
          <w:sz w:val="22"/>
          <w:szCs w:val="22"/>
          <w:lang w:val="fr-FR"/>
        </w:rPr>
        <w:t xml:space="preserve"> Parties </w:t>
      </w:r>
    </w:p>
    <w:p w14:paraId="60228C42" w14:textId="77777777" w:rsidR="003B3C3F" w:rsidRPr="003B3C3F" w:rsidRDefault="003B3C3F" w:rsidP="003B3C3F">
      <w:pPr>
        <w:jc w:val="both"/>
        <w:rPr>
          <w:rFonts w:ascii="Arial" w:hAnsi="Arial" w:cs="Arial"/>
          <w:sz w:val="22"/>
          <w:szCs w:val="22"/>
          <w:lang w:val="fr-FR"/>
        </w:rPr>
      </w:pPr>
    </w:p>
    <w:p w14:paraId="286BB5EA" w14:textId="77777777" w:rsidR="003B3C3F" w:rsidRPr="003B3C3F" w:rsidRDefault="003B3C3F" w:rsidP="003B3C3F">
      <w:pPr>
        <w:tabs>
          <w:tab w:val="left" w:pos="851"/>
        </w:tabs>
        <w:ind w:left="851" w:hanging="851"/>
        <w:jc w:val="both"/>
        <w:rPr>
          <w:rFonts w:ascii="Arial" w:hAnsi="Arial" w:cs="Arial"/>
          <w:iCs/>
          <w:sz w:val="22"/>
          <w:szCs w:val="22"/>
          <w:lang w:val="fr-FR"/>
        </w:rPr>
      </w:pPr>
      <w:r w:rsidRPr="003B3C3F">
        <w:rPr>
          <w:rFonts w:ascii="Arial" w:hAnsi="Arial" w:cs="Arial"/>
          <w:sz w:val="22"/>
          <w:szCs w:val="22"/>
          <w:lang w:val="fr-FR"/>
        </w:rPr>
        <w:t>13.AA</w:t>
      </w:r>
      <w:r w:rsidRPr="003B3C3F">
        <w:rPr>
          <w:rFonts w:ascii="Arial" w:hAnsi="Arial" w:cs="Arial"/>
          <w:sz w:val="22"/>
          <w:szCs w:val="22"/>
          <w:lang w:val="fr-FR"/>
        </w:rPr>
        <w:tab/>
      </w:r>
      <w:r w:rsidRPr="003B3C3F">
        <w:rPr>
          <w:rFonts w:ascii="Arial" w:hAnsi="Arial" w:cs="Arial"/>
          <w:iCs/>
          <w:sz w:val="22"/>
          <w:szCs w:val="22"/>
          <w:lang w:val="fr-FR"/>
        </w:rPr>
        <w:t xml:space="preserve">Les Parties sont invitées à : </w:t>
      </w:r>
      <w:r w:rsidRPr="003B3C3F">
        <w:rPr>
          <w:rFonts w:ascii="Arial" w:hAnsi="Arial" w:cs="Arial"/>
          <w:sz w:val="22"/>
          <w:szCs w:val="22"/>
          <w:lang w:val="fr-FR"/>
        </w:rPr>
        <w:t xml:space="preserve"> </w:t>
      </w:r>
    </w:p>
    <w:p w14:paraId="472EA81A" w14:textId="77777777" w:rsidR="003B3C3F" w:rsidRPr="003B3C3F" w:rsidRDefault="003B3C3F" w:rsidP="003B3C3F">
      <w:pPr>
        <w:jc w:val="both"/>
        <w:rPr>
          <w:rFonts w:ascii="Arial" w:hAnsi="Arial" w:cs="Arial"/>
          <w:iCs/>
          <w:sz w:val="22"/>
          <w:szCs w:val="22"/>
          <w:lang w:val="fr-FR"/>
        </w:rPr>
      </w:pPr>
    </w:p>
    <w:p w14:paraId="63F3BBF8" w14:textId="77777777" w:rsidR="003B3C3F" w:rsidRPr="003B3C3F" w:rsidRDefault="003B3C3F" w:rsidP="003B3C3F">
      <w:pPr>
        <w:numPr>
          <w:ilvl w:val="0"/>
          <w:numId w:val="2"/>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Soumettre les informations pertinentes sur la mise en œuvre de la Résolution 12.20 dans le cadre de leurs réponses aux demandes formulées par le Programme des Nations Unies pour l’environnement concernant la Résolution 4/6 de l’ANUE ;</w:t>
      </w:r>
    </w:p>
    <w:p w14:paraId="187F00B9" w14:textId="77777777" w:rsidR="003B3C3F" w:rsidRPr="003B3C3F" w:rsidRDefault="003B3C3F" w:rsidP="003B3C3F">
      <w:pPr>
        <w:ind w:left="1276" w:hanging="425"/>
        <w:jc w:val="both"/>
        <w:rPr>
          <w:rFonts w:ascii="Arial" w:hAnsi="Arial" w:cs="Arial"/>
          <w:sz w:val="22"/>
          <w:szCs w:val="22"/>
          <w:lang w:val="fr-FR"/>
        </w:rPr>
      </w:pPr>
    </w:p>
    <w:p w14:paraId="5B4B74B3" w14:textId="675D21F8" w:rsidR="003B3C3F" w:rsidRPr="003B3C3F" w:rsidRDefault="003B3C3F" w:rsidP="003B3C3F">
      <w:pPr>
        <w:numPr>
          <w:ilvl w:val="0"/>
          <w:numId w:val="2"/>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Encourager la poursuite des recherches sur l’impact de la pollution par les plastiques</w:t>
      </w:r>
      <w:r w:rsidR="001E5F32">
        <w:rPr>
          <w:rFonts w:ascii="Arial" w:hAnsi="Arial" w:cs="Arial"/>
          <w:sz w:val="22"/>
          <w:szCs w:val="22"/>
          <w:lang w:val="fr-FR"/>
        </w:rPr>
        <w:t>, y compris les micro-plastiques,</w:t>
      </w:r>
      <w:r w:rsidRPr="003B3C3F">
        <w:rPr>
          <w:rFonts w:ascii="Arial" w:hAnsi="Arial" w:cs="Arial"/>
          <w:sz w:val="22"/>
          <w:szCs w:val="22"/>
          <w:lang w:val="fr-FR"/>
        </w:rPr>
        <w:t xml:space="preserve"> sur les espèces d’eau douce et terrestres inscrites à la CMS, dans les universités, les organismes de recherche et les autres parties prenantes concernées. </w:t>
      </w:r>
    </w:p>
    <w:p w14:paraId="78C8D968" w14:textId="77777777" w:rsidR="003B3C3F" w:rsidRPr="003B3C3F" w:rsidRDefault="003B3C3F" w:rsidP="003B3C3F">
      <w:pPr>
        <w:jc w:val="both"/>
        <w:rPr>
          <w:rFonts w:ascii="Arial" w:hAnsi="Arial" w:cs="Arial"/>
          <w:sz w:val="22"/>
          <w:szCs w:val="22"/>
          <w:lang w:val="fr-FR"/>
        </w:rPr>
      </w:pPr>
    </w:p>
    <w:p w14:paraId="4C495794" w14:textId="13D2596C" w:rsidR="003B3C3F" w:rsidRPr="003B3C3F" w:rsidRDefault="003B3C3F" w:rsidP="003B3C3F">
      <w:pPr>
        <w:jc w:val="both"/>
        <w:rPr>
          <w:rFonts w:ascii="Arial" w:hAnsi="Arial" w:cs="Arial"/>
          <w:sz w:val="22"/>
          <w:szCs w:val="22"/>
          <w:lang w:val="fr-FR"/>
        </w:rPr>
      </w:pPr>
      <w:r>
        <w:rPr>
          <w:rFonts w:ascii="Arial" w:hAnsi="Arial" w:cs="Arial"/>
          <w:b/>
          <w:i/>
          <w:sz w:val="22"/>
          <w:szCs w:val="22"/>
          <w:lang w:val="fr-FR"/>
        </w:rPr>
        <w:t>Adressé au</w:t>
      </w:r>
      <w:r w:rsidRPr="003B3C3F">
        <w:rPr>
          <w:rFonts w:ascii="Arial" w:hAnsi="Arial" w:cs="Arial"/>
          <w:b/>
          <w:i/>
          <w:sz w:val="22"/>
          <w:szCs w:val="22"/>
          <w:lang w:val="fr-FR"/>
        </w:rPr>
        <w:t xml:space="preserve"> Conseil scientifique </w:t>
      </w:r>
    </w:p>
    <w:p w14:paraId="34B198B7" w14:textId="77777777" w:rsidR="003B3C3F" w:rsidRPr="003B3C3F" w:rsidRDefault="003B3C3F" w:rsidP="003B3C3F">
      <w:pPr>
        <w:jc w:val="both"/>
        <w:rPr>
          <w:rFonts w:ascii="Arial" w:hAnsi="Arial" w:cs="Arial"/>
          <w:sz w:val="22"/>
          <w:szCs w:val="22"/>
          <w:lang w:val="fr-FR"/>
        </w:rPr>
      </w:pPr>
    </w:p>
    <w:p w14:paraId="1C3C770E" w14:textId="77777777" w:rsidR="003B3C3F" w:rsidRPr="003B3C3F" w:rsidRDefault="003B3C3F" w:rsidP="003B3C3F">
      <w:pPr>
        <w:ind w:left="851" w:hanging="851"/>
        <w:jc w:val="both"/>
        <w:rPr>
          <w:rFonts w:ascii="Arial" w:hAnsi="Arial" w:cs="Arial"/>
          <w:sz w:val="22"/>
          <w:szCs w:val="22"/>
          <w:lang w:val="fr-FR"/>
        </w:rPr>
      </w:pPr>
      <w:r w:rsidRPr="003B3C3F">
        <w:rPr>
          <w:rFonts w:ascii="Arial" w:hAnsi="Arial" w:cs="Arial"/>
          <w:sz w:val="22"/>
          <w:szCs w:val="22"/>
          <w:lang w:val="fr-FR"/>
        </w:rPr>
        <w:t>13.BB</w:t>
      </w:r>
      <w:r w:rsidRPr="003B3C3F">
        <w:rPr>
          <w:rFonts w:ascii="Arial" w:hAnsi="Arial" w:cs="Arial"/>
          <w:sz w:val="22"/>
          <w:szCs w:val="22"/>
          <w:lang w:val="fr-FR"/>
        </w:rPr>
        <w:tab/>
        <w:t xml:space="preserve"> Le Conseil scientifique est invité, sous réserve de la disponibilité des ressources, à :</w:t>
      </w:r>
    </w:p>
    <w:p w14:paraId="56B00E01" w14:textId="77777777" w:rsidR="003B3C3F" w:rsidRPr="003B3C3F" w:rsidRDefault="003B3C3F" w:rsidP="003B3C3F">
      <w:pPr>
        <w:jc w:val="both"/>
        <w:rPr>
          <w:rFonts w:ascii="Arial" w:hAnsi="Arial" w:cs="Arial"/>
          <w:sz w:val="22"/>
          <w:szCs w:val="22"/>
          <w:lang w:val="fr-FR"/>
        </w:rPr>
      </w:pPr>
    </w:p>
    <w:p w14:paraId="3B1625DD" w14:textId="77777777" w:rsidR="003B3C3F" w:rsidRPr="003B3C3F" w:rsidRDefault="003B3C3F" w:rsidP="003B3C3F">
      <w:pPr>
        <w:numPr>
          <w:ilvl w:val="0"/>
          <w:numId w:val="3"/>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Élaborer un rapport concis résumant l’état des connaissances sur l’impact de la pollution par les plastiques sur les espèces inscrites à la Convention de Bonn et vivant dans les écosystèmes terrestres et d’eau douce, et soumettre le rapport à la Conférence des Parties à sa 14</w:t>
      </w:r>
      <w:r w:rsidRPr="003B3C3F">
        <w:rPr>
          <w:rFonts w:ascii="Arial" w:hAnsi="Arial" w:cs="Arial"/>
          <w:sz w:val="22"/>
          <w:szCs w:val="22"/>
          <w:vertAlign w:val="superscript"/>
          <w:lang w:val="fr-FR"/>
        </w:rPr>
        <w:t>e</w:t>
      </w:r>
      <w:r w:rsidRPr="003B3C3F">
        <w:rPr>
          <w:rFonts w:ascii="Arial" w:hAnsi="Arial" w:cs="Arial"/>
          <w:sz w:val="22"/>
          <w:szCs w:val="22"/>
          <w:lang w:val="fr-FR"/>
        </w:rPr>
        <w:t xml:space="preserve"> réunion, ainsi qu’un résumé des orientations sur les mesures à prendre pour faire face à ces menaces ; </w:t>
      </w:r>
    </w:p>
    <w:p w14:paraId="5BB75F88" w14:textId="77777777" w:rsidR="003B3C3F" w:rsidRPr="003B3C3F" w:rsidRDefault="003B3C3F" w:rsidP="003B3C3F">
      <w:pPr>
        <w:ind w:left="1276" w:hanging="425"/>
        <w:jc w:val="both"/>
        <w:rPr>
          <w:rFonts w:ascii="Arial" w:hAnsi="Arial" w:cs="Arial"/>
          <w:sz w:val="22"/>
          <w:szCs w:val="22"/>
          <w:lang w:val="fr-FR"/>
        </w:rPr>
      </w:pPr>
    </w:p>
    <w:p w14:paraId="24D8D2DA" w14:textId="77777777" w:rsidR="003B3C3F" w:rsidRPr="003B3C3F" w:rsidRDefault="003B3C3F" w:rsidP="003B3C3F">
      <w:pPr>
        <w:numPr>
          <w:ilvl w:val="0"/>
          <w:numId w:val="3"/>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 xml:space="preserve">Sur la base du rapport à élaborer conformément à l’alinéa 13. BB (a), recommander les prochaines étapes éventuelles pour traiter cette menace sur les espèces inscrites à la Convention de Bonn ;   </w:t>
      </w:r>
    </w:p>
    <w:p w14:paraId="2D1DC4FF" w14:textId="77777777" w:rsidR="003B3C3F" w:rsidRPr="003B3C3F" w:rsidRDefault="003B3C3F" w:rsidP="003B3C3F">
      <w:pPr>
        <w:ind w:left="1276" w:hanging="425"/>
        <w:jc w:val="both"/>
        <w:rPr>
          <w:rFonts w:ascii="Arial" w:hAnsi="Arial" w:cs="Arial"/>
          <w:sz w:val="22"/>
          <w:szCs w:val="22"/>
          <w:lang w:val="fr-FR"/>
        </w:rPr>
      </w:pPr>
    </w:p>
    <w:p w14:paraId="6A1B2F45" w14:textId="77777777" w:rsidR="003B3C3F" w:rsidRPr="003B3C3F" w:rsidRDefault="003B3C3F" w:rsidP="003B3C3F">
      <w:pPr>
        <w:numPr>
          <w:ilvl w:val="0"/>
          <w:numId w:val="3"/>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Collaborer avec d’autres mécanismes scientifiques tels que ceux relevant de la Commission baleinière internationale, du Programme des Nations Unies pour l’environnement et d’autres accords multilatéraux sur l’environnement pour échanger des données et informations pertinentes disponibles, scientifiques et autres, relatives à la prévention et à la réduction de l’impact des plastiques sur les espèces migratrices, notamment : le rapport élaboré en vertu des alinéas (a) et (b).</w:t>
      </w:r>
    </w:p>
    <w:p w14:paraId="2FF15298" w14:textId="543D04C6" w:rsidR="00816391" w:rsidRDefault="00816391" w:rsidP="003B3C3F">
      <w:pPr>
        <w:jc w:val="both"/>
        <w:rPr>
          <w:rFonts w:ascii="Arial" w:hAnsi="Arial" w:cs="Arial"/>
          <w:b/>
          <w:i/>
          <w:sz w:val="22"/>
          <w:szCs w:val="22"/>
          <w:lang w:val="fr-FR"/>
        </w:rPr>
      </w:pPr>
      <w:r>
        <w:rPr>
          <w:rFonts w:ascii="Arial" w:hAnsi="Arial" w:cs="Arial"/>
          <w:b/>
          <w:i/>
          <w:sz w:val="22"/>
          <w:szCs w:val="22"/>
          <w:lang w:val="fr-FR"/>
        </w:rPr>
        <w:br w:type="page"/>
      </w:r>
    </w:p>
    <w:p w14:paraId="43ED065B" w14:textId="77777777" w:rsidR="003B3C3F" w:rsidRPr="003B3C3F" w:rsidRDefault="003B3C3F" w:rsidP="003B3C3F">
      <w:pPr>
        <w:jc w:val="both"/>
        <w:rPr>
          <w:rFonts w:ascii="Arial" w:hAnsi="Arial" w:cs="Arial"/>
          <w:b/>
          <w:i/>
          <w:sz w:val="22"/>
          <w:szCs w:val="22"/>
          <w:lang w:val="fr-FR"/>
        </w:rPr>
      </w:pPr>
    </w:p>
    <w:p w14:paraId="57FA539B" w14:textId="46B67767" w:rsidR="003B3C3F" w:rsidRPr="003B3C3F" w:rsidRDefault="003B3C3F" w:rsidP="003B3C3F">
      <w:pPr>
        <w:jc w:val="both"/>
        <w:rPr>
          <w:rFonts w:ascii="Arial" w:hAnsi="Arial" w:cs="Arial"/>
          <w:b/>
          <w:i/>
          <w:sz w:val="22"/>
          <w:szCs w:val="22"/>
          <w:lang w:val="fr-FR"/>
        </w:rPr>
      </w:pPr>
      <w:r>
        <w:rPr>
          <w:rFonts w:ascii="Arial" w:hAnsi="Arial" w:cs="Arial"/>
          <w:b/>
          <w:i/>
          <w:sz w:val="22"/>
          <w:szCs w:val="22"/>
          <w:lang w:val="fr-FR"/>
        </w:rPr>
        <w:t>Adressé au</w:t>
      </w:r>
      <w:r w:rsidRPr="003B3C3F">
        <w:rPr>
          <w:rFonts w:ascii="Arial" w:hAnsi="Arial" w:cs="Arial"/>
          <w:b/>
          <w:i/>
          <w:sz w:val="22"/>
          <w:szCs w:val="22"/>
          <w:lang w:val="fr-FR"/>
        </w:rPr>
        <w:t xml:space="preserve"> Secrétariat</w:t>
      </w:r>
    </w:p>
    <w:p w14:paraId="3966389A" w14:textId="77777777" w:rsidR="003B3C3F" w:rsidRPr="003B3C3F" w:rsidRDefault="003B3C3F" w:rsidP="003B3C3F">
      <w:pPr>
        <w:jc w:val="both"/>
        <w:rPr>
          <w:rFonts w:ascii="Arial" w:hAnsi="Arial" w:cs="Arial"/>
          <w:sz w:val="22"/>
          <w:szCs w:val="22"/>
          <w:lang w:val="fr-FR"/>
        </w:rPr>
      </w:pPr>
    </w:p>
    <w:p w14:paraId="219636E0" w14:textId="77777777" w:rsidR="003B3C3F" w:rsidRPr="003B3C3F" w:rsidRDefault="003B3C3F" w:rsidP="003B3C3F">
      <w:pPr>
        <w:ind w:left="851" w:hanging="851"/>
        <w:jc w:val="both"/>
        <w:rPr>
          <w:rFonts w:ascii="Arial" w:hAnsi="Arial" w:cs="Arial"/>
          <w:iCs/>
          <w:sz w:val="22"/>
          <w:szCs w:val="22"/>
          <w:lang w:val="fr-FR"/>
        </w:rPr>
      </w:pPr>
      <w:r w:rsidRPr="003B3C3F">
        <w:rPr>
          <w:rFonts w:ascii="Arial" w:hAnsi="Arial" w:cs="Arial"/>
          <w:sz w:val="22"/>
          <w:szCs w:val="22"/>
          <w:lang w:val="fr-FR"/>
        </w:rPr>
        <w:t>13.CC</w:t>
      </w:r>
      <w:r w:rsidRPr="003B3C3F">
        <w:rPr>
          <w:rFonts w:ascii="Arial" w:hAnsi="Arial" w:cs="Arial"/>
          <w:sz w:val="22"/>
          <w:szCs w:val="22"/>
          <w:lang w:val="fr-FR"/>
        </w:rPr>
        <w:tab/>
        <w:t>Le Secrétariat doit  :</w:t>
      </w:r>
    </w:p>
    <w:p w14:paraId="1AC3FB6E" w14:textId="77777777" w:rsidR="003B3C3F" w:rsidRPr="003B3C3F" w:rsidRDefault="003B3C3F" w:rsidP="003B3C3F">
      <w:pPr>
        <w:ind w:left="720"/>
        <w:jc w:val="both"/>
        <w:rPr>
          <w:rFonts w:ascii="Arial" w:hAnsi="Arial" w:cs="Arial"/>
          <w:sz w:val="22"/>
          <w:szCs w:val="22"/>
          <w:lang w:val="fr-FR"/>
        </w:rPr>
      </w:pPr>
    </w:p>
    <w:p w14:paraId="6B916C72" w14:textId="79DCA259" w:rsidR="003B3C3F" w:rsidRPr="003B3C3F" w:rsidRDefault="003B3C3F" w:rsidP="003B3C3F">
      <w:pPr>
        <w:numPr>
          <w:ilvl w:val="0"/>
          <w:numId w:val="4"/>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Renforcer la coopération et travailler avec le Programme des Nations Unies pour l’environnement afin que le processus établi dans la Résolution 4/6 de l’ANUE</w:t>
      </w:r>
      <w:r w:rsidR="001E5F32">
        <w:rPr>
          <w:rFonts w:ascii="Arial" w:hAnsi="Arial" w:cs="Arial"/>
          <w:sz w:val="22"/>
          <w:szCs w:val="22"/>
          <w:lang w:val="fr-FR"/>
        </w:rPr>
        <w:t>, en particulier en aidant le groupe spécial d’experts à composition non limitée</w:t>
      </w:r>
      <w:r w:rsidRPr="003B3C3F">
        <w:rPr>
          <w:rFonts w:ascii="Arial" w:hAnsi="Arial" w:cs="Arial"/>
          <w:sz w:val="22"/>
          <w:szCs w:val="22"/>
          <w:lang w:val="fr-FR"/>
        </w:rPr>
        <w:t xml:space="preserve"> </w:t>
      </w:r>
      <w:r w:rsidR="001E5F32">
        <w:rPr>
          <w:rFonts w:ascii="Arial" w:hAnsi="Arial" w:cs="Arial"/>
          <w:sz w:val="22"/>
          <w:szCs w:val="22"/>
          <w:lang w:val="fr-FR"/>
        </w:rPr>
        <w:t xml:space="preserve">à identifier des solutions existantes ou possibles pour </w:t>
      </w:r>
      <w:r w:rsidRPr="003B3C3F">
        <w:rPr>
          <w:rFonts w:ascii="Arial" w:hAnsi="Arial" w:cs="Arial"/>
          <w:sz w:val="22"/>
          <w:szCs w:val="22"/>
          <w:lang w:val="fr-FR"/>
        </w:rPr>
        <w:t>contribue</w:t>
      </w:r>
      <w:r w:rsidR="001E5F32">
        <w:rPr>
          <w:rFonts w:ascii="Arial" w:hAnsi="Arial" w:cs="Arial"/>
          <w:sz w:val="22"/>
          <w:szCs w:val="22"/>
          <w:lang w:val="fr-FR"/>
        </w:rPr>
        <w:t>r</w:t>
      </w:r>
      <w:r w:rsidRPr="003B3C3F">
        <w:rPr>
          <w:rFonts w:ascii="Arial" w:hAnsi="Arial" w:cs="Arial"/>
          <w:sz w:val="22"/>
          <w:szCs w:val="22"/>
          <w:lang w:val="fr-FR"/>
        </w:rPr>
        <w:t xml:space="preserve"> aux efforts déployés dans le cadre de la Résolution 12.20 de la CMS et s’attaquer plus largement à l’impact des débris marins et de la pollution par les plastiques sur les espèces migratrices ; et</w:t>
      </w:r>
    </w:p>
    <w:p w14:paraId="44FA482D" w14:textId="77777777" w:rsidR="003B3C3F" w:rsidRPr="003B3C3F" w:rsidRDefault="003B3C3F" w:rsidP="003B3C3F">
      <w:pPr>
        <w:ind w:left="1276" w:hanging="425"/>
        <w:jc w:val="both"/>
        <w:rPr>
          <w:rFonts w:ascii="Arial" w:hAnsi="Arial" w:cs="Arial"/>
          <w:sz w:val="22"/>
          <w:szCs w:val="22"/>
          <w:lang w:val="fr-FR"/>
        </w:rPr>
      </w:pPr>
    </w:p>
    <w:p w14:paraId="2F57C3E9" w14:textId="204D1BEE" w:rsidR="00D82C56" w:rsidRDefault="003B3C3F" w:rsidP="003B3C3F">
      <w:pPr>
        <w:numPr>
          <w:ilvl w:val="0"/>
          <w:numId w:val="4"/>
        </w:numPr>
        <w:suppressAutoHyphens w:val="0"/>
        <w:adjustRightInd w:val="0"/>
        <w:ind w:left="1276" w:hanging="425"/>
        <w:jc w:val="both"/>
        <w:textAlignment w:val="auto"/>
        <w:rPr>
          <w:rFonts w:ascii="Arial" w:hAnsi="Arial" w:cs="Arial"/>
          <w:sz w:val="22"/>
          <w:szCs w:val="22"/>
          <w:lang w:val="fr-FR"/>
        </w:rPr>
      </w:pPr>
      <w:r w:rsidRPr="003B3C3F">
        <w:rPr>
          <w:rFonts w:ascii="Arial" w:hAnsi="Arial" w:cs="Arial"/>
          <w:sz w:val="22"/>
          <w:szCs w:val="22"/>
          <w:lang w:val="fr-FR"/>
        </w:rPr>
        <w:t>Sous réserve de la disponibilité des ressources, soutenir les travaux du Conseil scientifique conformément à la Décision 13.BB</w:t>
      </w:r>
      <w:r>
        <w:rPr>
          <w:rFonts w:ascii="Arial" w:hAnsi="Arial" w:cs="Arial"/>
          <w:sz w:val="22"/>
          <w:szCs w:val="22"/>
          <w:lang w:val="fr-FR"/>
        </w:rPr>
        <w:t>.</w:t>
      </w:r>
    </w:p>
    <w:p w14:paraId="1CD80D83" w14:textId="77777777" w:rsidR="001E5F32" w:rsidRDefault="001E5F32" w:rsidP="001E5F32">
      <w:pPr>
        <w:pStyle w:val="ListParagraph"/>
        <w:rPr>
          <w:rFonts w:ascii="Arial" w:hAnsi="Arial" w:cs="Arial"/>
          <w:sz w:val="22"/>
          <w:szCs w:val="22"/>
          <w:lang w:val="fr-FR"/>
        </w:rPr>
      </w:pPr>
    </w:p>
    <w:p w14:paraId="49354D01" w14:textId="2B92C6EC" w:rsidR="001E5F32" w:rsidRDefault="001E5F32" w:rsidP="001E5F32">
      <w:pPr>
        <w:suppressAutoHyphens w:val="0"/>
        <w:adjustRightInd w:val="0"/>
        <w:jc w:val="both"/>
        <w:textAlignment w:val="auto"/>
        <w:rPr>
          <w:rFonts w:ascii="Arial" w:hAnsi="Arial" w:cs="Arial"/>
          <w:b/>
          <w:bCs/>
          <w:i/>
          <w:iCs/>
          <w:sz w:val="22"/>
          <w:szCs w:val="22"/>
          <w:lang w:val="fr-FR"/>
        </w:rPr>
      </w:pPr>
      <w:r>
        <w:rPr>
          <w:rFonts w:ascii="Arial" w:hAnsi="Arial" w:cs="Arial"/>
          <w:b/>
          <w:bCs/>
          <w:i/>
          <w:iCs/>
          <w:sz w:val="22"/>
          <w:szCs w:val="22"/>
          <w:lang w:val="fr-FR"/>
        </w:rPr>
        <w:t>Adressé aux Parties, aux organisations intergouvernementales et non gouvernementales et aux parties prenantes</w:t>
      </w:r>
    </w:p>
    <w:p w14:paraId="38E604E8" w14:textId="6B570275" w:rsidR="001E5F32" w:rsidRDefault="001E5F32" w:rsidP="001E5F32">
      <w:pPr>
        <w:suppressAutoHyphens w:val="0"/>
        <w:adjustRightInd w:val="0"/>
        <w:jc w:val="both"/>
        <w:textAlignment w:val="auto"/>
        <w:rPr>
          <w:rFonts w:ascii="Arial" w:hAnsi="Arial" w:cs="Arial"/>
          <w:b/>
          <w:bCs/>
          <w:i/>
          <w:iCs/>
          <w:sz w:val="22"/>
          <w:szCs w:val="22"/>
          <w:lang w:val="fr-FR"/>
        </w:rPr>
      </w:pPr>
    </w:p>
    <w:p w14:paraId="04063BF7" w14:textId="30A603D2" w:rsidR="001E5F32" w:rsidRPr="001E5F32" w:rsidRDefault="001E5F32" w:rsidP="001E5F32">
      <w:pPr>
        <w:suppressAutoHyphens w:val="0"/>
        <w:adjustRightInd w:val="0"/>
        <w:ind w:left="1440" w:hanging="1440"/>
        <w:jc w:val="both"/>
        <w:textAlignment w:val="auto"/>
        <w:rPr>
          <w:rFonts w:ascii="Arial" w:hAnsi="Arial" w:cs="Arial"/>
          <w:sz w:val="22"/>
          <w:szCs w:val="22"/>
          <w:lang w:val="fr-FR"/>
        </w:rPr>
      </w:pPr>
      <w:r>
        <w:rPr>
          <w:rFonts w:ascii="Arial" w:hAnsi="Arial" w:cs="Arial"/>
          <w:sz w:val="22"/>
          <w:szCs w:val="22"/>
          <w:lang w:val="fr-FR"/>
        </w:rPr>
        <w:t>13.DD</w:t>
      </w:r>
      <w:r>
        <w:rPr>
          <w:rFonts w:ascii="Arial" w:hAnsi="Arial" w:cs="Arial"/>
          <w:sz w:val="22"/>
          <w:szCs w:val="22"/>
          <w:lang w:val="fr-FR"/>
        </w:rPr>
        <w:tab/>
        <w:t xml:space="preserve">Les </w:t>
      </w:r>
      <w:r w:rsidRPr="001E5F32">
        <w:rPr>
          <w:rFonts w:ascii="Arial" w:hAnsi="Arial" w:cs="Arial"/>
          <w:sz w:val="22"/>
          <w:szCs w:val="22"/>
          <w:lang w:val="fr-FR"/>
        </w:rPr>
        <w:t xml:space="preserve">Parties, </w:t>
      </w:r>
      <w:r>
        <w:rPr>
          <w:rFonts w:ascii="Arial" w:hAnsi="Arial" w:cs="Arial"/>
          <w:sz w:val="22"/>
          <w:szCs w:val="22"/>
          <w:lang w:val="fr-FR"/>
        </w:rPr>
        <w:t>les</w:t>
      </w:r>
      <w:r w:rsidRPr="001E5F32">
        <w:rPr>
          <w:rFonts w:ascii="Arial" w:hAnsi="Arial" w:cs="Arial"/>
          <w:sz w:val="22"/>
          <w:szCs w:val="22"/>
          <w:lang w:val="fr-FR"/>
        </w:rPr>
        <w:t xml:space="preserve"> organisations intergouvernementales et non gouvernementales et </w:t>
      </w:r>
      <w:r>
        <w:rPr>
          <w:rFonts w:ascii="Arial" w:hAnsi="Arial" w:cs="Arial"/>
          <w:sz w:val="22"/>
          <w:szCs w:val="22"/>
          <w:lang w:val="fr-FR"/>
        </w:rPr>
        <w:t xml:space="preserve">les </w:t>
      </w:r>
      <w:r w:rsidRPr="001E5F32">
        <w:rPr>
          <w:rFonts w:ascii="Arial" w:hAnsi="Arial" w:cs="Arial"/>
          <w:sz w:val="22"/>
          <w:szCs w:val="22"/>
          <w:lang w:val="fr-FR"/>
        </w:rPr>
        <w:t>parties prenante</w:t>
      </w:r>
      <w:r>
        <w:rPr>
          <w:rFonts w:ascii="Arial" w:hAnsi="Arial" w:cs="Arial"/>
          <w:sz w:val="22"/>
          <w:szCs w:val="22"/>
          <w:lang w:val="fr-FR"/>
        </w:rPr>
        <w:t xml:space="preserve">s sont encouragées à trouver et mobiliser des ressources financières à l’appui d’activités et d’initiatives visant à lutter contre </w:t>
      </w:r>
      <w:r w:rsidR="00781183">
        <w:rPr>
          <w:rFonts w:ascii="Arial" w:hAnsi="Arial" w:cs="Arial"/>
          <w:sz w:val="22"/>
          <w:szCs w:val="22"/>
          <w:lang w:val="fr-FR"/>
        </w:rPr>
        <w:t>l’accumulation des débris marins dans les zones de grande importance pour les espèces migratrices et à éliminer ces débris sur la base du principe de précaution.</w:t>
      </w:r>
      <w:bookmarkStart w:id="1" w:name="_GoBack"/>
      <w:bookmarkEnd w:id="1"/>
    </w:p>
    <w:sectPr w:rsidR="001E5F32" w:rsidRPr="001E5F32">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0A97" w14:textId="77777777" w:rsidR="001D0C4B" w:rsidRDefault="001D0C4B">
      <w:r>
        <w:separator/>
      </w:r>
    </w:p>
  </w:endnote>
  <w:endnote w:type="continuationSeparator" w:id="0">
    <w:p w14:paraId="7A5C64E7" w14:textId="77777777" w:rsidR="001D0C4B" w:rsidRDefault="001D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C1323" w14:textId="77777777" w:rsidR="001D0C4B" w:rsidRDefault="001D0C4B">
      <w:r>
        <w:rPr>
          <w:color w:val="000000"/>
        </w:rPr>
        <w:separator/>
      </w:r>
    </w:p>
  </w:footnote>
  <w:footnote w:type="continuationSeparator" w:id="0">
    <w:p w14:paraId="1487FB7C" w14:textId="77777777" w:rsidR="001D0C4B" w:rsidRDefault="001D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30D4BC4"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816391">
      <w:rPr>
        <w:rFonts w:ascii="Arial" w:hAnsi="Arial" w:cs="Arial"/>
        <w:i/>
        <w:szCs w:val="20"/>
        <w:lang w:val="en-GB"/>
      </w:rPr>
      <w:t>26.4.7</w:t>
    </w:r>
  </w:p>
  <w:p w14:paraId="50B9F4CC" w14:textId="77777777" w:rsidR="00A16E93" w:rsidRDefault="00816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816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20F5E11B"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B3C3F">
      <w:rPr>
        <w:rFonts w:ascii="Arial" w:hAnsi="Arial" w:cs="Arial"/>
        <w:bCs/>
        <w:i/>
        <w:iCs/>
        <w:szCs w:val="20"/>
        <w:lang w:val="en-GB"/>
      </w:rPr>
      <w:t>26.4.7</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 w15:restartNumberingAfterBreak="0">
    <w:nsid w:val="2DBF2C01"/>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0B26F3"/>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F75A3F"/>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D0C4B"/>
    <w:rsid w:val="001E5F32"/>
    <w:rsid w:val="002223BB"/>
    <w:rsid w:val="003B3C3F"/>
    <w:rsid w:val="003F1AD8"/>
    <w:rsid w:val="0043102F"/>
    <w:rsid w:val="00487D0A"/>
    <w:rsid w:val="005645C4"/>
    <w:rsid w:val="005D43E4"/>
    <w:rsid w:val="005F0639"/>
    <w:rsid w:val="00781183"/>
    <w:rsid w:val="007A1066"/>
    <w:rsid w:val="00816391"/>
    <w:rsid w:val="009573CA"/>
    <w:rsid w:val="00A048E3"/>
    <w:rsid w:val="00C32FF1"/>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urthnumberingAChar">
    <w:name w:val="Fourth numbering A. Char"/>
    <w:basedOn w:val="DefaultParagraphFont"/>
    <w:link w:val="FourthnumberingA"/>
    <w:locked/>
    <w:rsid w:val="003B3C3F"/>
    <w:rPr>
      <w:lang w:val="fr-FR"/>
    </w:rPr>
  </w:style>
  <w:style w:type="paragraph" w:customStyle="1" w:styleId="FourthnumberingA">
    <w:name w:val="Fourth numbering A."/>
    <w:basedOn w:val="Normal"/>
    <w:link w:val="FourthnumberingAChar"/>
    <w:qFormat/>
    <w:rsid w:val="003B3C3F"/>
    <w:pPr>
      <w:widowControl/>
      <w:numPr>
        <w:numId w:val="1"/>
      </w:numPr>
      <w:suppressAutoHyphens w:val="0"/>
      <w:autoSpaceDE/>
      <w:autoSpaceDN/>
      <w:ind w:left="2268" w:hanging="283"/>
      <w:contextualSpacing/>
      <w:jc w:val="both"/>
      <w:textAlignment w:val="auto"/>
    </w:pPr>
    <w:rPr>
      <w:rFonts w:ascii="Arial" w:eastAsia="Calibri" w:hAnsi="Arial"/>
      <w:sz w:val="22"/>
      <w:szCs w:val="22"/>
      <w:lang w:val="fr-FR"/>
    </w:rPr>
  </w:style>
  <w:style w:type="paragraph" w:styleId="ListParagraph">
    <w:name w:val="List Paragraph"/>
    <w:basedOn w:val="Normal"/>
    <w:uiPriority w:val="34"/>
    <w:qFormat/>
    <w:rsid w:val="001E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4657">
      <w:bodyDiv w:val="1"/>
      <w:marLeft w:val="0"/>
      <w:marRight w:val="0"/>
      <w:marTop w:val="0"/>
      <w:marBottom w:val="0"/>
      <w:divBdr>
        <w:top w:val="none" w:sz="0" w:space="0" w:color="auto"/>
        <w:left w:val="none" w:sz="0" w:space="0" w:color="auto"/>
        <w:bottom w:val="none" w:sz="0" w:space="0" w:color="auto"/>
        <w:right w:val="none" w:sz="0" w:space="0" w:color="auto"/>
      </w:divBdr>
    </w:div>
    <w:div w:id="74730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2020-02-20T16:33:00Z</dcterms:created>
  <dcterms:modified xsi:type="dcterms:W3CDTF">2020-02-20T16:33:00Z</dcterms:modified>
</cp:coreProperties>
</file>