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252"/>
        <w:gridCol w:w="3544"/>
      </w:tblGrid>
      <w:tr w:rsidR="00CC2968" w:rsidRPr="00B23D51" w:rsidTr="004556F3">
        <w:trPr>
          <w:cantSplit/>
          <w:trHeight w:val="397"/>
        </w:trPr>
        <w:tc>
          <w:tcPr>
            <w:tcW w:w="9322" w:type="dxa"/>
            <w:gridSpan w:val="3"/>
            <w:tcBorders>
              <w:bottom w:val="single" w:sz="12" w:space="0" w:color="auto"/>
            </w:tcBorders>
          </w:tcPr>
          <w:bookmarkStart w:id="0" w:name="_GoBack"/>
          <w:bookmarkEnd w:id="0"/>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30pt" o:ole="">
                  <v:imagedata r:id="rId9" o:title=""/>
                </v:shape>
                <o:OLEObject Type="Embed" ProgID="Word.Picture.8" ShapeID="_x0000_i1025" DrawAspect="Content" ObjectID="_1471089928" r:id="rId10"/>
              </w:object>
            </w:r>
            <w:r w:rsidR="0058596E">
              <w:rPr>
                <w:noProof/>
                <w:szCs w:val="24"/>
              </w:rPr>
              <w:drawing>
                <wp:inline distT="0" distB="0" distL="0" distR="0" wp14:anchorId="1062348B" wp14:editId="22866980">
                  <wp:extent cx="355600" cy="368300"/>
                  <wp:effectExtent l="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5600" cy="368300"/>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E7B90" w:rsidTr="00BA3536">
        <w:trPr>
          <w:trHeight w:val="1860"/>
        </w:trPr>
        <w:tc>
          <w:tcPr>
            <w:tcW w:w="1526" w:type="dxa"/>
            <w:tcBorders>
              <w:top w:val="single" w:sz="12" w:space="0" w:color="auto"/>
              <w:bottom w:val="single" w:sz="12" w:space="0" w:color="auto"/>
              <w:right w:val="nil"/>
            </w:tcBorders>
          </w:tcPr>
          <w:p w:rsidR="00CC2968" w:rsidRPr="00B23D51" w:rsidRDefault="0058596E" w:rsidP="00EB4FAC">
            <w:pPr>
              <w:rPr>
                <w:lang w:val="fr-FR"/>
              </w:rPr>
            </w:pPr>
            <w:r>
              <w:rPr>
                <w:noProof/>
                <w:szCs w:val="24"/>
              </w:rPr>
              <w:drawing>
                <wp:inline distT="0" distB="0" distL="0" distR="0" wp14:anchorId="198A2566" wp14:editId="63C981FC">
                  <wp:extent cx="749300" cy="774700"/>
                  <wp:effectExtent l="0" t="0" r="0" b="635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49300" cy="774700"/>
                          </a:xfrm>
                          <a:prstGeom prst="rect">
                            <a:avLst/>
                          </a:prstGeom>
                          <a:noFill/>
                          <a:ln>
                            <a:noFill/>
                          </a:ln>
                        </pic:spPr>
                      </pic:pic>
                    </a:graphicData>
                  </a:graphic>
                </wp:inline>
              </w:drawing>
            </w:r>
          </w:p>
          <w:p w:rsidR="00CC2968" w:rsidRPr="00B23D51" w:rsidRDefault="00CC2968" w:rsidP="00EB4FAC">
            <w:pPr>
              <w:rPr>
                <w:lang w:val="fr-FR"/>
              </w:rPr>
            </w:pPr>
          </w:p>
        </w:tc>
        <w:tc>
          <w:tcPr>
            <w:tcW w:w="4252"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544"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BA3536">
              <w:rPr>
                <w:rFonts w:ascii="Arial" w:hAnsi="Arial" w:cs="Arial"/>
                <w:sz w:val="22"/>
                <w:lang w:val="fr-FR"/>
              </w:rPr>
              <w:t>Doc.23.4.3.1</w:t>
            </w:r>
          </w:p>
          <w:p w:rsidR="00CC2968" w:rsidRPr="00B23D51" w:rsidRDefault="00BA3536" w:rsidP="00D52B1D">
            <w:pPr>
              <w:rPr>
                <w:rFonts w:ascii="Arial" w:hAnsi="Arial" w:cs="Arial"/>
                <w:sz w:val="22"/>
                <w:lang w:val="fr-FR"/>
              </w:rPr>
            </w:pPr>
            <w:r>
              <w:rPr>
                <w:rFonts w:ascii="Arial" w:hAnsi="Arial" w:cs="Arial"/>
                <w:sz w:val="22"/>
                <w:lang w:val="fr-FR"/>
              </w:rPr>
              <w:t>31 août</w:t>
            </w:r>
            <w:r w:rsidR="00105EA7">
              <w:rPr>
                <w:rFonts w:ascii="Arial" w:hAnsi="Arial" w:cs="Arial"/>
                <w:sz w:val="22"/>
                <w:lang w:val="fr-FR"/>
              </w:rPr>
              <w:t xml:space="preserve"> </w:t>
            </w:r>
            <w:r w:rsidR="00CC2968"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881B85">
        <w:rPr>
          <w:noProof/>
          <w:sz w:val="22"/>
          <w:lang w:val="fr-FR"/>
        </w:rPr>
        <w:t xml:space="preserve">23.4.3 </w:t>
      </w:r>
      <w:r w:rsidRPr="00B607B3">
        <w:rPr>
          <w:noProof/>
          <w:sz w:val="22"/>
          <w:lang w:val="fr-FR"/>
        </w:rPr>
        <w:t>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BA3536" w:rsidRPr="002070F1" w:rsidRDefault="00BA3536" w:rsidP="00BA3536">
      <w:pPr>
        <w:pStyle w:val="Heading2"/>
        <w:keepNext w:val="0"/>
        <w:jc w:val="center"/>
        <w:rPr>
          <w:bCs w:val="0"/>
          <w:caps/>
          <w:sz w:val="24"/>
          <w:lang w:val="fr-FR"/>
        </w:rPr>
      </w:pPr>
      <w:r w:rsidRPr="002070F1">
        <w:rPr>
          <w:bCs w:val="0"/>
          <w:caps/>
          <w:sz w:val="24"/>
          <w:lang w:val="fr-FR"/>
        </w:rPr>
        <w:t>ÉNERGIE RENOUVELABLE ET ESPÈCES MIGRATRICES</w:t>
      </w:r>
    </w:p>
    <w:p w:rsidR="007F7154" w:rsidRDefault="007F7154" w:rsidP="00761732">
      <w:pPr>
        <w:rPr>
          <w:lang w:val="fr-FR"/>
        </w:rPr>
      </w:pPr>
    </w:p>
    <w:p w:rsidR="007F7154" w:rsidRDefault="007F7154" w:rsidP="00761732">
      <w:pPr>
        <w:rPr>
          <w:lang w:val="fr-FR"/>
        </w:rPr>
      </w:pPr>
    </w:p>
    <w:p w:rsidR="00A22EEC" w:rsidRDefault="00A22EEC" w:rsidP="00761732">
      <w:pPr>
        <w:rPr>
          <w:lang w:val="fr-FR"/>
        </w:rPr>
      </w:pPr>
    </w:p>
    <w:p w:rsidR="004556F3" w:rsidRDefault="004556F3" w:rsidP="00761732">
      <w:pPr>
        <w:rPr>
          <w:lang w:val="fr-FR"/>
        </w:rPr>
      </w:pPr>
    </w:p>
    <w:p w:rsidR="004556F3" w:rsidRDefault="0058596E" w:rsidP="00761732">
      <w:pPr>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842010</wp:posOffset>
                </wp:positionH>
                <wp:positionV relativeFrom="paragraph">
                  <wp:posOffset>87630</wp:posOffset>
                </wp:positionV>
                <wp:extent cx="4427220" cy="3710305"/>
                <wp:effectExtent l="0" t="0" r="1143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3710305"/>
                        </a:xfrm>
                        <a:prstGeom prst="rect">
                          <a:avLst/>
                        </a:prstGeom>
                        <a:solidFill>
                          <a:srgbClr val="FFFFFF"/>
                        </a:solidFill>
                        <a:ln w="25400">
                          <a:solidFill>
                            <a:srgbClr val="000000"/>
                          </a:solidFill>
                          <a:miter lim="800000"/>
                          <a:headEnd/>
                          <a:tailEnd/>
                        </a:ln>
                      </wps:spPr>
                      <wps:txbx>
                        <w:txbxContent>
                          <w:p w:rsidR="004556F3" w:rsidRDefault="004556F3" w:rsidP="004556F3">
                            <w:pPr>
                              <w:jc w:val="both"/>
                              <w:rPr>
                                <w:szCs w:val="24"/>
                                <w:lang w:val="fr-FR"/>
                              </w:rPr>
                            </w:pPr>
                            <w:r>
                              <w:rPr>
                                <w:szCs w:val="24"/>
                                <w:lang w:val="fr-FR"/>
                              </w:rPr>
                              <w:t>Résumé</w:t>
                            </w:r>
                          </w:p>
                          <w:p w:rsidR="00105EA7" w:rsidRDefault="00105EA7" w:rsidP="004556F3">
                            <w:pPr>
                              <w:jc w:val="both"/>
                              <w:rPr>
                                <w:szCs w:val="24"/>
                                <w:lang w:val="fr-FR"/>
                              </w:rPr>
                            </w:pPr>
                          </w:p>
                          <w:p w:rsidR="0058596E" w:rsidRPr="00A55759" w:rsidRDefault="0058596E" w:rsidP="0058596E">
                            <w:pPr>
                              <w:jc w:val="both"/>
                              <w:rPr>
                                <w:lang w:val="fr-FR"/>
                              </w:rPr>
                            </w:pPr>
                            <w:r w:rsidRPr="00A55759">
                              <w:rPr>
                                <w:lang w:val="fr-FR"/>
                              </w:rPr>
                              <w:t xml:space="preserve">Dans le cadre d’une initiative conjointe entre les Secrétariats de la Convention sur la conservation des espèces migratrices appartenant à la faune sauvage (CMS) et l’Accord sur la conservation des oiseaux d’eau migrateurs d’Afrique-Eurasie (AEWA), au nom </w:t>
                            </w:r>
                            <w:r w:rsidR="00BA3536">
                              <w:rPr>
                                <w:lang w:val="fr-FR"/>
                              </w:rPr>
                              <w:t>de toute la Famille CMS</w:t>
                            </w:r>
                            <w:r w:rsidRPr="00A55759">
                              <w:rPr>
                                <w:lang w:val="fr-FR"/>
                              </w:rPr>
                              <w:t>; l’Agence internationale de</w:t>
                            </w:r>
                            <w:r w:rsidR="00BA3536">
                              <w:rPr>
                                <w:lang w:val="fr-FR"/>
                              </w:rPr>
                              <w:t xml:space="preserve"> l’énergie renouvelable (IRENA)</w:t>
                            </w:r>
                            <w:r w:rsidRPr="00A55759">
                              <w:rPr>
                                <w:lang w:val="fr-FR"/>
                              </w:rPr>
                              <w:t xml:space="preserve">; et le projet PNUD/FEM sur les oiseaux planeurs migrateurs porté par </w:t>
                            </w:r>
                            <w:proofErr w:type="spellStart"/>
                            <w:r w:rsidRPr="00A55759">
                              <w:rPr>
                                <w:lang w:val="fr-FR"/>
                              </w:rPr>
                              <w:t>BirdLife</w:t>
                            </w:r>
                            <w:proofErr w:type="spellEnd"/>
                            <w:r w:rsidRPr="00A55759">
                              <w:rPr>
                                <w:lang w:val="fr-FR"/>
                              </w:rPr>
                              <w:t xml:space="preserve"> International, une étude sur le déploiement des technologies liées aux énergies renouvelables et leurs impacts réels ou potentiels sur les espèces migratrices est en cours, et un ensemble de lignes directrices pour éviter ou atténuer ces impacts est en cours de compilation.</w:t>
                            </w:r>
                          </w:p>
                          <w:p w:rsidR="0058596E" w:rsidRPr="00A55759" w:rsidRDefault="0058596E" w:rsidP="0058596E">
                            <w:pPr>
                              <w:jc w:val="both"/>
                              <w:rPr>
                                <w:lang w:val="fr-FR"/>
                              </w:rPr>
                            </w:pPr>
                          </w:p>
                          <w:p w:rsidR="0058596E" w:rsidRPr="00A55759" w:rsidRDefault="0058596E" w:rsidP="0058596E">
                            <w:pPr>
                              <w:jc w:val="both"/>
                              <w:rPr>
                                <w:lang w:val="fr-FR"/>
                              </w:rPr>
                            </w:pPr>
                            <w:r w:rsidRPr="00A55759">
                              <w:rPr>
                                <w:lang w:val="fr-FR"/>
                              </w:rPr>
                              <w:t xml:space="preserve">Le présent document </w:t>
                            </w:r>
                            <w:r>
                              <w:rPr>
                                <w:lang w:val="fr-FR"/>
                              </w:rPr>
                              <w:t xml:space="preserve">fournit des informations sur </w:t>
                            </w:r>
                            <w:r w:rsidRPr="00A55759">
                              <w:rPr>
                                <w:lang w:val="fr-FR"/>
                              </w:rPr>
                              <w:t xml:space="preserve"> la mise en œuvre de cette initiative. Il comprend également un projet de résolution sur les énergies renouvelables et les espèces migratrices, soumis pour examen </w:t>
                            </w:r>
                            <w:r>
                              <w:rPr>
                                <w:lang w:val="fr-FR"/>
                              </w:rPr>
                              <w:t xml:space="preserve">et adoption </w:t>
                            </w:r>
                            <w:r w:rsidRPr="00A55759">
                              <w:rPr>
                                <w:lang w:val="fr-FR"/>
                              </w:rPr>
                              <w:t xml:space="preserve">à la </w:t>
                            </w:r>
                            <w:r>
                              <w:rPr>
                                <w:lang w:val="fr-FR"/>
                              </w:rPr>
                              <w:t>COP11</w:t>
                            </w:r>
                            <w:r w:rsidRPr="00A55759">
                              <w:rPr>
                                <w:lang w:val="fr-FR"/>
                              </w:rPr>
                              <w:t xml:space="preserve"> (</w:t>
                            </w:r>
                            <w:r>
                              <w:rPr>
                                <w:lang w:val="fr-FR"/>
                              </w:rPr>
                              <w:t>ANNEXE 1</w:t>
                            </w:r>
                            <w:r w:rsidR="00BA3536">
                              <w:rPr>
                                <w:lang w:val="fr-FR"/>
                              </w:rPr>
                              <w:t>)</w:t>
                            </w:r>
                            <w:r>
                              <w:rPr>
                                <w:lang w:val="fr-FR"/>
                              </w:rPr>
                              <w:t xml:space="preserve">. </w:t>
                            </w:r>
                          </w:p>
                          <w:p w:rsidR="0058596E" w:rsidRPr="0038253F" w:rsidRDefault="0058596E" w:rsidP="004556F3">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3pt;margin-top:6.9pt;width:348.6pt;height:29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" strokeweight="2pt">
                <v:textbox>
                  <w:txbxContent>
                    <w:p w:rsidR="004556F3" w:rsidRDefault="004556F3" w:rsidP="004556F3">
                      <w:pPr>
                        <w:jc w:val="both"/>
                        <w:rPr>
                          <w:szCs w:val="24"/>
                          <w:lang w:val="fr-FR"/>
                        </w:rPr>
                      </w:pPr>
                      <w:r>
                        <w:rPr>
                          <w:szCs w:val="24"/>
                          <w:lang w:val="fr-FR"/>
                        </w:rPr>
                        <w:t>Résumé</w:t>
                      </w:r>
                    </w:p>
                    <w:p w:rsidR="00105EA7" w:rsidRDefault="00105EA7" w:rsidP="004556F3">
                      <w:pPr>
                        <w:jc w:val="both"/>
                        <w:rPr>
                          <w:szCs w:val="24"/>
                          <w:lang w:val="fr-FR"/>
                        </w:rPr>
                      </w:pPr>
                    </w:p>
                    <w:p w:rsidR="0058596E" w:rsidRPr="00A55759" w:rsidRDefault="0058596E" w:rsidP="0058596E">
                      <w:pPr>
                        <w:jc w:val="both"/>
                        <w:rPr>
                          <w:lang w:val="fr-FR"/>
                        </w:rPr>
                      </w:pPr>
                      <w:r w:rsidRPr="00A55759">
                        <w:rPr>
                          <w:lang w:val="fr-FR"/>
                        </w:rPr>
                        <w:t xml:space="preserve">Dans le cadre d’une initiative conjointe entre les Secrétariats de la Convention sur la conservation des espèces migratrices appartenant à la faune sauvage (CMS) et l’Accord sur la conservation des oiseaux d’eau migrateurs d’Afrique-Eurasie (AEWA), au nom </w:t>
                      </w:r>
                      <w:r w:rsidR="00BA3536">
                        <w:rPr>
                          <w:lang w:val="fr-FR"/>
                        </w:rPr>
                        <w:t>de toute la Famille CMS</w:t>
                      </w:r>
                      <w:r w:rsidRPr="00A55759">
                        <w:rPr>
                          <w:lang w:val="fr-FR"/>
                        </w:rPr>
                        <w:t>; l’Agence internationale de</w:t>
                      </w:r>
                      <w:r w:rsidR="00BA3536">
                        <w:rPr>
                          <w:lang w:val="fr-FR"/>
                        </w:rPr>
                        <w:t xml:space="preserve"> l’énergie renouvelable (IRENA)</w:t>
                      </w:r>
                      <w:r w:rsidRPr="00A55759">
                        <w:rPr>
                          <w:lang w:val="fr-FR"/>
                        </w:rPr>
                        <w:t xml:space="preserve">; et le projet PNUD/FEM sur les oiseaux planeurs migrateurs porté par </w:t>
                      </w:r>
                      <w:proofErr w:type="spellStart"/>
                      <w:r w:rsidRPr="00A55759">
                        <w:rPr>
                          <w:lang w:val="fr-FR"/>
                        </w:rPr>
                        <w:t>BirdLife</w:t>
                      </w:r>
                      <w:proofErr w:type="spellEnd"/>
                      <w:r w:rsidRPr="00A55759">
                        <w:rPr>
                          <w:lang w:val="fr-FR"/>
                        </w:rPr>
                        <w:t xml:space="preserve"> International, une étude sur le déploiement des technologies liées aux énergies renouvelables et leurs impacts réels ou potentiels sur les espèces migratrices est en cours, et un ensemble de lignes directrices pour éviter ou atténuer ces impacts est en cours de compilation.</w:t>
                      </w:r>
                    </w:p>
                    <w:p w:rsidR="0058596E" w:rsidRPr="00A55759" w:rsidRDefault="0058596E" w:rsidP="0058596E">
                      <w:pPr>
                        <w:jc w:val="both"/>
                        <w:rPr>
                          <w:lang w:val="fr-FR"/>
                        </w:rPr>
                      </w:pPr>
                    </w:p>
                    <w:p w:rsidR="0058596E" w:rsidRPr="00A55759" w:rsidRDefault="0058596E" w:rsidP="0058596E">
                      <w:pPr>
                        <w:jc w:val="both"/>
                        <w:rPr>
                          <w:lang w:val="fr-FR"/>
                        </w:rPr>
                      </w:pPr>
                      <w:r w:rsidRPr="00A55759">
                        <w:rPr>
                          <w:lang w:val="fr-FR"/>
                        </w:rPr>
                        <w:t xml:space="preserve">Le présent document </w:t>
                      </w:r>
                      <w:r>
                        <w:rPr>
                          <w:lang w:val="fr-FR"/>
                        </w:rPr>
                        <w:t xml:space="preserve">fournit des informations sur </w:t>
                      </w:r>
                      <w:r w:rsidRPr="00A55759">
                        <w:rPr>
                          <w:lang w:val="fr-FR"/>
                        </w:rPr>
                        <w:t xml:space="preserve"> la mise en œuvre de cette initiative. Il comprend également un projet de résolution sur les énergies renouvelables et les espèces migratrices, soumis pour examen </w:t>
                      </w:r>
                      <w:r>
                        <w:rPr>
                          <w:lang w:val="fr-FR"/>
                        </w:rPr>
                        <w:t xml:space="preserve">et adoption </w:t>
                      </w:r>
                      <w:r w:rsidRPr="00A55759">
                        <w:rPr>
                          <w:lang w:val="fr-FR"/>
                        </w:rPr>
                        <w:t xml:space="preserve">à la </w:t>
                      </w:r>
                      <w:r>
                        <w:rPr>
                          <w:lang w:val="fr-FR"/>
                        </w:rPr>
                        <w:t>COP11</w:t>
                      </w:r>
                      <w:r w:rsidRPr="00A55759">
                        <w:rPr>
                          <w:lang w:val="fr-FR"/>
                        </w:rPr>
                        <w:t xml:space="preserve"> (</w:t>
                      </w:r>
                      <w:r>
                        <w:rPr>
                          <w:lang w:val="fr-FR"/>
                        </w:rPr>
                        <w:t>ANNEXE 1</w:t>
                      </w:r>
                      <w:r w:rsidR="00BA3536">
                        <w:rPr>
                          <w:lang w:val="fr-FR"/>
                        </w:rPr>
                        <w:t>)</w:t>
                      </w:r>
                      <w:r>
                        <w:rPr>
                          <w:lang w:val="fr-FR"/>
                        </w:rPr>
                        <w:t xml:space="preserve">. </w:t>
                      </w:r>
                    </w:p>
                    <w:p w:rsidR="0058596E" w:rsidRPr="0038253F" w:rsidRDefault="0058596E" w:rsidP="004556F3">
                      <w:pPr>
                        <w:jc w:val="both"/>
                        <w:rPr>
                          <w:szCs w:val="24"/>
                          <w:lang w:val="fr-FR"/>
                        </w:rPr>
                      </w:pP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A22EEC" w:rsidRDefault="00A22EEC" w:rsidP="00761732">
      <w:pPr>
        <w:rPr>
          <w:lang w:val="fr-FR"/>
        </w:rPr>
      </w:pPr>
    </w:p>
    <w:p w:rsidR="00A22EEC" w:rsidRDefault="00A22EEC" w:rsidP="00761732">
      <w:pPr>
        <w:rPr>
          <w:lang w:val="fr-FR"/>
        </w:rPr>
        <w:sectPr w:rsidR="00A22EEC" w:rsidSect="006E6631">
          <w:headerReference w:type="even" r:id="rId13"/>
          <w:headerReference w:type="default" r:id="rId14"/>
          <w:footerReference w:type="even" r:id="rId15"/>
          <w:footerReference w:type="default" r:id="rId16"/>
          <w:footerReference w:type="first" r:id="rId17"/>
          <w:pgSz w:w="11907" w:h="16840" w:code="9"/>
          <w:pgMar w:top="1134" w:right="1418" w:bottom="1418" w:left="1418" w:header="510" w:footer="510" w:gutter="0"/>
          <w:cols w:space="720"/>
          <w:titlePg/>
          <w:docGrid w:linePitch="360"/>
        </w:sectPr>
      </w:pPr>
    </w:p>
    <w:p w:rsidR="0058596E" w:rsidRPr="002070F1" w:rsidRDefault="0058596E" w:rsidP="0058596E">
      <w:pPr>
        <w:pStyle w:val="Heading2"/>
        <w:keepNext w:val="0"/>
        <w:jc w:val="center"/>
        <w:rPr>
          <w:bCs w:val="0"/>
          <w:caps/>
          <w:sz w:val="24"/>
          <w:lang w:val="fr-FR"/>
        </w:rPr>
      </w:pPr>
      <w:r w:rsidRPr="002070F1">
        <w:rPr>
          <w:bCs w:val="0"/>
          <w:caps/>
          <w:sz w:val="24"/>
          <w:lang w:val="fr-FR"/>
        </w:rPr>
        <w:lastRenderedPageBreak/>
        <w:t>ÉNERGIE RENOUVELABLE ET ESPÈCES MIGRATRICES</w:t>
      </w:r>
    </w:p>
    <w:p w:rsidR="0058596E" w:rsidRPr="002070F1" w:rsidRDefault="0058596E" w:rsidP="0058596E">
      <w:pPr>
        <w:jc w:val="center"/>
        <w:rPr>
          <w:sz w:val="16"/>
          <w:szCs w:val="16"/>
          <w:lang w:val="fr-FR"/>
        </w:rPr>
      </w:pPr>
    </w:p>
    <w:p w:rsidR="0058596E" w:rsidRPr="002070F1" w:rsidRDefault="0058596E" w:rsidP="0058596E">
      <w:pPr>
        <w:jc w:val="center"/>
        <w:rPr>
          <w:lang w:val="fr-FR"/>
        </w:rPr>
      </w:pPr>
      <w:r w:rsidRPr="002070F1">
        <w:rPr>
          <w:i/>
          <w:lang w:val="fr-FR"/>
        </w:rPr>
        <w:t>(Préparé par le Secrétariat PNUE/CMS)</w:t>
      </w:r>
    </w:p>
    <w:p w:rsidR="0058596E" w:rsidRPr="002070F1" w:rsidRDefault="0058596E" w:rsidP="0058596E">
      <w:pPr>
        <w:jc w:val="both"/>
        <w:rPr>
          <w:lang w:val="fr-FR"/>
        </w:rPr>
      </w:pPr>
    </w:p>
    <w:p w:rsidR="0058596E" w:rsidRPr="002070F1" w:rsidRDefault="0058596E" w:rsidP="0058596E">
      <w:pPr>
        <w:pStyle w:val="ListParagraph"/>
        <w:ind w:left="0"/>
        <w:jc w:val="both"/>
        <w:rPr>
          <w:lang w:val="fr-FR"/>
        </w:rPr>
      </w:pPr>
    </w:p>
    <w:p w:rsidR="0058596E" w:rsidRPr="002070F1" w:rsidRDefault="0058596E" w:rsidP="0058596E">
      <w:pPr>
        <w:pStyle w:val="ListParagraph"/>
        <w:widowControl w:val="0"/>
        <w:numPr>
          <w:ilvl w:val="0"/>
          <w:numId w:val="13"/>
        </w:numPr>
        <w:autoSpaceDE w:val="0"/>
        <w:autoSpaceDN w:val="0"/>
        <w:adjustRightInd w:val="0"/>
        <w:ind w:left="0" w:firstLine="0"/>
        <w:contextualSpacing/>
        <w:jc w:val="both"/>
        <w:rPr>
          <w:spacing w:val="-2"/>
          <w:lang w:val="fr-FR"/>
        </w:rPr>
      </w:pPr>
      <w:r w:rsidRPr="002070F1">
        <w:rPr>
          <w:spacing w:val="-2"/>
          <w:lang w:val="fr-FR"/>
        </w:rPr>
        <w:t>La production d’énergie à partir de sources renouvelables peut potentiellement contribuer de manière significative à l’atténuation du changement climatique. À cet égard, les solutions en matière d’énergies renouvelables peuvent permettre d’atténuer les pressions liées au changement climatique pesant sur les ressources naturelles, y compris sur les espèces migratrices. Cependant, les technologies liées aux énergies renouvelables peuvent aussi avoir des impacts sur l’environnement. Cela a été reconnu dans plusieurs décisions de la CMS et des Accords de la CMS</w:t>
      </w:r>
      <w:r w:rsidRPr="002070F1">
        <w:rPr>
          <w:rStyle w:val="FootnoteReference"/>
          <w:spacing w:val="-2"/>
          <w:vertAlign w:val="superscript"/>
          <w:lang w:val="fr-FR"/>
        </w:rPr>
        <w:footnoteReference w:id="1"/>
      </w:r>
      <w:r w:rsidRPr="002070F1">
        <w:rPr>
          <w:spacing w:val="-2"/>
          <w:lang w:val="fr-FR"/>
        </w:rPr>
        <w:t>. Des données importantes ont été recueillies, par exemple sur l’impact des parcs éoliens sur certaines espèces d’oiseaux et de chauves-souris, et diverses solutions ont été développées pour éviter et atténuer ces impacts négatifs. Toutefois, nombre de ces informations sont dispersées et ne sont pas facilement accessibles. En outre, les connaissances sur le déploiement de la plupart des autres technologies liées aux énergies renouvelables et sur leurs impacts potentiels sur les animaux migrateurs sont insuffisantes.</w:t>
      </w:r>
    </w:p>
    <w:p w:rsidR="0058596E" w:rsidRPr="002070F1" w:rsidRDefault="0058596E" w:rsidP="0058596E">
      <w:pPr>
        <w:pStyle w:val="ListParagraph"/>
        <w:ind w:left="0"/>
        <w:jc w:val="both"/>
        <w:rPr>
          <w:lang w:val="fr-FR"/>
        </w:rPr>
      </w:pPr>
    </w:p>
    <w:p w:rsidR="0058596E" w:rsidRPr="002070F1" w:rsidRDefault="0058596E" w:rsidP="0058596E">
      <w:pPr>
        <w:pStyle w:val="ListParagraph"/>
        <w:widowControl w:val="0"/>
        <w:numPr>
          <w:ilvl w:val="0"/>
          <w:numId w:val="13"/>
        </w:numPr>
        <w:autoSpaceDE w:val="0"/>
        <w:autoSpaceDN w:val="0"/>
        <w:adjustRightInd w:val="0"/>
        <w:ind w:left="0" w:firstLine="0"/>
        <w:contextualSpacing/>
        <w:jc w:val="both"/>
        <w:rPr>
          <w:lang w:val="fr-FR"/>
        </w:rPr>
      </w:pPr>
      <w:r w:rsidRPr="002070F1">
        <w:rPr>
          <w:spacing w:val="-2"/>
          <w:lang w:val="fr-FR"/>
        </w:rPr>
        <w:t xml:space="preserve">Sur ces bases, les Secrétariats de la Convention sur la conservation des espèces migratrices appartenant à la faune sauvage (CMS) et de l’Accord sur la conservation des oiseaux d’eau migrateurs d’Afrique-Eurasie (AEWA), au nom de toute la Famille CMS ; l’Agence internationale de l’énergie renouvelable (IRENA), et le projet PNUD/FEM sur les oiseaux planeurs migrateurs porté par </w:t>
      </w:r>
      <w:proofErr w:type="spellStart"/>
      <w:r w:rsidRPr="002070F1">
        <w:rPr>
          <w:spacing w:val="-2"/>
          <w:lang w:val="fr-FR"/>
        </w:rPr>
        <w:t>BirdLife</w:t>
      </w:r>
      <w:proofErr w:type="spellEnd"/>
      <w:r w:rsidRPr="002070F1">
        <w:rPr>
          <w:spacing w:val="-2"/>
          <w:lang w:val="fr-FR"/>
        </w:rPr>
        <w:t xml:space="preserve"> International ont uni leurs forces pour réaliser une synthèse sur le déploiement des technologies liées aux énergies renouvelables et sur leurs impacts réels ou potentiels sur les espèces migratrices, et pour produire également un ensemble de lignes directrices sur la façon d’éviter ou d’atténuer ces impacts.</w:t>
      </w:r>
    </w:p>
    <w:p w:rsidR="0058596E" w:rsidRPr="002070F1" w:rsidRDefault="0058596E" w:rsidP="0058596E">
      <w:pPr>
        <w:pStyle w:val="ListParagraph"/>
        <w:ind w:left="0"/>
        <w:jc w:val="both"/>
        <w:rPr>
          <w:lang w:val="fr-FR"/>
        </w:rPr>
      </w:pPr>
    </w:p>
    <w:p w:rsidR="0058596E" w:rsidRPr="002070F1" w:rsidRDefault="0058596E" w:rsidP="0058596E">
      <w:pPr>
        <w:pStyle w:val="ListParagraph"/>
        <w:widowControl w:val="0"/>
        <w:numPr>
          <w:ilvl w:val="0"/>
          <w:numId w:val="13"/>
        </w:numPr>
        <w:autoSpaceDE w:val="0"/>
        <w:autoSpaceDN w:val="0"/>
        <w:adjustRightInd w:val="0"/>
        <w:ind w:left="0" w:firstLine="0"/>
        <w:contextualSpacing/>
        <w:jc w:val="both"/>
        <w:rPr>
          <w:lang w:val="fr-FR"/>
        </w:rPr>
      </w:pPr>
      <w:r w:rsidRPr="002070F1">
        <w:rPr>
          <w:spacing w:val="-2"/>
          <w:lang w:val="fr-FR"/>
        </w:rPr>
        <w:t>Les termes de référence du projet conjoint « </w:t>
      </w:r>
      <w:r w:rsidRPr="002070F1">
        <w:rPr>
          <w:i/>
          <w:spacing w:val="-2"/>
          <w:lang w:val="fr-FR"/>
        </w:rPr>
        <w:t>Déploiement des technologies liées aux énergies renouvelables et espèces migratrices</w:t>
      </w:r>
      <w:r w:rsidRPr="002070F1">
        <w:rPr>
          <w:spacing w:val="-2"/>
          <w:lang w:val="fr-FR"/>
        </w:rPr>
        <w:t xml:space="preserve"> » ont été élaborés par les Secrétariats de la CMS et de l’AEWA et par le Centre de l’innovation et de la technologie de l’IRENA (IITC - IRENA Innovation and </w:t>
      </w:r>
      <w:proofErr w:type="spellStart"/>
      <w:r w:rsidRPr="002070F1">
        <w:rPr>
          <w:spacing w:val="-2"/>
          <w:lang w:val="fr-FR"/>
        </w:rPr>
        <w:t>Technology</w:t>
      </w:r>
      <w:proofErr w:type="spellEnd"/>
      <w:r w:rsidRPr="002070F1">
        <w:rPr>
          <w:spacing w:val="-2"/>
          <w:lang w:val="fr-FR"/>
        </w:rPr>
        <w:t xml:space="preserve"> Centre), en consultation avec les organes consultatifs de la CMS et de l’AEWA. L’avant-projet de termes de références a été transmis par le Secrétariat aux membres du Conseil scientifique pour commentaires en septembre 2012.</w:t>
      </w:r>
    </w:p>
    <w:p w:rsidR="0058596E" w:rsidRPr="002070F1" w:rsidRDefault="0058596E" w:rsidP="0058596E">
      <w:pPr>
        <w:pStyle w:val="ListParagraph"/>
        <w:ind w:left="0"/>
        <w:jc w:val="both"/>
        <w:rPr>
          <w:lang w:val="fr-FR"/>
        </w:rPr>
      </w:pPr>
    </w:p>
    <w:p w:rsidR="0058596E" w:rsidRPr="002070F1" w:rsidRDefault="0058596E" w:rsidP="0058596E">
      <w:pPr>
        <w:pStyle w:val="ListParagraph"/>
        <w:widowControl w:val="0"/>
        <w:numPr>
          <w:ilvl w:val="0"/>
          <w:numId w:val="13"/>
        </w:numPr>
        <w:autoSpaceDE w:val="0"/>
        <w:autoSpaceDN w:val="0"/>
        <w:adjustRightInd w:val="0"/>
        <w:ind w:left="0" w:firstLine="0"/>
        <w:contextualSpacing/>
        <w:jc w:val="both"/>
        <w:rPr>
          <w:lang w:val="fr-FR"/>
        </w:rPr>
      </w:pPr>
      <w:r w:rsidRPr="002070F1">
        <w:rPr>
          <w:spacing w:val="-2"/>
          <w:lang w:val="fr-FR"/>
        </w:rPr>
        <w:t xml:space="preserve">Un appel d’offres basé sur les termes de référence a été lancé au début de 2013 par le Secrétariat de l’IRENA, également au nom des autres partenaires du projet. Les membres du Conseil scientifique en ont été informés par le Secrétariat et ont été invités à le diffuser. Les présidents du Conseil scientifique de la CMS et du Comité technique de l’AEWA ont également participé à l’évaluation des demandes et à la sélection du consultant. L’étude a été confiée au Bureau </w:t>
      </w:r>
      <w:proofErr w:type="spellStart"/>
      <w:r w:rsidRPr="002070F1">
        <w:rPr>
          <w:spacing w:val="-2"/>
          <w:lang w:val="fr-FR"/>
        </w:rPr>
        <w:t>Waardenburg</w:t>
      </w:r>
      <w:proofErr w:type="spellEnd"/>
      <w:r w:rsidRPr="002070F1">
        <w:rPr>
          <w:spacing w:val="-2"/>
          <w:lang w:val="fr-FR"/>
        </w:rPr>
        <w:t xml:space="preserve"> </w:t>
      </w:r>
      <w:proofErr w:type="spellStart"/>
      <w:r w:rsidRPr="002070F1">
        <w:rPr>
          <w:spacing w:val="-2"/>
          <w:lang w:val="fr-FR"/>
        </w:rPr>
        <w:t>bv</w:t>
      </w:r>
      <w:proofErr w:type="spellEnd"/>
      <w:r w:rsidRPr="002070F1">
        <w:rPr>
          <w:spacing w:val="-2"/>
          <w:lang w:val="fr-FR"/>
        </w:rPr>
        <w:t xml:space="preserve"> (en collaboration avec </w:t>
      </w:r>
      <w:proofErr w:type="spellStart"/>
      <w:r w:rsidRPr="002070F1">
        <w:rPr>
          <w:spacing w:val="-2"/>
          <w:lang w:val="fr-FR"/>
        </w:rPr>
        <w:t>Boere</w:t>
      </w:r>
      <w:proofErr w:type="spellEnd"/>
      <w:r w:rsidRPr="002070F1">
        <w:rPr>
          <w:spacing w:val="-2"/>
          <w:lang w:val="fr-FR"/>
        </w:rPr>
        <w:t xml:space="preserve"> Conservation </w:t>
      </w:r>
      <w:proofErr w:type="spellStart"/>
      <w:r w:rsidRPr="002070F1">
        <w:rPr>
          <w:spacing w:val="-2"/>
          <w:lang w:val="fr-FR"/>
        </w:rPr>
        <w:t>Consultancy</w:t>
      </w:r>
      <w:proofErr w:type="spellEnd"/>
      <w:r w:rsidRPr="002070F1">
        <w:rPr>
          <w:spacing w:val="-2"/>
          <w:lang w:val="fr-FR"/>
        </w:rPr>
        <w:t xml:space="preserve">, Brett Lane &amp; Associates et </w:t>
      </w:r>
      <w:proofErr w:type="spellStart"/>
      <w:r w:rsidRPr="002070F1">
        <w:rPr>
          <w:spacing w:val="-2"/>
          <w:lang w:val="fr-FR"/>
        </w:rPr>
        <w:t>ESSGroup</w:t>
      </w:r>
      <w:proofErr w:type="spellEnd"/>
      <w:r w:rsidRPr="002070F1">
        <w:rPr>
          <w:spacing w:val="-2"/>
          <w:lang w:val="fr-FR"/>
        </w:rPr>
        <w:t>).</w:t>
      </w:r>
    </w:p>
    <w:p w:rsidR="0058596E" w:rsidRPr="002070F1" w:rsidRDefault="0058596E" w:rsidP="0058596E">
      <w:pPr>
        <w:pStyle w:val="ListParagraph"/>
        <w:ind w:left="0"/>
        <w:jc w:val="both"/>
        <w:rPr>
          <w:lang w:val="fr-FR"/>
        </w:rPr>
      </w:pPr>
    </w:p>
    <w:p w:rsidR="0058596E" w:rsidRPr="002070F1" w:rsidRDefault="0058596E" w:rsidP="0058596E">
      <w:pPr>
        <w:pStyle w:val="ListParagraph"/>
        <w:widowControl w:val="0"/>
        <w:numPr>
          <w:ilvl w:val="0"/>
          <w:numId w:val="13"/>
        </w:numPr>
        <w:autoSpaceDE w:val="0"/>
        <w:autoSpaceDN w:val="0"/>
        <w:adjustRightInd w:val="0"/>
        <w:ind w:left="0" w:firstLine="0"/>
        <w:contextualSpacing/>
        <w:jc w:val="both"/>
        <w:rPr>
          <w:lang w:val="fr-FR"/>
        </w:rPr>
      </w:pPr>
      <w:r w:rsidRPr="002070F1">
        <w:rPr>
          <w:spacing w:val="-2"/>
          <w:lang w:val="fr-FR"/>
        </w:rPr>
        <w:t>La mise en œuvre du projet a été divisée en trois phases :</w:t>
      </w:r>
    </w:p>
    <w:p w:rsidR="0058596E" w:rsidRPr="002070F1" w:rsidRDefault="0058596E" w:rsidP="0058596E">
      <w:pPr>
        <w:pStyle w:val="rapporttekst"/>
        <w:tabs>
          <w:tab w:val="left" w:pos="1843"/>
        </w:tabs>
        <w:ind w:left="1843" w:hanging="1134"/>
        <w:rPr>
          <w:rFonts w:ascii="Times New Roman" w:hAnsi="Times New Roman"/>
          <w:i/>
          <w:sz w:val="24"/>
          <w:szCs w:val="24"/>
          <w:lang w:val="fr-FR"/>
        </w:rPr>
      </w:pPr>
      <w:r w:rsidRPr="002070F1">
        <w:rPr>
          <w:rFonts w:ascii="Times New Roman" w:hAnsi="Times New Roman"/>
          <w:i/>
          <w:sz w:val="24"/>
          <w:szCs w:val="24"/>
          <w:lang w:val="fr-FR"/>
        </w:rPr>
        <w:t xml:space="preserve">Phase 1 </w:t>
      </w:r>
      <w:r w:rsidRPr="002070F1">
        <w:rPr>
          <w:rFonts w:ascii="Times New Roman" w:hAnsi="Times New Roman"/>
          <w:i/>
          <w:sz w:val="24"/>
          <w:szCs w:val="24"/>
          <w:lang w:val="fr-FR"/>
        </w:rPr>
        <w:tab/>
        <w:t>Phase de lancement / définition de la portée</w:t>
      </w:r>
    </w:p>
    <w:p w:rsidR="0058596E" w:rsidRPr="002070F1" w:rsidRDefault="0058596E" w:rsidP="0058596E">
      <w:pPr>
        <w:pStyle w:val="rapporttekst"/>
        <w:tabs>
          <w:tab w:val="left" w:pos="1843"/>
        </w:tabs>
        <w:ind w:left="1843" w:hanging="1134"/>
        <w:rPr>
          <w:rFonts w:ascii="Times New Roman" w:hAnsi="Times New Roman"/>
          <w:i/>
          <w:sz w:val="24"/>
          <w:szCs w:val="24"/>
          <w:lang w:val="fr-FR"/>
        </w:rPr>
      </w:pPr>
      <w:r w:rsidRPr="002070F1">
        <w:rPr>
          <w:rFonts w:ascii="Times New Roman" w:hAnsi="Times New Roman"/>
          <w:i/>
          <w:sz w:val="24"/>
          <w:szCs w:val="24"/>
          <w:lang w:val="fr-FR"/>
        </w:rPr>
        <w:t xml:space="preserve">Phase 2 </w:t>
      </w:r>
      <w:r w:rsidRPr="002070F1">
        <w:rPr>
          <w:rFonts w:ascii="Times New Roman" w:hAnsi="Times New Roman"/>
          <w:i/>
          <w:sz w:val="24"/>
          <w:szCs w:val="24"/>
          <w:lang w:val="fr-FR"/>
        </w:rPr>
        <w:tab/>
        <w:t xml:space="preserve">Étude des différents aspects du conflit et approche pour l’élaboration des lignes directrices </w:t>
      </w:r>
    </w:p>
    <w:p w:rsidR="0058596E" w:rsidRPr="002070F1" w:rsidRDefault="0058596E" w:rsidP="00BA3536">
      <w:pPr>
        <w:pStyle w:val="rapporttekst"/>
        <w:tabs>
          <w:tab w:val="left" w:pos="1843"/>
        </w:tabs>
        <w:ind w:left="1843" w:hanging="1134"/>
        <w:rPr>
          <w:rFonts w:ascii="Times New Roman" w:hAnsi="Times New Roman"/>
          <w:i/>
          <w:sz w:val="24"/>
          <w:szCs w:val="24"/>
          <w:lang w:val="fr-FR"/>
        </w:rPr>
      </w:pPr>
      <w:r w:rsidRPr="002070F1">
        <w:rPr>
          <w:rFonts w:ascii="Times New Roman" w:hAnsi="Times New Roman"/>
          <w:i/>
          <w:sz w:val="24"/>
          <w:szCs w:val="24"/>
          <w:lang w:val="fr-FR"/>
        </w:rPr>
        <w:t xml:space="preserve">Phase 3 </w:t>
      </w:r>
      <w:r w:rsidRPr="002070F1">
        <w:rPr>
          <w:rFonts w:ascii="Times New Roman" w:hAnsi="Times New Roman"/>
          <w:i/>
          <w:sz w:val="24"/>
          <w:szCs w:val="24"/>
          <w:lang w:val="fr-FR"/>
        </w:rPr>
        <w:tab/>
        <w:t xml:space="preserve">Analyse des sites de conflit importants dans le monde et rédaction des lignes directrices </w:t>
      </w:r>
    </w:p>
    <w:p w:rsidR="0058596E" w:rsidRPr="00BA3536" w:rsidRDefault="0058596E" w:rsidP="00BA3536">
      <w:pPr>
        <w:pStyle w:val="ListParagraph"/>
        <w:widowControl w:val="0"/>
        <w:numPr>
          <w:ilvl w:val="0"/>
          <w:numId w:val="13"/>
        </w:numPr>
        <w:autoSpaceDE w:val="0"/>
        <w:autoSpaceDN w:val="0"/>
        <w:adjustRightInd w:val="0"/>
        <w:ind w:left="0" w:firstLine="0"/>
        <w:contextualSpacing/>
        <w:jc w:val="both"/>
        <w:rPr>
          <w:lang w:val="fr-FR"/>
        </w:rPr>
      </w:pPr>
      <w:r w:rsidRPr="00BA3536">
        <w:rPr>
          <w:spacing w:val="-2"/>
          <w:lang w:val="fr-FR"/>
        </w:rPr>
        <w:lastRenderedPageBreak/>
        <w:t xml:space="preserve">Une réunion de lancement tenue le 16 septembre 2013 a rassemblé les partenaires du projet et le consultant, avec pour objectifs de discuter du contexte du projet et de l’approche commune, d’attribuer les responsabilités et de convenir des actions détaillées et d’un calendrier pour les deux premières phases du projet. Un avant-projet de rapport de lancement a été soumis au Conseil scientifique ainsi qu’aux autres organes consultatifs de la Famille CMS, à </w:t>
      </w:r>
      <w:proofErr w:type="spellStart"/>
      <w:r w:rsidRPr="00BA3536">
        <w:rPr>
          <w:spacing w:val="-2"/>
          <w:lang w:val="fr-FR"/>
        </w:rPr>
        <w:t>BirdLife</w:t>
      </w:r>
      <w:proofErr w:type="spellEnd"/>
      <w:r w:rsidRPr="00BA3536">
        <w:rPr>
          <w:spacing w:val="-2"/>
          <w:lang w:val="fr-FR"/>
        </w:rPr>
        <w:t xml:space="preserve"> et à l’IRENA en octobre/novembre 2013, et a ensuite été finalisé sur la base des commentaires reçus. Le but du rapport était de présenter une approche plus détaillée de la mise en œuvre du projet, convenue lors de la discussion entre tous les partenaires et parties prenantes, ainsi que des définitions détaillées des activités, des résultats attendus et des échéanciers.</w:t>
      </w:r>
    </w:p>
    <w:p w:rsidR="0058596E" w:rsidRPr="002070F1" w:rsidRDefault="0058596E" w:rsidP="0058596E">
      <w:pPr>
        <w:pStyle w:val="ListParagraph"/>
        <w:ind w:left="0"/>
        <w:jc w:val="both"/>
        <w:rPr>
          <w:lang w:val="fr-FR"/>
        </w:rPr>
      </w:pPr>
    </w:p>
    <w:p w:rsidR="0058596E" w:rsidRPr="002070F1" w:rsidRDefault="0058596E" w:rsidP="0058596E">
      <w:pPr>
        <w:pStyle w:val="ListParagraph"/>
        <w:widowControl w:val="0"/>
        <w:numPr>
          <w:ilvl w:val="0"/>
          <w:numId w:val="13"/>
        </w:numPr>
        <w:autoSpaceDE w:val="0"/>
        <w:autoSpaceDN w:val="0"/>
        <w:adjustRightInd w:val="0"/>
        <w:ind w:left="0" w:firstLine="0"/>
        <w:contextualSpacing/>
        <w:jc w:val="both"/>
        <w:rPr>
          <w:spacing w:val="-2"/>
          <w:lang w:val="fr-FR"/>
        </w:rPr>
      </w:pPr>
      <w:r w:rsidRPr="002070F1">
        <w:rPr>
          <w:spacing w:val="-2"/>
          <w:lang w:val="fr-FR"/>
        </w:rPr>
        <w:t>Dans la mise en œuvre de la 2</w:t>
      </w:r>
      <w:r w:rsidRPr="002070F1">
        <w:rPr>
          <w:spacing w:val="-2"/>
          <w:vertAlign w:val="superscript"/>
          <w:lang w:val="fr-FR"/>
        </w:rPr>
        <w:t>ème</w:t>
      </w:r>
      <w:r w:rsidRPr="002070F1">
        <w:rPr>
          <w:spacing w:val="-2"/>
          <w:lang w:val="fr-FR"/>
        </w:rPr>
        <w:t xml:space="preserve"> phase du projet, un avant-projet de rapport de la synthèse sur les interactions entre le déploiement des technologies liées aux énergies renouvelables et les espèces migratrices a été soumis par le consultant aux Secrétariats et aux organes consultatifs de la Famille CMS, ainsi qu’aux réseaux de </w:t>
      </w:r>
      <w:proofErr w:type="spellStart"/>
      <w:r w:rsidRPr="002070F1">
        <w:rPr>
          <w:spacing w:val="-2"/>
          <w:lang w:val="fr-FR"/>
        </w:rPr>
        <w:t>BirdLife</w:t>
      </w:r>
      <w:proofErr w:type="spellEnd"/>
      <w:r w:rsidRPr="002070F1">
        <w:rPr>
          <w:spacing w:val="-2"/>
          <w:lang w:val="fr-FR"/>
        </w:rPr>
        <w:t xml:space="preserve"> et de l’IRENA. </w:t>
      </w:r>
      <w:r>
        <w:rPr>
          <w:spacing w:val="-2"/>
          <w:lang w:val="fr-FR"/>
        </w:rPr>
        <w:t xml:space="preserve">Le </w:t>
      </w:r>
      <w:r w:rsidRPr="002070F1">
        <w:rPr>
          <w:spacing w:val="-2"/>
          <w:lang w:val="fr-FR"/>
        </w:rPr>
        <w:t xml:space="preserve">projet de rapport a été transmis par le Secrétariat aux membres du Conseil scientifique, pour commentaires, le 20 janvier 2014. Les commentaires reçus ont été compilés par le Secrétariat et transmis au consultant pour examen. Une version révisée, prenant en compte les commentaires </w:t>
      </w:r>
      <w:r>
        <w:rPr>
          <w:spacing w:val="-2"/>
          <w:lang w:val="fr-FR"/>
        </w:rPr>
        <w:t>a été</w:t>
      </w:r>
      <w:r w:rsidRPr="002070F1">
        <w:rPr>
          <w:spacing w:val="-2"/>
          <w:lang w:val="fr-FR"/>
        </w:rPr>
        <w:t xml:space="preserve"> soumise à la 18</w:t>
      </w:r>
      <w:r w:rsidRPr="002070F1">
        <w:rPr>
          <w:spacing w:val="-2"/>
          <w:vertAlign w:val="superscript"/>
          <w:lang w:val="fr-FR"/>
        </w:rPr>
        <w:t>ème</w:t>
      </w:r>
      <w:r w:rsidRPr="002070F1">
        <w:rPr>
          <w:spacing w:val="-2"/>
          <w:lang w:val="fr-FR"/>
        </w:rPr>
        <w:t xml:space="preserve"> réunion du Conseil scientifique (ScC18) en tant que document UNEP/CMS/ScC18/Inf.10.2.1. Par rapport </w:t>
      </w:r>
      <w:r>
        <w:rPr>
          <w:spacing w:val="-2"/>
          <w:lang w:val="fr-FR"/>
        </w:rPr>
        <w:t xml:space="preserve">au </w:t>
      </w:r>
      <w:r w:rsidRPr="002070F1">
        <w:rPr>
          <w:spacing w:val="-2"/>
          <w:lang w:val="fr-FR"/>
        </w:rPr>
        <w:t>projet initialement diffusé en janvier 2014, cette version intègre également une ébauche de compilation d’exemples de sites potentiellement importants pour leur impact sur les espèces migratrices. .</w:t>
      </w:r>
      <w:r>
        <w:rPr>
          <w:spacing w:val="-2"/>
          <w:lang w:val="fr-FR"/>
        </w:rPr>
        <w:t xml:space="preserve">Le Sc18 a examiné le document et </w:t>
      </w:r>
      <w:r>
        <w:rPr>
          <w:rStyle w:val="hps"/>
          <w:lang w:val="fr-FR"/>
        </w:rPr>
        <w:t>fait une série</w:t>
      </w:r>
      <w:r>
        <w:rPr>
          <w:lang w:val="fr-FR"/>
        </w:rPr>
        <w:t xml:space="preserve"> </w:t>
      </w:r>
      <w:r>
        <w:rPr>
          <w:rStyle w:val="hps"/>
          <w:lang w:val="fr-FR"/>
        </w:rPr>
        <w:t>d'observations et de</w:t>
      </w:r>
      <w:r>
        <w:rPr>
          <w:lang w:val="fr-FR"/>
        </w:rPr>
        <w:t xml:space="preserve"> </w:t>
      </w:r>
      <w:r>
        <w:rPr>
          <w:rStyle w:val="hps"/>
          <w:lang w:val="fr-FR"/>
        </w:rPr>
        <w:t>recommandations en vue</w:t>
      </w:r>
      <w:r>
        <w:rPr>
          <w:lang w:val="fr-FR"/>
        </w:rPr>
        <w:t xml:space="preserve"> </w:t>
      </w:r>
      <w:r>
        <w:rPr>
          <w:rStyle w:val="hps"/>
          <w:lang w:val="fr-FR"/>
        </w:rPr>
        <w:t>de la finalisation</w:t>
      </w:r>
      <w:r>
        <w:rPr>
          <w:lang w:val="fr-FR"/>
        </w:rPr>
        <w:t xml:space="preserve"> </w:t>
      </w:r>
      <w:r>
        <w:rPr>
          <w:rStyle w:val="hps"/>
          <w:lang w:val="fr-FR"/>
        </w:rPr>
        <w:t>de l'examen</w:t>
      </w:r>
      <w:r>
        <w:rPr>
          <w:lang w:val="fr-FR"/>
        </w:rPr>
        <w:t xml:space="preserve">. </w:t>
      </w:r>
      <w:r>
        <w:rPr>
          <w:rStyle w:val="hps"/>
          <w:lang w:val="fr-FR"/>
        </w:rPr>
        <w:t>Au</w:t>
      </w:r>
      <w:r>
        <w:rPr>
          <w:lang w:val="fr-FR"/>
        </w:rPr>
        <w:t xml:space="preserve"> </w:t>
      </w:r>
      <w:r>
        <w:rPr>
          <w:rStyle w:val="hps"/>
          <w:lang w:val="fr-FR"/>
        </w:rPr>
        <w:t>moment de la rédaction</w:t>
      </w:r>
      <w:r>
        <w:rPr>
          <w:lang w:val="fr-FR"/>
        </w:rPr>
        <w:t xml:space="preserve">, </w:t>
      </w:r>
      <w:r>
        <w:rPr>
          <w:rStyle w:val="hps"/>
          <w:lang w:val="fr-FR"/>
        </w:rPr>
        <w:t>le rapport</w:t>
      </w:r>
      <w:r>
        <w:rPr>
          <w:lang w:val="fr-FR"/>
        </w:rPr>
        <w:t xml:space="preserve"> </w:t>
      </w:r>
      <w:r>
        <w:rPr>
          <w:rStyle w:val="hps"/>
          <w:lang w:val="fr-FR"/>
        </w:rPr>
        <w:t>est</w:t>
      </w:r>
      <w:r>
        <w:rPr>
          <w:lang w:val="fr-FR"/>
        </w:rPr>
        <w:t xml:space="preserve"> </w:t>
      </w:r>
      <w:r>
        <w:rPr>
          <w:rStyle w:val="hps"/>
          <w:lang w:val="fr-FR"/>
        </w:rPr>
        <w:t>en cours de finalisation</w:t>
      </w:r>
      <w:r>
        <w:rPr>
          <w:lang w:val="fr-FR"/>
        </w:rPr>
        <w:t xml:space="preserve"> </w:t>
      </w:r>
      <w:r>
        <w:rPr>
          <w:rStyle w:val="hps"/>
          <w:lang w:val="fr-FR"/>
        </w:rPr>
        <w:t>par le consultant et</w:t>
      </w:r>
      <w:r>
        <w:rPr>
          <w:lang w:val="fr-FR"/>
        </w:rPr>
        <w:t xml:space="preserve"> </w:t>
      </w:r>
      <w:r>
        <w:rPr>
          <w:rStyle w:val="hps"/>
          <w:lang w:val="fr-FR"/>
        </w:rPr>
        <w:t>devrait être</w:t>
      </w:r>
      <w:r>
        <w:rPr>
          <w:lang w:val="fr-FR"/>
        </w:rPr>
        <w:t xml:space="preserve"> </w:t>
      </w:r>
      <w:r>
        <w:rPr>
          <w:rStyle w:val="hps"/>
          <w:lang w:val="fr-FR"/>
        </w:rPr>
        <w:t>mis à disposition</w:t>
      </w:r>
      <w:r>
        <w:rPr>
          <w:lang w:val="fr-FR"/>
        </w:rPr>
        <w:t xml:space="preserve"> </w:t>
      </w:r>
      <w:r>
        <w:rPr>
          <w:rStyle w:val="hps"/>
          <w:lang w:val="fr-FR"/>
        </w:rPr>
        <w:t>à la COP11</w:t>
      </w:r>
      <w:r>
        <w:rPr>
          <w:lang w:val="fr-FR"/>
        </w:rPr>
        <w:t xml:space="preserve"> </w:t>
      </w:r>
      <w:r>
        <w:rPr>
          <w:rStyle w:val="hps"/>
          <w:lang w:val="fr-FR"/>
        </w:rPr>
        <w:t>dans le document UNEP</w:t>
      </w:r>
      <w:r w:rsidR="00BA3536">
        <w:rPr>
          <w:rStyle w:val="hps"/>
          <w:lang w:val="fr-FR"/>
        </w:rPr>
        <w:t>/CMS</w:t>
      </w:r>
      <w:r>
        <w:rPr>
          <w:rStyle w:val="hps"/>
          <w:lang w:val="fr-FR"/>
        </w:rPr>
        <w:t>/COP11/Inf.26</w:t>
      </w:r>
      <w:r>
        <w:rPr>
          <w:lang w:val="fr-FR"/>
        </w:rPr>
        <w:t>.</w:t>
      </w:r>
    </w:p>
    <w:p w:rsidR="0058596E" w:rsidRPr="002070F1" w:rsidRDefault="0058596E" w:rsidP="0058596E">
      <w:pPr>
        <w:pStyle w:val="ListParagraph"/>
        <w:ind w:left="0"/>
        <w:jc w:val="both"/>
        <w:rPr>
          <w:lang w:val="fr-FR"/>
        </w:rPr>
      </w:pPr>
    </w:p>
    <w:p w:rsidR="0058596E" w:rsidRPr="002070F1" w:rsidRDefault="0058596E" w:rsidP="0058596E">
      <w:pPr>
        <w:pStyle w:val="ListParagraph"/>
        <w:widowControl w:val="0"/>
        <w:numPr>
          <w:ilvl w:val="0"/>
          <w:numId w:val="13"/>
        </w:numPr>
        <w:autoSpaceDE w:val="0"/>
        <w:autoSpaceDN w:val="0"/>
        <w:adjustRightInd w:val="0"/>
        <w:ind w:left="0" w:firstLine="0"/>
        <w:contextualSpacing/>
        <w:jc w:val="both"/>
        <w:rPr>
          <w:lang w:val="fr-FR"/>
        </w:rPr>
      </w:pPr>
      <w:r w:rsidRPr="002070F1">
        <w:rPr>
          <w:spacing w:val="-2"/>
          <w:lang w:val="fr-FR"/>
        </w:rPr>
        <w:t>Au cours de la 3</w:t>
      </w:r>
      <w:r w:rsidRPr="002070F1">
        <w:rPr>
          <w:spacing w:val="-2"/>
          <w:vertAlign w:val="superscript"/>
          <w:lang w:val="fr-FR"/>
        </w:rPr>
        <w:t>ème</w:t>
      </w:r>
      <w:r w:rsidRPr="002070F1">
        <w:rPr>
          <w:spacing w:val="-2"/>
          <w:lang w:val="fr-FR"/>
        </w:rPr>
        <w:t xml:space="preserve"> phase du projet, le consultant a rédigé </w:t>
      </w:r>
      <w:r>
        <w:rPr>
          <w:spacing w:val="-2"/>
          <w:lang w:val="fr-FR"/>
        </w:rPr>
        <w:t xml:space="preserve">un </w:t>
      </w:r>
      <w:proofErr w:type="spellStart"/>
      <w:r w:rsidRPr="002070F1">
        <w:rPr>
          <w:spacing w:val="-2"/>
          <w:lang w:val="fr-FR"/>
        </w:rPr>
        <w:t>avantprojet</w:t>
      </w:r>
      <w:proofErr w:type="spellEnd"/>
      <w:r w:rsidRPr="002070F1">
        <w:rPr>
          <w:spacing w:val="-2"/>
          <w:lang w:val="fr-FR"/>
        </w:rPr>
        <w:t xml:space="preserve"> du recueil de lignes directrices pour éviter ou atténuer les impacts du déploiement des technologies liées aux énergies renouvelables sur les espèces migratrices. Il </w:t>
      </w:r>
      <w:r>
        <w:rPr>
          <w:spacing w:val="-2"/>
          <w:lang w:val="fr-FR"/>
        </w:rPr>
        <w:t xml:space="preserve">a été </w:t>
      </w:r>
      <w:r w:rsidRPr="002070F1">
        <w:rPr>
          <w:spacing w:val="-2"/>
          <w:lang w:val="fr-FR"/>
        </w:rPr>
        <w:t xml:space="preserve"> soumis à la 18</w:t>
      </w:r>
      <w:r w:rsidRPr="002070F1">
        <w:rPr>
          <w:spacing w:val="-2"/>
          <w:vertAlign w:val="superscript"/>
          <w:lang w:val="fr-FR"/>
        </w:rPr>
        <w:t>ème</w:t>
      </w:r>
      <w:r w:rsidRPr="002070F1">
        <w:rPr>
          <w:spacing w:val="-2"/>
          <w:lang w:val="fr-FR"/>
        </w:rPr>
        <w:t xml:space="preserve"> réunion du Conseil scientifique en tant que document UNEP/CMS/ScC18/Doc.10.2.2.</w:t>
      </w:r>
      <w:r w:rsidRPr="00DC5E26">
        <w:rPr>
          <w:spacing w:val="-2"/>
          <w:lang w:val="fr-FR"/>
        </w:rPr>
        <w:t xml:space="preserve"> </w:t>
      </w:r>
      <w:r w:rsidRPr="002070F1">
        <w:rPr>
          <w:spacing w:val="-2"/>
          <w:lang w:val="fr-FR"/>
        </w:rPr>
        <w:t>pour examen</w:t>
      </w:r>
      <w:r>
        <w:rPr>
          <w:spacing w:val="-2"/>
          <w:lang w:val="fr-FR"/>
        </w:rPr>
        <w:t xml:space="preserve"> et </w:t>
      </w:r>
      <w:r>
        <w:rPr>
          <w:rStyle w:val="hps"/>
          <w:lang w:val="fr-FR"/>
        </w:rPr>
        <w:t>orientation</w:t>
      </w:r>
      <w:r>
        <w:rPr>
          <w:lang w:val="fr-FR"/>
        </w:rPr>
        <w:t xml:space="preserve"> </w:t>
      </w:r>
      <w:r>
        <w:rPr>
          <w:rStyle w:val="hps"/>
          <w:lang w:val="fr-FR"/>
        </w:rPr>
        <w:t>vers</w:t>
      </w:r>
      <w:r>
        <w:rPr>
          <w:lang w:val="fr-FR"/>
        </w:rPr>
        <w:t xml:space="preserve"> </w:t>
      </w:r>
      <w:r>
        <w:rPr>
          <w:rStyle w:val="hps"/>
          <w:lang w:val="fr-FR"/>
        </w:rPr>
        <w:t>la poursuite de leur</w:t>
      </w:r>
      <w:r>
        <w:rPr>
          <w:lang w:val="fr-FR"/>
        </w:rPr>
        <w:t xml:space="preserve"> </w:t>
      </w:r>
      <w:r>
        <w:rPr>
          <w:rStyle w:val="hps"/>
          <w:lang w:val="fr-FR"/>
        </w:rPr>
        <w:t>développement et de</w:t>
      </w:r>
      <w:r>
        <w:rPr>
          <w:lang w:val="fr-FR"/>
        </w:rPr>
        <w:t xml:space="preserve"> </w:t>
      </w:r>
      <w:r>
        <w:rPr>
          <w:rStyle w:val="hps"/>
          <w:lang w:val="fr-FR"/>
        </w:rPr>
        <w:t>mise au point</w:t>
      </w:r>
      <w:r>
        <w:rPr>
          <w:lang w:val="fr-FR"/>
        </w:rPr>
        <w:t xml:space="preserve">. </w:t>
      </w:r>
      <w:r>
        <w:rPr>
          <w:rStyle w:val="hps"/>
          <w:lang w:val="fr-FR"/>
        </w:rPr>
        <w:t>Au</w:t>
      </w:r>
      <w:r>
        <w:rPr>
          <w:lang w:val="fr-FR"/>
        </w:rPr>
        <w:t xml:space="preserve"> </w:t>
      </w:r>
      <w:r>
        <w:rPr>
          <w:rStyle w:val="hps"/>
          <w:lang w:val="fr-FR"/>
        </w:rPr>
        <w:t>moment de la rédaction</w:t>
      </w:r>
      <w:r>
        <w:rPr>
          <w:lang w:val="fr-FR"/>
        </w:rPr>
        <w:t xml:space="preserve">, </w:t>
      </w:r>
      <w:r>
        <w:rPr>
          <w:rStyle w:val="hps"/>
          <w:lang w:val="fr-FR"/>
        </w:rPr>
        <w:t>la version finale</w:t>
      </w:r>
      <w:r>
        <w:rPr>
          <w:lang w:val="fr-FR"/>
        </w:rPr>
        <w:t xml:space="preserve"> </w:t>
      </w:r>
      <w:r>
        <w:rPr>
          <w:rStyle w:val="hps"/>
          <w:lang w:val="fr-FR"/>
        </w:rPr>
        <w:t>de la compilation</w:t>
      </w:r>
      <w:r>
        <w:rPr>
          <w:lang w:val="fr-FR"/>
        </w:rPr>
        <w:t xml:space="preserve"> </w:t>
      </w:r>
      <w:r>
        <w:rPr>
          <w:rStyle w:val="hps"/>
          <w:lang w:val="fr-FR"/>
        </w:rPr>
        <w:t>est</w:t>
      </w:r>
      <w:r>
        <w:rPr>
          <w:lang w:val="fr-FR"/>
        </w:rPr>
        <w:t xml:space="preserve"> </w:t>
      </w:r>
      <w:r>
        <w:rPr>
          <w:rStyle w:val="hps"/>
          <w:lang w:val="fr-FR"/>
        </w:rPr>
        <w:t>en cours de finalisation</w:t>
      </w:r>
      <w:r>
        <w:rPr>
          <w:lang w:val="fr-FR"/>
        </w:rPr>
        <w:t xml:space="preserve"> </w:t>
      </w:r>
      <w:r>
        <w:rPr>
          <w:rStyle w:val="hps"/>
          <w:lang w:val="fr-FR"/>
        </w:rPr>
        <w:t>par le consultant et</w:t>
      </w:r>
      <w:r>
        <w:rPr>
          <w:lang w:val="fr-FR"/>
        </w:rPr>
        <w:t xml:space="preserve"> </w:t>
      </w:r>
      <w:r>
        <w:rPr>
          <w:rStyle w:val="hps"/>
          <w:lang w:val="fr-FR"/>
        </w:rPr>
        <w:t>devrait être</w:t>
      </w:r>
      <w:r>
        <w:rPr>
          <w:lang w:val="fr-FR"/>
        </w:rPr>
        <w:t xml:space="preserve"> </w:t>
      </w:r>
      <w:r>
        <w:rPr>
          <w:rStyle w:val="hps"/>
          <w:lang w:val="fr-FR"/>
        </w:rPr>
        <w:t>mis à disposition</w:t>
      </w:r>
      <w:r>
        <w:rPr>
          <w:lang w:val="fr-FR"/>
        </w:rPr>
        <w:t xml:space="preserve"> </w:t>
      </w:r>
      <w:r>
        <w:rPr>
          <w:rStyle w:val="hps"/>
          <w:lang w:val="fr-FR"/>
        </w:rPr>
        <w:t>à la COP11</w:t>
      </w:r>
      <w:r>
        <w:rPr>
          <w:lang w:val="fr-FR"/>
        </w:rPr>
        <w:t xml:space="preserve"> </w:t>
      </w:r>
      <w:r>
        <w:rPr>
          <w:rStyle w:val="hps"/>
          <w:lang w:val="fr-FR"/>
        </w:rPr>
        <w:t>dans le document PNUE</w:t>
      </w:r>
      <w:r w:rsidR="00BA3536">
        <w:rPr>
          <w:rStyle w:val="hps"/>
          <w:lang w:val="fr-FR"/>
        </w:rPr>
        <w:t>/CMS/</w:t>
      </w:r>
      <w:r>
        <w:rPr>
          <w:rStyle w:val="hps"/>
          <w:lang w:val="fr-FR"/>
        </w:rPr>
        <w:t>COP11/Doc.23.4.3.2</w:t>
      </w:r>
      <w:r>
        <w:rPr>
          <w:lang w:val="fr-FR"/>
        </w:rPr>
        <w:t>.</w:t>
      </w:r>
    </w:p>
    <w:p w:rsidR="0058596E" w:rsidRDefault="0058596E" w:rsidP="0058596E">
      <w:pPr>
        <w:pStyle w:val="ListParagraph"/>
        <w:ind w:left="0"/>
        <w:jc w:val="both"/>
        <w:rPr>
          <w:lang w:val="fr-FR"/>
        </w:rPr>
      </w:pPr>
    </w:p>
    <w:p w:rsidR="0058596E" w:rsidRDefault="0058596E" w:rsidP="0058596E">
      <w:pPr>
        <w:pStyle w:val="ListParagraph"/>
        <w:ind w:left="0"/>
        <w:jc w:val="both"/>
        <w:rPr>
          <w:lang w:val="fr-FR"/>
        </w:rPr>
      </w:pPr>
      <w:r>
        <w:rPr>
          <w:lang w:val="fr-FR"/>
        </w:rPr>
        <w:t>9.</w:t>
      </w:r>
      <w:r>
        <w:rPr>
          <w:lang w:val="fr-FR"/>
        </w:rPr>
        <w:tab/>
        <w:t>Un projet de résolution sur l’énergie renouvelable et les espèces migratrices a été également soumis pour examen au ScC18. Une version révisée du projet de résolution qui prend en compte les commentaires faits au cours du ScC18 est joint</w:t>
      </w:r>
      <w:r w:rsidR="00BA3536">
        <w:rPr>
          <w:lang w:val="fr-FR"/>
        </w:rPr>
        <w:t>e</w:t>
      </w:r>
      <w:r>
        <w:rPr>
          <w:lang w:val="fr-FR"/>
        </w:rPr>
        <w:t xml:space="preserve"> à cette note dans l’ANNEXE 1 pour examen à la COP11.</w:t>
      </w:r>
    </w:p>
    <w:p w:rsidR="00BA3536" w:rsidRPr="002070F1" w:rsidRDefault="00BA3536" w:rsidP="0058596E">
      <w:pPr>
        <w:pStyle w:val="ListParagraph"/>
        <w:ind w:left="0"/>
        <w:jc w:val="both"/>
        <w:rPr>
          <w:lang w:val="fr-FR"/>
        </w:rPr>
      </w:pPr>
    </w:p>
    <w:p w:rsidR="0058596E" w:rsidRPr="00DC5E26" w:rsidRDefault="0058596E" w:rsidP="0058596E">
      <w:pPr>
        <w:widowControl w:val="0"/>
        <w:autoSpaceDE w:val="0"/>
        <w:autoSpaceDN w:val="0"/>
        <w:adjustRightInd w:val="0"/>
        <w:contextualSpacing/>
        <w:jc w:val="both"/>
        <w:rPr>
          <w:lang w:val="fr-FR"/>
        </w:rPr>
      </w:pPr>
      <w:r>
        <w:rPr>
          <w:spacing w:val="-2"/>
          <w:lang w:val="fr-FR"/>
        </w:rPr>
        <w:t>10</w:t>
      </w:r>
      <w:r w:rsidR="00BA3536">
        <w:rPr>
          <w:spacing w:val="-2"/>
          <w:lang w:val="fr-FR"/>
        </w:rPr>
        <w:t>.</w:t>
      </w:r>
      <w:r w:rsidR="00BA3536">
        <w:rPr>
          <w:spacing w:val="-2"/>
          <w:lang w:val="fr-FR"/>
        </w:rPr>
        <w:tab/>
      </w:r>
      <w:r w:rsidRPr="00C502E8">
        <w:rPr>
          <w:spacing w:val="-2"/>
          <w:lang w:val="fr-FR"/>
        </w:rPr>
        <w:t>La mise en œuvre du projet « </w:t>
      </w:r>
      <w:r w:rsidRPr="00C502E8">
        <w:rPr>
          <w:i/>
          <w:spacing w:val="-2"/>
          <w:lang w:val="fr-FR"/>
        </w:rPr>
        <w:t>Déploiement des technologies liées aux énergies renouvelables et espèces migratrices</w:t>
      </w:r>
      <w:r w:rsidRPr="00C502E8">
        <w:rPr>
          <w:spacing w:val="-2"/>
          <w:lang w:val="fr-FR"/>
        </w:rPr>
        <w:t xml:space="preserve"> » a été rendue possible grâce aux contributions financières des Gouvernements de l’Allemagne et de la Norvège à travers les Secrétariats de la CMS et de l’AEWA, de </w:t>
      </w:r>
      <w:proofErr w:type="spellStart"/>
      <w:r w:rsidRPr="00C502E8">
        <w:rPr>
          <w:spacing w:val="-2"/>
          <w:lang w:val="fr-FR"/>
        </w:rPr>
        <w:t>BirdLife</w:t>
      </w:r>
      <w:proofErr w:type="spellEnd"/>
      <w:r w:rsidRPr="00C502E8">
        <w:rPr>
          <w:spacing w:val="-2"/>
          <w:lang w:val="fr-FR"/>
        </w:rPr>
        <w:t xml:space="preserve"> International à travers le projet PNUD/FEM sur les oiseaux planeurs migrateurs, ainsi que de l’IRENA.</w:t>
      </w:r>
    </w:p>
    <w:p w:rsidR="0058596E" w:rsidRPr="002070F1" w:rsidRDefault="0058596E" w:rsidP="0058596E">
      <w:pPr>
        <w:pStyle w:val="ListParagraph"/>
        <w:ind w:left="0"/>
        <w:jc w:val="both"/>
        <w:rPr>
          <w:lang w:val="fr-FR"/>
        </w:rPr>
      </w:pPr>
    </w:p>
    <w:p w:rsidR="0058596E" w:rsidRDefault="0058596E" w:rsidP="0058596E">
      <w:pPr>
        <w:pStyle w:val="ListParagraph"/>
        <w:ind w:left="0"/>
        <w:jc w:val="both"/>
        <w:rPr>
          <w:lang w:val="fr-FR"/>
        </w:rPr>
      </w:pPr>
    </w:p>
    <w:p w:rsidR="00BA3536" w:rsidRDefault="00BA3536" w:rsidP="0058596E">
      <w:pPr>
        <w:pStyle w:val="ListParagraph"/>
        <w:ind w:left="0"/>
        <w:jc w:val="both"/>
        <w:rPr>
          <w:lang w:val="fr-FR"/>
        </w:rPr>
      </w:pPr>
    </w:p>
    <w:p w:rsidR="00BA3536" w:rsidRDefault="00BA3536" w:rsidP="0058596E">
      <w:pPr>
        <w:pStyle w:val="ListParagraph"/>
        <w:ind w:left="0"/>
        <w:jc w:val="both"/>
        <w:rPr>
          <w:lang w:val="fr-FR"/>
        </w:rPr>
      </w:pPr>
    </w:p>
    <w:p w:rsidR="00BA3536" w:rsidRDefault="00BA3536" w:rsidP="0058596E">
      <w:pPr>
        <w:pStyle w:val="ListParagraph"/>
        <w:ind w:left="0"/>
        <w:jc w:val="both"/>
        <w:rPr>
          <w:lang w:val="fr-FR"/>
        </w:rPr>
      </w:pPr>
    </w:p>
    <w:p w:rsidR="00BA3536" w:rsidRDefault="00BA3536" w:rsidP="0058596E">
      <w:pPr>
        <w:pStyle w:val="ListParagraph"/>
        <w:ind w:left="0"/>
        <w:jc w:val="both"/>
        <w:rPr>
          <w:lang w:val="fr-FR"/>
        </w:rPr>
      </w:pPr>
    </w:p>
    <w:p w:rsidR="00BA3536" w:rsidRPr="002070F1" w:rsidRDefault="00BA3536" w:rsidP="0058596E">
      <w:pPr>
        <w:pStyle w:val="ListParagraph"/>
        <w:ind w:left="0"/>
        <w:jc w:val="both"/>
        <w:rPr>
          <w:lang w:val="fr-FR"/>
        </w:rPr>
      </w:pPr>
    </w:p>
    <w:p w:rsidR="0058596E" w:rsidRPr="002070F1" w:rsidRDefault="0058596E" w:rsidP="0058596E">
      <w:pPr>
        <w:contextualSpacing/>
        <w:jc w:val="both"/>
        <w:rPr>
          <w:b/>
          <w:i/>
          <w:u w:val="single"/>
          <w:lang w:val="fr-FR"/>
        </w:rPr>
      </w:pPr>
      <w:r w:rsidRPr="002070F1">
        <w:rPr>
          <w:b/>
          <w:i/>
          <w:u w:val="single"/>
          <w:lang w:val="fr-FR"/>
        </w:rPr>
        <w:lastRenderedPageBreak/>
        <w:t>Action requise :</w:t>
      </w:r>
    </w:p>
    <w:p w:rsidR="0058596E" w:rsidRPr="002070F1" w:rsidRDefault="0058596E" w:rsidP="0058596E">
      <w:pPr>
        <w:contextualSpacing/>
        <w:jc w:val="both"/>
        <w:rPr>
          <w:lang w:val="fr-FR"/>
        </w:rPr>
      </w:pPr>
    </w:p>
    <w:p w:rsidR="0058596E" w:rsidRPr="002070F1" w:rsidRDefault="0058596E" w:rsidP="0058596E">
      <w:pPr>
        <w:ind w:hanging="11"/>
        <w:contextualSpacing/>
        <w:jc w:val="both"/>
        <w:rPr>
          <w:lang w:val="fr-FR"/>
        </w:rPr>
      </w:pPr>
      <w:r>
        <w:rPr>
          <w:lang w:val="fr-FR"/>
        </w:rPr>
        <w:t xml:space="preserve">La Conférence des Parties </w:t>
      </w:r>
      <w:r w:rsidRPr="002070F1">
        <w:rPr>
          <w:lang w:val="fr-FR"/>
        </w:rPr>
        <w:t>est invité</w:t>
      </w:r>
      <w:r>
        <w:rPr>
          <w:lang w:val="fr-FR"/>
        </w:rPr>
        <w:t>e</w:t>
      </w:r>
      <w:r w:rsidRPr="002070F1">
        <w:rPr>
          <w:lang w:val="fr-FR"/>
        </w:rPr>
        <w:t xml:space="preserve"> à :</w:t>
      </w:r>
    </w:p>
    <w:p w:rsidR="0058596E" w:rsidRPr="002070F1" w:rsidRDefault="0058596E" w:rsidP="0058596E">
      <w:pPr>
        <w:jc w:val="both"/>
        <w:rPr>
          <w:lang w:val="fr-FR"/>
        </w:rPr>
      </w:pPr>
    </w:p>
    <w:p w:rsidR="0058596E" w:rsidRPr="002070F1" w:rsidRDefault="0058596E" w:rsidP="0058596E">
      <w:pPr>
        <w:pStyle w:val="ListParagraph"/>
        <w:numPr>
          <w:ilvl w:val="0"/>
          <w:numId w:val="6"/>
        </w:numPr>
        <w:ind w:left="709" w:hanging="709"/>
        <w:contextualSpacing/>
        <w:jc w:val="both"/>
        <w:rPr>
          <w:spacing w:val="-2"/>
          <w:lang w:val="fr-FR"/>
        </w:rPr>
      </w:pPr>
      <w:r w:rsidRPr="002070F1">
        <w:rPr>
          <w:spacing w:val="-2"/>
          <w:lang w:val="fr-FR"/>
        </w:rPr>
        <w:t xml:space="preserve">Prendre note de l’initiative conjointe entre les Secrétariats de la Convention sur la conservation des espèces migratrices appartenant à la faune sauvage (CMS) et de l’Accord sur la conservation des oiseaux d’eau migrateurs d’Afrique-Eurasie (AEWA), au nom de toute la Famille CMS, l’Agence internationale de l’énergie renouvelable (IRENA), et </w:t>
      </w:r>
      <w:proofErr w:type="spellStart"/>
      <w:r w:rsidRPr="002070F1">
        <w:rPr>
          <w:spacing w:val="-2"/>
          <w:lang w:val="fr-FR"/>
        </w:rPr>
        <w:t>BirdLife</w:t>
      </w:r>
      <w:proofErr w:type="spellEnd"/>
      <w:r w:rsidRPr="002070F1">
        <w:rPr>
          <w:spacing w:val="-2"/>
          <w:lang w:val="fr-FR"/>
        </w:rPr>
        <w:t xml:space="preserve"> International sur le déploiement des technologies liées aux énergies renouvelables et les espèces migratrices. </w:t>
      </w:r>
    </w:p>
    <w:p w:rsidR="0058596E" w:rsidRPr="002070F1" w:rsidRDefault="0058596E" w:rsidP="0058596E">
      <w:pPr>
        <w:pStyle w:val="ListParagraph"/>
        <w:ind w:left="709"/>
        <w:jc w:val="both"/>
        <w:rPr>
          <w:lang w:val="fr-FR"/>
        </w:rPr>
      </w:pPr>
    </w:p>
    <w:p w:rsidR="0058596E" w:rsidRPr="002070F1" w:rsidRDefault="0058596E" w:rsidP="0058596E">
      <w:pPr>
        <w:pStyle w:val="ListParagraph"/>
        <w:numPr>
          <w:ilvl w:val="0"/>
          <w:numId w:val="6"/>
        </w:numPr>
        <w:ind w:hanging="720"/>
        <w:contextualSpacing/>
        <w:jc w:val="both"/>
        <w:rPr>
          <w:lang w:val="fr-FR"/>
        </w:rPr>
      </w:pPr>
      <w:r w:rsidRPr="002070F1">
        <w:rPr>
          <w:spacing w:val="-2"/>
          <w:lang w:val="fr-FR"/>
        </w:rPr>
        <w:t xml:space="preserve">Prendre note </w:t>
      </w:r>
      <w:r>
        <w:rPr>
          <w:spacing w:val="-2"/>
          <w:lang w:val="fr-FR"/>
        </w:rPr>
        <w:t xml:space="preserve">du rapport « Déploiement des technologies liées aux énergies renouvelables et les espèces migratrices : synthèse </w:t>
      </w:r>
      <w:r w:rsidRPr="002070F1">
        <w:rPr>
          <w:spacing w:val="-2"/>
          <w:lang w:val="fr-FR"/>
        </w:rPr>
        <w:t xml:space="preserve"> (UNEP/CMS/</w:t>
      </w:r>
      <w:r w:rsidRPr="002070F1" w:rsidDel="001F2477">
        <w:rPr>
          <w:spacing w:val="-2"/>
          <w:lang w:val="fr-FR"/>
        </w:rPr>
        <w:t xml:space="preserve"> </w:t>
      </w:r>
      <w:r>
        <w:rPr>
          <w:spacing w:val="-2"/>
          <w:lang w:val="fr-FR"/>
        </w:rPr>
        <w:t>COP11</w:t>
      </w:r>
      <w:r w:rsidRPr="002070F1">
        <w:rPr>
          <w:spacing w:val="-2"/>
          <w:lang w:val="fr-FR"/>
        </w:rPr>
        <w:t>/Inf.</w:t>
      </w:r>
      <w:r>
        <w:rPr>
          <w:spacing w:val="-2"/>
          <w:lang w:val="fr-FR"/>
        </w:rPr>
        <w:t>26</w:t>
      </w:r>
      <w:r w:rsidR="00BA3536">
        <w:rPr>
          <w:spacing w:val="-2"/>
          <w:lang w:val="fr-FR"/>
        </w:rPr>
        <w:t>)</w:t>
      </w:r>
      <w:r w:rsidRPr="002070F1">
        <w:rPr>
          <w:spacing w:val="-2"/>
          <w:lang w:val="fr-FR"/>
        </w:rPr>
        <w:t xml:space="preserve">. </w:t>
      </w:r>
    </w:p>
    <w:p w:rsidR="0058596E" w:rsidRPr="002070F1" w:rsidRDefault="0058596E" w:rsidP="0058596E">
      <w:pPr>
        <w:pStyle w:val="ListParagraph"/>
        <w:ind w:left="0"/>
        <w:jc w:val="both"/>
        <w:rPr>
          <w:sz w:val="16"/>
          <w:szCs w:val="16"/>
          <w:lang w:val="fr-FR"/>
        </w:rPr>
      </w:pPr>
    </w:p>
    <w:p w:rsidR="0058596E" w:rsidRPr="002070F1" w:rsidRDefault="0058596E" w:rsidP="0058596E">
      <w:pPr>
        <w:pStyle w:val="ListParagraph"/>
        <w:numPr>
          <w:ilvl w:val="0"/>
          <w:numId w:val="6"/>
        </w:numPr>
        <w:ind w:hanging="720"/>
        <w:contextualSpacing/>
        <w:jc w:val="both"/>
        <w:rPr>
          <w:lang w:val="fr-FR"/>
        </w:rPr>
      </w:pPr>
      <w:r w:rsidRPr="002070F1">
        <w:rPr>
          <w:spacing w:val="-2"/>
          <w:lang w:val="fr-FR"/>
        </w:rPr>
        <w:t xml:space="preserve">Examiner </w:t>
      </w:r>
      <w:r>
        <w:rPr>
          <w:spacing w:val="-2"/>
          <w:lang w:val="fr-FR"/>
        </w:rPr>
        <w:t>et approuver le</w:t>
      </w:r>
      <w:r w:rsidR="00BA3536">
        <w:rPr>
          <w:spacing w:val="-2"/>
          <w:lang w:val="fr-FR"/>
        </w:rPr>
        <w:t xml:space="preserve"> </w:t>
      </w:r>
      <w:r>
        <w:rPr>
          <w:spacing w:val="-2"/>
          <w:lang w:val="fr-FR"/>
        </w:rPr>
        <w:t xml:space="preserve">document </w:t>
      </w:r>
      <w:r w:rsidRPr="002070F1">
        <w:rPr>
          <w:spacing w:val="-2"/>
          <w:lang w:val="fr-FR"/>
        </w:rPr>
        <w:t>de lignes directrices intitulé « </w:t>
      </w:r>
      <w:r w:rsidRPr="002070F1">
        <w:rPr>
          <w:i/>
          <w:spacing w:val="-2"/>
          <w:lang w:val="fr-FR"/>
        </w:rPr>
        <w:t>Technologies</w:t>
      </w:r>
      <w:r>
        <w:rPr>
          <w:i/>
          <w:spacing w:val="-2"/>
          <w:lang w:val="fr-FR"/>
        </w:rPr>
        <w:t xml:space="preserve"> </w:t>
      </w:r>
      <w:r w:rsidRPr="002070F1">
        <w:rPr>
          <w:i/>
          <w:spacing w:val="-2"/>
          <w:lang w:val="fr-FR"/>
        </w:rPr>
        <w:t>liées aux énergies renouvelables et espèces migratrices : Lignes directrices pour un déploiement durable</w:t>
      </w:r>
      <w:r w:rsidRPr="002070F1">
        <w:rPr>
          <w:spacing w:val="-2"/>
          <w:lang w:val="fr-FR"/>
        </w:rPr>
        <w:t> »,  (P</w:t>
      </w:r>
      <w:r>
        <w:rPr>
          <w:spacing w:val="-2"/>
          <w:lang w:val="fr-FR"/>
        </w:rPr>
        <w:t>NUE</w:t>
      </w:r>
      <w:r w:rsidRPr="002070F1">
        <w:rPr>
          <w:spacing w:val="-2"/>
          <w:lang w:val="fr-FR"/>
        </w:rPr>
        <w:t>/CMS/</w:t>
      </w:r>
      <w:r>
        <w:rPr>
          <w:spacing w:val="-2"/>
          <w:lang w:val="fr-FR"/>
        </w:rPr>
        <w:t>COP11</w:t>
      </w:r>
      <w:r w:rsidRPr="002070F1">
        <w:rPr>
          <w:spacing w:val="-2"/>
          <w:lang w:val="fr-FR"/>
        </w:rPr>
        <w:t>/Doc</w:t>
      </w:r>
      <w:r>
        <w:rPr>
          <w:spacing w:val="-2"/>
          <w:lang w:val="fr-FR"/>
        </w:rPr>
        <w:t>.23.4.3.2</w:t>
      </w:r>
      <w:r w:rsidRPr="002070F1">
        <w:rPr>
          <w:spacing w:val="-2"/>
          <w:lang w:val="fr-FR"/>
        </w:rPr>
        <w:t>).</w:t>
      </w:r>
    </w:p>
    <w:p w:rsidR="0058596E" w:rsidRPr="002070F1" w:rsidRDefault="0058596E" w:rsidP="0058596E">
      <w:pPr>
        <w:pStyle w:val="ListParagraph"/>
        <w:ind w:left="0"/>
        <w:jc w:val="both"/>
        <w:rPr>
          <w:sz w:val="16"/>
          <w:szCs w:val="16"/>
          <w:lang w:val="fr-FR"/>
        </w:rPr>
      </w:pPr>
    </w:p>
    <w:p w:rsidR="0058596E" w:rsidRPr="002070F1" w:rsidRDefault="0058596E" w:rsidP="0058596E">
      <w:pPr>
        <w:pStyle w:val="ListParagraph"/>
        <w:numPr>
          <w:ilvl w:val="0"/>
          <w:numId w:val="6"/>
        </w:numPr>
        <w:ind w:left="709" w:hanging="709"/>
        <w:contextualSpacing/>
        <w:jc w:val="both"/>
        <w:rPr>
          <w:lang w:val="fr-FR"/>
        </w:rPr>
      </w:pPr>
      <w:r w:rsidRPr="002070F1">
        <w:rPr>
          <w:spacing w:val="-2"/>
          <w:lang w:val="fr-FR"/>
        </w:rPr>
        <w:t xml:space="preserve">Examiner </w:t>
      </w:r>
      <w:r>
        <w:rPr>
          <w:spacing w:val="-2"/>
          <w:lang w:val="fr-FR"/>
        </w:rPr>
        <w:t xml:space="preserve">et adopter le </w:t>
      </w:r>
      <w:r w:rsidRPr="002070F1">
        <w:rPr>
          <w:spacing w:val="-2"/>
          <w:lang w:val="fr-FR"/>
        </w:rPr>
        <w:t>projet de résolution sur les énergies renouvelables et les espèces migratrices annexé à la présente note (</w:t>
      </w:r>
      <w:r>
        <w:rPr>
          <w:spacing w:val="-2"/>
          <w:lang w:val="fr-FR"/>
        </w:rPr>
        <w:t>ANNEXE</w:t>
      </w:r>
      <w:r w:rsidRPr="002070F1">
        <w:rPr>
          <w:spacing w:val="-2"/>
          <w:lang w:val="fr-FR"/>
        </w:rPr>
        <w:t xml:space="preserve"> 1).</w:t>
      </w:r>
    </w:p>
    <w:p w:rsidR="0058596E" w:rsidRPr="002070F1" w:rsidRDefault="0058596E" w:rsidP="0058596E">
      <w:pPr>
        <w:pStyle w:val="ListParagraph"/>
        <w:jc w:val="both"/>
        <w:rPr>
          <w:lang w:val="fr-FR"/>
        </w:rPr>
      </w:pPr>
    </w:p>
    <w:p w:rsidR="0058596E" w:rsidRPr="002070F1" w:rsidRDefault="0058596E" w:rsidP="0058596E">
      <w:pPr>
        <w:pStyle w:val="ListParagraph"/>
        <w:ind w:left="0"/>
        <w:jc w:val="both"/>
        <w:rPr>
          <w:lang w:val="fr-FR"/>
        </w:rPr>
        <w:sectPr w:rsidR="0058596E" w:rsidRPr="002070F1" w:rsidSect="00AE7B21">
          <w:headerReference w:type="even" r:id="rId18"/>
          <w:headerReference w:type="default" r:id="rId19"/>
          <w:headerReference w:type="first" r:id="rId20"/>
          <w:footerReference w:type="first" r:id="rId21"/>
          <w:endnotePr>
            <w:numFmt w:val="decimal"/>
          </w:endnotePr>
          <w:pgSz w:w="11905" w:h="16837" w:code="9"/>
          <w:pgMar w:top="1418" w:right="1418" w:bottom="1418" w:left="1418" w:header="510" w:footer="510" w:gutter="0"/>
          <w:cols w:space="720"/>
          <w:noEndnote/>
          <w:titlePg/>
        </w:sectPr>
      </w:pPr>
    </w:p>
    <w:p w:rsidR="0058596E" w:rsidRPr="002070F1" w:rsidRDefault="0058596E" w:rsidP="0058596E">
      <w:pPr>
        <w:pStyle w:val="ListParagraph"/>
        <w:ind w:left="0"/>
        <w:jc w:val="right"/>
        <w:rPr>
          <w:b/>
          <w:lang w:val="fr-FR"/>
        </w:rPr>
      </w:pPr>
      <w:r w:rsidRPr="002070F1">
        <w:rPr>
          <w:b/>
          <w:lang w:val="fr-FR"/>
        </w:rPr>
        <w:lastRenderedPageBreak/>
        <w:t>ANNEXE 1</w:t>
      </w:r>
    </w:p>
    <w:p w:rsidR="0058596E" w:rsidRPr="002070F1" w:rsidRDefault="0058596E" w:rsidP="0058596E">
      <w:pPr>
        <w:pStyle w:val="Heading2"/>
        <w:keepNext w:val="0"/>
        <w:jc w:val="center"/>
        <w:rPr>
          <w:bCs w:val="0"/>
          <w:caps/>
          <w:color w:val="000000"/>
          <w:sz w:val="24"/>
          <w:lang w:val="fr-FR"/>
        </w:rPr>
      </w:pPr>
    </w:p>
    <w:p w:rsidR="0058596E" w:rsidRPr="002070F1" w:rsidRDefault="0058596E" w:rsidP="0058596E">
      <w:pPr>
        <w:pStyle w:val="Heading2"/>
        <w:jc w:val="center"/>
        <w:rPr>
          <w:bCs w:val="0"/>
          <w:caps/>
          <w:color w:val="000000"/>
          <w:sz w:val="24"/>
          <w:lang w:val="fr-FR"/>
        </w:rPr>
      </w:pPr>
      <w:r w:rsidRPr="002070F1">
        <w:rPr>
          <w:bCs w:val="0"/>
          <w:caps/>
          <w:color w:val="000000"/>
          <w:sz w:val="24"/>
          <w:lang w:val="fr-FR"/>
        </w:rPr>
        <w:t>PROJET DE RÉSOLUTION</w:t>
      </w:r>
    </w:p>
    <w:p w:rsidR="0058596E" w:rsidRPr="002070F1" w:rsidRDefault="0058596E" w:rsidP="0058596E">
      <w:pPr>
        <w:pStyle w:val="Heading2"/>
        <w:jc w:val="center"/>
        <w:rPr>
          <w:bCs w:val="0"/>
          <w:caps/>
          <w:color w:val="000000"/>
          <w:sz w:val="24"/>
          <w:lang w:val="fr-FR"/>
        </w:rPr>
      </w:pPr>
    </w:p>
    <w:p w:rsidR="0058596E" w:rsidRPr="002070F1" w:rsidRDefault="0058596E" w:rsidP="0058596E">
      <w:pPr>
        <w:pStyle w:val="Heading2"/>
        <w:keepNext w:val="0"/>
        <w:jc w:val="center"/>
        <w:rPr>
          <w:bCs w:val="0"/>
          <w:caps/>
          <w:color w:val="000000"/>
          <w:sz w:val="24"/>
          <w:lang w:val="fr-FR"/>
        </w:rPr>
      </w:pPr>
      <w:r>
        <w:rPr>
          <w:bCs w:val="0"/>
          <w:caps/>
          <w:color w:val="000000"/>
          <w:sz w:val="24"/>
          <w:lang w:val="fr-FR"/>
        </w:rPr>
        <w:t>É</w:t>
      </w:r>
      <w:r w:rsidRPr="002070F1">
        <w:rPr>
          <w:bCs w:val="0"/>
          <w:caps/>
          <w:color w:val="000000"/>
          <w:sz w:val="24"/>
          <w:lang w:val="fr-FR"/>
        </w:rPr>
        <w:t>NERGIE RENOUVELABLE ET ESPÈCES MIGRATRICES</w:t>
      </w:r>
    </w:p>
    <w:p w:rsidR="0058596E" w:rsidRPr="002070F1" w:rsidRDefault="0058596E" w:rsidP="0058596E">
      <w:pPr>
        <w:jc w:val="both"/>
        <w:rPr>
          <w:color w:val="000000"/>
          <w:lang w:val="fr-FR"/>
        </w:rPr>
      </w:pPr>
    </w:p>
    <w:p w:rsidR="0058596E" w:rsidRPr="002070F1" w:rsidRDefault="0058596E" w:rsidP="0058596E">
      <w:pPr>
        <w:jc w:val="both"/>
        <w:rPr>
          <w:i/>
          <w:color w:val="000000"/>
          <w:lang w:val="fr-FR"/>
        </w:rPr>
      </w:pPr>
    </w:p>
    <w:p w:rsidR="0058596E" w:rsidRPr="002070F1" w:rsidRDefault="0058596E" w:rsidP="0058596E">
      <w:pPr>
        <w:ind w:firstLine="720"/>
        <w:jc w:val="both"/>
        <w:rPr>
          <w:spacing w:val="-2"/>
          <w:lang w:val="fr-FR"/>
        </w:rPr>
      </w:pPr>
      <w:r w:rsidRPr="002070F1">
        <w:rPr>
          <w:i/>
          <w:spacing w:val="-2"/>
          <w:lang w:val="fr-FR"/>
        </w:rPr>
        <w:t>Reconnaissant</w:t>
      </w:r>
      <w:r w:rsidRPr="002070F1">
        <w:rPr>
          <w:spacing w:val="-2"/>
          <w:lang w:val="fr-FR"/>
        </w:rPr>
        <w:t xml:space="preserve"> qu’un approvisionnement énergétique suffisant et stable est important pour la société, et que les sources d’énergies renouvelables peuvent y contribuer de manière significative, et </w:t>
      </w:r>
      <w:r w:rsidRPr="002070F1">
        <w:rPr>
          <w:i/>
          <w:spacing w:val="-2"/>
          <w:lang w:val="fr-FR"/>
        </w:rPr>
        <w:t>consciente</w:t>
      </w:r>
      <w:r w:rsidRPr="002070F1">
        <w:rPr>
          <w:spacing w:val="-2"/>
          <w:lang w:val="fr-FR"/>
        </w:rPr>
        <w:t xml:space="preserve"> que l’Agence internationale de l’énergie a prévu que la production d’énergie renouvelable, et notamment d’énergie éolienne, d’énergie produite par les grandes centrales de panneaux solaires et par la biomasse, triple d’ici à 2035 ;</w:t>
      </w:r>
    </w:p>
    <w:p w:rsidR="0058596E" w:rsidRPr="002070F1" w:rsidRDefault="0058596E" w:rsidP="0058596E">
      <w:pPr>
        <w:ind w:firstLine="720"/>
        <w:jc w:val="both"/>
        <w:rPr>
          <w:color w:val="000000"/>
          <w:lang w:val="fr-FR"/>
        </w:rPr>
      </w:pPr>
    </w:p>
    <w:p w:rsidR="0058596E" w:rsidRPr="002070F1" w:rsidRDefault="0058596E" w:rsidP="0058596E">
      <w:pPr>
        <w:ind w:firstLine="720"/>
        <w:jc w:val="both"/>
        <w:rPr>
          <w:spacing w:val="-2"/>
          <w:lang w:val="fr-FR"/>
        </w:rPr>
      </w:pPr>
      <w:r w:rsidRPr="002070F1">
        <w:rPr>
          <w:i/>
          <w:spacing w:val="-2"/>
          <w:lang w:val="fr-FR"/>
        </w:rPr>
        <w:t>Reconnaissant</w:t>
      </w:r>
      <w:r w:rsidRPr="002070F1">
        <w:rPr>
          <w:spacing w:val="-2"/>
          <w:lang w:val="fr-FR"/>
        </w:rPr>
        <w:t xml:space="preserve"> que l’utilisation accrue des technologies d’exploitation des énergies renouvelables peut potentiellement affecter de nombreuses espèces migratrices couvertes par la CMS et par d’autres cadres juridiques, et </w:t>
      </w:r>
      <w:r w:rsidRPr="002070F1">
        <w:rPr>
          <w:i/>
          <w:spacing w:val="-2"/>
          <w:lang w:val="fr-FR"/>
        </w:rPr>
        <w:t>préoccupée</w:t>
      </w:r>
      <w:r w:rsidRPr="002070F1">
        <w:rPr>
          <w:spacing w:val="-2"/>
          <w:lang w:val="fr-FR"/>
        </w:rPr>
        <w:t xml:space="preserve"> par les effets cumulatifs de telles technologies sur les déplacements des espèces migratrices, leur capacité à utiliser les haltes migratoires essentielles, la perte et la fragmentation de leurs habitats, et leur mortalité due aux collisions avec de nouvelles infrastructures ;</w:t>
      </w:r>
    </w:p>
    <w:p w:rsidR="0058596E" w:rsidRPr="002070F1" w:rsidRDefault="0058596E" w:rsidP="0058596E">
      <w:pPr>
        <w:ind w:firstLine="720"/>
        <w:jc w:val="both"/>
        <w:rPr>
          <w:color w:val="000000"/>
          <w:lang w:val="fr-FR"/>
        </w:rPr>
      </w:pPr>
    </w:p>
    <w:p w:rsidR="0058596E" w:rsidRPr="002070F1" w:rsidRDefault="0058596E" w:rsidP="0058596E">
      <w:pPr>
        <w:ind w:firstLine="720"/>
        <w:jc w:val="both"/>
        <w:rPr>
          <w:spacing w:val="-2"/>
          <w:lang w:val="fr-FR"/>
        </w:rPr>
      </w:pPr>
      <w:r w:rsidRPr="002070F1">
        <w:rPr>
          <w:i/>
          <w:spacing w:val="-2"/>
          <w:lang w:val="fr-FR"/>
        </w:rPr>
        <w:t>Rappelant</w:t>
      </w:r>
      <w:r w:rsidRPr="002070F1">
        <w:rPr>
          <w:spacing w:val="-2"/>
          <w:lang w:val="fr-FR"/>
        </w:rPr>
        <w:t xml:space="preserve"> l’article III 4 (b) de la Convention qui demande aux Parties de s’efforcer, entre autres actions, « de prévenir, d'éliminer, de compenser ou de minimiser, lorsque cela est approprié, les effets négatifs des activités ou des obstacles qui constituent une gêne sérieuse à la migration de ladite espèce ou qui rendent cette migration impossible », et </w:t>
      </w:r>
      <w:r w:rsidRPr="002070F1">
        <w:rPr>
          <w:i/>
          <w:spacing w:val="-2"/>
          <w:lang w:val="fr-FR"/>
        </w:rPr>
        <w:t>notant</w:t>
      </w:r>
      <w:r w:rsidRPr="002070F1">
        <w:rPr>
          <w:spacing w:val="-2"/>
          <w:lang w:val="fr-FR"/>
        </w:rPr>
        <w:t xml:space="preserve"> la pertinence de cette obligation en ce qui concerne le développement des énergies renouvelables, notamment car les effets néfastes des technologies liées aux énergies renouvelables peuvent être considérablement réduits grâce à une sélection des sites et une planification rigoureuses, à des évaluations d’impact environnemental approfondies (EIE), et à un bon suivi post-construction permettant de tirer les enseignements des expériences ;</w:t>
      </w:r>
    </w:p>
    <w:p w:rsidR="0058596E" w:rsidRPr="002070F1" w:rsidRDefault="0058596E" w:rsidP="0058596E">
      <w:pPr>
        <w:ind w:firstLine="720"/>
        <w:jc w:val="both"/>
        <w:rPr>
          <w:color w:val="000000"/>
          <w:lang w:val="fr-FR"/>
        </w:rPr>
      </w:pPr>
    </w:p>
    <w:p w:rsidR="0058596E" w:rsidRPr="002070F1" w:rsidRDefault="0058596E" w:rsidP="0058596E">
      <w:pPr>
        <w:ind w:firstLine="720"/>
        <w:jc w:val="both"/>
        <w:rPr>
          <w:spacing w:val="-2"/>
          <w:lang w:val="fr-FR"/>
        </w:rPr>
      </w:pPr>
      <w:r>
        <w:rPr>
          <w:i/>
          <w:spacing w:val="-2"/>
          <w:lang w:val="fr-FR"/>
        </w:rPr>
        <w:t>Rappelant également</w:t>
      </w:r>
      <w:r w:rsidR="00BA3536">
        <w:rPr>
          <w:i/>
          <w:spacing w:val="-2"/>
          <w:lang w:val="fr-FR"/>
        </w:rPr>
        <w:t xml:space="preserve"> </w:t>
      </w:r>
      <w:r>
        <w:rPr>
          <w:spacing w:val="-2"/>
          <w:lang w:val="fr-FR"/>
        </w:rPr>
        <w:t>l</w:t>
      </w:r>
      <w:r w:rsidRPr="002070F1">
        <w:rPr>
          <w:spacing w:val="-2"/>
          <w:lang w:val="fr-FR"/>
        </w:rPr>
        <w:t xml:space="preserve">es décisions </w:t>
      </w:r>
      <w:r>
        <w:rPr>
          <w:spacing w:val="-2"/>
          <w:lang w:val="fr-FR"/>
        </w:rPr>
        <w:t xml:space="preserve">antérieures </w:t>
      </w:r>
      <w:r w:rsidRPr="002070F1">
        <w:rPr>
          <w:spacing w:val="-2"/>
          <w:lang w:val="fr-FR"/>
        </w:rPr>
        <w:t xml:space="preserve">prises par la CMS </w:t>
      </w:r>
      <w:r>
        <w:rPr>
          <w:spacing w:val="-2"/>
          <w:lang w:val="fr-FR"/>
        </w:rPr>
        <w:t xml:space="preserve">et </w:t>
      </w:r>
      <w:r w:rsidRPr="00BA3536">
        <w:rPr>
          <w:spacing w:val="-2"/>
          <w:lang w:val="fr-FR"/>
        </w:rPr>
        <w:t>consciente</w:t>
      </w:r>
      <w:r>
        <w:rPr>
          <w:spacing w:val="-2"/>
          <w:lang w:val="fr-FR"/>
        </w:rPr>
        <w:t xml:space="preserve"> de celles </w:t>
      </w:r>
      <w:r w:rsidRPr="002070F1">
        <w:rPr>
          <w:spacing w:val="-2"/>
          <w:lang w:val="fr-FR"/>
        </w:rPr>
        <w:t>d’autres AEM, y compris les Accords de la CMS, ainsi que des lignes directrices pertinentes, sur la conciliation entre le développement des énergies renouvelables et la conservation des espèces migratrices, incluant notamment :</w:t>
      </w:r>
    </w:p>
    <w:p w:rsidR="0058596E" w:rsidRPr="002070F1" w:rsidRDefault="0058596E" w:rsidP="0058596E">
      <w:pPr>
        <w:jc w:val="both"/>
        <w:rPr>
          <w:lang w:val="fr-FR"/>
        </w:rPr>
      </w:pPr>
    </w:p>
    <w:p w:rsidR="0058596E" w:rsidRPr="002070F1"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t>La résolution 7.5 de la CMS « </w:t>
      </w:r>
      <w:r w:rsidRPr="002070F1">
        <w:rPr>
          <w:i/>
          <w:spacing w:val="-2"/>
          <w:lang w:val="fr-FR"/>
        </w:rPr>
        <w:t>Éoliennes et espèces migratrices</w:t>
      </w:r>
      <w:r w:rsidRPr="002070F1">
        <w:rPr>
          <w:spacing w:val="-2"/>
          <w:lang w:val="fr-FR"/>
        </w:rPr>
        <w:t> » ;</w:t>
      </w:r>
    </w:p>
    <w:p w:rsidR="0058596E" w:rsidRPr="002070F1"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t>La résolution 10.19 de la CMS « </w:t>
      </w:r>
      <w:r w:rsidRPr="002070F1">
        <w:rPr>
          <w:i/>
          <w:spacing w:val="-2"/>
          <w:lang w:val="fr-FR"/>
        </w:rPr>
        <w:t>Conservation des espèces migratrices à la lumière du changement climatique</w:t>
      </w:r>
      <w:r w:rsidRPr="002070F1">
        <w:rPr>
          <w:spacing w:val="-2"/>
          <w:lang w:val="fr-FR"/>
        </w:rPr>
        <w:t> » ;</w:t>
      </w:r>
    </w:p>
    <w:p w:rsidR="0058596E" w:rsidRPr="002070F1"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t>La résolution 10.24 de la CMS « </w:t>
      </w:r>
      <w:r w:rsidRPr="002070F1">
        <w:rPr>
          <w:i/>
          <w:spacing w:val="-2"/>
          <w:lang w:val="fr-FR"/>
        </w:rPr>
        <w:t>Nouvelles mesures visant à réduire la pollution acoustique sous-marine pour la protection des cétacés et autres espèces migratrices</w:t>
      </w:r>
      <w:r w:rsidRPr="002070F1">
        <w:rPr>
          <w:spacing w:val="-2"/>
          <w:lang w:val="fr-FR"/>
        </w:rPr>
        <w:t> » ;</w:t>
      </w:r>
    </w:p>
    <w:p w:rsidR="0058596E"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t>La résolution 6.2 de l’ASCOBANS « </w:t>
      </w:r>
      <w:r w:rsidRPr="002070F1">
        <w:rPr>
          <w:i/>
          <w:spacing w:val="-2"/>
          <w:lang w:val="fr-FR"/>
        </w:rPr>
        <w:t xml:space="preserve">Adverse </w:t>
      </w:r>
      <w:proofErr w:type="spellStart"/>
      <w:r w:rsidRPr="002070F1">
        <w:rPr>
          <w:i/>
          <w:spacing w:val="-2"/>
          <w:lang w:val="fr-FR"/>
        </w:rPr>
        <w:t>Effects</w:t>
      </w:r>
      <w:proofErr w:type="spellEnd"/>
      <w:r w:rsidRPr="002070F1">
        <w:rPr>
          <w:i/>
          <w:spacing w:val="-2"/>
          <w:lang w:val="fr-FR"/>
        </w:rPr>
        <w:t xml:space="preserve"> of </w:t>
      </w:r>
      <w:proofErr w:type="spellStart"/>
      <w:r w:rsidRPr="002070F1">
        <w:rPr>
          <w:i/>
          <w:spacing w:val="-2"/>
          <w:lang w:val="fr-FR"/>
        </w:rPr>
        <w:t>Underwater</w:t>
      </w:r>
      <w:proofErr w:type="spellEnd"/>
      <w:r w:rsidRPr="002070F1">
        <w:rPr>
          <w:i/>
          <w:spacing w:val="-2"/>
          <w:lang w:val="fr-FR"/>
        </w:rPr>
        <w:t xml:space="preserve"> Noise on Marine </w:t>
      </w:r>
      <w:proofErr w:type="spellStart"/>
      <w:r w:rsidRPr="002070F1">
        <w:rPr>
          <w:i/>
          <w:spacing w:val="-2"/>
          <w:lang w:val="fr-FR"/>
        </w:rPr>
        <w:t>Mammals</w:t>
      </w:r>
      <w:proofErr w:type="spellEnd"/>
      <w:r w:rsidRPr="002070F1">
        <w:rPr>
          <w:i/>
          <w:spacing w:val="-2"/>
          <w:lang w:val="fr-FR"/>
        </w:rPr>
        <w:t xml:space="preserve"> </w:t>
      </w:r>
      <w:proofErr w:type="spellStart"/>
      <w:r w:rsidRPr="002070F1">
        <w:rPr>
          <w:i/>
          <w:spacing w:val="-2"/>
          <w:lang w:val="fr-FR"/>
        </w:rPr>
        <w:t>during</w:t>
      </w:r>
      <w:proofErr w:type="spellEnd"/>
      <w:r w:rsidRPr="002070F1">
        <w:rPr>
          <w:i/>
          <w:spacing w:val="-2"/>
          <w:lang w:val="fr-FR"/>
        </w:rPr>
        <w:t xml:space="preserve"> Offshore Construction </w:t>
      </w:r>
      <w:proofErr w:type="spellStart"/>
      <w:r w:rsidRPr="002070F1">
        <w:rPr>
          <w:i/>
          <w:spacing w:val="-2"/>
          <w:lang w:val="fr-FR"/>
        </w:rPr>
        <w:t>Activities</w:t>
      </w:r>
      <w:proofErr w:type="spellEnd"/>
      <w:r w:rsidRPr="002070F1">
        <w:rPr>
          <w:i/>
          <w:spacing w:val="-2"/>
          <w:lang w:val="fr-FR"/>
        </w:rPr>
        <w:t xml:space="preserve"> for </w:t>
      </w:r>
      <w:proofErr w:type="spellStart"/>
      <w:r w:rsidRPr="002070F1">
        <w:rPr>
          <w:i/>
          <w:spacing w:val="-2"/>
          <w:lang w:val="fr-FR"/>
        </w:rPr>
        <w:t>Renewable</w:t>
      </w:r>
      <w:proofErr w:type="spellEnd"/>
      <w:r w:rsidRPr="002070F1">
        <w:rPr>
          <w:i/>
          <w:spacing w:val="-2"/>
          <w:lang w:val="fr-FR"/>
        </w:rPr>
        <w:t xml:space="preserve"> </w:t>
      </w:r>
      <w:proofErr w:type="spellStart"/>
      <w:r w:rsidRPr="002070F1">
        <w:rPr>
          <w:i/>
          <w:spacing w:val="-2"/>
          <w:lang w:val="fr-FR"/>
        </w:rPr>
        <w:t>Energy</w:t>
      </w:r>
      <w:proofErr w:type="spellEnd"/>
      <w:r w:rsidRPr="002070F1">
        <w:rPr>
          <w:i/>
          <w:spacing w:val="-2"/>
          <w:lang w:val="fr-FR"/>
        </w:rPr>
        <w:t xml:space="preserve"> Production</w:t>
      </w:r>
      <w:r w:rsidRPr="002070F1">
        <w:rPr>
          <w:spacing w:val="-2"/>
          <w:lang w:val="fr-FR"/>
        </w:rPr>
        <w:t xml:space="preserve"> (Effets indésirables du bruit sous-marin sur les mammifères marins au cours des activités de construction offshore pour la production d’énergie renouvelable) ;</w:t>
      </w:r>
    </w:p>
    <w:p w:rsidR="00BA3536" w:rsidRPr="00BA3536" w:rsidRDefault="0058596E" w:rsidP="0058596E">
      <w:pPr>
        <w:widowControl w:val="0"/>
        <w:numPr>
          <w:ilvl w:val="0"/>
          <w:numId w:val="14"/>
        </w:numPr>
        <w:autoSpaceDE w:val="0"/>
        <w:autoSpaceDN w:val="0"/>
        <w:adjustRightInd w:val="0"/>
        <w:ind w:left="709" w:hanging="709"/>
        <w:contextualSpacing/>
        <w:jc w:val="both"/>
        <w:rPr>
          <w:spacing w:val="-2"/>
          <w:lang w:val="fr-FR"/>
        </w:rPr>
      </w:pPr>
      <w:r w:rsidRPr="009E74BF">
        <w:rPr>
          <w:spacing w:val="-2"/>
          <w:lang w:val="fr-FR"/>
        </w:rPr>
        <w:t>La résolution 4.17 de l’</w:t>
      </w:r>
      <w:r w:rsidRPr="008D5C9D">
        <w:rPr>
          <w:spacing w:val="-2"/>
          <w:lang w:val="fr-FR"/>
        </w:rPr>
        <w:t xml:space="preserve">ACCOBAMS </w:t>
      </w:r>
      <w:r w:rsidRPr="0050285F">
        <w:rPr>
          <w:spacing w:val="-2"/>
          <w:lang w:val="fr-FR"/>
        </w:rPr>
        <w:t>« </w:t>
      </w:r>
      <w:r w:rsidRPr="00BA3536">
        <w:rPr>
          <w:rStyle w:val="hps"/>
          <w:i/>
          <w:lang w:val="fr-FR"/>
        </w:rPr>
        <w:t>Lignes directrices</w:t>
      </w:r>
      <w:r w:rsidRPr="00BA3536">
        <w:rPr>
          <w:i/>
          <w:lang w:val="fr-FR"/>
        </w:rPr>
        <w:t xml:space="preserve"> </w:t>
      </w:r>
      <w:r w:rsidRPr="00BA3536">
        <w:rPr>
          <w:rStyle w:val="hps"/>
          <w:i/>
          <w:lang w:val="fr-FR"/>
        </w:rPr>
        <w:t>à</w:t>
      </w:r>
      <w:r w:rsidRPr="00BA3536">
        <w:rPr>
          <w:i/>
          <w:lang w:val="fr-FR"/>
        </w:rPr>
        <w:t xml:space="preserve"> </w:t>
      </w:r>
      <w:r w:rsidRPr="00BA3536">
        <w:rPr>
          <w:rStyle w:val="hps"/>
          <w:i/>
          <w:lang w:val="fr-FR"/>
        </w:rPr>
        <w:t>l'égard des répercussions</w:t>
      </w:r>
      <w:r w:rsidRPr="00BA3536">
        <w:rPr>
          <w:i/>
          <w:lang w:val="fr-FR"/>
        </w:rPr>
        <w:t xml:space="preserve"> </w:t>
      </w:r>
      <w:r w:rsidRPr="00BA3536">
        <w:rPr>
          <w:rStyle w:val="hps"/>
          <w:i/>
          <w:lang w:val="fr-FR"/>
        </w:rPr>
        <w:t>du bruit</w:t>
      </w:r>
      <w:r w:rsidRPr="00BA3536">
        <w:rPr>
          <w:i/>
          <w:lang w:val="fr-FR"/>
        </w:rPr>
        <w:t xml:space="preserve"> </w:t>
      </w:r>
      <w:r w:rsidRPr="00BA3536">
        <w:rPr>
          <w:rStyle w:val="hps"/>
          <w:i/>
          <w:lang w:val="fr-FR"/>
        </w:rPr>
        <w:t>d'origine anthropique</w:t>
      </w:r>
      <w:r w:rsidRPr="00BA3536">
        <w:rPr>
          <w:i/>
          <w:lang w:val="fr-FR"/>
        </w:rPr>
        <w:t xml:space="preserve"> </w:t>
      </w:r>
      <w:r w:rsidRPr="00BA3536">
        <w:rPr>
          <w:rStyle w:val="hps"/>
          <w:i/>
          <w:lang w:val="fr-FR"/>
        </w:rPr>
        <w:t>sur les cétacés</w:t>
      </w:r>
      <w:r w:rsidRPr="00BA3536">
        <w:rPr>
          <w:i/>
          <w:lang w:val="fr-FR"/>
        </w:rPr>
        <w:t xml:space="preserve"> </w:t>
      </w:r>
      <w:r w:rsidRPr="00BA3536">
        <w:rPr>
          <w:rStyle w:val="hps"/>
          <w:i/>
          <w:lang w:val="fr-FR"/>
        </w:rPr>
        <w:t>dans</w:t>
      </w:r>
      <w:r w:rsidRPr="00BA3536">
        <w:rPr>
          <w:i/>
          <w:lang w:val="fr-FR"/>
        </w:rPr>
        <w:t xml:space="preserve"> </w:t>
      </w:r>
      <w:r w:rsidRPr="00BA3536">
        <w:rPr>
          <w:rStyle w:val="hps"/>
          <w:i/>
          <w:lang w:val="fr-FR"/>
        </w:rPr>
        <w:t>la</w:t>
      </w:r>
      <w:r w:rsidRPr="00BA3536">
        <w:rPr>
          <w:i/>
          <w:lang w:val="fr-FR"/>
        </w:rPr>
        <w:t xml:space="preserve"> </w:t>
      </w:r>
      <w:r w:rsidRPr="00BA3536">
        <w:rPr>
          <w:rStyle w:val="hps"/>
          <w:i/>
          <w:lang w:val="fr-FR"/>
        </w:rPr>
        <w:t>zone de l'ACCOBAMS</w:t>
      </w:r>
      <w:r>
        <w:rPr>
          <w:lang w:val="fr-FR"/>
        </w:rPr>
        <w:t xml:space="preserve"> </w:t>
      </w:r>
      <w:r>
        <w:rPr>
          <w:rStyle w:val="hps"/>
          <w:lang w:val="fr-FR"/>
        </w:rPr>
        <w:t>"</w:t>
      </w:r>
      <w:r>
        <w:rPr>
          <w:lang w:val="fr-FR"/>
        </w:rPr>
        <w:t>;</w:t>
      </w:r>
    </w:p>
    <w:p w:rsidR="0058596E" w:rsidRPr="00C502E8" w:rsidRDefault="0058596E" w:rsidP="0058596E">
      <w:pPr>
        <w:widowControl w:val="0"/>
        <w:numPr>
          <w:ilvl w:val="0"/>
          <w:numId w:val="14"/>
        </w:numPr>
        <w:autoSpaceDE w:val="0"/>
        <w:autoSpaceDN w:val="0"/>
        <w:adjustRightInd w:val="0"/>
        <w:ind w:left="709" w:hanging="709"/>
        <w:contextualSpacing/>
        <w:jc w:val="both"/>
        <w:rPr>
          <w:spacing w:val="-2"/>
          <w:lang w:val="fr-FR"/>
        </w:rPr>
      </w:pPr>
      <w:r w:rsidRPr="009E74BF">
        <w:rPr>
          <w:spacing w:val="-2"/>
          <w:lang w:val="fr-FR"/>
        </w:rPr>
        <w:t>La résolution 5.16 de l’AEWA « </w:t>
      </w:r>
      <w:r w:rsidRPr="00BA3536">
        <w:rPr>
          <w:i/>
          <w:spacing w:val="-2"/>
          <w:lang w:val="fr-FR"/>
        </w:rPr>
        <w:t>Énergies renouvelables et oiseaux d’eau migrateurs</w:t>
      </w:r>
      <w:r w:rsidRPr="009E74BF">
        <w:rPr>
          <w:spacing w:val="-2"/>
          <w:lang w:val="fr-FR"/>
        </w:rPr>
        <w:t> », qui a souligné la nécessité de traiter ou d’év</w:t>
      </w:r>
      <w:r w:rsidRPr="00C502E8">
        <w:rPr>
          <w:spacing w:val="-2"/>
          <w:lang w:val="fr-FR"/>
        </w:rPr>
        <w:t>iter les effets négatifs sur les oiseaux d’eau migrateurs, et qui contient des recommandations opérationnelles pertinentes pour de nombreuses autres espèces migratrices ;</w:t>
      </w:r>
    </w:p>
    <w:p w:rsidR="0058596E" w:rsidRPr="002070F1"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lastRenderedPageBreak/>
        <w:t xml:space="preserve"> Les « </w:t>
      </w:r>
      <w:r w:rsidRPr="002070F1">
        <w:rPr>
          <w:i/>
          <w:spacing w:val="-2"/>
          <w:lang w:val="fr-FR"/>
        </w:rPr>
        <w:t>Lignes directrices</w:t>
      </w:r>
      <w:r w:rsidRPr="002070F1">
        <w:rPr>
          <w:spacing w:val="-2"/>
          <w:lang w:val="fr-FR"/>
        </w:rPr>
        <w:t xml:space="preserve"> </w:t>
      </w:r>
      <w:r w:rsidRPr="002070F1">
        <w:rPr>
          <w:i/>
          <w:spacing w:val="-2"/>
          <w:lang w:val="fr-FR"/>
        </w:rPr>
        <w:t>sur la façon d’éviter, de réduire ou d’atténuer l’impact du développement d’infrastructures et les perturbations afférentes affectant les oiseaux d’eau </w:t>
      </w:r>
      <w:r w:rsidRPr="002070F1">
        <w:rPr>
          <w:spacing w:val="-2"/>
          <w:lang w:val="fr-FR"/>
        </w:rPr>
        <w:t>» (Lignes directrices de conservation n° 11 de l’AEWA) ;</w:t>
      </w:r>
    </w:p>
    <w:p w:rsidR="0058596E" w:rsidRPr="002070F1"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t>La résolution 7.5 d’EUROBATS « </w:t>
      </w:r>
      <w:r w:rsidRPr="002070F1">
        <w:rPr>
          <w:i/>
          <w:spacing w:val="-2"/>
          <w:lang w:val="fr-FR"/>
        </w:rPr>
        <w:t>Wind Turbines and Bat Populations</w:t>
      </w:r>
      <w:r w:rsidRPr="002070F1">
        <w:rPr>
          <w:spacing w:val="-2"/>
          <w:lang w:val="fr-FR"/>
        </w:rPr>
        <w:t> » (Éoliennes et populations de chauves-souris) et les lignes directrices pour la prise en compte des chauves-souris dans les projets éoliens ;</w:t>
      </w:r>
    </w:p>
    <w:p w:rsidR="0058596E" w:rsidRPr="002070F1"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t xml:space="preserve">La recommandation n ° 109 de la Convention de Berne sur </w:t>
      </w:r>
      <w:r w:rsidRPr="002070F1">
        <w:rPr>
          <w:bCs/>
          <w:spacing w:val="-2"/>
          <w:lang w:val="fr-FR"/>
        </w:rPr>
        <w:t>l'atténuation des nuisances de la production d'énergie éolienne sur la vie sauvage</w:t>
      </w:r>
      <w:r w:rsidRPr="002070F1">
        <w:rPr>
          <w:spacing w:val="-2"/>
          <w:lang w:val="fr-FR"/>
        </w:rPr>
        <w:t xml:space="preserve"> et les orientations de 2003 sur les critères d’évaluation environnementale et les questions de sélection des sites pour les installations éoliennes, ainsi que le guide des meilleures pratiques sur la planification intégrée des installations éoliennes et l’évaluation des impacts présenté à la 33</w:t>
      </w:r>
      <w:r w:rsidRPr="002070F1">
        <w:rPr>
          <w:spacing w:val="-2"/>
          <w:vertAlign w:val="superscript"/>
          <w:lang w:val="fr-FR"/>
        </w:rPr>
        <w:t>ème</w:t>
      </w:r>
      <w:r w:rsidRPr="002070F1">
        <w:rPr>
          <w:spacing w:val="-2"/>
          <w:lang w:val="fr-FR"/>
        </w:rPr>
        <w:t> réunion du Comité permanent de la Convention de Berne en 2013 ;</w:t>
      </w:r>
    </w:p>
    <w:p w:rsidR="0058596E" w:rsidRPr="002070F1"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t xml:space="preserve">La résolution </w:t>
      </w:r>
      <w:proofErr w:type="spellStart"/>
      <w:r w:rsidRPr="002070F1">
        <w:rPr>
          <w:spacing w:val="-2"/>
          <w:lang w:val="fr-FR"/>
        </w:rPr>
        <w:t>Ramsar</w:t>
      </w:r>
      <w:proofErr w:type="spellEnd"/>
      <w:r w:rsidRPr="002070F1">
        <w:rPr>
          <w:spacing w:val="-2"/>
          <w:lang w:val="fr-FR"/>
        </w:rPr>
        <w:t xml:space="preserve"> XI.10 « </w:t>
      </w:r>
      <w:r w:rsidRPr="002070F1">
        <w:rPr>
          <w:i/>
          <w:spacing w:val="-2"/>
          <w:lang w:val="fr-FR"/>
        </w:rPr>
        <w:t>Orientations sur les conséquences pour les zones humides des politiques, plans et activités du secteur de l’énergie</w:t>
      </w:r>
      <w:r w:rsidRPr="002070F1">
        <w:rPr>
          <w:spacing w:val="-2"/>
          <w:lang w:val="fr-FR"/>
        </w:rPr>
        <w:t> » ;</w:t>
      </w:r>
    </w:p>
    <w:p w:rsidR="0058596E" w:rsidRPr="002070F1"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t>La recommandation XVI / 9 de l’OSASTT 16 « </w:t>
      </w:r>
      <w:r w:rsidRPr="002070F1">
        <w:rPr>
          <w:i/>
          <w:spacing w:val="-2"/>
          <w:lang w:val="fr-FR"/>
        </w:rPr>
        <w:t>Questions techniques et réglementaires relatives à la géo-ingénierie présentant un intérêt pour la Convention sur la diversité biologique </w:t>
      </w:r>
      <w:r w:rsidRPr="002070F1">
        <w:rPr>
          <w:spacing w:val="-2"/>
          <w:lang w:val="fr-FR"/>
        </w:rPr>
        <w:t>» ; et</w:t>
      </w:r>
    </w:p>
    <w:p w:rsidR="0058596E" w:rsidRPr="002070F1"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t>Les orientations du projet PNUD/ FEM sur les oiseaux planeurs migrateurs portant sur l’énergie éolienne et solaire ;</w:t>
      </w:r>
    </w:p>
    <w:p w:rsidR="0058596E" w:rsidRPr="002070F1" w:rsidRDefault="0058596E" w:rsidP="0058596E">
      <w:pPr>
        <w:pStyle w:val="ListParagraph"/>
        <w:ind w:left="0"/>
        <w:jc w:val="both"/>
        <w:rPr>
          <w:color w:val="000000"/>
          <w:lang w:val="fr-FR"/>
        </w:rPr>
      </w:pPr>
    </w:p>
    <w:p w:rsidR="0058596E" w:rsidRPr="002070F1" w:rsidRDefault="0058596E" w:rsidP="0058596E">
      <w:pPr>
        <w:contextualSpacing/>
        <w:jc w:val="both"/>
        <w:rPr>
          <w:spacing w:val="-2"/>
          <w:lang w:val="fr-FR"/>
        </w:rPr>
      </w:pPr>
      <w:proofErr w:type="gramStart"/>
      <w:r w:rsidRPr="002070F1">
        <w:rPr>
          <w:spacing w:val="-2"/>
          <w:lang w:val="fr-FR"/>
        </w:rPr>
        <w:t>et</w:t>
      </w:r>
      <w:proofErr w:type="gramEnd"/>
      <w:r w:rsidRPr="002070F1">
        <w:rPr>
          <w:spacing w:val="-2"/>
          <w:lang w:val="fr-FR"/>
        </w:rPr>
        <w:t xml:space="preserve"> </w:t>
      </w:r>
      <w:r w:rsidRPr="002070F1">
        <w:rPr>
          <w:i/>
          <w:spacing w:val="-2"/>
          <w:lang w:val="fr-FR"/>
        </w:rPr>
        <w:t>reconnaissant</w:t>
      </w:r>
      <w:r w:rsidRPr="002070F1">
        <w:rPr>
          <w:spacing w:val="-2"/>
          <w:lang w:val="fr-FR"/>
        </w:rPr>
        <w:t xml:space="preserve"> la nécessité d’une coopération plus étroite entre la Famille CMS, les autres AEM et les acteurs nationaux et internationaux pertinents, et d’une mise en œuvre synergique des décisions et orientations visant à concilier l’évolution du secteur de l’énergie avec les besoins de conservation des espèces migratrices ;</w:t>
      </w:r>
    </w:p>
    <w:p w:rsidR="0058596E" w:rsidRPr="002070F1" w:rsidRDefault="0058596E" w:rsidP="0058596E">
      <w:pPr>
        <w:jc w:val="both"/>
        <w:rPr>
          <w:color w:val="000000"/>
          <w:lang w:val="fr-FR"/>
        </w:rPr>
      </w:pPr>
    </w:p>
    <w:p w:rsidR="0058596E" w:rsidRPr="002070F1" w:rsidRDefault="0058596E" w:rsidP="0058596E">
      <w:pPr>
        <w:ind w:firstLine="720"/>
        <w:jc w:val="both"/>
        <w:rPr>
          <w:spacing w:val="-2"/>
          <w:lang w:val="fr-FR"/>
        </w:rPr>
      </w:pPr>
      <w:r w:rsidRPr="002070F1">
        <w:rPr>
          <w:i/>
          <w:spacing w:val="-2"/>
          <w:lang w:val="fr-FR"/>
        </w:rPr>
        <w:t>Reconnaissant</w:t>
      </w:r>
      <w:r w:rsidRPr="002070F1">
        <w:rPr>
          <w:spacing w:val="-2"/>
          <w:lang w:val="fr-FR"/>
        </w:rPr>
        <w:t xml:space="preserve"> la nécessité impérative d’établir conjointement des liens, une communication et une planification stratégique entre les parties des gouvernements responsables de la protection de l’environnement et du développement de l’énergie, afin d’éviter ou d’atténuer les conséquences négatives pour les espèces migratrices et les autres espèces ainsi que pour leurs habitats ;</w:t>
      </w:r>
    </w:p>
    <w:p w:rsidR="0058596E" w:rsidRPr="002070F1" w:rsidRDefault="0058596E" w:rsidP="0058596E">
      <w:pPr>
        <w:ind w:firstLine="720"/>
        <w:jc w:val="both"/>
        <w:rPr>
          <w:i/>
          <w:spacing w:val="-2"/>
          <w:lang w:val="fr-FR"/>
        </w:rPr>
      </w:pPr>
    </w:p>
    <w:p w:rsidR="0058596E" w:rsidRPr="002070F1" w:rsidRDefault="0058596E" w:rsidP="0058596E">
      <w:pPr>
        <w:ind w:firstLine="720"/>
        <w:jc w:val="both"/>
        <w:rPr>
          <w:spacing w:val="-2"/>
          <w:lang w:val="fr-FR"/>
        </w:rPr>
      </w:pPr>
      <w:r w:rsidRPr="002070F1">
        <w:rPr>
          <w:i/>
          <w:spacing w:val="-2"/>
          <w:lang w:val="fr-FR"/>
        </w:rPr>
        <w:t>Se félicitant</w:t>
      </w:r>
      <w:r w:rsidRPr="002070F1">
        <w:rPr>
          <w:spacing w:val="-2"/>
          <w:lang w:val="fr-FR"/>
        </w:rPr>
        <w:t xml:space="preserve"> du document UNEP/CMS</w:t>
      </w:r>
      <w:r w:rsidR="00BA3536">
        <w:rPr>
          <w:spacing w:val="-2"/>
          <w:lang w:val="fr-FR"/>
        </w:rPr>
        <w:t>/</w:t>
      </w:r>
      <w:r>
        <w:rPr>
          <w:spacing w:val="-2"/>
          <w:lang w:val="fr-FR"/>
        </w:rPr>
        <w:t>COP11/Inf.26</w:t>
      </w:r>
      <w:r w:rsidRPr="002070F1">
        <w:rPr>
          <w:spacing w:val="-2"/>
          <w:lang w:val="fr-FR"/>
        </w:rPr>
        <w:t xml:space="preserve"> « </w:t>
      </w:r>
      <w:r w:rsidRPr="002070F1">
        <w:rPr>
          <w:i/>
          <w:spacing w:val="-2"/>
          <w:lang w:val="fr-FR"/>
        </w:rPr>
        <w:t>Technologies liées aux énergies renouvelables et espèces migratrices : Synthèse</w:t>
      </w:r>
      <w:r w:rsidRPr="002070F1">
        <w:rPr>
          <w:spacing w:val="-2"/>
          <w:lang w:val="fr-FR"/>
        </w:rPr>
        <w:t xml:space="preserve"> », qui résume les connaissances sur les effets réels et potentiels des installations liées aux énergies renouvelables sur les espèces migratrices, </w:t>
      </w:r>
      <w:r w:rsidRPr="002070F1">
        <w:rPr>
          <w:i/>
          <w:spacing w:val="-2"/>
          <w:lang w:val="fr-FR"/>
        </w:rPr>
        <w:t>notant</w:t>
      </w:r>
      <w:r w:rsidRPr="002070F1">
        <w:rPr>
          <w:spacing w:val="-2"/>
          <w:lang w:val="fr-FR"/>
        </w:rPr>
        <w:t xml:space="preserve"> sa conclusion sur le nombre relativement faible d’études scientifiques portant sur les impacts à court terme, à long terme et cumulatifs des technologies liées aux énergies renouvelables, et </w:t>
      </w:r>
      <w:r w:rsidRPr="002070F1">
        <w:rPr>
          <w:i/>
          <w:spacing w:val="-2"/>
          <w:lang w:val="fr-FR"/>
        </w:rPr>
        <w:t>reconnaissant</w:t>
      </w:r>
      <w:r w:rsidRPr="002070F1">
        <w:rPr>
          <w:spacing w:val="-2"/>
          <w:lang w:val="fr-FR"/>
        </w:rPr>
        <w:t xml:space="preserve"> le besoin urgent de poursuivre les recherches sur l’impact des technologies liées aux énergies renouvelables sur les espèces migratrices, en particulier concernant l’énergie marine et solaire ;</w:t>
      </w:r>
    </w:p>
    <w:p w:rsidR="0058596E" w:rsidRPr="002070F1" w:rsidRDefault="0058596E" w:rsidP="0058596E">
      <w:pPr>
        <w:ind w:firstLine="720"/>
        <w:jc w:val="both"/>
        <w:rPr>
          <w:i/>
          <w:color w:val="000000"/>
          <w:lang w:val="fr-FR"/>
        </w:rPr>
      </w:pPr>
    </w:p>
    <w:p w:rsidR="0058596E" w:rsidRPr="002070F1" w:rsidRDefault="0058596E" w:rsidP="0058596E">
      <w:pPr>
        <w:ind w:firstLine="720"/>
        <w:jc w:val="both"/>
        <w:rPr>
          <w:spacing w:val="-2"/>
          <w:lang w:val="fr-FR"/>
        </w:rPr>
      </w:pPr>
      <w:r w:rsidRPr="002070F1">
        <w:rPr>
          <w:i/>
          <w:spacing w:val="-2"/>
          <w:lang w:val="fr-FR"/>
        </w:rPr>
        <w:t>Notant également</w:t>
      </w:r>
      <w:r w:rsidRPr="002070F1">
        <w:rPr>
          <w:spacing w:val="-2"/>
          <w:lang w:val="fr-FR"/>
        </w:rPr>
        <w:t xml:space="preserve"> que le document UNEP/CMS/</w:t>
      </w:r>
      <w:r>
        <w:rPr>
          <w:spacing w:val="-2"/>
          <w:lang w:val="fr-FR"/>
        </w:rPr>
        <w:t>COP11/Inf.26</w:t>
      </w:r>
      <w:r w:rsidRPr="002070F1">
        <w:rPr>
          <w:spacing w:val="-2"/>
          <w:lang w:val="fr-FR"/>
        </w:rPr>
        <w:t xml:space="preserve"> souligne le besoin urgent de recueillir des données sur la répartition des espèces migratrices, la taille de leur population et les voies de migration en tant qu’éléments essentiels pour toute planification stratégique et toute évaluation d’impact, avant et/ou pendant la phase de planification du déploiement des énergies renouvelables, et qu’il souligne aussi la nécessité de mener des suivis régulier de la mortalité découlant de ces développements ;</w:t>
      </w:r>
    </w:p>
    <w:p w:rsidR="0058596E" w:rsidRPr="002070F1" w:rsidRDefault="0058596E" w:rsidP="0058596E">
      <w:pPr>
        <w:ind w:firstLine="720"/>
        <w:jc w:val="both"/>
        <w:rPr>
          <w:i/>
          <w:color w:val="000000"/>
          <w:lang w:val="fr-FR"/>
        </w:rPr>
      </w:pPr>
    </w:p>
    <w:p w:rsidR="0058596E" w:rsidRPr="002070F1" w:rsidRDefault="0058596E" w:rsidP="0058596E">
      <w:pPr>
        <w:ind w:firstLine="720"/>
        <w:jc w:val="both"/>
        <w:rPr>
          <w:spacing w:val="-2"/>
          <w:lang w:val="fr-FR"/>
        </w:rPr>
      </w:pPr>
      <w:r w:rsidRPr="002070F1">
        <w:rPr>
          <w:i/>
          <w:spacing w:val="-2"/>
          <w:lang w:val="fr-FR"/>
        </w:rPr>
        <w:t>Prenant note</w:t>
      </w:r>
      <w:r w:rsidRPr="002070F1">
        <w:rPr>
          <w:spacing w:val="-2"/>
          <w:lang w:val="fr-FR"/>
        </w:rPr>
        <w:t xml:space="preserve"> de la discussion, lors de la 18</w:t>
      </w:r>
      <w:r w:rsidRPr="002070F1">
        <w:rPr>
          <w:spacing w:val="-2"/>
          <w:vertAlign w:val="superscript"/>
          <w:lang w:val="fr-FR"/>
        </w:rPr>
        <w:t>ème</w:t>
      </w:r>
      <w:r w:rsidRPr="002070F1">
        <w:rPr>
          <w:spacing w:val="-2"/>
          <w:lang w:val="fr-FR"/>
        </w:rPr>
        <w:t xml:space="preserve"> réunion du Conseil scientifique, sur les </w:t>
      </w:r>
      <w:r w:rsidR="00BA3536">
        <w:rPr>
          <w:spacing w:val="-2"/>
          <w:lang w:val="fr-FR"/>
        </w:rPr>
        <w:br/>
        <w:t xml:space="preserve">projets des documents </w:t>
      </w:r>
      <w:r w:rsidRPr="002070F1">
        <w:rPr>
          <w:spacing w:val="-2"/>
          <w:lang w:val="fr-FR"/>
        </w:rPr>
        <w:t>UNEP/CMS</w:t>
      </w:r>
      <w:r>
        <w:rPr>
          <w:spacing w:val="-2"/>
          <w:lang w:val="fr-FR"/>
        </w:rPr>
        <w:t>COP11/</w:t>
      </w:r>
      <w:r w:rsidRPr="002070F1">
        <w:rPr>
          <w:spacing w:val="-2"/>
          <w:lang w:val="fr-FR"/>
        </w:rPr>
        <w:t>Inf.</w:t>
      </w:r>
      <w:r>
        <w:rPr>
          <w:spacing w:val="-2"/>
          <w:lang w:val="fr-FR"/>
        </w:rPr>
        <w:t>26</w:t>
      </w:r>
      <w:r w:rsidR="00BA3536">
        <w:rPr>
          <w:spacing w:val="-2"/>
          <w:lang w:val="fr-FR"/>
        </w:rPr>
        <w:t xml:space="preserve"> et </w:t>
      </w:r>
      <w:r>
        <w:rPr>
          <w:spacing w:val="-2"/>
          <w:lang w:val="fr-FR"/>
        </w:rPr>
        <w:t>PNUE/CMS/COP11/Doc.23.4.3.2</w:t>
      </w:r>
      <w:r w:rsidR="00BA3536">
        <w:rPr>
          <w:spacing w:val="-2"/>
          <w:lang w:val="fr-FR"/>
        </w:rPr>
        <w:br/>
      </w:r>
      <w:r w:rsidRPr="002070F1">
        <w:rPr>
          <w:spacing w:val="-2"/>
          <w:lang w:val="fr-FR"/>
        </w:rPr>
        <w:t>« </w:t>
      </w:r>
      <w:r w:rsidRPr="002070F1">
        <w:rPr>
          <w:i/>
          <w:spacing w:val="-2"/>
          <w:lang w:val="fr-FR"/>
        </w:rPr>
        <w:t xml:space="preserve">Technologies liées aux énergies renouvelables et espèces migratrices : Lignes directrices </w:t>
      </w:r>
      <w:r w:rsidRPr="002070F1">
        <w:rPr>
          <w:i/>
          <w:spacing w:val="-2"/>
          <w:lang w:val="fr-FR"/>
        </w:rPr>
        <w:lastRenderedPageBreak/>
        <w:t>pour un déploiement durable</w:t>
      </w:r>
      <w:r w:rsidRPr="002070F1">
        <w:rPr>
          <w:spacing w:val="-2"/>
          <w:lang w:val="fr-FR"/>
        </w:rPr>
        <w:t xml:space="preserve"> », et </w:t>
      </w:r>
      <w:r w:rsidRPr="002070F1">
        <w:rPr>
          <w:i/>
          <w:spacing w:val="-2"/>
          <w:lang w:val="fr-FR"/>
        </w:rPr>
        <w:t>consciente</w:t>
      </w:r>
      <w:r w:rsidRPr="002070F1">
        <w:rPr>
          <w:spacing w:val="-2"/>
          <w:lang w:val="fr-FR"/>
        </w:rPr>
        <w:t xml:space="preserve"> de la contribution d’autres organes consultatifs de la Famille CMS aux deux documents ;</w:t>
      </w:r>
    </w:p>
    <w:p w:rsidR="0058596E" w:rsidRPr="002070F1" w:rsidRDefault="0058596E" w:rsidP="0058596E">
      <w:pPr>
        <w:ind w:firstLine="720"/>
        <w:jc w:val="both"/>
        <w:rPr>
          <w:color w:val="000000"/>
          <w:lang w:val="fr-FR"/>
        </w:rPr>
      </w:pPr>
    </w:p>
    <w:p w:rsidR="0058596E" w:rsidRPr="002070F1" w:rsidRDefault="0058596E" w:rsidP="0058596E">
      <w:pPr>
        <w:ind w:firstLine="720"/>
        <w:jc w:val="both"/>
        <w:rPr>
          <w:spacing w:val="-2"/>
          <w:lang w:val="fr-FR"/>
        </w:rPr>
      </w:pPr>
      <w:r w:rsidRPr="002070F1">
        <w:rPr>
          <w:i/>
          <w:spacing w:val="-2"/>
          <w:lang w:val="fr-FR"/>
        </w:rPr>
        <w:t>Convaincue</w:t>
      </w:r>
      <w:r w:rsidRPr="002070F1">
        <w:rPr>
          <w:spacing w:val="-2"/>
          <w:lang w:val="fr-FR"/>
        </w:rPr>
        <w:t xml:space="preserve"> de la pertinence des lignes directrices susmentionnées, relatives au déploiement durable des technologies liées aux énergies renouvelables, pour la mise en œuvre du programme de travail de la CMS sur le changement climatique et les espèces migratrices, soumises à la 11</w:t>
      </w:r>
      <w:r w:rsidRPr="002070F1">
        <w:rPr>
          <w:spacing w:val="-2"/>
          <w:vertAlign w:val="superscript"/>
          <w:lang w:val="fr-FR"/>
        </w:rPr>
        <w:t>ème</w:t>
      </w:r>
      <w:r w:rsidRPr="002070F1">
        <w:rPr>
          <w:spacing w:val="-2"/>
          <w:lang w:val="fr-FR"/>
        </w:rPr>
        <w:t xml:space="preserve"> réunion de la Conférence des Parties dans le document </w:t>
      </w:r>
      <w:r>
        <w:rPr>
          <w:spacing w:val="-2"/>
          <w:lang w:val="fr-FR"/>
        </w:rPr>
        <w:t>PNUE/CMS/COP11/Doc.23.4.2</w:t>
      </w:r>
      <w:r w:rsidR="00BA3536">
        <w:rPr>
          <w:spacing w:val="-2"/>
          <w:lang w:val="fr-FR"/>
        </w:rPr>
        <w:t xml:space="preserve"> </w:t>
      </w:r>
      <w:r w:rsidRPr="002070F1">
        <w:rPr>
          <w:spacing w:val="-2"/>
          <w:lang w:val="fr-FR"/>
        </w:rPr>
        <w:t>pour examen et adoption ;</w:t>
      </w:r>
    </w:p>
    <w:p w:rsidR="0058596E" w:rsidRPr="002070F1" w:rsidRDefault="0058596E" w:rsidP="0058596E">
      <w:pPr>
        <w:ind w:firstLine="720"/>
        <w:jc w:val="both"/>
        <w:rPr>
          <w:i/>
          <w:lang w:val="fr-FR"/>
        </w:rPr>
      </w:pPr>
    </w:p>
    <w:p w:rsidR="0058596E" w:rsidRPr="002070F1" w:rsidRDefault="0058596E" w:rsidP="0058596E">
      <w:pPr>
        <w:ind w:firstLine="720"/>
        <w:jc w:val="both"/>
        <w:rPr>
          <w:spacing w:val="-2"/>
          <w:lang w:val="fr-FR"/>
        </w:rPr>
      </w:pPr>
      <w:r w:rsidRPr="002070F1">
        <w:rPr>
          <w:i/>
          <w:spacing w:val="-2"/>
          <w:lang w:val="fr-FR"/>
        </w:rPr>
        <w:t>Notant</w:t>
      </w:r>
      <w:r w:rsidRPr="002070F1">
        <w:rPr>
          <w:spacing w:val="-2"/>
          <w:lang w:val="fr-FR"/>
        </w:rPr>
        <w:t xml:space="preserve"> les décisions et les orientations internationales pertinentes relatives à l’atténuation des effets des lignes électriques sur les oiseaux, incluant :</w:t>
      </w:r>
    </w:p>
    <w:p w:rsidR="0058596E" w:rsidRPr="002070F1" w:rsidRDefault="0058596E" w:rsidP="0058596E">
      <w:pPr>
        <w:jc w:val="both"/>
        <w:rPr>
          <w:lang w:val="fr-FR"/>
        </w:rPr>
      </w:pPr>
    </w:p>
    <w:p w:rsidR="0058596E" w:rsidRPr="002070F1"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t>La résolution 10.11 de la CMS « </w:t>
      </w:r>
      <w:r w:rsidRPr="002070F1">
        <w:rPr>
          <w:i/>
          <w:spacing w:val="-2"/>
          <w:lang w:val="fr-FR"/>
        </w:rPr>
        <w:t>Lignes électriques et oiseaux migrateurs</w:t>
      </w:r>
      <w:r w:rsidRPr="002070F1">
        <w:rPr>
          <w:spacing w:val="-2"/>
          <w:lang w:val="fr-FR"/>
        </w:rPr>
        <w:t> » ;</w:t>
      </w:r>
    </w:p>
    <w:p w:rsidR="0058596E" w:rsidRPr="002070F1"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t>Les « </w:t>
      </w:r>
      <w:r w:rsidRPr="002070F1">
        <w:rPr>
          <w:i/>
          <w:spacing w:val="-2"/>
          <w:lang w:val="fr-FR"/>
        </w:rPr>
        <w:t>Lignes directrices sur la façon d’éviter ou d’atténuer l’impact des lignes électriques sur les oiseaux migrateurs dans la région Afrique-Eurasie »</w:t>
      </w:r>
      <w:r w:rsidRPr="002070F1">
        <w:rPr>
          <w:spacing w:val="-2"/>
          <w:lang w:val="fr-FR"/>
        </w:rPr>
        <w:t xml:space="preserve"> adoptées par la COP10 de la CMS, la MOP5 de l’AEWA et la MoS1 du </w:t>
      </w:r>
      <w:proofErr w:type="spellStart"/>
      <w:r w:rsidRPr="002070F1">
        <w:rPr>
          <w:spacing w:val="-2"/>
          <w:lang w:val="fr-FR"/>
        </w:rPr>
        <w:t>MdE</w:t>
      </w:r>
      <w:proofErr w:type="spellEnd"/>
      <w:r w:rsidRPr="002070F1">
        <w:rPr>
          <w:spacing w:val="-2"/>
          <w:lang w:val="fr-FR"/>
        </w:rPr>
        <w:t xml:space="preserve"> Rapaces ;</w:t>
      </w:r>
    </w:p>
    <w:p w:rsidR="0058596E" w:rsidRPr="002070F1"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t>La résolution 5.11 de l’AEWA « </w:t>
      </w:r>
      <w:r w:rsidRPr="002070F1">
        <w:rPr>
          <w:i/>
          <w:spacing w:val="-2"/>
          <w:lang w:val="fr-FR"/>
        </w:rPr>
        <w:t>Lignes électriques et oiseaux d’eau migrateurs</w:t>
      </w:r>
      <w:r w:rsidRPr="002070F1">
        <w:rPr>
          <w:spacing w:val="-2"/>
          <w:lang w:val="fr-FR"/>
        </w:rPr>
        <w:t> » ;</w:t>
      </w:r>
    </w:p>
    <w:p w:rsidR="0058596E" w:rsidRPr="002070F1"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t>La recommandation n ° 110 de la Convention de Berne sur l’atténuation des nuisances des installations aériennes de transport d’électricité (lignes électriques) pour les oiseaux ;</w:t>
      </w:r>
    </w:p>
    <w:p w:rsidR="0058596E" w:rsidRPr="002070F1"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t>La Déclaration de Budapest sur la protection des oiseaux et les lignes électriques adoptées en 2011 par la Conférence « Lignes électriques et mortalité des oiseaux en Europe » ; et</w:t>
      </w:r>
    </w:p>
    <w:p w:rsidR="0058596E" w:rsidRPr="002070F1" w:rsidRDefault="0058596E" w:rsidP="0058596E">
      <w:pPr>
        <w:widowControl w:val="0"/>
        <w:numPr>
          <w:ilvl w:val="0"/>
          <w:numId w:val="14"/>
        </w:numPr>
        <w:autoSpaceDE w:val="0"/>
        <w:autoSpaceDN w:val="0"/>
        <w:adjustRightInd w:val="0"/>
        <w:ind w:left="709" w:hanging="709"/>
        <w:contextualSpacing/>
        <w:jc w:val="both"/>
        <w:rPr>
          <w:spacing w:val="-2"/>
          <w:lang w:val="fr-FR"/>
        </w:rPr>
      </w:pPr>
      <w:r w:rsidRPr="002070F1">
        <w:rPr>
          <w:spacing w:val="-2"/>
          <w:lang w:val="fr-FR"/>
        </w:rPr>
        <w:t>Les orientations du projet PNUD/FEM sur les oiseaux planeurs migrateurs concernant les lignes électriques ;</w:t>
      </w:r>
    </w:p>
    <w:p w:rsidR="0058596E" w:rsidRPr="002070F1" w:rsidRDefault="0058596E" w:rsidP="0058596E">
      <w:pPr>
        <w:jc w:val="both"/>
        <w:rPr>
          <w:i/>
          <w:color w:val="000000"/>
          <w:lang w:val="fr-FR"/>
        </w:rPr>
      </w:pPr>
    </w:p>
    <w:p w:rsidR="0058596E" w:rsidRPr="002070F1" w:rsidRDefault="0058596E" w:rsidP="0058596E">
      <w:pPr>
        <w:ind w:firstLine="720"/>
        <w:jc w:val="both"/>
        <w:rPr>
          <w:spacing w:val="-2"/>
          <w:lang w:val="fr-FR"/>
        </w:rPr>
      </w:pPr>
      <w:r w:rsidRPr="002070F1">
        <w:rPr>
          <w:i/>
          <w:spacing w:val="-2"/>
          <w:lang w:val="fr-FR"/>
        </w:rPr>
        <w:t>Se félicitant</w:t>
      </w:r>
      <w:r w:rsidRPr="002070F1">
        <w:rPr>
          <w:spacing w:val="-2"/>
          <w:lang w:val="fr-FR"/>
        </w:rPr>
        <w:t xml:space="preserve"> de la bonne coopération et des partenariats déjà établis aux niveaux international et national entre les parties prenantes, y compris les gouvernements et leurs institutions, les sociétés d’énergie, les organisations non-gouvernementales (ONG) et les Secrétariats des AEM, ainsi que des efforts concertés déployés pour traiter la question du conflit entre le développement de la production d’énergie et la conservation des espèces ; et</w:t>
      </w:r>
    </w:p>
    <w:p w:rsidR="0058596E" w:rsidRPr="002070F1" w:rsidRDefault="0058596E" w:rsidP="0058596E">
      <w:pPr>
        <w:ind w:firstLine="720"/>
        <w:jc w:val="both"/>
        <w:rPr>
          <w:i/>
          <w:color w:val="000000"/>
          <w:lang w:val="fr-FR"/>
        </w:rPr>
      </w:pPr>
    </w:p>
    <w:p w:rsidR="0058596E" w:rsidRPr="002070F1" w:rsidRDefault="0058596E" w:rsidP="0058596E">
      <w:pPr>
        <w:ind w:firstLine="720"/>
        <w:jc w:val="both"/>
        <w:rPr>
          <w:spacing w:val="-2"/>
          <w:lang w:val="fr-FR"/>
        </w:rPr>
      </w:pPr>
      <w:r w:rsidRPr="002070F1">
        <w:rPr>
          <w:i/>
          <w:spacing w:val="-2"/>
          <w:lang w:val="fr-FR"/>
        </w:rPr>
        <w:t>Notant avec gratitude</w:t>
      </w:r>
      <w:r w:rsidRPr="002070F1">
        <w:rPr>
          <w:spacing w:val="-2"/>
          <w:lang w:val="fr-FR"/>
        </w:rPr>
        <w:t xml:space="preserve"> le soutien financier des Gouvernements de l’Allemagne et de la Norvège à travers les Secrétariats de la CMS et de l’AEWA, de </w:t>
      </w:r>
      <w:proofErr w:type="spellStart"/>
      <w:r w:rsidRPr="002070F1">
        <w:rPr>
          <w:spacing w:val="-2"/>
          <w:lang w:val="fr-FR"/>
        </w:rPr>
        <w:t>BirdLife</w:t>
      </w:r>
      <w:proofErr w:type="spellEnd"/>
      <w:r w:rsidRPr="002070F1">
        <w:rPr>
          <w:spacing w:val="-2"/>
          <w:lang w:val="fr-FR"/>
        </w:rPr>
        <w:t xml:space="preserve"> International à travers le projet PNUD/FEM sur les oiseaux planeurs migrateurs, ainsi que de l’IRENA pour la compilation du rapport « </w:t>
      </w:r>
      <w:r w:rsidRPr="002070F1">
        <w:rPr>
          <w:i/>
          <w:spacing w:val="-2"/>
          <w:lang w:val="fr-FR"/>
        </w:rPr>
        <w:t>Technologies liées aux énergies renouvelables et espèces migratrices : Synthèse</w:t>
      </w:r>
      <w:r w:rsidRPr="002070F1">
        <w:rPr>
          <w:spacing w:val="-2"/>
          <w:lang w:val="fr-FR"/>
        </w:rPr>
        <w:t xml:space="preserve"> » et du document d’orientation « </w:t>
      </w:r>
      <w:r w:rsidRPr="002070F1">
        <w:rPr>
          <w:i/>
          <w:spacing w:val="-2"/>
          <w:lang w:val="fr-FR"/>
        </w:rPr>
        <w:t>Technologies liées aux énergies renouvelables et espèces migratrices : Lignes directrices pour un déploiement durable</w:t>
      </w:r>
      <w:r w:rsidRPr="002070F1">
        <w:rPr>
          <w:spacing w:val="-2"/>
          <w:lang w:val="fr-FR"/>
        </w:rPr>
        <w:t xml:space="preserve"> » ;</w:t>
      </w:r>
    </w:p>
    <w:p w:rsidR="0058596E" w:rsidRPr="002070F1" w:rsidRDefault="0058596E" w:rsidP="0058596E">
      <w:pPr>
        <w:jc w:val="both"/>
        <w:rPr>
          <w:i/>
          <w:color w:val="000000"/>
          <w:lang w:val="fr-FR"/>
        </w:rPr>
      </w:pPr>
    </w:p>
    <w:p w:rsidR="0058596E" w:rsidRPr="002070F1" w:rsidRDefault="0058596E" w:rsidP="0058596E">
      <w:pPr>
        <w:jc w:val="both"/>
        <w:rPr>
          <w:i/>
          <w:color w:val="000000"/>
          <w:lang w:val="fr-FR"/>
        </w:rPr>
      </w:pPr>
    </w:p>
    <w:p w:rsidR="0058596E" w:rsidRPr="002070F1" w:rsidRDefault="0058596E" w:rsidP="0058596E">
      <w:pPr>
        <w:jc w:val="center"/>
        <w:rPr>
          <w:i/>
          <w:spacing w:val="-2"/>
          <w:lang w:val="fr-FR"/>
        </w:rPr>
      </w:pPr>
      <w:r w:rsidRPr="002070F1">
        <w:rPr>
          <w:i/>
          <w:spacing w:val="-2"/>
          <w:lang w:val="fr-FR"/>
        </w:rPr>
        <w:t>La Conférence des Parties</w:t>
      </w:r>
    </w:p>
    <w:p w:rsidR="0058596E" w:rsidRPr="002070F1" w:rsidRDefault="0058596E" w:rsidP="0058596E">
      <w:pPr>
        <w:jc w:val="center"/>
        <w:rPr>
          <w:i/>
          <w:spacing w:val="-2"/>
          <w:lang w:val="fr-FR"/>
        </w:rPr>
      </w:pPr>
      <w:proofErr w:type="gramStart"/>
      <w:r w:rsidRPr="002070F1">
        <w:rPr>
          <w:i/>
          <w:spacing w:val="-2"/>
          <w:lang w:val="fr-FR"/>
        </w:rPr>
        <w:t>à</w:t>
      </w:r>
      <w:proofErr w:type="gramEnd"/>
      <w:r w:rsidRPr="002070F1">
        <w:rPr>
          <w:i/>
          <w:spacing w:val="-2"/>
          <w:lang w:val="fr-FR"/>
        </w:rPr>
        <w:t xml:space="preserve"> la Convention sur la conservation des espèces migratrices appartenant à la faune sauvage</w:t>
      </w:r>
    </w:p>
    <w:p w:rsidR="0058596E" w:rsidRPr="002070F1" w:rsidRDefault="0058596E" w:rsidP="0058596E">
      <w:pPr>
        <w:jc w:val="both"/>
        <w:rPr>
          <w:i/>
          <w:color w:val="000000"/>
          <w:lang w:val="fr-FR"/>
        </w:rPr>
      </w:pPr>
    </w:p>
    <w:p w:rsidR="0058596E" w:rsidRPr="002070F1" w:rsidRDefault="0058596E" w:rsidP="0058596E">
      <w:pPr>
        <w:jc w:val="both"/>
        <w:rPr>
          <w:spacing w:val="-2"/>
          <w:lang w:val="fr-FR"/>
        </w:rPr>
      </w:pPr>
      <w:r w:rsidRPr="002070F1">
        <w:rPr>
          <w:color w:val="000000"/>
          <w:lang w:val="fr-FR"/>
        </w:rPr>
        <w:t xml:space="preserve">1. </w:t>
      </w:r>
      <w:r w:rsidRPr="002070F1">
        <w:rPr>
          <w:color w:val="000000"/>
          <w:lang w:val="fr-FR"/>
        </w:rPr>
        <w:tab/>
      </w:r>
      <w:r w:rsidRPr="002070F1">
        <w:rPr>
          <w:i/>
          <w:spacing w:val="-2"/>
          <w:lang w:val="fr-FR"/>
        </w:rPr>
        <w:t>Approuve</w:t>
      </w:r>
      <w:r w:rsidRPr="002070F1">
        <w:rPr>
          <w:spacing w:val="-2"/>
          <w:lang w:val="fr-FR"/>
        </w:rPr>
        <w:t xml:space="preserve"> le document « </w:t>
      </w:r>
      <w:r w:rsidRPr="002070F1">
        <w:rPr>
          <w:i/>
          <w:spacing w:val="-2"/>
          <w:lang w:val="fr-FR"/>
        </w:rPr>
        <w:t>Technologies liées aux énergies renouvelables et espèces migratrices : Lignes directrices pour un déploiement durable </w:t>
      </w:r>
      <w:r w:rsidRPr="002070F1">
        <w:rPr>
          <w:spacing w:val="-2"/>
          <w:lang w:val="fr-FR"/>
        </w:rPr>
        <w:t>» (UNEP/CMS/</w:t>
      </w:r>
      <w:r>
        <w:rPr>
          <w:spacing w:val="-2"/>
          <w:lang w:val="fr-FR"/>
        </w:rPr>
        <w:t>COP11/Doc.23.4.3.2</w:t>
      </w:r>
      <w:r w:rsidRPr="002070F1">
        <w:rPr>
          <w:spacing w:val="-2"/>
          <w:lang w:val="fr-FR"/>
        </w:rPr>
        <w:t>) ;</w:t>
      </w:r>
    </w:p>
    <w:p w:rsidR="0058596E" w:rsidRPr="002070F1" w:rsidRDefault="0058596E" w:rsidP="0058596E">
      <w:pPr>
        <w:jc w:val="both"/>
        <w:rPr>
          <w:i/>
          <w:color w:val="000000"/>
          <w:lang w:val="fr-FR"/>
        </w:rPr>
      </w:pPr>
    </w:p>
    <w:p w:rsidR="0058596E" w:rsidRPr="002070F1" w:rsidRDefault="0058596E" w:rsidP="0058596E">
      <w:pPr>
        <w:jc w:val="both"/>
        <w:rPr>
          <w:color w:val="000000"/>
          <w:lang w:val="fr-FR"/>
        </w:rPr>
      </w:pPr>
    </w:p>
    <w:p w:rsidR="0058596E" w:rsidRPr="002070F1" w:rsidRDefault="0058596E" w:rsidP="0058596E">
      <w:pPr>
        <w:jc w:val="both"/>
        <w:rPr>
          <w:spacing w:val="-2"/>
          <w:lang w:val="fr-FR"/>
        </w:rPr>
      </w:pPr>
      <w:r w:rsidRPr="002070F1">
        <w:rPr>
          <w:color w:val="000000"/>
          <w:lang w:val="fr-FR"/>
        </w:rPr>
        <w:t xml:space="preserve">2. </w:t>
      </w:r>
      <w:r w:rsidRPr="002070F1">
        <w:rPr>
          <w:color w:val="000000"/>
          <w:lang w:val="fr-FR"/>
        </w:rPr>
        <w:tab/>
      </w:r>
      <w:r w:rsidRPr="002070F1">
        <w:rPr>
          <w:i/>
          <w:spacing w:val="-2"/>
          <w:lang w:val="fr-FR"/>
        </w:rPr>
        <w:t>Prie instamment</w:t>
      </w:r>
      <w:r w:rsidRPr="002070F1">
        <w:rPr>
          <w:spacing w:val="-2"/>
          <w:lang w:val="fr-FR"/>
        </w:rPr>
        <w:t xml:space="preserve"> les Parties et </w:t>
      </w:r>
      <w:r w:rsidRPr="002070F1">
        <w:rPr>
          <w:i/>
          <w:spacing w:val="-2"/>
          <w:lang w:val="fr-FR"/>
        </w:rPr>
        <w:t>encourage</w:t>
      </w:r>
      <w:r w:rsidRPr="002070F1">
        <w:rPr>
          <w:spacing w:val="-2"/>
          <w:lang w:val="fr-FR"/>
        </w:rPr>
        <w:t xml:space="preserve"> les non-Parties à mettre en œuvre ces lignes directrices, le cas échéant, et au minimum à</w:t>
      </w:r>
      <w:r>
        <w:rPr>
          <w:spacing w:val="-2"/>
          <w:lang w:val="fr-FR"/>
        </w:rPr>
        <w:t> :</w:t>
      </w:r>
    </w:p>
    <w:p w:rsidR="0058596E" w:rsidRPr="002070F1" w:rsidRDefault="0058596E" w:rsidP="0058596E">
      <w:pPr>
        <w:jc w:val="both"/>
        <w:rPr>
          <w:color w:val="000000"/>
          <w:lang w:val="fr-FR"/>
        </w:rPr>
      </w:pPr>
    </w:p>
    <w:p w:rsidR="0058596E" w:rsidRPr="002070F1" w:rsidRDefault="0058596E" w:rsidP="0058596E">
      <w:pPr>
        <w:ind w:left="709" w:hanging="709"/>
        <w:jc w:val="both"/>
        <w:rPr>
          <w:spacing w:val="-2"/>
          <w:lang w:val="fr-FR"/>
        </w:rPr>
      </w:pPr>
      <w:r w:rsidRPr="002070F1">
        <w:rPr>
          <w:color w:val="000000"/>
          <w:lang w:val="fr-FR"/>
        </w:rPr>
        <w:t xml:space="preserve">2.1 </w:t>
      </w:r>
      <w:r w:rsidRPr="002070F1">
        <w:rPr>
          <w:color w:val="000000"/>
          <w:lang w:val="fr-FR"/>
        </w:rPr>
        <w:tab/>
      </w:r>
      <w:r w:rsidRPr="002070F1">
        <w:rPr>
          <w:spacing w:val="-2"/>
          <w:lang w:val="fr-FR"/>
        </w:rPr>
        <w:t>Appliquer les procédures d’évaluation environnementale stratégique (EES) et d’EIE appropriées, lors de la planification de l’utilisation de technologies liées aux énergies renouvelables, en évitant les zones protégées existantes dans le sens le plus large ainsi que les autres sites d’importance pour les espèces migratrices ;</w:t>
      </w:r>
    </w:p>
    <w:p w:rsidR="0058596E" w:rsidRPr="002070F1" w:rsidRDefault="0058596E" w:rsidP="0058596E">
      <w:pPr>
        <w:ind w:left="709" w:hanging="709"/>
        <w:jc w:val="both"/>
        <w:rPr>
          <w:color w:val="000000"/>
          <w:lang w:val="fr-FR"/>
        </w:rPr>
      </w:pPr>
    </w:p>
    <w:p w:rsidR="0058596E" w:rsidRPr="002070F1" w:rsidRDefault="0058596E" w:rsidP="0058596E">
      <w:pPr>
        <w:ind w:left="709" w:hanging="709"/>
        <w:jc w:val="both"/>
        <w:rPr>
          <w:spacing w:val="-2"/>
          <w:lang w:val="fr-FR"/>
        </w:rPr>
      </w:pPr>
      <w:r w:rsidRPr="002070F1">
        <w:rPr>
          <w:color w:val="000000"/>
          <w:lang w:val="fr-FR"/>
        </w:rPr>
        <w:t>2.2</w:t>
      </w:r>
      <w:r w:rsidRPr="002070F1">
        <w:rPr>
          <w:color w:val="000000"/>
          <w:lang w:val="fr-FR"/>
        </w:rPr>
        <w:tab/>
      </w:r>
      <w:r w:rsidRPr="002070F1">
        <w:rPr>
          <w:spacing w:val="-2"/>
          <w:lang w:val="fr-FR"/>
        </w:rPr>
        <w:t>Mener des études et suivis appropriés, à la fois avant et après le déploiement de technologies liées aux énergies renouvelables, afin d’identifier les impacts sur les espèces migratrices et leurs habitats à court et à long terme, et d’évaluer les mesures d’atténuation ; et</w:t>
      </w:r>
    </w:p>
    <w:p w:rsidR="0058596E" w:rsidRPr="002070F1" w:rsidRDefault="0058596E" w:rsidP="0058596E">
      <w:pPr>
        <w:ind w:left="709" w:hanging="709"/>
        <w:jc w:val="both"/>
        <w:rPr>
          <w:color w:val="000000"/>
          <w:lang w:val="fr-FR"/>
        </w:rPr>
      </w:pPr>
    </w:p>
    <w:p w:rsidR="0058596E" w:rsidRPr="002070F1" w:rsidRDefault="0058596E" w:rsidP="0058596E">
      <w:pPr>
        <w:ind w:left="709" w:hanging="709"/>
        <w:jc w:val="both"/>
        <w:rPr>
          <w:spacing w:val="-2"/>
          <w:lang w:val="fr-FR"/>
        </w:rPr>
      </w:pPr>
      <w:r w:rsidRPr="002070F1">
        <w:rPr>
          <w:color w:val="000000"/>
          <w:lang w:val="fr-FR"/>
        </w:rPr>
        <w:t>2.3</w:t>
      </w:r>
      <w:r w:rsidRPr="002070F1">
        <w:rPr>
          <w:color w:val="000000"/>
          <w:lang w:val="fr-FR"/>
        </w:rPr>
        <w:tab/>
      </w:r>
      <w:r w:rsidRPr="002070F1">
        <w:rPr>
          <w:spacing w:val="-2"/>
          <w:lang w:val="fr-FR"/>
        </w:rPr>
        <w:t>Mener des études appropriées sur l’impact cumulatif, afin de décrire et de comprendre les impacts à plus grande échelle, par exemple au niveau de la population ou le long de l’ensemble d’une route migratoire (p.ex. à l’échelle de la voie de migration pour les oiseaux) ;</w:t>
      </w:r>
    </w:p>
    <w:p w:rsidR="0058596E" w:rsidRPr="002070F1" w:rsidRDefault="0058596E" w:rsidP="0058596E">
      <w:pPr>
        <w:jc w:val="both"/>
        <w:rPr>
          <w:color w:val="000000"/>
          <w:lang w:val="fr-FR"/>
        </w:rPr>
      </w:pPr>
    </w:p>
    <w:p w:rsidR="0058596E" w:rsidRPr="002070F1" w:rsidRDefault="0058596E" w:rsidP="0058596E">
      <w:pPr>
        <w:jc w:val="both"/>
        <w:rPr>
          <w:spacing w:val="-2"/>
          <w:lang w:val="fr-FR"/>
        </w:rPr>
      </w:pPr>
      <w:r w:rsidRPr="002070F1">
        <w:rPr>
          <w:color w:val="000000"/>
          <w:lang w:val="fr-FR"/>
        </w:rPr>
        <w:t xml:space="preserve">3. </w:t>
      </w:r>
      <w:r w:rsidRPr="002070F1">
        <w:rPr>
          <w:color w:val="000000"/>
          <w:lang w:val="fr-FR"/>
        </w:rPr>
        <w:tab/>
      </w:r>
      <w:r w:rsidRPr="002070F1">
        <w:rPr>
          <w:i/>
          <w:spacing w:val="-2"/>
          <w:lang w:val="fr-FR"/>
        </w:rPr>
        <w:t>Prie instamment</w:t>
      </w:r>
      <w:r w:rsidRPr="002070F1">
        <w:rPr>
          <w:spacing w:val="-2"/>
          <w:lang w:val="fr-FR"/>
        </w:rPr>
        <w:t xml:space="preserve"> les Parties de mettre en œuvre, le cas échéant, les priorités suivantes dans leur déploiement de technologies liées aux énergies renouvelables :</w:t>
      </w:r>
    </w:p>
    <w:p w:rsidR="0058596E" w:rsidRPr="002070F1" w:rsidRDefault="0058596E" w:rsidP="0058596E">
      <w:pPr>
        <w:jc w:val="both"/>
        <w:rPr>
          <w:color w:val="000000"/>
          <w:lang w:val="fr-FR"/>
        </w:rPr>
      </w:pPr>
    </w:p>
    <w:p w:rsidR="0058596E" w:rsidRPr="002070F1" w:rsidRDefault="0058596E" w:rsidP="0058596E">
      <w:pPr>
        <w:ind w:left="709" w:hanging="709"/>
        <w:jc w:val="both"/>
        <w:rPr>
          <w:spacing w:val="-2"/>
          <w:lang w:val="fr-FR"/>
        </w:rPr>
      </w:pPr>
      <w:r w:rsidRPr="002070F1">
        <w:rPr>
          <w:color w:val="000000"/>
          <w:lang w:val="fr-FR"/>
        </w:rPr>
        <w:t xml:space="preserve">3.1 </w:t>
      </w:r>
      <w:r w:rsidRPr="002070F1">
        <w:rPr>
          <w:color w:val="000000"/>
          <w:lang w:val="fr-FR"/>
        </w:rPr>
        <w:tab/>
      </w:r>
      <w:r w:rsidRPr="002070F1">
        <w:rPr>
          <w:b/>
          <w:spacing w:val="-2"/>
          <w:lang w:val="fr-FR"/>
        </w:rPr>
        <w:t>Énergie éolienne</w:t>
      </w:r>
      <w:r w:rsidRPr="002070F1">
        <w:rPr>
          <w:spacing w:val="-2"/>
          <w:lang w:val="fr-FR"/>
        </w:rPr>
        <w:t xml:space="preserve"> : entreprendre une planification approfondie des aménagements, en portant une attention particulière à la mortalité des oiseaux (notamment des espèces </w:t>
      </w:r>
      <w:proofErr w:type="spellStart"/>
      <w:r w:rsidRPr="002070F1">
        <w:rPr>
          <w:spacing w:val="-2"/>
          <w:lang w:val="fr-FR"/>
        </w:rPr>
        <w:t>longévives</w:t>
      </w:r>
      <w:proofErr w:type="spellEnd"/>
      <w:r w:rsidRPr="002070F1">
        <w:rPr>
          <w:spacing w:val="-2"/>
          <w:lang w:val="fr-FR"/>
        </w:rPr>
        <w:t xml:space="preserve"> ayant une faible fécondité) et des chauves-souris par collision avec les éoliennes, et au risque accru de mortalité des cétacés dû à la diminution permanente de leur fonctions auditives, et examiner les moyens de réduire le dérangement des espèces concernées et les impacts sur leurs déplacements, y compris par l’application de mesures telles que « l’arrêt à la demande », le cas échéant ;</w:t>
      </w:r>
    </w:p>
    <w:p w:rsidR="0058596E" w:rsidRPr="002070F1" w:rsidRDefault="0058596E" w:rsidP="0058596E">
      <w:pPr>
        <w:ind w:left="709" w:hanging="709"/>
        <w:jc w:val="both"/>
        <w:rPr>
          <w:color w:val="000000"/>
          <w:lang w:val="fr-FR"/>
        </w:rPr>
      </w:pPr>
    </w:p>
    <w:p w:rsidR="0058596E" w:rsidRPr="002070F1" w:rsidRDefault="0058596E" w:rsidP="0058596E">
      <w:pPr>
        <w:ind w:left="709" w:hanging="709"/>
        <w:jc w:val="both"/>
        <w:rPr>
          <w:spacing w:val="-2"/>
          <w:lang w:val="fr-FR"/>
        </w:rPr>
      </w:pPr>
      <w:r w:rsidRPr="002070F1">
        <w:rPr>
          <w:color w:val="000000"/>
          <w:lang w:val="fr-FR"/>
        </w:rPr>
        <w:t>3.2</w:t>
      </w:r>
      <w:r w:rsidRPr="002070F1">
        <w:rPr>
          <w:color w:val="000000"/>
          <w:lang w:val="fr-FR"/>
        </w:rPr>
        <w:tab/>
      </w:r>
      <w:r w:rsidRPr="002070F1">
        <w:rPr>
          <w:b/>
          <w:spacing w:val="-2"/>
          <w:lang w:val="fr-FR"/>
        </w:rPr>
        <w:t>Énergie solaire</w:t>
      </w:r>
      <w:r w:rsidRPr="002070F1">
        <w:rPr>
          <w:spacing w:val="-2"/>
          <w:lang w:val="fr-FR"/>
        </w:rPr>
        <w:t> : éviter les zones protégées afin de limiter davantage les impacts du déploiement de centrales solaires ;</w:t>
      </w:r>
    </w:p>
    <w:p w:rsidR="0058596E" w:rsidRPr="002070F1" w:rsidRDefault="0058596E" w:rsidP="0058596E">
      <w:pPr>
        <w:ind w:left="709" w:hanging="709"/>
        <w:jc w:val="both"/>
        <w:rPr>
          <w:color w:val="000000"/>
          <w:lang w:val="fr-FR"/>
        </w:rPr>
      </w:pPr>
    </w:p>
    <w:p w:rsidR="0058596E" w:rsidRPr="002070F1" w:rsidRDefault="0058596E" w:rsidP="0058596E">
      <w:pPr>
        <w:ind w:left="709" w:hanging="709"/>
        <w:jc w:val="both"/>
        <w:rPr>
          <w:spacing w:val="-2"/>
          <w:lang w:val="fr-FR"/>
        </w:rPr>
      </w:pPr>
      <w:r w:rsidRPr="002070F1">
        <w:rPr>
          <w:color w:val="000000"/>
          <w:lang w:val="fr-FR"/>
        </w:rPr>
        <w:t xml:space="preserve">3.3 </w:t>
      </w:r>
      <w:r w:rsidRPr="002070F1">
        <w:rPr>
          <w:color w:val="000000"/>
          <w:lang w:val="fr-FR"/>
        </w:rPr>
        <w:tab/>
      </w:r>
      <w:r w:rsidRPr="002070F1">
        <w:rPr>
          <w:b/>
          <w:spacing w:val="-2"/>
          <w:lang w:val="fr-FR"/>
        </w:rPr>
        <w:t>Énergie marine</w:t>
      </w:r>
      <w:r w:rsidRPr="002070F1">
        <w:rPr>
          <w:spacing w:val="-2"/>
          <w:lang w:val="fr-FR"/>
        </w:rPr>
        <w:t> : prêter attention aux effets possibles de l’augmentation du bruit et des perturbations du champ électromagnétique sur les espèces migratrices, en particulier lors des travaux de construction dans les habitats côtiers, ainsi qu’aux risques de blessures;</w:t>
      </w:r>
    </w:p>
    <w:p w:rsidR="0058596E" w:rsidRPr="002070F1" w:rsidRDefault="0058596E" w:rsidP="0058596E">
      <w:pPr>
        <w:ind w:left="709" w:hanging="709"/>
        <w:jc w:val="both"/>
        <w:rPr>
          <w:color w:val="000000"/>
          <w:lang w:val="fr-FR"/>
        </w:rPr>
      </w:pPr>
    </w:p>
    <w:p w:rsidR="0058596E" w:rsidRPr="002070F1" w:rsidRDefault="0058596E" w:rsidP="0058596E">
      <w:pPr>
        <w:ind w:left="709" w:hanging="709"/>
        <w:jc w:val="both"/>
        <w:rPr>
          <w:spacing w:val="-2"/>
          <w:lang w:val="fr-FR"/>
        </w:rPr>
      </w:pPr>
      <w:r w:rsidRPr="002070F1">
        <w:rPr>
          <w:color w:val="000000"/>
          <w:lang w:val="fr-FR"/>
        </w:rPr>
        <w:t>3.4</w:t>
      </w:r>
      <w:r w:rsidRPr="002070F1">
        <w:rPr>
          <w:color w:val="000000"/>
          <w:lang w:val="fr-FR"/>
        </w:rPr>
        <w:tab/>
      </w:r>
      <w:r w:rsidRPr="002070F1">
        <w:rPr>
          <w:b/>
          <w:spacing w:val="-2"/>
          <w:lang w:val="fr-FR"/>
        </w:rPr>
        <w:t>Énergie hydraulique :</w:t>
      </w:r>
      <w:r w:rsidRPr="002070F1">
        <w:rPr>
          <w:spacing w:val="-2"/>
          <w:lang w:val="fr-FR"/>
        </w:rPr>
        <w:t xml:space="preserve"> prendre des mesures pour réduire ou atténuer les impacts graves connus affectant les déplacements des espèces aquatiques migratrices, telles que l’installation de passes à poissons ; et</w:t>
      </w:r>
    </w:p>
    <w:p w:rsidR="0058596E" w:rsidRPr="002070F1" w:rsidRDefault="0058596E" w:rsidP="0058596E">
      <w:pPr>
        <w:ind w:left="709" w:hanging="709"/>
        <w:jc w:val="both"/>
        <w:rPr>
          <w:color w:val="000000"/>
          <w:lang w:val="fr-FR"/>
        </w:rPr>
      </w:pPr>
    </w:p>
    <w:p w:rsidR="0058596E" w:rsidRPr="002070F1" w:rsidRDefault="0058596E" w:rsidP="0058596E">
      <w:pPr>
        <w:ind w:left="709" w:hanging="709"/>
        <w:jc w:val="both"/>
        <w:rPr>
          <w:spacing w:val="-2"/>
          <w:lang w:val="fr-FR"/>
        </w:rPr>
      </w:pPr>
      <w:r w:rsidRPr="002070F1">
        <w:rPr>
          <w:color w:val="000000"/>
          <w:lang w:val="fr-FR"/>
        </w:rPr>
        <w:t>3.5</w:t>
      </w:r>
      <w:r w:rsidRPr="002070F1">
        <w:rPr>
          <w:color w:val="000000"/>
          <w:lang w:val="fr-FR"/>
        </w:rPr>
        <w:tab/>
      </w:r>
      <w:r w:rsidRPr="002070F1">
        <w:rPr>
          <w:b/>
          <w:spacing w:val="-2"/>
          <w:lang w:val="fr-FR"/>
        </w:rPr>
        <w:t>Énergie géothermique :</w:t>
      </w:r>
      <w:r w:rsidRPr="002070F1">
        <w:rPr>
          <w:spacing w:val="-2"/>
          <w:lang w:val="fr-FR"/>
        </w:rPr>
        <w:t xml:space="preserve"> éviter la perte d’habitats, la perturbation et les effets d’obstacle afin de maintenir les impacts environnementaux globaux à leur faible niveau actuel ;</w:t>
      </w:r>
    </w:p>
    <w:p w:rsidR="0058596E" w:rsidRPr="002070F1" w:rsidRDefault="0058596E" w:rsidP="0058596E">
      <w:pPr>
        <w:jc w:val="both"/>
        <w:rPr>
          <w:color w:val="000000"/>
          <w:lang w:val="fr-FR"/>
        </w:rPr>
      </w:pPr>
    </w:p>
    <w:p w:rsidR="0058596E" w:rsidRPr="002070F1" w:rsidRDefault="0058596E" w:rsidP="0058596E">
      <w:pPr>
        <w:jc w:val="both"/>
        <w:rPr>
          <w:spacing w:val="-2"/>
          <w:lang w:val="fr-FR"/>
        </w:rPr>
      </w:pPr>
      <w:r w:rsidRPr="002070F1">
        <w:rPr>
          <w:color w:val="000000"/>
          <w:lang w:val="fr-FR"/>
        </w:rPr>
        <w:t xml:space="preserve">4. </w:t>
      </w:r>
      <w:r w:rsidRPr="002070F1">
        <w:rPr>
          <w:color w:val="000000"/>
          <w:lang w:val="fr-FR"/>
        </w:rPr>
        <w:tab/>
      </w:r>
      <w:r w:rsidRPr="002070F1">
        <w:rPr>
          <w:i/>
          <w:spacing w:val="-2"/>
          <w:lang w:val="fr-FR"/>
        </w:rPr>
        <w:t>Charge</w:t>
      </w:r>
      <w:r w:rsidRPr="002070F1">
        <w:rPr>
          <w:spacing w:val="-2"/>
          <w:lang w:val="fr-FR"/>
        </w:rPr>
        <w:t xml:space="preserve"> le Secrétariat de réunir un Groupe de travail multi-acteurs sur la conciliation de certains développements du secteur de l’énergie avec la conservation des espèces migratrices (le Groupe de travail sur l’énergie), afin de :</w:t>
      </w:r>
    </w:p>
    <w:p w:rsidR="0058596E" w:rsidRPr="002070F1" w:rsidRDefault="0058596E" w:rsidP="0058596E">
      <w:pPr>
        <w:widowControl w:val="0"/>
        <w:numPr>
          <w:ilvl w:val="0"/>
          <w:numId w:val="17"/>
        </w:numPr>
        <w:autoSpaceDE w:val="0"/>
        <w:autoSpaceDN w:val="0"/>
        <w:adjustRightInd w:val="0"/>
        <w:ind w:hanging="720"/>
        <w:contextualSpacing/>
        <w:jc w:val="both"/>
        <w:rPr>
          <w:spacing w:val="-2"/>
          <w:lang w:val="fr-FR"/>
        </w:rPr>
      </w:pPr>
      <w:r w:rsidRPr="002070F1">
        <w:rPr>
          <w:spacing w:val="-2"/>
          <w:lang w:val="fr-FR"/>
        </w:rPr>
        <w:t>Promouvoir les avantages issus des décisions existantes ;</w:t>
      </w:r>
    </w:p>
    <w:p w:rsidR="0058596E" w:rsidRPr="002070F1" w:rsidRDefault="0058596E" w:rsidP="0058596E">
      <w:pPr>
        <w:widowControl w:val="0"/>
        <w:numPr>
          <w:ilvl w:val="0"/>
          <w:numId w:val="17"/>
        </w:numPr>
        <w:autoSpaceDE w:val="0"/>
        <w:autoSpaceDN w:val="0"/>
        <w:adjustRightInd w:val="0"/>
        <w:ind w:hanging="720"/>
        <w:contextualSpacing/>
        <w:jc w:val="both"/>
        <w:rPr>
          <w:spacing w:val="-2"/>
          <w:lang w:val="fr-FR"/>
        </w:rPr>
      </w:pPr>
      <w:r w:rsidRPr="002070F1">
        <w:rPr>
          <w:spacing w:val="-2"/>
          <w:lang w:val="fr-FR"/>
        </w:rPr>
        <w:t>Encourager les Parties à mettre en œuvre les orientations et décisions actuelles ;</w:t>
      </w:r>
    </w:p>
    <w:p w:rsidR="0058596E" w:rsidRPr="002070F1" w:rsidRDefault="0058596E" w:rsidP="0058596E">
      <w:pPr>
        <w:widowControl w:val="0"/>
        <w:numPr>
          <w:ilvl w:val="0"/>
          <w:numId w:val="17"/>
        </w:numPr>
        <w:autoSpaceDE w:val="0"/>
        <w:autoSpaceDN w:val="0"/>
        <w:adjustRightInd w:val="0"/>
        <w:ind w:hanging="720"/>
        <w:contextualSpacing/>
        <w:jc w:val="both"/>
        <w:rPr>
          <w:spacing w:val="-2"/>
          <w:lang w:val="fr-FR"/>
        </w:rPr>
      </w:pPr>
      <w:r w:rsidRPr="002070F1">
        <w:rPr>
          <w:spacing w:val="-2"/>
          <w:lang w:val="fr-FR"/>
        </w:rPr>
        <w:t>Développer de nouvelles lignes directrices et plans d’action nécessaires, le cas échéant ;</w:t>
      </w:r>
    </w:p>
    <w:p w:rsidR="0058596E" w:rsidRPr="002070F1" w:rsidRDefault="0058596E" w:rsidP="0058596E">
      <w:pPr>
        <w:widowControl w:val="0"/>
        <w:numPr>
          <w:ilvl w:val="0"/>
          <w:numId w:val="17"/>
        </w:numPr>
        <w:autoSpaceDE w:val="0"/>
        <w:autoSpaceDN w:val="0"/>
        <w:adjustRightInd w:val="0"/>
        <w:ind w:hanging="720"/>
        <w:contextualSpacing/>
        <w:jc w:val="both"/>
        <w:rPr>
          <w:spacing w:val="-2"/>
          <w:lang w:val="fr-FR"/>
        </w:rPr>
      </w:pPr>
      <w:r w:rsidRPr="002070F1">
        <w:rPr>
          <w:spacing w:val="-2"/>
          <w:lang w:val="fr-FR"/>
        </w:rPr>
        <w:t>Faire des recommandations sur les réponses appropriées aux problèmes spécifiques et aux lacunes dans les connaissances ;</w:t>
      </w:r>
    </w:p>
    <w:p w:rsidR="0058596E" w:rsidRPr="002070F1" w:rsidRDefault="0058596E" w:rsidP="0058596E">
      <w:pPr>
        <w:contextualSpacing/>
        <w:jc w:val="both"/>
        <w:rPr>
          <w:spacing w:val="-2"/>
          <w:lang w:val="fr-FR"/>
        </w:rPr>
      </w:pPr>
      <w:proofErr w:type="gramStart"/>
      <w:r w:rsidRPr="002070F1">
        <w:rPr>
          <w:spacing w:val="-2"/>
          <w:lang w:val="fr-FR"/>
        </w:rPr>
        <w:lastRenderedPageBreak/>
        <w:t>et</w:t>
      </w:r>
      <w:proofErr w:type="gramEnd"/>
      <w:r w:rsidRPr="002070F1">
        <w:rPr>
          <w:spacing w:val="-2"/>
          <w:lang w:val="fr-FR"/>
        </w:rPr>
        <w:t xml:space="preserve"> de convoquer le Groupe de travail sur l’énergie, pour travailler en collaboration avec les Secrétariats de l’AEWA, d’autres instruments pertinents de la CMS et des conventions de Berne et de </w:t>
      </w:r>
      <w:proofErr w:type="spellStart"/>
      <w:r w:rsidRPr="002070F1">
        <w:rPr>
          <w:spacing w:val="-2"/>
          <w:lang w:val="fr-FR"/>
        </w:rPr>
        <w:t>Ramsar</w:t>
      </w:r>
      <w:proofErr w:type="spellEnd"/>
      <w:r w:rsidRPr="002070F1">
        <w:rPr>
          <w:spacing w:val="-2"/>
          <w:lang w:val="fr-FR"/>
        </w:rPr>
        <w:t>, en associant les Parties et d’autres parties prenantes telles que les ONG et le secteur de l’énergie, conformément aux termes de référence présentés en annexe ;</w:t>
      </w:r>
    </w:p>
    <w:p w:rsidR="0058596E" w:rsidRPr="002070F1" w:rsidRDefault="0058596E" w:rsidP="0058596E">
      <w:pPr>
        <w:jc w:val="both"/>
        <w:rPr>
          <w:color w:val="000000"/>
          <w:lang w:val="fr-FR"/>
        </w:rPr>
      </w:pPr>
    </w:p>
    <w:p w:rsidR="0058596E" w:rsidRPr="002070F1" w:rsidRDefault="0058596E" w:rsidP="0058596E">
      <w:pPr>
        <w:jc w:val="both"/>
        <w:rPr>
          <w:spacing w:val="-2"/>
          <w:lang w:val="fr-FR"/>
        </w:rPr>
      </w:pPr>
      <w:r w:rsidRPr="002070F1">
        <w:rPr>
          <w:color w:val="000000"/>
          <w:lang w:val="fr-FR"/>
        </w:rPr>
        <w:t xml:space="preserve">5. </w:t>
      </w:r>
      <w:r w:rsidRPr="002070F1">
        <w:rPr>
          <w:color w:val="000000"/>
          <w:lang w:val="fr-FR"/>
        </w:rPr>
        <w:tab/>
      </w:r>
      <w:r w:rsidRPr="002070F1">
        <w:rPr>
          <w:i/>
          <w:spacing w:val="-2"/>
          <w:lang w:val="fr-FR"/>
        </w:rPr>
        <w:t>Prie instamment</w:t>
      </w:r>
      <w:r w:rsidRPr="002070F1">
        <w:rPr>
          <w:spacing w:val="-2"/>
          <w:lang w:val="fr-FR"/>
        </w:rPr>
        <w:t xml:space="preserve"> les Parties et </w:t>
      </w:r>
      <w:r w:rsidRPr="002070F1">
        <w:rPr>
          <w:i/>
          <w:spacing w:val="-2"/>
          <w:lang w:val="fr-FR"/>
        </w:rPr>
        <w:t>invite</w:t>
      </w:r>
      <w:r w:rsidRPr="002070F1">
        <w:rPr>
          <w:spacing w:val="-2"/>
          <w:lang w:val="fr-FR"/>
        </w:rPr>
        <w:t xml:space="preserve"> le PNUE et les autres organisations internationales, les donateurs bilatéraux et multilatéraux, ainsi que les représentants du secteur de l’énergie, à soutenir financièrement les actions du Groupe de travail sur l’énergie, y compris par le financement de sa coordination et par un appui financier aux pays en développement pour le renforcement des capacités en la matière et pour la mise en œuvre des orientations pertinentes ; et</w:t>
      </w:r>
    </w:p>
    <w:p w:rsidR="0058596E" w:rsidRPr="002070F1" w:rsidRDefault="0058596E" w:rsidP="0058596E">
      <w:pPr>
        <w:jc w:val="both"/>
        <w:rPr>
          <w:color w:val="000000"/>
          <w:lang w:val="fr-FR"/>
        </w:rPr>
      </w:pPr>
    </w:p>
    <w:p w:rsidR="0058596E" w:rsidRPr="002070F1" w:rsidRDefault="0058596E" w:rsidP="0058596E">
      <w:pPr>
        <w:jc w:val="both"/>
        <w:rPr>
          <w:spacing w:val="-2"/>
          <w:lang w:val="fr-FR"/>
        </w:rPr>
      </w:pPr>
      <w:r w:rsidRPr="002070F1">
        <w:rPr>
          <w:color w:val="000000"/>
          <w:lang w:val="fr-FR"/>
        </w:rPr>
        <w:t xml:space="preserve">6. </w:t>
      </w:r>
      <w:r w:rsidRPr="002070F1">
        <w:rPr>
          <w:color w:val="000000"/>
          <w:lang w:val="fr-FR"/>
        </w:rPr>
        <w:tab/>
      </w:r>
      <w:r w:rsidRPr="002070F1">
        <w:rPr>
          <w:i/>
          <w:spacing w:val="-2"/>
          <w:lang w:val="fr-FR"/>
        </w:rPr>
        <w:t>Charge</w:t>
      </w:r>
      <w:r w:rsidRPr="002070F1">
        <w:rPr>
          <w:spacing w:val="-2"/>
          <w:lang w:val="fr-FR"/>
        </w:rPr>
        <w:t xml:space="preserve"> le Secrétariat de rendre compte des progrès au nom de Groupe de travail sur l’énergie, y compris sur la mise en œuvre et, autant que possible, sur l’évaluation de l’efficacité des mesures prises, à la COP12 en 2017.</w:t>
      </w:r>
    </w:p>
    <w:p w:rsidR="0058596E" w:rsidRPr="002070F1" w:rsidRDefault="0058596E" w:rsidP="0058596E">
      <w:pPr>
        <w:jc w:val="both"/>
        <w:rPr>
          <w:color w:val="000000"/>
          <w:lang w:val="fr-FR"/>
        </w:rPr>
      </w:pPr>
    </w:p>
    <w:p w:rsidR="0058596E" w:rsidRPr="002070F1" w:rsidRDefault="0058596E" w:rsidP="0058596E">
      <w:pPr>
        <w:pBdr>
          <w:top w:val="single" w:sz="6" w:space="0" w:color="FFFFFF"/>
          <w:left w:val="single" w:sz="6" w:space="0" w:color="FFFFFF"/>
          <w:bottom w:val="single" w:sz="6" w:space="0" w:color="FFFFFF"/>
          <w:right w:val="single" w:sz="6" w:space="0" w:color="FFFFFF"/>
        </w:pBdr>
        <w:jc w:val="both"/>
        <w:outlineLvl w:val="1"/>
        <w:rPr>
          <w:b/>
          <w:caps/>
          <w:color w:val="000000"/>
          <w:sz w:val="22"/>
          <w:lang w:val="fr-FR"/>
        </w:rPr>
        <w:sectPr w:rsidR="0058596E" w:rsidRPr="002070F1" w:rsidSect="00AE7B21">
          <w:headerReference w:type="even" r:id="rId22"/>
          <w:headerReference w:type="default" r:id="rId23"/>
          <w:headerReference w:type="first" r:id="rId24"/>
          <w:endnotePr>
            <w:numFmt w:val="decimal"/>
          </w:endnotePr>
          <w:pgSz w:w="11905" w:h="16837" w:code="9"/>
          <w:pgMar w:top="1418" w:right="1418" w:bottom="1418" w:left="1418" w:header="510" w:footer="510" w:gutter="0"/>
          <w:cols w:space="720"/>
          <w:noEndnote/>
          <w:titlePg/>
        </w:sectPr>
      </w:pPr>
    </w:p>
    <w:p w:rsidR="0058596E" w:rsidRPr="00F7177E" w:rsidRDefault="0058596E" w:rsidP="0058596E">
      <w:pPr>
        <w:pBdr>
          <w:top w:val="single" w:sz="6" w:space="0" w:color="FFFFFF"/>
          <w:left w:val="single" w:sz="6" w:space="0" w:color="FFFFFF"/>
          <w:bottom w:val="single" w:sz="6" w:space="0" w:color="FFFFFF"/>
          <w:right w:val="single" w:sz="6" w:space="0" w:color="FFFFFF"/>
        </w:pBdr>
        <w:jc w:val="right"/>
        <w:outlineLvl w:val="1"/>
        <w:rPr>
          <w:b/>
          <w:caps/>
          <w:color w:val="000000"/>
          <w:szCs w:val="24"/>
          <w:lang w:val="fr-FR"/>
        </w:rPr>
      </w:pPr>
      <w:r w:rsidRPr="00F7177E">
        <w:rPr>
          <w:b/>
          <w:caps/>
          <w:color w:val="000000"/>
          <w:szCs w:val="24"/>
          <w:lang w:val="fr-FR"/>
        </w:rPr>
        <w:lastRenderedPageBreak/>
        <w:t>A</w:t>
      </w:r>
      <w:r w:rsidRPr="00F7177E">
        <w:rPr>
          <w:b/>
          <w:color w:val="000000"/>
          <w:szCs w:val="24"/>
          <w:lang w:val="fr-FR"/>
        </w:rPr>
        <w:t>nnexe au projet de résolution</w:t>
      </w:r>
    </w:p>
    <w:p w:rsidR="0058596E" w:rsidRPr="00F7177E" w:rsidRDefault="0058596E" w:rsidP="0058596E">
      <w:pPr>
        <w:pBdr>
          <w:top w:val="single" w:sz="6" w:space="0" w:color="FFFFFF"/>
          <w:left w:val="single" w:sz="6" w:space="0" w:color="FFFFFF"/>
          <w:bottom w:val="single" w:sz="6" w:space="0" w:color="FFFFFF"/>
          <w:right w:val="single" w:sz="6" w:space="0" w:color="FFFFFF"/>
        </w:pBdr>
        <w:jc w:val="both"/>
        <w:outlineLvl w:val="1"/>
        <w:rPr>
          <w:b/>
          <w:color w:val="000000"/>
          <w:szCs w:val="24"/>
          <w:lang w:val="fr-FR"/>
        </w:rPr>
      </w:pPr>
    </w:p>
    <w:p w:rsidR="0058596E" w:rsidRPr="00F7177E" w:rsidRDefault="0058596E" w:rsidP="0058596E">
      <w:pPr>
        <w:contextualSpacing/>
        <w:jc w:val="both"/>
        <w:rPr>
          <w:b/>
          <w:spacing w:val="-2"/>
          <w:szCs w:val="24"/>
          <w:lang w:val="fr-FR"/>
        </w:rPr>
      </w:pPr>
      <w:r w:rsidRPr="00F7177E">
        <w:rPr>
          <w:b/>
          <w:spacing w:val="-2"/>
          <w:szCs w:val="24"/>
          <w:lang w:val="fr-FR"/>
        </w:rPr>
        <w:t>Termes de référence du Groupe de travail multi-acteurs sur la conciliation de certains développements du secteur de l’énergie avec la conservation des espèces migratrices (</w:t>
      </w:r>
      <w:r w:rsidRPr="00F7177E">
        <w:rPr>
          <w:b/>
          <w:i/>
          <w:spacing w:val="-2"/>
          <w:szCs w:val="24"/>
          <w:lang w:val="fr-FR"/>
        </w:rPr>
        <w:t>Groupe de travail sur l’énergie</w:t>
      </w:r>
      <w:r w:rsidRPr="00F7177E">
        <w:rPr>
          <w:b/>
          <w:spacing w:val="-2"/>
          <w:szCs w:val="24"/>
          <w:lang w:val="fr-FR"/>
        </w:rPr>
        <w:t>)</w:t>
      </w:r>
    </w:p>
    <w:p w:rsidR="0058596E" w:rsidRPr="00F7177E" w:rsidRDefault="0058596E" w:rsidP="0058596E">
      <w:pPr>
        <w:jc w:val="both"/>
        <w:rPr>
          <w:color w:val="000000"/>
          <w:szCs w:val="24"/>
          <w:lang w:val="fr-FR"/>
        </w:rPr>
      </w:pPr>
    </w:p>
    <w:p w:rsidR="0058596E" w:rsidRPr="00F7177E" w:rsidRDefault="0058596E" w:rsidP="0058596E">
      <w:pPr>
        <w:widowControl w:val="0"/>
        <w:numPr>
          <w:ilvl w:val="0"/>
          <w:numId w:val="15"/>
        </w:numPr>
        <w:autoSpaceDE w:val="0"/>
        <w:autoSpaceDN w:val="0"/>
        <w:adjustRightInd w:val="0"/>
        <w:contextualSpacing/>
        <w:jc w:val="both"/>
        <w:rPr>
          <w:b/>
          <w:color w:val="000000"/>
          <w:szCs w:val="24"/>
          <w:lang w:val="fr-FR"/>
        </w:rPr>
      </w:pPr>
      <w:r w:rsidRPr="00F7177E">
        <w:rPr>
          <w:b/>
          <w:color w:val="000000"/>
          <w:szCs w:val="24"/>
          <w:lang w:val="fr-FR"/>
        </w:rPr>
        <w:t xml:space="preserve">Contexte et objectif </w:t>
      </w:r>
    </w:p>
    <w:p w:rsidR="0058596E" w:rsidRPr="00F7177E" w:rsidRDefault="0058596E" w:rsidP="0058596E">
      <w:pPr>
        <w:contextualSpacing/>
        <w:jc w:val="both"/>
        <w:rPr>
          <w:color w:val="000000"/>
          <w:szCs w:val="24"/>
          <w:lang w:val="fr-FR"/>
        </w:rPr>
      </w:pPr>
    </w:p>
    <w:p w:rsidR="0058596E" w:rsidRPr="00F7177E" w:rsidRDefault="0058596E" w:rsidP="0058596E">
      <w:pPr>
        <w:contextualSpacing/>
        <w:jc w:val="both"/>
        <w:rPr>
          <w:color w:val="000000"/>
          <w:szCs w:val="24"/>
          <w:lang w:val="fr-FR"/>
        </w:rPr>
      </w:pPr>
      <w:r w:rsidRPr="00F7177E">
        <w:rPr>
          <w:color w:val="000000"/>
          <w:szCs w:val="24"/>
          <w:lang w:val="fr-FR"/>
        </w:rPr>
        <w:t>Le Groupe de travail sur l’énergie est convoqué conformément au mandat prévu par la résolution 11</w:t>
      </w:r>
      <w:r w:rsidRPr="00F7177E">
        <w:rPr>
          <w:color w:val="000000"/>
          <w:szCs w:val="24"/>
          <w:highlight w:val="yellow"/>
          <w:lang w:val="fr-FR"/>
        </w:rPr>
        <w:t>.##</w:t>
      </w:r>
      <w:r w:rsidRPr="00F7177E">
        <w:rPr>
          <w:color w:val="000000"/>
          <w:szCs w:val="24"/>
          <w:lang w:val="fr-FR"/>
        </w:rPr>
        <w:t xml:space="preserve"> de la CMS, afin d’aider les Parties ou Signataires de la CMS, de l’AEWA, d’EUROBATS, de l’ASCOBANS, de l’ACCOBAMS, du </w:t>
      </w:r>
      <w:proofErr w:type="spellStart"/>
      <w:r w:rsidRPr="00F7177E">
        <w:rPr>
          <w:color w:val="000000"/>
          <w:szCs w:val="24"/>
          <w:lang w:val="fr-FR"/>
        </w:rPr>
        <w:t>MdE</w:t>
      </w:r>
      <w:proofErr w:type="spellEnd"/>
      <w:r w:rsidRPr="00F7177E">
        <w:rPr>
          <w:color w:val="000000"/>
          <w:szCs w:val="24"/>
          <w:lang w:val="fr-FR"/>
        </w:rPr>
        <w:t xml:space="preserve"> Rapaces, de la Convention de Berne, de la Convention de </w:t>
      </w:r>
      <w:proofErr w:type="spellStart"/>
      <w:r w:rsidRPr="00F7177E">
        <w:rPr>
          <w:color w:val="000000"/>
          <w:szCs w:val="24"/>
          <w:lang w:val="fr-FR"/>
        </w:rPr>
        <w:t>Ramsar</w:t>
      </w:r>
      <w:proofErr w:type="spellEnd"/>
      <w:r w:rsidRPr="00F7177E">
        <w:rPr>
          <w:color w:val="000000"/>
          <w:szCs w:val="24"/>
          <w:lang w:val="fr-FR"/>
        </w:rPr>
        <w:t xml:space="preserve"> et d’autres AEM pertinents à s’acquitter de leurs obligations visant à éviter ou atténuer les possibles effets négatifs des développements du secteur de l’énergie sur les espèces migratrices.</w:t>
      </w:r>
    </w:p>
    <w:p w:rsidR="0058596E" w:rsidRPr="00F7177E" w:rsidRDefault="0058596E" w:rsidP="0058596E">
      <w:pPr>
        <w:contextualSpacing/>
        <w:jc w:val="both"/>
        <w:rPr>
          <w:color w:val="000000"/>
          <w:szCs w:val="24"/>
          <w:lang w:val="fr-FR"/>
        </w:rPr>
      </w:pPr>
    </w:p>
    <w:p w:rsidR="0058596E" w:rsidRPr="00F7177E" w:rsidRDefault="0058596E" w:rsidP="0058596E">
      <w:pPr>
        <w:widowControl w:val="0"/>
        <w:numPr>
          <w:ilvl w:val="0"/>
          <w:numId w:val="15"/>
        </w:numPr>
        <w:jc w:val="both"/>
        <w:outlineLvl w:val="2"/>
        <w:rPr>
          <w:b/>
          <w:color w:val="000000"/>
          <w:szCs w:val="24"/>
          <w:lang w:val="fr-FR"/>
        </w:rPr>
      </w:pPr>
      <w:r w:rsidRPr="00F7177E">
        <w:rPr>
          <w:b/>
          <w:color w:val="000000"/>
          <w:szCs w:val="24"/>
          <w:lang w:val="fr-FR"/>
        </w:rPr>
        <w:t xml:space="preserve">But </w:t>
      </w:r>
    </w:p>
    <w:p w:rsidR="0058596E" w:rsidRPr="00F7177E" w:rsidRDefault="0058596E" w:rsidP="0058596E">
      <w:pPr>
        <w:jc w:val="both"/>
        <w:rPr>
          <w:color w:val="000000"/>
          <w:szCs w:val="24"/>
          <w:lang w:val="fr-FR"/>
        </w:rPr>
      </w:pPr>
    </w:p>
    <w:p w:rsidR="0058596E" w:rsidRPr="00F7177E" w:rsidRDefault="0058596E" w:rsidP="0058596E">
      <w:pPr>
        <w:contextualSpacing/>
        <w:jc w:val="both"/>
        <w:rPr>
          <w:color w:val="000000"/>
          <w:szCs w:val="24"/>
          <w:lang w:val="fr-FR"/>
        </w:rPr>
      </w:pPr>
      <w:r w:rsidRPr="00F7177E">
        <w:rPr>
          <w:color w:val="000000"/>
          <w:szCs w:val="24"/>
          <w:lang w:val="fr-FR"/>
        </w:rPr>
        <w:t>Tous les développements du secteur de l’énergie sont réalisés de telle sorte que les impacts négatifs sur les espèces migratrices sont évités.</w:t>
      </w:r>
    </w:p>
    <w:p w:rsidR="0058596E" w:rsidRPr="00F7177E" w:rsidRDefault="0058596E" w:rsidP="0058596E">
      <w:pPr>
        <w:jc w:val="both"/>
        <w:rPr>
          <w:color w:val="000000"/>
          <w:szCs w:val="24"/>
          <w:lang w:val="fr-FR"/>
        </w:rPr>
      </w:pPr>
    </w:p>
    <w:p w:rsidR="0058596E" w:rsidRPr="00F7177E" w:rsidRDefault="0058596E" w:rsidP="0058596E">
      <w:pPr>
        <w:pStyle w:val="ListParagraph"/>
        <w:widowControl w:val="0"/>
        <w:numPr>
          <w:ilvl w:val="0"/>
          <w:numId w:val="15"/>
        </w:numPr>
        <w:autoSpaceDE w:val="0"/>
        <w:autoSpaceDN w:val="0"/>
        <w:adjustRightInd w:val="0"/>
        <w:contextualSpacing/>
        <w:jc w:val="both"/>
        <w:rPr>
          <w:b/>
          <w:color w:val="000000"/>
          <w:szCs w:val="24"/>
          <w:lang w:val="fr-FR"/>
        </w:rPr>
      </w:pPr>
      <w:r w:rsidRPr="00F7177E">
        <w:rPr>
          <w:b/>
          <w:color w:val="000000"/>
          <w:szCs w:val="24"/>
          <w:lang w:val="fr-FR"/>
        </w:rPr>
        <w:t xml:space="preserve">Rôle </w:t>
      </w:r>
    </w:p>
    <w:p w:rsidR="0058596E" w:rsidRPr="00F7177E" w:rsidRDefault="0058596E" w:rsidP="0058596E">
      <w:pPr>
        <w:jc w:val="both"/>
        <w:rPr>
          <w:color w:val="000000"/>
          <w:szCs w:val="24"/>
          <w:lang w:val="fr-FR"/>
        </w:rPr>
      </w:pPr>
    </w:p>
    <w:p w:rsidR="0058596E" w:rsidRPr="00F7177E" w:rsidRDefault="0058596E" w:rsidP="0058596E">
      <w:pPr>
        <w:contextualSpacing/>
        <w:jc w:val="both"/>
        <w:rPr>
          <w:color w:val="000000"/>
          <w:szCs w:val="24"/>
          <w:lang w:val="fr-FR"/>
        </w:rPr>
      </w:pPr>
      <w:r w:rsidRPr="00F7177E">
        <w:rPr>
          <w:color w:val="000000"/>
          <w:szCs w:val="24"/>
          <w:lang w:val="fr-FR"/>
        </w:rPr>
        <w:t>Le rôle du Groupe de travail sur l’énergie sera de faciliter la participation de toutes les parties prenantes dans le processus de conciliation des développements du secteur de l’énergie avec la conservation des espèces migratrices, afin que tous les développements prennent pleinement en compte les priorités de conservation.</w:t>
      </w:r>
    </w:p>
    <w:p w:rsidR="0058596E" w:rsidRPr="00F7177E" w:rsidRDefault="0058596E" w:rsidP="0058596E">
      <w:pPr>
        <w:contextualSpacing/>
        <w:jc w:val="both"/>
        <w:rPr>
          <w:b/>
          <w:color w:val="000000"/>
          <w:szCs w:val="24"/>
          <w:lang w:val="fr-FR"/>
        </w:rPr>
      </w:pPr>
    </w:p>
    <w:p w:rsidR="0058596E" w:rsidRPr="00F7177E" w:rsidRDefault="0058596E" w:rsidP="0058596E">
      <w:pPr>
        <w:widowControl w:val="0"/>
        <w:numPr>
          <w:ilvl w:val="0"/>
          <w:numId w:val="15"/>
        </w:numPr>
        <w:autoSpaceDE w:val="0"/>
        <w:autoSpaceDN w:val="0"/>
        <w:adjustRightInd w:val="0"/>
        <w:ind w:left="709" w:hanging="709"/>
        <w:contextualSpacing/>
        <w:jc w:val="both"/>
        <w:rPr>
          <w:b/>
          <w:color w:val="000000"/>
          <w:szCs w:val="24"/>
          <w:lang w:val="fr-FR"/>
        </w:rPr>
      </w:pPr>
      <w:r w:rsidRPr="00F7177E">
        <w:rPr>
          <w:b/>
          <w:color w:val="000000"/>
          <w:szCs w:val="24"/>
          <w:lang w:val="fr-FR"/>
        </w:rPr>
        <w:t>Portée</w:t>
      </w:r>
    </w:p>
    <w:p w:rsidR="0058596E" w:rsidRPr="00F7177E" w:rsidRDefault="0058596E" w:rsidP="0058596E">
      <w:pPr>
        <w:contextualSpacing/>
        <w:jc w:val="both"/>
        <w:rPr>
          <w:b/>
          <w:color w:val="000000"/>
          <w:szCs w:val="24"/>
          <w:lang w:val="fr-FR"/>
        </w:rPr>
      </w:pPr>
    </w:p>
    <w:p w:rsidR="0058596E" w:rsidRPr="00F7177E" w:rsidRDefault="0058596E" w:rsidP="0058596E">
      <w:pPr>
        <w:contextualSpacing/>
        <w:jc w:val="both"/>
        <w:rPr>
          <w:color w:val="000000"/>
          <w:szCs w:val="24"/>
          <w:lang w:val="fr-FR"/>
        </w:rPr>
      </w:pPr>
      <w:r w:rsidRPr="00F7177E">
        <w:rPr>
          <w:color w:val="000000"/>
          <w:szCs w:val="24"/>
          <w:lang w:val="fr-FR"/>
        </w:rPr>
        <w:t>La portée géographique du Groupe de travail sur l’énergie sera mondiale. Elle sera initialement centrée sur l’Afrique-Eurasie, mais sans exclure les cas pertinents en cours dans d’autres régions, et s’étendra progressivement à d’autres parties du monde. Le calendrier et l’étendue de l’élargissement géographique seront décidés par les membres du Groupe de travail sur l’énergie, et dépendront des financements disponibles.</w:t>
      </w:r>
    </w:p>
    <w:p w:rsidR="0058596E" w:rsidRPr="00F7177E" w:rsidRDefault="0058596E" w:rsidP="0058596E">
      <w:pPr>
        <w:spacing w:before="240"/>
        <w:contextualSpacing/>
        <w:jc w:val="both"/>
        <w:rPr>
          <w:color w:val="000000"/>
          <w:szCs w:val="24"/>
          <w:lang w:val="fr-FR"/>
        </w:rPr>
      </w:pPr>
    </w:p>
    <w:p w:rsidR="0058596E" w:rsidRPr="00F7177E" w:rsidRDefault="0058596E" w:rsidP="0058596E">
      <w:pPr>
        <w:contextualSpacing/>
        <w:jc w:val="both"/>
        <w:rPr>
          <w:color w:val="000000"/>
          <w:szCs w:val="24"/>
          <w:lang w:val="fr-FR"/>
        </w:rPr>
      </w:pPr>
      <w:r w:rsidRPr="00F7177E">
        <w:rPr>
          <w:color w:val="000000"/>
          <w:szCs w:val="24"/>
          <w:lang w:val="fr-FR"/>
        </w:rPr>
        <w:t>Le Groupe de travail sur l’énergie couvrira tous les taxons migrateurs identifiés par la CMS et ses instruments connexes. Initialement, le Groupe de travail sur l’énergie se concentrera sur les oiseaux migrateurs et s’ouvrira progressivement à d’autres groupes taxonomiques. Le calendrier et l’étendue de l’élargissement taxonomique seront décidés par les membres du Groupe de travail sur l’énergie, et dépendront des financements disponibles.</w:t>
      </w:r>
    </w:p>
    <w:p w:rsidR="0058596E" w:rsidRPr="00F7177E" w:rsidRDefault="0058596E" w:rsidP="0058596E">
      <w:pPr>
        <w:spacing w:before="240"/>
        <w:contextualSpacing/>
        <w:jc w:val="both"/>
        <w:rPr>
          <w:color w:val="000000"/>
          <w:szCs w:val="24"/>
          <w:lang w:val="fr-FR"/>
        </w:rPr>
      </w:pPr>
    </w:p>
    <w:p w:rsidR="0058596E" w:rsidRPr="00F7177E" w:rsidRDefault="0058596E" w:rsidP="0058596E">
      <w:pPr>
        <w:contextualSpacing/>
        <w:jc w:val="both"/>
        <w:rPr>
          <w:color w:val="000000"/>
          <w:szCs w:val="24"/>
          <w:lang w:val="fr-FR"/>
        </w:rPr>
      </w:pPr>
      <w:r w:rsidRPr="00F7177E">
        <w:rPr>
          <w:color w:val="000000"/>
          <w:szCs w:val="24"/>
          <w:lang w:val="fr-FR"/>
        </w:rPr>
        <w:t>Le Groupe de travail sur l’énergie couvrira les questions de l’impact des lignes électriques et du déploiement des technologies liées aux énergies renouvelables (éolienne, solaire, hydraulique, géothermique, issue de la biomasse et marine), en mettant initialement l’accent sur les lignes électriques et sur les technologies liées aux énergies hydraulique, éolienne et solaire. Des propositions d’extension à d’autres types de développements du secteur de l’énergie pourront être faites. Elles seront examinées par le Groupe de travail sur l’énergie, et dépendront des financements disponibles.</w:t>
      </w:r>
    </w:p>
    <w:p w:rsidR="0058596E" w:rsidRDefault="0058596E" w:rsidP="0058596E">
      <w:pPr>
        <w:contextualSpacing/>
        <w:jc w:val="both"/>
        <w:rPr>
          <w:color w:val="000000"/>
          <w:szCs w:val="24"/>
          <w:lang w:val="fr-FR"/>
        </w:rPr>
      </w:pPr>
    </w:p>
    <w:p w:rsidR="00F7177E" w:rsidRPr="00F7177E" w:rsidRDefault="00F7177E" w:rsidP="0058596E">
      <w:pPr>
        <w:contextualSpacing/>
        <w:jc w:val="both"/>
        <w:rPr>
          <w:color w:val="000000"/>
          <w:szCs w:val="24"/>
          <w:lang w:val="fr-FR"/>
        </w:rPr>
      </w:pPr>
    </w:p>
    <w:p w:rsidR="0058596E" w:rsidRPr="00F7177E" w:rsidRDefault="0058596E" w:rsidP="0058596E">
      <w:pPr>
        <w:pStyle w:val="ListParagraph"/>
        <w:widowControl w:val="0"/>
        <w:numPr>
          <w:ilvl w:val="0"/>
          <w:numId w:val="15"/>
        </w:numPr>
        <w:autoSpaceDE w:val="0"/>
        <w:autoSpaceDN w:val="0"/>
        <w:adjustRightInd w:val="0"/>
        <w:contextualSpacing/>
        <w:jc w:val="both"/>
        <w:rPr>
          <w:b/>
          <w:color w:val="000000"/>
          <w:szCs w:val="24"/>
          <w:lang w:val="fr-FR"/>
        </w:rPr>
      </w:pPr>
      <w:r w:rsidRPr="00F7177E">
        <w:rPr>
          <w:b/>
          <w:color w:val="000000"/>
          <w:szCs w:val="24"/>
          <w:lang w:val="fr-FR"/>
        </w:rPr>
        <w:lastRenderedPageBreak/>
        <w:t xml:space="preserve">Attributions </w:t>
      </w:r>
    </w:p>
    <w:p w:rsidR="0058596E" w:rsidRPr="00F7177E" w:rsidRDefault="0058596E" w:rsidP="0058596E">
      <w:pPr>
        <w:jc w:val="both"/>
        <w:rPr>
          <w:color w:val="000000"/>
          <w:szCs w:val="24"/>
          <w:lang w:val="fr-FR"/>
        </w:rPr>
      </w:pPr>
    </w:p>
    <w:p w:rsidR="0058596E" w:rsidRPr="00F7177E" w:rsidRDefault="0058596E" w:rsidP="0058596E">
      <w:pPr>
        <w:contextualSpacing/>
        <w:jc w:val="both"/>
        <w:rPr>
          <w:color w:val="000000"/>
          <w:szCs w:val="24"/>
          <w:lang w:val="fr-FR"/>
        </w:rPr>
      </w:pPr>
      <w:r w:rsidRPr="00F7177E">
        <w:rPr>
          <w:color w:val="000000"/>
          <w:szCs w:val="24"/>
          <w:lang w:val="fr-FR"/>
        </w:rPr>
        <w:t>Le Groupe de travail sur l’énergie sera chargé de :</w:t>
      </w:r>
    </w:p>
    <w:p w:rsidR="0058596E" w:rsidRPr="00F7177E" w:rsidRDefault="0058596E" w:rsidP="0058596E">
      <w:pPr>
        <w:jc w:val="both"/>
        <w:rPr>
          <w:color w:val="000000"/>
          <w:szCs w:val="24"/>
          <w:lang w:val="fr-FR"/>
        </w:rPr>
      </w:pPr>
    </w:p>
    <w:p w:rsidR="0058596E" w:rsidRPr="00F7177E" w:rsidRDefault="0058596E" w:rsidP="0058596E">
      <w:pPr>
        <w:pStyle w:val="ListParagraph"/>
        <w:widowControl w:val="0"/>
        <w:numPr>
          <w:ilvl w:val="1"/>
          <w:numId w:val="16"/>
        </w:numPr>
        <w:autoSpaceDE w:val="0"/>
        <w:autoSpaceDN w:val="0"/>
        <w:adjustRightInd w:val="0"/>
        <w:ind w:left="714" w:hanging="714"/>
        <w:jc w:val="both"/>
        <w:rPr>
          <w:color w:val="000000"/>
          <w:szCs w:val="24"/>
          <w:lang w:val="fr-FR"/>
        </w:rPr>
      </w:pPr>
      <w:r w:rsidRPr="00F7177E">
        <w:rPr>
          <w:color w:val="000000"/>
          <w:szCs w:val="24"/>
          <w:lang w:val="fr-FR"/>
        </w:rPr>
        <w:t>promouvoir la mise en œuvre des lignes directrices pertinentes adoptées dans le cadre des AEM participants ;</w:t>
      </w:r>
    </w:p>
    <w:p w:rsidR="0058596E" w:rsidRPr="00F7177E" w:rsidRDefault="0058596E" w:rsidP="0058596E">
      <w:pPr>
        <w:ind w:left="567" w:hanging="567"/>
        <w:jc w:val="both"/>
        <w:rPr>
          <w:color w:val="000000"/>
          <w:szCs w:val="24"/>
          <w:lang w:val="fr-FR"/>
        </w:rPr>
      </w:pPr>
    </w:p>
    <w:p w:rsidR="0058596E" w:rsidRPr="00F7177E" w:rsidRDefault="0058596E" w:rsidP="0058596E">
      <w:pPr>
        <w:pStyle w:val="ListParagraph"/>
        <w:widowControl w:val="0"/>
        <w:numPr>
          <w:ilvl w:val="1"/>
          <w:numId w:val="16"/>
        </w:numPr>
        <w:autoSpaceDE w:val="0"/>
        <w:autoSpaceDN w:val="0"/>
        <w:adjustRightInd w:val="0"/>
        <w:ind w:left="714" w:hanging="714"/>
        <w:jc w:val="both"/>
        <w:rPr>
          <w:color w:val="000000"/>
          <w:szCs w:val="24"/>
          <w:lang w:val="fr-FR"/>
        </w:rPr>
      </w:pPr>
      <w:r w:rsidRPr="00F7177E">
        <w:rPr>
          <w:color w:val="000000"/>
          <w:szCs w:val="24"/>
          <w:lang w:val="fr-FR"/>
        </w:rPr>
        <w:t>établir des priorités pour ses actions et les mettre en œuvre ;</w:t>
      </w:r>
    </w:p>
    <w:p w:rsidR="0058596E" w:rsidRPr="00F7177E" w:rsidRDefault="0058596E" w:rsidP="0058596E">
      <w:pPr>
        <w:ind w:left="567" w:hanging="567"/>
        <w:jc w:val="both"/>
        <w:rPr>
          <w:color w:val="000000"/>
          <w:szCs w:val="24"/>
          <w:lang w:val="fr-FR"/>
        </w:rPr>
      </w:pPr>
    </w:p>
    <w:p w:rsidR="0058596E" w:rsidRPr="00F7177E" w:rsidRDefault="0058596E" w:rsidP="0058596E">
      <w:pPr>
        <w:pStyle w:val="ListParagraph"/>
        <w:widowControl w:val="0"/>
        <w:numPr>
          <w:ilvl w:val="1"/>
          <w:numId w:val="16"/>
        </w:numPr>
        <w:autoSpaceDE w:val="0"/>
        <w:autoSpaceDN w:val="0"/>
        <w:adjustRightInd w:val="0"/>
        <w:ind w:left="714" w:hanging="714"/>
        <w:jc w:val="both"/>
        <w:rPr>
          <w:color w:val="000000"/>
          <w:szCs w:val="24"/>
          <w:lang w:val="fr-FR"/>
        </w:rPr>
      </w:pPr>
      <w:r w:rsidRPr="00F7177E">
        <w:rPr>
          <w:color w:val="000000"/>
          <w:szCs w:val="24"/>
          <w:lang w:val="fr-FR"/>
        </w:rPr>
        <w:t>aider à la mobilisation de ressources pour des actions prioritaires, y compris auprès du secteur de l’énergie ;</w:t>
      </w:r>
    </w:p>
    <w:p w:rsidR="0058596E" w:rsidRPr="00F7177E" w:rsidRDefault="0058596E" w:rsidP="0058596E">
      <w:pPr>
        <w:ind w:left="567" w:hanging="567"/>
        <w:jc w:val="both"/>
        <w:rPr>
          <w:color w:val="000000"/>
          <w:szCs w:val="24"/>
          <w:lang w:val="fr-FR"/>
        </w:rPr>
      </w:pPr>
    </w:p>
    <w:p w:rsidR="0058596E" w:rsidRPr="00F7177E" w:rsidRDefault="0058596E" w:rsidP="0058596E">
      <w:pPr>
        <w:pStyle w:val="ListParagraph"/>
        <w:widowControl w:val="0"/>
        <w:numPr>
          <w:ilvl w:val="1"/>
          <w:numId w:val="16"/>
        </w:numPr>
        <w:autoSpaceDE w:val="0"/>
        <w:autoSpaceDN w:val="0"/>
        <w:adjustRightInd w:val="0"/>
        <w:ind w:left="714" w:hanging="714"/>
        <w:jc w:val="both"/>
        <w:rPr>
          <w:color w:val="000000"/>
          <w:szCs w:val="24"/>
          <w:lang w:val="fr-FR"/>
        </w:rPr>
      </w:pPr>
      <w:r w:rsidRPr="00F7177E">
        <w:rPr>
          <w:color w:val="000000"/>
          <w:szCs w:val="24"/>
          <w:lang w:val="fr-FR"/>
        </w:rPr>
        <w:t>suivre la mise en œuvre et l’efficacité des lignes directrices pertinentes, ainsi que les freins à leur application adéquate, et en rendre compte aux organes directeurs des AEM participants ;</w:t>
      </w:r>
    </w:p>
    <w:p w:rsidR="0058596E" w:rsidRPr="00F7177E" w:rsidRDefault="0058596E" w:rsidP="0058596E">
      <w:pPr>
        <w:ind w:left="567" w:hanging="567"/>
        <w:jc w:val="both"/>
        <w:rPr>
          <w:color w:val="000000"/>
          <w:szCs w:val="24"/>
          <w:lang w:val="fr-FR"/>
        </w:rPr>
      </w:pPr>
    </w:p>
    <w:p w:rsidR="0058596E" w:rsidRPr="00F7177E" w:rsidRDefault="0058596E" w:rsidP="0058596E">
      <w:pPr>
        <w:pStyle w:val="ListParagraph"/>
        <w:widowControl w:val="0"/>
        <w:numPr>
          <w:ilvl w:val="1"/>
          <w:numId w:val="16"/>
        </w:numPr>
        <w:autoSpaceDE w:val="0"/>
        <w:autoSpaceDN w:val="0"/>
        <w:adjustRightInd w:val="0"/>
        <w:ind w:left="714" w:hanging="714"/>
        <w:jc w:val="both"/>
        <w:rPr>
          <w:color w:val="000000"/>
          <w:szCs w:val="24"/>
          <w:lang w:val="fr-FR"/>
        </w:rPr>
      </w:pPr>
      <w:r w:rsidRPr="00F7177E">
        <w:rPr>
          <w:color w:val="000000"/>
          <w:szCs w:val="24"/>
          <w:lang w:val="fr-FR"/>
        </w:rPr>
        <w:t>stimuler la communication et l’échange d’informations, d’expériences, de bonnes pratiques et de savoir-faire, en interne comme en externe ;</w:t>
      </w:r>
    </w:p>
    <w:p w:rsidR="0058596E" w:rsidRPr="00F7177E" w:rsidRDefault="0058596E" w:rsidP="0058596E">
      <w:pPr>
        <w:ind w:left="567" w:hanging="567"/>
        <w:jc w:val="both"/>
        <w:rPr>
          <w:color w:val="000000"/>
          <w:szCs w:val="24"/>
          <w:lang w:val="fr-FR"/>
        </w:rPr>
      </w:pPr>
    </w:p>
    <w:p w:rsidR="0058596E" w:rsidRPr="00F7177E" w:rsidRDefault="0058596E" w:rsidP="0058596E">
      <w:pPr>
        <w:pStyle w:val="ListParagraph"/>
        <w:widowControl w:val="0"/>
        <w:numPr>
          <w:ilvl w:val="1"/>
          <w:numId w:val="16"/>
        </w:numPr>
        <w:autoSpaceDE w:val="0"/>
        <w:autoSpaceDN w:val="0"/>
        <w:adjustRightInd w:val="0"/>
        <w:ind w:left="714" w:hanging="714"/>
        <w:jc w:val="both"/>
        <w:rPr>
          <w:color w:val="000000"/>
          <w:szCs w:val="24"/>
          <w:lang w:val="fr-FR"/>
        </w:rPr>
      </w:pPr>
      <w:r w:rsidRPr="00F7177E">
        <w:rPr>
          <w:color w:val="000000"/>
          <w:szCs w:val="24"/>
          <w:lang w:val="fr-FR"/>
        </w:rPr>
        <w:t>renforcer les réseaux régionaux et internationaux ;</w:t>
      </w:r>
    </w:p>
    <w:p w:rsidR="0058596E" w:rsidRPr="00F7177E" w:rsidRDefault="0058596E" w:rsidP="0058596E">
      <w:pPr>
        <w:ind w:left="567" w:hanging="567"/>
        <w:jc w:val="both"/>
        <w:rPr>
          <w:color w:val="000000"/>
          <w:szCs w:val="24"/>
          <w:lang w:val="fr-FR"/>
        </w:rPr>
      </w:pPr>
    </w:p>
    <w:p w:rsidR="0058596E" w:rsidRPr="00F7177E" w:rsidRDefault="0058596E" w:rsidP="0058596E">
      <w:pPr>
        <w:pStyle w:val="ListParagraph"/>
        <w:widowControl w:val="0"/>
        <w:numPr>
          <w:ilvl w:val="1"/>
          <w:numId w:val="16"/>
        </w:numPr>
        <w:autoSpaceDE w:val="0"/>
        <w:autoSpaceDN w:val="0"/>
        <w:adjustRightInd w:val="0"/>
        <w:ind w:hanging="714"/>
        <w:contextualSpacing/>
        <w:jc w:val="both"/>
        <w:rPr>
          <w:color w:val="000000"/>
          <w:szCs w:val="24"/>
          <w:lang w:val="fr-FR"/>
        </w:rPr>
      </w:pPr>
      <w:r w:rsidRPr="00F7177E">
        <w:rPr>
          <w:color w:val="000000"/>
          <w:szCs w:val="24"/>
          <w:lang w:val="fr-FR"/>
        </w:rPr>
        <w:t>stimuler la recherche pour le déploiement des technologies liées aux énergies renouvelables, dans les domaines où le rapport de synthèse (UNEP/CMS/COP11/Inf.26) a identifié des lacunes importantes dans les connaissances.</w:t>
      </w:r>
    </w:p>
    <w:p w:rsidR="0058596E" w:rsidRPr="00F7177E" w:rsidRDefault="0058596E" w:rsidP="0058596E">
      <w:pPr>
        <w:pStyle w:val="ListParagraph"/>
        <w:jc w:val="both"/>
        <w:rPr>
          <w:color w:val="000000"/>
          <w:szCs w:val="24"/>
          <w:lang w:val="fr-FR"/>
        </w:rPr>
      </w:pPr>
    </w:p>
    <w:p w:rsidR="0058596E" w:rsidRPr="00F7177E" w:rsidRDefault="0058596E" w:rsidP="0058596E">
      <w:pPr>
        <w:pStyle w:val="ListParagraph"/>
        <w:ind w:left="0"/>
        <w:jc w:val="both"/>
        <w:rPr>
          <w:color w:val="000000"/>
          <w:szCs w:val="24"/>
          <w:lang w:val="fr-FR"/>
        </w:rPr>
      </w:pPr>
    </w:p>
    <w:p w:rsidR="0058596E" w:rsidRPr="00F7177E" w:rsidRDefault="0058596E" w:rsidP="0058596E">
      <w:pPr>
        <w:widowControl w:val="0"/>
        <w:numPr>
          <w:ilvl w:val="0"/>
          <w:numId w:val="15"/>
        </w:numPr>
        <w:autoSpaceDE w:val="0"/>
        <w:autoSpaceDN w:val="0"/>
        <w:adjustRightInd w:val="0"/>
        <w:ind w:left="0" w:firstLine="0"/>
        <w:contextualSpacing/>
        <w:jc w:val="both"/>
        <w:rPr>
          <w:b/>
          <w:color w:val="000000"/>
          <w:szCs w:val="24"/>
          <w:lang w:val="fr-FR"/>
        </w:rPr>
      </w:pPr>
      <w:r w:rsidRPr="00F7177E">
        <w:rPr>
          <w:b/>
          <w:color w:val="000000"/>
          <w:szCs w:val="24"/>
          <w:lang w:val="fr-FR"/>
        </w:rPr>
        <w:t>Adhésion</w:t>
      </w:r>
    </w:p>
    <w:p w:rsidR="0058596E" w:rsidRPr="00F7177E" w:rsidRDefault="0058596E" w:rsidP="0058596E">
      <w:pPr>
        <w:contextualSpacing/>
        <w:jc w:val="both"/>
        <w:rPr>
          <w:color w:val="000000"/>
          <w:szCs w:val="24"/>
          <w:lang w:val="fr-FR"/>
        </w:rPr>
      </w:pPr>
    </w:p>
    <w:p w:rsidR="0058596E" w:rsidRPr="00F7177E" w:rsidRDefault="0058596E" w:rsidP="0058596E">
      <w:pPr>
        <w:contextualSpacing/>
        <w:jc w:val="both"/>
        <w:rPr>
          <w:color w:val="000000"/>
          <w:szCs w:val="24"/>
          <w:lang w:val="fr-FR"/>
        </w:rPr>
      </w:pPr>
      <w:r w:rsidRPr="00F7177E">
        <w:rPr>
          <w:color w:val="000000"/>
          <w:szCs w:val="24"/>
          <w:lang w:val="fr-FR"/>
        </w:rPr>
        <w:t>Le Groupe de travail sur l’énergie est ouvert. Ses organisations membres comprendront les Secrétariats des AEM participants, des représentants des institutions gouvernementales des Parties aux AEM participants, compétentes dans le domaine de l’environnement et de l’énergie, des représentants du secteur de l’énergie, des universités pertinentes, des ONG et d’autres parties intéressées.</w:t>
      </w:r>
    </w:p>
    <w:p w:rsidR="0058596E" w:rsidRPr="00F7177E" w:rsidRDefault="0058596E" w:rsidP="0058596E">
      <w:pPr>
        <w:spacing w:before="240"/>
        <w:contextualSpacing/>
        <w:jc w:val="both"/>
        <w:rPr>
          <w:color w:val="000000"/>
          <w:szCs w:val="24"/>
          <w:lang w:val="fr-FR"/>
        </w:rPr>
      </w:pPr>
    </w:p>
    <w:p w:rsidR="0058596E" w:rsidRPr="00F7177E" w:rsidRDefault="0058596E" w:rsidP="0058596E">
      <w:pPr>
        <w:widowControl w:val="0"/>
        <w:numPr>
          <w:ilvl w:val="0"/>
          <w:numId w:val="15"/>
        </w:numPr>
        <w:autoSpaceDE w:val="0"/>
        <w:autoSpaceDN w:val="0"/>
        <w:adjustRightInd w:val="0"/>
        <w:ind w:left="0" w:firstLine="0"/>
        <w:contextualSpacing/>
        <w:jc w:val="both"/>
        <w:rPr>
          <w:b/>
          <w:color w:val="000000"/>
          <w:szCs w:val="24"/>
          <w:lang w:val="fr-FR"/>
        </w:rPr>
      </w:pPr>
      <w:r w:rsidRPr="00F7177E">
        <w:rPr>
          <w:b/>
          <w:color w:val="000000"/>
          <w:szCs w:val="24"/>
          <w:lang w:val="fr-FR"/>
        </w:rPr>
        <w:t>Gouvernance</w:t>
      </w:r>
    </w:p>
    <w:p w:rsidR="0058596E" w:rsidRPr="00F7177E" w:rsidRDefault="0058596E" w:rsidP="0058596E">
      <w:pPr>
        <w:jc w:val="both"/>
        <w:rPr>
          <w:color w:val="000000"/>
          <w:szCs w:val="24"/>
          <w:lang w:val="fr-FR"/>
        </w:rPr>
      </w:pPr>
    </w:p>
    <w:p w:rsidR="0058596E" w:rsidRPr="00F7177E" w:rsidRDefault="0058596E" w:rsidP="0058596E">
      <w:pPr>
        <w:contextualSpacing/>
        <w:jc w:val="both"/>
        <w:rPr>
          <w:color w:val="000000"/>
          <w:szCs w:val="24"/>
          <w:lang w:val="fr-FR"/>
        </w:rPr>
      </w:pPr>
      <w:r w:rsidRPr="00F7177E">
        <w:rPr>
          <w:color w:val="000000"/>
          <w:szCs w:val="24"/>
          <w:lang w:val="fr-FR"/>
        </w:rPr>
        <w:t>Le Groupe de travail sur l’énergie devra :</w:t>
      </w:r>
    </w:p>
    <w:p w:rsidR="0058596E" w:rsidRPr="00F7177E" w:rsidRDefault="0058596E" w:rsidP="0058596E">
      <w:pPr>
        <w:ind w:left="567" w:hanging="567"/>
        <w:jc w:val="both"/>
        <w:rPr>
          <w:color w:val="000000"/>
          <w:szCs w:val="24"/>
          <w:lang w:val="fr-FR"/>
        </w:rPr>
      </w:pPr>
    </w:p>
    <w:p w:rsidR="0058596E" w:rsidRPr="00F7177E" w:rsidRDefault="0058596E" w:rsidP="0058596E">
      <w:pPr>
        <w:ind w:left="709" w:hanging="709"/>
        <w:jc w:val="both"/>
        <w:rPr>
          <w:color w:val="000000"/>
          <w:szCs w:val="24"/>
          <w:lang w:val="fr-FR"/>
        </w:rPr>
      </w:pPr>
      <w:r w:rsidRPr="00F7177E">
        <w:rPr>
          <w:color w:val="000000"/>
          <w:szCs w:val="24"/>
          <w:lang w:val="fr-FR"/>
        </w:rPr>
        <w:t xml:space="preserve">7.1. </w:t>
      </w:r>
      <w:r w:rsidRPr="00F7177E">
        <w:rPr>
          <w:color w:val="000000"/>
          <w:szCs w:val="24"/>
          <w:lang w:val="fr-FR"/>
        </w:rPr>
        <w:tab/>
      </w:r>
      <w:proofErr w:type="gramStart"/>
      <w:r w:rsidRPr="00F7177E">
        <w:rPr>
          <w:color w:val="000000"/>
          <w:szCs w:val="24"/>
          <w:lang w:val="fr-FR"/>
        </w:rPr>
        <w:t>fonctionner</w:t>
      </w:r>
      <w:proofErr w:type="gramEnd"/>
      <w:r w:rsidRPr="00F7177E">
        <w:rPr>
          <w:color w:val="000000"/>
          <w:szCs w:val="24"/>
          <w:lang w:val="fr-FR"/>
        </w:rPr>
        <w:t xml:space="preserve"> en recherchant autant que possible le consensus au sein du groupe ;</w:t>
      </w:r>
    </w:p>
    <w:p w:rsidR="0058596E" w:rsidRPr="00F7177E" w:rsidRDefault="0058596E" w:rsidP="0058596E">
      <w:pPr>
        <w:ind w:left="567" w:hanging="567"/>
        <w:jc w:val="both"/>
        <w:rPr>
          <w:color w:val="000000"/>
          <w:szCs w:val="24"/>
          <w:lang w:val="fr-FR"/>
        </w:rPr>
      </w:pPr>
    </w:p>
    <w:p w:rsidR="0058596E" w:rsidRPr="00F7177E" w:rsidRDefault="0058596E" w:rsidP="0058596E">
      <w:pPr>
        <w:ind w:left="709" w:hanging="709"/>
        <w:jc w:val="both"/>
        <w:rPr>
          <w:color w:val="000000"/>
          <w:szCs w:val="24"/>
          <w:lang w:val="fr-FR"/>
        </w:rPr>
      </w:pPr>
      <w:r w:rsidRPr="00F7177E">
        <w:rPr>
          <w:color w:val="000000"/>
          <w:szCs w:val="24"/>
          <w:lang w:val="fr-FR"/>
        </w:rPr>
        <w:t xml:space="preserve">7.2. </w:t>
      </w:r>
      <w:r w:rsidRPr="00F7177E">
        <w:rPr>
          <w:color w:val="000000"/>
          <w:szCs w:val="24"/>
          <w:lang w:val="fr-FR"/>
        </w:rPr>
        <w:tab/>
      </w:r>
      <w:proofErr w:type="gramStart"/>
      <w:r w:rsidRPr="00F7177E">
        <w:rPr>
          <w:color w:val="000000"/>
          <w:szCs w:val="24"/>
          <w:lang w:val="fr-FR"/>
        </w:rPr>
        <w:t>une</w:t>
      </w:r>
      <w:proofErr w:type="gramEnd"/>
      <w:r w:rsidRPr="00F7177E">
        <w:rPr>
          <w:color w:val="000000"/>
          <w:szCs w:val="24"/>
          <w:lang w:val="fr-FR"/>
        </w:rPr>
        <w:t xml:space="preserve"> fois convoqué, fonctionner selon un modus </w:t>
      </w:r>
      <w:proofErr w:type="spellStart"/>
      <w:r w:rsidRPr="00F7177E">
        <w:rPr>
          <w:color w:val="000000"/>
          <w:szCs w:val="24"/>
          <w:lang w:val="fr-FR"/>
        </w:rPr>
        <w:t>operandi</w:t>
      </w:r>
      <w:proofErr w:type="spellEnd"/>
      <w:r w:rsidRPr="00F7177E">
        <w:rPr>
          <w:color w:val="000000"/>
          <w:szCs w:val="24"/>
          <w:lang w:val="fr-FR"/>
        </w:rPr>
        <w:t xml:space="preserve"> établi par ses membres ;</w:t>
      </w:r>
    </w:p>
    <w:p w:rsidR="0058596E" w:rsidRPr="00F7177E" w:rsidRDefault="0058596E" w:rsidP="0058596E">
      <w:pPr>
        <w:ind w:left="567" w:hanging="567"/>
        <w:jc w:val="both"/>
        <w:rPr>
          <w:color w:val="000000"/>
          <w:szCs w:val="24"/>
          <w:lang w:val="fr-FR"/>
        </w:rPr>
      </w:pPr>
    </w:p>
    <w:p w:rsidR="0058596E" w:rsidRPr="00F7177E" w:rsidRDefault="0058596E" w:rsidP="0058596E">
      <w:pPr>
        <w:ind w:left="709" w:hanging="709"/>
        <w:jc w:val="both"/>
        <w:rPr>
          <w:color w:val="000000"/>
          <w:szCs w:val="24"/>
          <w:lang w:val="fr-FR"/>
        </w:rPr>
      </w:pPr>
      <w:r w:rsidRPr="00F7177E">
        <w:rPr>
          <w:color w:val="000000"/>
          <w:szCs w:val="24"/>
          <w:lang w:val="fr-FR"/>
        </w:rPr>
        <w:t xml:space="preserve">7.3. </w:t>
      </w:r>
      <w:r w:rsidRPr="00F7177E">
        <w:rPr>
          <w:color w:val="000000"/>
          <w:szCs w:val="24"/>
          <w:lang w:val="fr-FR"/>
        </w:rPr>
        <w:tab/>
      </w:r>
      <w:proofErr w:type="gramStart"/>
      <w:r w:rsidRPr="00F7177E">
        <w:rPr>
          <w:color w:val="000000"/>
          <w:szCs w:val="24"/>
          <w:lang w:val="fr-FR"/>
        </w:rPr>
        <w:t>rendre</w:t>
      </w:r>
      <w:proofErr w:type="gramEnd"/>
      <w:r w:rsidRPr="00F7177E">
        <w:rPr>
          <w:color w:val="000000"/>
          <w:szCs w:val="24"/>
          <w:lang w:val="fr-FR"/>
        </w:rPr>
        <w:t xml:space="preserve"> compte à la Conférence des Parties à la CMS et aux organes directeurs des autres AEM participants, à leur demande.</w:t>
      </w:r>
    </w:p>
    <w:p w:rsidR="0058596E" w:rsidRPr="00F7177E" w:rsidRDefault="0058596E" w:rsidP="0058596E">
      <w:pPr>
        <w:jc w:val="both"/>
        <w:rPr>
          <w:color w:val="000000"/>
          <w:szCs w:val="24"/>
          <w:lang w:val="fr-FR"/>
        </w:rPr>
      </w:pPr>
    </w:p>
    <w:p w:rsidR="0058596E" w:rsidRPr="00F7177E" w:rsidRDefault="0058596E" w:rsidP="0058596E">
      <w:pPr>
        <w:widowControl w:val="0"/>
        <w:numPr>
          <w:ilvl w:val="0"/>
          <w:numId w:val="15"/>
        </w:numPr>
        <w:autoSpaceDE w:val="0"/>
        <w:autoSpaceDN w:val="0"/>
        <w:adjustRightInd w:val="0"/>
        <w:ind w:left="0" w:firstLine="0"/>
        <w:contextualSpacing/>
        <w:jc w:val="both"/>
        <w:rPr>
          <w:b/>
          <w:color w:val="000000"/>
          <w:szCs w:val="24"/>
          <w:lang w:val="fr-FR"/>
        </w:rPr>
      </w:pPr>
      <w:r w:rsidRPr="00F7177E">
        <w:rPr>
          <w:b/>
          <w:color w:val="000000"/>
          <w:szCs w:val="24"/>
          <w:lang w:val="fr-FR"/>
        </w:rPr>
        <w:t>Fonctionnement</w:t>
      </w:r>
    </w:p>
    <w:p w:rsidR="0058596E" w:rsidRPr="00F7177E" w:rsidRDefault="0058596E" w:rsidP="0058596E">
      <w:pPr>
        <w:jc w:val="both"/>
        <w:rPr>
          <w:color w:val="000000"/>
          <w:szCs w:val="24"/>
          <w:lang w:val="fr-FR"/>
        </w:rPr>
      </w:pPr>
    </w:p>
    <w:p w:rsidR="0058596E" w:rsidRPr="00F7177E" w:rsidRDefault="0058596E" w:rsidP="0058596E">
      <w:pPr>
        <w:contextualSpacing/>
        <w:jc w:val="both"/>
        <w:rPr>
          <w:color w:val="000000"/>
          <w:szCs w:val="24"/>
          <w:lang w:val="fr-FR"/>
        </w:rPr>
      </w:pPr>
      <w:r w:rsidRPr="00F7177E">
        <w:rPr>
          <w:color w:val="000000"/>
          <w:szCs w:val="24"/>
          <w:lang w:val="fr-FR"/>
        </w:rPr>
        <w:t xml:space="preserve">Si le financement le permet, un coordinateur sera nommé parmi les membres du Groupe de travail sur l’énergie, dans le cadre de dispositions prises avec le Secrétariat de la CMS pour </w:t>
      </w:r>
      <w:r w:rsidRPr="00F7177E">
        <w:rPr>
          <w:color w:val="000000"/>
          <w:szCs w:val="24"/>
          <w:lang w:val="fr-FR"/>
        </w:rPr>
        <w:lastRenderedPageBreak/>
        <w:t>soutenir le président, le vice-président et les membres du Groupe de travail sur l’énergie, le cas échéant.</w:t>
      </w:r>
    </w:p>
    <w:p w:rsidR="0058596E" w:rsidRPr="00F7177E" w:rsidRDefault="0058596E" w:rsidP="0058596E">
      <w:pPr>
        <w:jc w:val="both"/>
        <w:rPr>
          <w:color w:val="000000"/>
          <w:szCs w:val="24"/>
          <w:lang w:val="fr-FR"/>
        </w:rPr>
      </w:pPr>
    </w:p>
    <w:p w:rsidR="0058596E" w:rsidRPr="00F7177E" w:rsidRDefault="0058596E" w:rsidP="0058596E">
      <w:pPr>
        <w:contextualSpacing/>
        <w:jc w:val="both"/>
        <w:rPr>
          <w:color w:val="000000"/>
          <w:szCs w:val="24"/>
          <w:lang w:val="fr-FR"/>
        </w:rPr>
      </w:pPr>
      <w:r w:rsidRPr="00F7177E">
        <w:rPr>
          <w:color w:val="000000"/>
          <w:szCs w:val="24"/>
          <w:lang w:val="fr-FR"/>
        </w:rPr>
        <w:t>Le coordinateur devra notamment :</w:t>
      </w:r>
    </w:p>
    <w:p w:rsidR="0058596E" w:rsidRPr="00F7177E" w:rsidRDefault="0058596E" w:rsidP="0058596E">
      <w:pPr>
        <w:jc w:val="both"/>
        <w:rPr>
          <w:color w:val="000000"/>
          <w:szCs w:val="24"/>
          <w:lang w:val="fr-FR"/>
        </w:rPr>
      </w:pPr>
    </w:p>
    <w:p w:rsidR="0058596E" w:rsidRPr="00F7177E" w:rsidRDefault="0058596E" w:rsidP="0058596E">
      <w:pPr>
        <w:ind w:left="709" w:hanging="709"/>
        <w:jc w:val="both"/>
        <w:rPr>
          <w:color w:val="000000"/>
          <w:szCs w:val="24"/>
          <w:lang w:val="fr-FR"/>
        </w:rPr>
      </w:pPr>
      <w:r w:rsidRPr="00F7177E">
        <w:rPr>
          <w:color w:val="000000"/>
          <w:szCs w:val="24"/>
          <w:lang w:val="fr-FR"/>
        </w:rPr>
        <w:t xml:space="preserve">- </w:t>
      </w:r>
      <w:r w:rsidRPr="00F7177E">
        <w:rPr>
          <w:color w:val="000000"/>
          <w:szCs w:val="24"/>
          <w:lang w:val="fr-FR"/>
        </w:rPr>
        <w:tab/>
        <w:t>organiser les réunions du Groupe de travail sur l’énergie ;</w:t>
      </w:r>
    </w:p>
    <w:p w:rsidR="0058596E" w:rsidRPr="00F7177E" w:rsidRDefault="0058596E" w:rsidP="0058596E">
      <w:pPr>
        <w:ind w:left="709" w:hanging="709"/>
        <w:jc w:val="both"/>
        <w:rPr>
          <w:color w:val="000000"/>
          <w:szCs w:val="24"/>
          <w:lang w:val="fr-FR"/>
        </w:rPr>
      </w:pPr>
      <w:r w:rsidRPr="00F7177E">
        <w:rPr>
          <w:color w:val="000000"/>
          <w:szCs w:val="24"/>
          <w:lang w:val="fr-FR"/>
        </w:rPr>
        <w:t xml:space="preserve">- </w:t>
      </w:r>
      <w:r w:rsidRPr="00F7177E">
        <w:rPr>
          <w:color w:val="000000"/>
          <w:szCs w:val="24"/>
          <w:lang w:val="fr-FR"/>
        </w:rPr>
        <w:tab/>
        <w:t>maintenir et animer la plate-forme de communication du Groupe de travail sur l’énergie (site Web et espace de travail en ligne interne) ;</w:t>
      </w:r>
    </w:p>
    <w:p w:rsidR="0058596E" w:rsidRPr="00F7177E" w:rsidRDefault="0058596E" w:rsidP="0058596E">
      <w:pPr>
        <w:ind w:left="709" w:hanging="709"/>
        <w:jc w:val="both"/>
        <w:rPr>
          <w:color w:val="000000"/>
          <w:szCs w:val="24"/>
          <w:lang w:val="fr-FR"/>
        </w:rPr>
      </w:pPr>
      <w:r w:rsidRPr="00F7177E">
        <w:rPr>
          <w:color w:val="000000"/>
          <w:szCs w:val="24"/>
          <w:lang w:val="fr-FR"/>
        </w:rPr>
        <w:t xml:space="preserve">- </w:t>
      </w:r>
      <w:r w:rsidRPr="00F7177E">
        <w:rPr>
          <w:color w:val="000000"/>
          <w:szCs w:val="24"/>
          <w:lang w:val="fr-FR"/>
        </w:rPr>
        <w:tab/>
        <w:t>faciliter la mise en œuvre des décisions du Groupe de travail sur l’énergie, le cas échéant ;</w:t>
      </w:r>
    </w:p>
    <w:p w:rsidR="0058596E" w:rsidRPr="00F7177E" w:rsidRDefault="0058596E" w:rsidP="0058596E">
      <w:pPr>
        <w:ind w:left="709" w:hanging="709"/>
        <w:jc w:val="both"/>
        <w:rPr>
          <w:color w:val="000000"/>
          <w:szCs w:val="24"/>
          <w:lang w:val="fr-FR"/>
        </w:rPr>
      </w:pPr>
      <w:r w:rsidRPr="00F7177E">
        <w:rPr>
          <w:color w:val="000000"/>
          <w:szCs w:val="24"/>
          <w:lang w:val="fr-FR"/>
        </w:rPr>
        <w:t xml:space="preserve">- </w:t>
      </w:r>
      <w:r w:rsidRPr="00F7177E">
        <w:rPr>
          <w:color w:val="000000"/>
          <w:szCs w:val="24"/>
          <w:lang w:val="fr-FR"/>
        </w:rPr>
        <w:tab/>
        <w:t>faciliter la collecte de fonds et la mobilisation des ressources pour appuyer les activités du Groupe de travail sur l’énergie ; et</w:t>
      </w:r>
    </w:p>
    <w:p w:rsidR="0058596E" w:rsidRPr="00F7177E" w:rsidRDefault="0058596E" w:rsidP="0058596E">
      <w:pPr>
        <w:ind w:left="709" w:hanging="709"/>
        <w:jc w:val="both"/>
        <w:rPr>
          <w:color w:val="000000"/>
          <w:szCs w:val="24"/>
          <w:lang w:val="fr-FR"/>
        </w:rPr>
      </w:pPr>
      <w:r w:rsidRPr="00F7177E">
        <w:rPr>
          <w:color w:val="000000"/>
          <w:szCs w:val="24"/>
          <w:lang w:val="fr-FR"/>
        </w:rPr>
        <w:t xml:space="preserve">- </w:t>
      </w:r>
      <w:r w:rsidRPr="00F7177E">
        <w:rPr>
          <w:color w:val="000000"/>
          <w:szCs w:val="24"/>
          <w:lang w:val="fr-FR"/>
        </w:rPr>
        <w:tab/>
        <w:t>faciliter l’engagement des parties prenantes au sein et au-delà du Groupe de travail sur l’énergie.</w:t>
      </w:r>
    </w:p>
    <w:p w:rsidR="0058596E" w:rsidRPr="00F7177E" w:rsidRDefault="0058596E" w:rsidP="0058596E">
      <w:pPr>
        <w:jc w:val="both"/>
        <w:rPr>
          <w:color w:val="000000"/>
          <w:szCs w:val="24"/>
          <w:lang w:val="fr-FR"/>
        </w:rPr>
      </w:pPr>
    </w:p>
    <w:p w:rsidR="0058596E" w:rsidRPr="00F7177E" w:rsidRDefault="0058596E" w:rsidP="0058596E">
      <w:pPr>
        <w:contextualSpacing/>
        <w:jc w:val="both"/>
        <w:rPr>
          <w:color w:val="000000"/>
          <w:szCs w:val="24"/>
          <w:lang w:val="fr-FR"/>
        </w:rPr>
      </w:pPr>
      <w:r w:rsidRPr="00F7177E">
        <w:rPr>
          <w:color w:val="000000"/>
          <w:szCs w:val="24"/>
          <w:lang w:val="fr-FR"/>
        </w:rPr>
        <w:t>Les réunions du Groupe de travail sur l’énergie seront convoquées à des intervalles appropriés, comme jugé nécessaire et en fonction des financements disponibles.</w:t>
      </w:r>
    </w:p>
    <w:p w:rsidR="0058596E" w:rsidRPr="00F7177E" w:rsidRDefault="0058596E" w:rsidP="0058596E">
      <w:pPr>
        <w:jc w:val="both"/>
        <w:rPr>
          <w:color w:val="000000"/>
          <w:szCs w:val="24"/>
          <w:lang w:val="fr-FR"/>
        </w:rPr>
      </w:pPr>
    </w:p>
    <w:p w:rsidR="0058596E" w:rsidRPr="00F7177E" w:rsidRDefault="0058596E" w:rsidP="0058596E">
      <w:pPr>
        <w:contextualSpacing/>
        <w:jc w:val="both"/>
        <w:rPr>
          <w:color w:val="000000"/>
          <w:szCs w:val="24"/>
          <w:lang w:val="fr-FR"/>
        </w:rPr>
      </w:pPr>
      <w:r w:rsidRPr="00F7177E">
        <w:rPr>
          <w:color w:val="000000"/>
          <w:szCs w:val="24"/>
          <w:lang w:val="fr-FR"/>
        </w:rPr>
        <w:t>Entre les réunions, les travaux seront effectués par voie électronique au moyen d’un espace de travail en ligne sur le site Web du Groupe de travail sur l’énergie, qui fournira le principal mode de communication et de fonctionnement du Groupe.</w:t>
      </w:r>
    </w:p>
    <w:p w:rsidR="0058596E" w:rsidRPr="00F7177E" w:rsidRDefault="0058596E" w:rsidP="0058596E">
      <w:pPr>
        <w:jc w:val="both"/>
        <w:rPr>
          <w:color w:val="000000"/>
          <w:szCs w:val="24"/>
          <w:lang w:val="fr-FR"/>
        </w:rPr>
      </w:pPr>
    </w:p>
    <w:p w:rsidR="0058596E" w:rsidRPr="00F7177E" w:rsidRDefault="0058596E" w:rsidP="0058596E">
      <w:pPr>
        <w:pStyle w:val="ListParagraph"/>
        <w:widowControl w:val="0"/>
        <w:numPr>
          <w:ilvl w:val="0"/>
          <w:numId w:val="15"/>
        </w:numPr>
        <w:autoSpaceDE w:val="0"/>
        <w:autoSpaceDN w:val="0"/>
        <w:adjustRightInd w:val="0"/>
        <w:ind w:left="709" w:hanging="709"/>
        <w:contextualSpacing/>
        <w:jc w:val="both"/>
        <w:rPr>
          <w:b/>
          <w:color w:val="000000"/>
          <w:szCs w:val="24"/>
          <w:lang w:val="fr-FR"/>
        </w:rPr>
      </w:pPr>
      <w:r w:rsidRPr="00F7177E">
        <w:rPr>
          <w:b/>
          <w:spacing w:val="-2"/>
          <w:szCs w:val="24"/>
          <w:lang w:val="fr-FR"/>
        </w:rPr>
        <w:t>Financement</w:t>
      </w:r>
      <w:r w:rsidRPr="00F7177E">
        <w:rPr>
          <w:b/>
          <w:color w:val="000000"/>
          <w:szCs w:val="24"/>
          <w:lang w:val="fr-FR"/>
        </w:rPr>
        <w:t xml:space="preserve"> </w:t>
      </w:r>
    </w:p>
    <w:p w:rsidR="0058596E" w:rsidRPr="00F7177E" w:rsidRDefault="0058596E" w:rsidP="0058596E">
      <w:pPr>
        <w:jc w:val="both"/>
        <w:rPr>
          <w:color w:val="000000"/>
          <w:szCs w:val="24"/>
          <w:lang w:val="fr-FR"/>
        </w:rPr>
      </w:pPr>
    </w:p>
    <w:p w:rsidR="00F7177E" w:rsidRPr="00F7177E" w:rsidRDefault="0058596E" w:rsidP="00F7177E">
      <w:pPr>
        <w:contextualSpacing/>
        <w:rPr>
          <w:szCs w:val="24"/>
          <w:lang w:val="fr-FR"/>
        </w:rPr>
      </w:pPr>
      <w:r w:rsidRPr="00F7177E">
        <w:rPr>
          <w:color w:val="000000"/>
          <w:szCs w:val="24"/>
          <w:lang w:val="fr-FR"/>
        </w:rPr>
        <w:t>Le financement du fonctionnement du Groupe de travail sur l’énergie, y compris du poste de coordinateur, ainsi que de la mise en œuvre des priorités identifiées, sera recherché auprès de</w:t>
      </w:r>
      <w:r w:rsidR="00F7177E">
        <w:rPr>
          <w:color w:val="000000"/>
          <w:szCs w:val="24"/>
          <w:lang w:val="fr-FR"/>
        </w:rPr>
        <w:t xml:space="preserve"> diverses </w:t>
      </w:r>
      <w:r w:rsidRPr="00F7177E">
        <w:rPr>
          <w:color w:val="000000"/>
          <w:szCs w:val="24"/>
          <w:lang w:val="fr-FR"/>
        </w:rPr>
        <w:t>sources, y co</w:t>
      </w:r>
      <w:r w:rsidR="00F7177E">
        <w:rPr>
          <w:color w:val="000000"/>
          <w:szCs w:val="24"/>
          <w:lang w:val="fr-FR"/>
        </w:rPr>
        <w:t>mpris des organisations membres.</w:t>
      </w:r>
      <w:r w:rsidR="00F7177E" w:rsidRPr="00F7177E">
        <w:rPr>
          <w:szCs w:val="24"/>
          <w:lang w:val="fr-FR"/>
        </w:rPr>
        <w:t xml:space="preserve"> </w:t>
      </w:r>
    </w:p>
    <w:sectPr w:rsidR="00F7177E" w:rsidRPr="00F7177E" w:rsidSect="00A06128">
      <w:headerReference w:type="first" r:id="rId25"/>
      <w:footerReference w:type="first" r:id="rId26"/>
      <w:endnotePr>
        <w:numFmt w:val="decimal"/>
      </w:endnotePr>
      <w:pgSz w:w="11905" w:h="16837" w:code="9"/>
      <w:pgMar w:top="1418" w:right="1418" w:bottom="1418" w:left="1418" w:header="510" w:footer="5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6E" w:rsidRDefault="0058596E" w:rsidP="00C96A00">
      <w:r>
        <w:separator/>
      </w:r>
    </w:p>
  </w:endnote>
  <w:endnote w:type="continuationSeparator" w:id="0">
    <w:p w:rsidR="0058596E" w:rsidRDefault="0058596E"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6F" w:rsidRPr="00A83B6F" w:rsidRDefault="00A83B6F"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3B0845">
      <w:rPr>
        <w:noProof/>
        <w:sz w:val="22"/>
        <w:lang w:val="fr-FR"/>
      </w:rPr>
      <w:t>4</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53" w:rsidRPr="00A83B6F" w:rsidRDefault="00FC3253"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3B0845">
      <w:rPr>
        <w:noProof/>
        <w:sz w:val="22"/>
        <w:lang w:val="fr-FR"/>
      </w:rPr>
      <w:t>3</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68" w:rsidRPr="006E6631" w:rsidRDefault="0058596E"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968" w:rsidRPr="006E6631">
      <w:rPr>
        <w:rFonts w:ascii="Times New Roman Italic" w:hAnsi="Times New Roman Italic"/>
        <w:i/>
        <w:spacing w:val="-6"/>
        <w:sz w:val="20"/>
        <w:szCs w:val="20"/>
        <w:lang w:val="fr-FR"/>
      </w:rPr>
      <w:t xml:space="preserve">Pour des raisons d’économie, ce document est imprimé en nombre limité et ne sera pas distribué </w:t>
    </w:r>
    <w:r w:rsidR="00FA636F">
      <w:rPr>
        <w:rFonts w:ascii="Times New Roman Italic" w:hAnsi="Times New Roman Italic"/>
        <w:i/>
        <w:spacing w:val="-6"/>
        <w:sz w:val="20"/>
        <w:szCs w:val="20"/>
        <w:lang w:val="fr-FR"/>
      </w:rPr>
      <w:t>pendant la</w:t>
    </w:r>
    <w:r w:rsidR="00CC2968" w:rsidRPr="006E6631">
      <w:rPr>
        <w:rFonts w:ascii="Times New Roman Italic" w:hAnsi="Times New Roman Italic"/>
        <w:i/>
        <w:spacing w:val="-6"/>
        <w:sz w:val="20"/>
        <w:szCs w:val="20"/>
        <w:lang w:val="fr-FR"/>
      </w:rPr>
      <w:t xml:space="preserve"> réunion. Les délégués sont priés de se munir de leur copie et de ne pas dem</w:t>
    </w:r>
    <w:r w:rsidR="006E6631">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6E" w:rsidRPr="0025252D" w:rsidRDefault="0058596E">
    <w:pPr>
      <w:pStyle w:val="Footer"/>
      <w:jc w:val="center"/>
    </w:pPr>
    <w:r w:rsidRPr="0025252D">
      <w:fldChar w:fldCharType="begin"/>
    </w:r>
    <w:r w:rsidRPr="0025252D">
      <w:instrText xml:space="preserve"> PAGE   \* MERGEFORMAT </w:instrText>
    </w:r>
    <w:r w:rsidRPr="0025252D">
      <w:fldChar w:fldCharType="separate"/>
    </w:r>
    <w:r w:rsidR="003B0845">
      <w:rPr>
        <w:noProof/>
      </w:rPr>
      <w:t>5</w:t>
    </w:r>
    <w:r w:rsidRPr="0025252D">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F3" w:rsidRDefault="004556F3">
    <w:pPr>
      <w:pStyle w:val="Footer"/>
      <w:jc w:val="center"/>
    </w:pPr>
    <w:r>
      <w:fldChar w:fldCharType="begin"/>
    </w:r>
    <w:r>
      <w:instrText xml:space="preserve"> PAGE   \* MERGEFORMAT </w:instrText>
    </w:r>
    <w:r>
      <w:fldChar w:fldCharType="separate"/>
    </w:r>
    <w:r w:rsidR="003B0845">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6E" w:rsidRDefault="0058596E" w:rsidP="00C96A00">
      <w:r>
        <w:separator/>
      </w:r>
    </w:p>
  </w:footnote>
  <w:footnote w:type="continuationSeparator" w:id="0">
    <w:p w:rsidR="0058596E" w:rsidRDefault="0058596E" w:rsidP="00C96A00">
      <w:r>
        <w:continuationSeparator/>
      </w:r>
    </w:p>
  </w:footnote>
  <w:footnote w:id="1">
    <w:p w:rsidR="0058596E" w:rsidRPr="002716A9" w:rsidRDefault="0058596E" w:rsidP="0058596E">
      <w:pPr>
        <w:pStyle w:val="FootnoteText"/>
        <w:tabs>
          <w:tab w:val="left" w:pos="284"/>
        </w:tabs>
        <w:ind w:left="284" w:hanging="284"/>
        <w:rPr>
          <w:lang w:val="fr-FR"/>
        </w:rPr>
      </w:pPr>
      <w:r w:rsidRPr="0058164A">
        <w:rPr>
          <w:rStyle w:val="FootnoteReference"/>
          <w:vertAlign w:val="superscript"/>
        </w:rPr>
        <w:footnoteRef/>
      </w:r>
      <w:r w:rsidRPr="003219BD">
        <w:rPr>
          <w:vertAlign w:val="superscript"/>
          <w:lang w:val="fr-FR"/>
        </w:rPr>
        <w:t xml:space="preserve"> </w:t>
      </w:r>
      <w:r w:rsidRPr="003219BD">
        <w:rPr>
          <w:vertAlign w:val="superscript"/>
          <w:lang w:val="fr-FR"/>
        </w:rPr>
        <w:tab/>
      </w:r>
      <w:r w:rsidRPr="003219BD">
        <w:rPr>
          <w:lang w:val="fr-FR"/>
        </w:rPr>
        <w:t>Une liste des résolutions p</w:t>
      </w:r>
      <w:r>
        <w:rPr>
          <w:lang w:val="fr-FR"/>
        </w:rPr>
        <w:t>ertinentes de la CMS et de ses A</w:t>
      </w:r>
      <w:r w:rsidRPr="003219BD">
        <w:rPr>
          <w:lang w:val="fr-FR"/>
        </w:rPr>
        <w:t>ccords est présentée dans le préambul</w:t>
      </w:r>
      <w:r>
        <w:rPr>
          <w:lang w:val="fr-FR"/>
        </w:rPr>
        <w:t>e</w:t>
      </w:r>
      <w:r w:rsidR="00BA3536">
        <w:rPr>
          <w:lang w:val="fr-FR"/>
        </w:rPr>
        <w:t xml:space="preserve"> du </w:t>
      </w:r>
      <w:r w:rsidRPr="003219BD">
        <w:rPr>
          <w:lang w:val="fr-FR"/>
        </w:rPr>
        <w:t>projet de résolution annex</w:t>
      </w:r>
      <w:r>
        <w:rPr>
          <w:lang w:val="fr-FR"/>
        </w:rPr>
        <w:t>é</w:t>
      </w:r>
      <w:r w:rsidRPr="003219BD">
        <w:rPr>
          <w:lang w:val="fr-FR"/>
        </w:rPr>
        <w:t xml:space="preserve"> à la présente 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85" w:rsidRPr="00BA3536" w:rsidRDefault="00881B85" w:rsidP="00881B85">
    <w:pPr>
      <w:pStyle w:val="Header"/>
      <w:pBdr>
        <w:bottom w:val="single" w:sz="4" w:space="1" w:color="auto"/>
      </w:pBdr>
      <w:rPr>
        <w:i/>
        <w:sz w:val="20"/>
        <w:szCs w:val="20"/>
        <w:lang w:val="de-DE"/>
      </w:rPr>
    </w:pPr>
    <w:r w:rsidRPr="00BA3536">
      <w:rPr>
        <w:i/>
        <w:sz w:val="20"/>
        <w:szCs w:val="20"/>
        <w:lang w:val="de-DE"/>
      </w:rPr>
      <w:t>PNUE/CMS/COP11/Doc.23.4.3.1</w:t>
    </w:r>
  </w:p>
  <w:p w:rsidR="0058596E" w:rsidRPr="00A06128" w:rsidRDefault="0058596E" w:rsidP="00A061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36" w:rsidRPr="00BA3536" w:rsidRDefault="00BA3536" w:rsidP="00BA3536">
    <w:pPr>
      <w:pStyle w:val="Header"/>
      <w:pBdr>
        <w:bottom w:val="single" w:sz="4" w:space="1" w:color="auto"/>
      </w:pBdr>
      <w:jc w:val="right"/>
      <w:rPr>
        <w:i/>
        <w:sz w:val="20"/>
        <w:szCs w:val="20"/>
        <w:lang w:val="de-DE"/>
      </w:rPr>
    </w:pPr>
    <w:r w:rsidRPr="00BA3536">
      <w:rPr>
        <w:i/>
        <w:sz w:val="20"/>
        <w:szCs w:val="20"/>
        <w:lang w:val="de-DE"/>
      </w:rPr>
      <w:t>PNUE/CMS/COP11/Doc.23.4.3.1</w:t>
    </w:r>
  </w:p>
  <w:p w:rsidR="0058596E" w:rsidRPr="00A06128" w:rsidRDefault="0058596E" w:rsidP="00A061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6E" w:rsidRPr="00BA3536" w:rsidRDefault="00BA3536" w:rsidP="00BA3536">
    <w:pPr>
      <w:pStyle w:val="Header"/>
      <w:pBdr>
        <w:bottom w:val="single" w:sz="4" w:space="1" w:color="auto"/>
      </w:pBdr>
      <w:rPr>
        <w:i/>
        <w:sz w:val="20"/>
        <w:szCs w:val="20"/>
        <w:lang w:val="de-DE"/>
      </w:rPr>
    </w:pPr>
    <w:r w:rsidRPr="00BA3536">
      <w:rPr>
        <w:i/>
        <w:sz w:val="20"/>
        <w:szCs w:val="20"/>
        <w:lang w:val="de-DE"/>
      </w:rPr>
      <w:t>PNUE/CMS/COP11/Doc.23.4.3.1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36" w:rsidRPr="00BA3536" w:rsidRDefault="00BA3536" w:rsidP="00BA3536">
    <w:pPr>
      <w:pStyle w:val="Header"/>
      <w:pBdr>
        <w:bottom w:val="single" w:sz="4" w:space="1" w:color="auto"/>
      </w:pBdr>
      <w:rPr>
        <w:i/>
        <w:sz w:val="20"/>
        <w:szCs w:val="20"/>
      </w:rPr>
    </w:pPr>
    <w:r w:rsidRPr="00BA3536">
      <w:rPr>
        <w:i/>
        <w:sz w:val="20"/>
        <w:szCs w:val="20"/>
      </w:rPr>
      <w:t>PNUE/CMS/COP11/Doc.23.4.3.1/</w:t>
    </w:r>
    <w:proofErr w:type="spellStart"/>
    <w:r w:rsidRPr="00BA3536">
      <w:rPr>
        <w:i/>
        <w:sz w:val="20"/>
        <w:szCs w:val="20"/>
      </w:rPr>
      <w:t>Annexe</w:t>
    </w:r>
    <w:proofErr w:type="spellEnd"/>
    <w:r w:rsidRPr="00BA3536">
      <w:rPr>
        <w:i/>
        <w:sz w:val="20"/>
        <w:szCs w:val="20"/>
      </w:rPr>
      <w:t xml:space="preserve"> 1: </w:t>
    </w:r>
    <w:proofErr w:type="spellStart"/>
    <w:r w:rsidRPr="00BA3536">
      <w:rPr>
        <w:i/>
        <w:sz w:val="20"/>
        <w:szCs w:val="20"/>
      </w:rPr>
      <w:t>Projet</w:t>
    </w:r>
    <w:proofErr w:type="spellEnd"/>
    <w:r w:rsidRPr="00BA3536">
      <w:rPr>
        <w:i/>
        <w:sz w:val="20"/>
        <w:szCs w:val="20"/>
      </w:rPr>
      <w:t xml:space="preserve"> de </w:t>
    </w:r>
    <w:proofErr w:type="spellStart"/>
    <w:r w:rsidRPr="00BA3536">
      <w:rPr>
        <w:i/>
        <w:sz w:val="20"/>
        <w:szCs w:val="20"/>
      </w:rPr>
      <w:t>R</w:t>
    </w:r>
    <w:r>
      <w:rPr>
        <w:i/>
        <w:sz w:val="20"/>
        <w:szCs w:val="20"/>
      </w:rPr>
      <w:t>ésolution</w:t>
    </w:r>
    <w:proofErr w:type="spellEnd"/>
  </w:p>
  <w:p w:rsidR="0058596E" w:rsidRPr="00A06128" w:rsidRDefault="0058596E" w:rsidP="00A0612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36" w:rsidRPr="00BA3536" w:rsidRDefault="00BA3536" w:rsidP="00BA3536">
    <w:pPr>
      <w:pStyle w:val="Header"/>
      <w:pBdr>
        <w:bottom w:val="single" w:sz="4" w:space="1" w:color="auto"/>
      </w:pBdr>
      <w:jc w:val="right"/>
      <w:rPr>
        <w:i/>
        <w:sz w:val="20"/>
        <w:szCs w:val="20"/>
      </w:rPr>
    </w:pPr>
    <w:r w:rsidRPr="00BA3536">
      <w:rPr>
        <w:i/>
        <w:sz w:val="20"/>
        <w:szCs w:val="20"/>
      </w:rPr>
      <w:t>PNUE/CMS/COP11/Doc.23.4.3.1/</w:t>
    </w:r>
    <w:proofErr w:type="spellStart"/>
    <w:r w:rsidRPr="00BA3536">
      <w:rPr>
        <w:i/>
        <w:sz w:val="20"/>
        <w:szCs w:val="20"/>
      </w:rPr>
      <w:t>Annexe</w:t>
    </w:r>
    <w:proofErr w:type="spellEnd"/>
    <w:r w:rsidRPr="00BA3536">
      <w:rPr>
        <w:i/>
        <w:sz w:val="20"/>
        <w:szCs w:val="20"/>
      </w:rPr>
      <w:t xml:space="preserve"> 1: </w:t>
    </w:r>
    <w:proofErr w:type="spellStart"/>
    <w:r w:rsidRPr="00BA3536">
      <w:rPr>
        <w:i/>
        <w:sz w:val="20"/>
        <w:szCs w:val="20"/>
      </w:rPr>
      <w:t>Projet</w:t>
    </w:r>
    <w:proofErr w:type="spellEnd"/>
    <w:r w:rsidRPr="00BA3536">
      <w:rPr>
        <w:i/>
        <w:sz w:val="20"/>
        <w:szCs w:val="20"/>
      </w:rPr>
      <w:t xml:space="preserve"> de </w:t>
    </w:r>
    <w:proofErr w:type="spellStart"/>
    <w:r w:rsidRPr="00BA3536">
      <w:rPr>
        <w:i/>
        <w:sz w:val="20"/>
        <w:szCs w:val="20"/>
      </w:rPr>
      <w:t>R</w:t>
    </w:r>
    <w:r>
      <w:rPr>
        <w:i/>
        <w:sz w:val="20"/>
        <w:szCs w:val="20"/>
      </w:rPr>
      <w:t>ésolution</w:t>
    </w:r>
    <w:proofErr w:type="spellEnd"/>
  </w:p>
  <w:p w:rsidR="0058596E" w:rsidRPr="00A06128" w:rsidRDefault="0058596E" w:rsidP="00A0612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36" w:rsidRPr="00BA3536" w:rsidRDefault="00BA3536" w:rsidP="00BA3536">
    <w:pPr>
      <w:pStyle w:val="Header"/>
      <w:pBdr>
        <w:bottom w:val="single" w:sz="4" w:space="1" w:color="auto"/>
      </w:pBdr>
      <w:jc w:val="right"/>
      <w:rPr>
        <w:i/>
        <w:sz w:val="20"/>
        <w:szCs w:val="20"/>
      </w:rPr>
    </w:pPr>
    <w:r w:rsidRPr="00BA3536">
      <w:rPr>
        <w:i/>
        <w:sz w:val="20"/>
        <w:szCs w:val="20"/>
      </w:rPr>
      <w:t>PNUE/CMS/COP11/Doc.23.4.3.1</w:t>
    </w:r>
    <w:r w:rsidRPr="00BA3536">
      <w:rPr>
        <w:i/>
        <w:sz w:val="20"/>
        <w:szCs w:val="20"/>
      </w:rPr>
      <w:t>/</w:t>
    </w:r>
    <w:proofErr w:type="spellStart"/>
    <w:r w:rsidRPr="00BA3536">
      <w:rPr>
        <w:i/>
        <w:sz w:val="20"/>
        <w:szCs w:val="20"/>
      </w:rPr>
      <w:t>Annexe</w:t>
    </w:r>
    <w:proofErr w:type="spellEnd"/>
    <w:r w:rsidRPr="00BA3536">
      <w:rPr>
        <w:i/>
        <w:sz w:val="20"/>
        <w:szCs w:val="20"/>
      </w:rPr>
      <w:t xml:space="preserve"> 1: </w:t>
    </w:r>
    <w:proofErr w:type="spellStart"/>
    <w:r w:rsidRPr="00BA3536">
      <w:rPr>
        <w:i/>
        <w:sz w:val="20"/>
        <w:szCs w:val="20"/>
      </w:rPr>
      <w:t>Projet</w:t>
    </w:r>
    <w:proofErr w:type="spellEnd"/>
    <w:r w:rsidRPr="00BA3536">
      <w:rPr>
        <w:i/>
        <w:sz w:val="20"/>
        <w:szCs w:val="20"/>
      </w:rPr>
      <w:t xml:space="preserve"> de </w:t>
    </w:r>
    <w:proofErr w:type="spellStart"/>
    <w:r w:rsidRPr="00BA3536">
      <w:rPr>
        <w:i/>
        <w:sz w:val="20"/>
        <w:szCs w:val="20"/>
      </w:rPr>
      <w:t>R</w:t>
    </w:r>
    <w:r>
      <w:rPr>
        <w:i/>
        <w:sz w:val="20"/>
        <w:szCs w:val="20"/>
      </w:rPr>
      <w:t>ésolution</w:t>
    </w:r>
    <w:proofErr w:type="spellEnd"/>
  </w:p>
  <w:p w:rsidR="0058596E" w:rsidRPr="00A06128" w:rsidRDefault="0058596E" w:rsidP="00A0612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8B" w:rsidRPr="00A06128" w:rsidRDefault="00C82B8B" w:rsidP="00A06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C04A1"/>
    <w:multiLevelType w:val="hybridMultilevel"/>
    <w:tmpl w:val="467422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506BBC"/>
    <w:multiLevelType w:val="hybridMultilevel"/>
    <w:tmpl w:val="C93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8732B"/>
    <w:multiLevelType w:val="hybridMultilevel"/>
    <w:tmpl w:val="03648984"/>
    <w:lvl w:ilvl="0" w:tplc="18E699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41130E"/>
    <w:multiLevelType w:val="multilevel"/>
    <w:tmpl w:val="638ED0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6"/>
  </w:num>
  <w:num w:numId="4">
    <w:abstractNumId w:val="11"/>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5"/>
  </w:num>
  <w:num w:numId="7">
    <w:abstractNumId w:val="3"/>
  </w:num>
  <w:num w:numId="8">
    <w:abstractNumId w:val="4"/>
  </w:num>
  <w:num w:numId="9">
    <w:abstractNumId w:val="15"/>
  </w:num>
  <w:num w:numId="10">
    <w:abstractNumId w:val="2"/>
  </w:num>
  <w:num w:numId="11">
    <w:abstractNumId w:val="1"/>
  </w:num>
  <w:num w:numId="12">
    <w:abstractNumId w:val="10"/>
  </w:num>
  <w:num w:numId="13">
    <w:abstractNumId w:val="12"/>
  </w:num>
  <w:num w:numId="14">
    <w:abstractNumId w:val="13"/>
  </w:num>
  <w:num w:numId="15">
    <w:abstractNumId w:val="7"/>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revisionView w:comments="0" w:insDel="0"/>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6E"/>
    <w:rsid w:val="00001BCE"/>
    <w:rsid w:val="00012D5E"/>
    <w:rsid w:val="000216CB"/>
    <w:rsid w:val="0002353C"/>
    <w:rsid w:val="00031D49"/>
    <w:rsid w:val="00033272"/>
    <w:rsid w:val="00043DED"/>
    <w:rsid w:val="00050F99"/>
    <w:rsid w:val="00076D11"/>
    <w:rsid w:val="000A4AA9"/>
    <w:rsid w:val="000B2583"/>
    <w:rsid w:val="000C5934"/>
    <w:rsid w:val="000D5656"/>
    <w:rsid w:val="00101EBB"/>
    <w:rsid w:val="00105EA7"/>
    <w:rsid w:val="00106A1A"/>
    <w:rsid w:val="00107D1D"/>
    <w:rsid w:val="00113CC4"/>
    <w:rsid w:val="00133164"/>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51A43"/>
    <w:rsid w:val="00251C73"/>
    <w:rsid w:val="00256CB6"/>
    <w:rsid w:val="00257ACF"/>
    <w:rsid w:val="00275603"/>
    <w:rsid w:val="00277F62"/>
    <w:rsid w:val="002823B0"/>
    <w:rsid w:val="002B7853"/>
    <w:rsid w:val="002E45CD"/>
    <w:rsid w:val="00300DAD"/>
    <w:rsid w:val="003172D0"/>
    <w:rsid w:val="00322215"/>
    <w:rsid w:val="00325D81"/>
    <w:rsid w:val="0038468E"/>
    <w:rsid w:val="003860F5"/>
    <w:rsid w:val="003B0845"/>
    <w:rsid w:val="003B756F"/>
    <w:rsid w:val="003D36E9"/>
    <w:rsid w:val="003D63C2"/>
    <w:rsid w:val="003F74EF"/>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510FA"/>
    <w:rsid w:val="00561D4F"/>
    <w:rsid w:val="00567790"/>
    <w:rsid w:val="0058596E"/>
    <w:rsid w:val="005A2F42"/>
    <w:rsid w:val="005B48D8"/>
    <w:rsid w:val="005B733D"/>
    <w:rsid w:val="005C6999"/>
    <w:rsid w:val="005D7FD0"/>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A10CB"/>
    <w:rsid w:val="007A5891"/>
    <w:rsid w:val="007D0D9D"/>
    <w:rsid w:val="007E5DB9"/>
    <w:rsid w:val="007F7154"/>
    <w:rsid w:val="008168F5"/>
    <w:rsid w:val="00835F1F"/>
    <w:rsid w:val="0085400D"/>
    <w:rsid w:val="00854FF9"/>
    <w:rsid w:val="00867C98"/>
    <w:rsid w:val="00871D3F"/>
    <w:rsid w:val="00881B85"/>
    <w:rsid w:val="00886C44"/>
    <w:rsid w:val="008A4888"/>
    <w:rsid w:val="008C424F"/>
    <w:rsid w:val="008D4A4E"/>
    <w:rsid w:val="008E47CF"/>
    <w:rsid w:val="008F0739"/>
    <w:rsid w:val="009113F4"/>
    <w:rsid w:val="0091211B"/>
    <w:rsid w:val="00915885"/>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72E6C"/>
    <w:rsid w:val="00A83B6F"/>
    <w:rsid w:val="00A9767A"/>
    <w:rsid w:val="00AA6754"/>
    <w:rsid w:val="00AB0C7A"/>
    <w:rsid w:val="00AC6844"/>
    <w:rsid w:val="00AD2F11"/>
    <w:rsid w:val="00AD3A97"/>
    <w:rsid w:val="00AF6F73"/>
    <w:rsid w:val="00B007B0"/>
    <w:rsid w:val="00B016BB"/>
    <w:rsid w:val="00B047D9"/>
    <w:rsid w:val="00B2711B"/>
    <w:rsid w:val="00B3336A"/>
    <w:rsid w:val="00B4087D"/>
    <w:rsid w:val="00B436D3"/>
    <w:rsid w:val="00B73B41"/>
    <w:rsid w:val="00B742E3"/>
    <w:rsid w:val="00BA3536"/>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A0A56"/>
    <w:rsid w:val="00CB058F"/>
    <w:rsid w:val="00CC19AA"/>
    <w:rsid w:val="00CC2968"/>
    <w:rsid w:val="00CD417B"/>
    <w:rsid w:val="00CD475A"/>
    <w:rsid w:val="00D07537"/>
    <w:rsid w:val="00D13EBE"/>
    <w:rsid w:val="00D1415C"/>
    <w:rsid w:val="00D20955"/>
    <w:rsid w:val="00D3014E"/>
    <w:rsid w:val="00D30FF5"/>
    <w:rsid w:val="00D33B7A"/>
    <w:rsid w:val="00D45F44"/>
    <w:rsid w:val="00D52B1D"/>
    <w:rsid w:val="00D52F53"/>
    <w:rsid w:val="00D54340"/>
    <w:rsid w:val="00D85978"/>
    <w:rsid w:val="00D92C5E"/>
    <w:rsid w:val="00DD2FE7"/>
    <w:rsid w:val="00DE1F2C"/>
    <w:rsid w:val="00DE7B90"/>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4301E"/>
    <w:rsid w:val="00F67195"/>
    <w:rsid w:val="00F7177E"/>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rapporttekst">
    <w:name w:val="rapport tekst"/>
    <w:uiPriority w:val="99"/>
    <w:rsid w:val="0058596E"/>
    <w:pPr>
      <w:spacing w:line="280" w:lineRule="atLeast"/>
      <w:ind w:left="851"/>
      <w:jc w:val="both"/>
    </w:pPr>
    <w:rPr>
      <w:rFonts w:ascii="Arial" w:eastAsia="Times New Roman" w:hAnsi="Arial"/>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rapporttekst">
    <w:name w:val="rapport tekst"/>
    <w:uiPriority w:val="99"/>
    <w:rsid w:val="0058596E"/>
    <w:pPr>
      <w:spacing w:line="280" w:lineRule="atLeast"/>
      <w:ind w:left="851"/>
      <w:jc w:val="both"/>
    </w:pPr>
    <w:rPr>
      <w:rFonts w:ascii="Arial" w:eastAsia="Times New Roman" w:hAnsi="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5157-EBD2-47BE-A46A-53DB608F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2</TotalTime>
  <Pages>12</Pages>
  <Words>4176</Words>
  <Characters>23805</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Brückner</cp:lastModifiedBy>
  <cp:revision>3</cp:revision>
  <cp:lastPrinted>2014-09-01T13:18:00Z</cp:lastPrinted>
  <dcterms:created xsi:type="dcterms:W3CDTF">2014-09-01T13:17:00Z</dcterms:created>
  <dcterms:modified xsi:type="dcterms:W3CDTF">2014-09-01T13:19:00Z</dcterms:modified>
</cp:coreProperties>
</file>