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E66E72" w:rsidRPr="00994BB0" w14:paraId="3DD18900" w14:textId="77777777" w:rsidTr="008C6018">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00EB4CE1" w14:textId="77777777" w:rsidR="00E66E72" w:rsidRPr="00196831" w:rsidRDefault="00E66E72" w:rsidP="008C6018">
            <w:pPr>
              <w:widowControl w:val="0"/>
              <w:suppressAutoHyphens/>
              <w:autoSpaceDE w:val="0"/>
              <w:autoSpaceDN w:val="0"/>
              <w:textAlignment w:val="baseline"/>
              <w:rPr>
                <w:rFonts w:ascii="Calibri" w:eastAsia="Calibri" w:hAnsi="Calibri" w:cs="Times New Roman"/>
              </w:rPr>
            </w:pPr>
            <w:r w:rsidRPr="00196831">
              <w:rPr>
                <w:rFonts w:eastAsia="Times New Roman"/>
                <w:noProof/>
              </w:rPr>
              <w:drawing>
                <wp:inline distT="0" distB="0" distL="0" distR="0" wp14:anchorId="2A81AA01" wp14:editId="4B63BC82">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2533" t="-726" r="-2533" b="-726"/>
                          <a:stretch>
                            <a:fillRect/>
                          </a:stretch>
                        </pic:blipFill>
                        <pic:spPr>
                          <a:xfrm>
                            <a:off x="0" y="0"/>
                            <a:ext cx="752478" cy="771525"/>
                          </a:xfrm>
                          <a:prstGeom prst="rect">
                            <a:avLst/>
                          </a:prstGeom>
                          <a:noFill/>
                          <a:ln>
                            <a:noFill/>
                            <a:prstDash/>
                          </a:ln>
                        </pic:spPr>
                      </pic:pic>
                    </a:graphicData>
                  </a:graphic>
                </wp:inline>
              </w:drawing>
            </w:r>
          </w:p>
          <w:p w14:paraId="5DF10052" w14:textId="77777777" w:rsidR="00E66E72" w:rsidRPr="00196831" w:rsidRDefault="00E66E72" w:rsidP="008C6018">
            <w:pPr>
              <w:widowControl w:val="0"/>
              <w:suppressAutoHyphens/>
              <w:autoSpaceDE w:val="0"/>
              <w:autoSpaceDN w:val="0"/>
              <w:textAlignment w:val="baseline"/>
              <w:rPr>
                <w:rFonts w:eastAsia="Times New Roman"/>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01A6268E" w14:textId="77777777" w:rsidR="00E66E72" w:rsidRPr="00196831" w:rsidRDefault="00E66E72" w:rsidP="008C6018">
            <w:pPr>
              <w:keepNext/>
              <w:widowControl w:val="0"/>
              <w:suppressAutoHyphens/>
              <w:autoSpaceDE w:val="0"/>
              <w:autoSpaceDN w:val="0"/>
              <w:ind w:left="-108"/>
              <w:textAlignment w:val="baseline"/>
              <w:outlineLvl w:val="1"/>
              <w:rPr>
                <w:rFonts w:eastAsia="Times New Roman"/>
                <w:sz w:val="12"/>
                <w:szCs w:val="12"/>
                <w:lang w:val="fr-FR"/>
              </w:rPr>
            </w:pPr>
          </w:p>
          <w:p w14:paraId="5E21CF94" w14:textId="77777777" w:rsidR="00E66E72" w:rsidRPr="00196831" w:rsidRDefault="00E66E72" w:rsidP="008C6018">
            <w:pPr>
              <w:keepNext/>
              <w:widowControl w:val="0"/>
              <w:suppressAutoHyphens/>
              <w:autoSpaceDE w:val="0"/>
              <w:autoSpaceDN w:val="0"/>
              <w:ind w:left="-108"/>
              <w:textAlignment w:val="baseline"/>
              <w:outlineLvl w:val="1"/>
              <w:rPr>
                <w:rFonts w:ascii="Calibri" w:eastAsia="Calibri" w:hAnsi="Calibri" w:cs="Times New Roman"/>
                <w:lang w:val="fr-FR"/>
              </w:rPr>
            </w:pPr>
            <w:r w:rsidRPr="00196831">
              <w:rPr>
                <w:b/>
                <w:bCs/>
                <w:sz w:val="32"/>
                <w:szCs w:val="32"/>
                <w:lang w:val="fr-FR"/>
              </w:rPr>
              <w:t>CONVENTION SUR</w:t>
            </w:r>
          </w:p>
          <w:p w14:paraId="5225513C" w14:textId="77777777" w:rsidR="00E66E72" w:rsidRPr="00196831" w:rsidRDefault="00E66E72" w:rsidP="008C6018">
            <w:pPr>
              <w:keepNext/>
              <w:widowControl w:val="0"/>
              <w:suppressAutoHyphens/>
              <w:autoSpaceDE w:val="0"/>
              <w:autoSpaceDN w:val="0"/>
              <w:ind w:left="-108"/>
              <w:textAlignment w:val="baseline"/>
              <w:outlineLvl w:val="1"/>
              <w:rPr>
                <w:rFonts w:ascii="Calibri" w:eastAsia="Calibri" w:hAnsi="Calibri" w:cs="Times New Roman"/>
                <w:lang w:val="fr-FR"/>
              </w:rPr>
            </w:pPr>
            <w:r w:rsidRPr="00196831">
              <w:rPr>
                <w:b/>
                <w:bCs/>
                <w:sz w:val="32"/>
                <w:szCs w:val="32"/>
                <w:lang w:val="fr-FR"/>
              </w:rPr>
              <w:t>LES ESPÈCES</w:t>
            </w:r>
          </w:p>
          <w:p w14:paraId="7CAA4262" w14:textId="77777777" w:rsidR="00E66E72" w:rsidRPr="00196831" w:rsidRDefault="00E66E72" w:rsidP="008C6018">
            <w:pPr>
              <w:keepNext/>
              <w:widowControl w:val="0"/>
              <w:suppressAutoHyphens/>
              <w:autoSpaceDE w:val="0"/>
              <w:autoSpaceDN w:val="0"/>
              <w:ind w:left="-108"/>
              <w:textAlignment w:val="baseline"/>
              <w:outlineLvl w:val="1"/>
              <w:rPr>
                <w:rFonts w:ascii="Calibri" w:eastAsia="Calibri" w:hAnsi="Calibri" w:cs="Times New Roman"/>
                <w:lang w:val="fr-FR"/>
              </w:rPr>
            </w:pPr>
            <w:r w:rsidRPr="00196831">
              <w:rPr>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2AC1B6C5" w14:textId="77777777" w:rsidR="00E66E72" w:rsidRPr="00196831" w:rsidRDefault="00E66E72" w:rsidP="008C6018">
            <w:pPr>
              <w:widowControl w:val="0"/>
              <w:tabs>
                <w:tab w:val="left" w:pos="-1057"/>
                <w:tab w:val="left" w:pos="-720"/>
                <w:tab w:val="left" w:pos="5040"/>
                <w:tab w:val="left" w:pos="5760"/>
                <w:tab w:val="left" w:pos="6008"/>
                <w:tab w:val="left" w:pos="6480"/>
                <w:tab w:val="left" w:pos="7200"/>
                <w:tab w:val="left" w:pos="7920"/>
                <w:tab w:val="left" w:pos="8640"/>
              </w:tabs>
              <w:suppressAutoHyphens/>
              <w:autoSpaceDE w:val="0"/>
              <w:autoSpaceDN w:val="0"/>
              <w:textAlignment w:val="baseline"/>
              <w:rPr>
                <w:rFonts w:eastAsia="Times New Roman"/>
                <w:sz w:val="12"/>
                <w:szCs w:val="12"/>
                <w:lang w:val="fr-FR"/>
              </w:rPr>
            </w:pPr>
          </w:p>
          <w:p w14:paraId="648D5F22" w14:textId="0BA854FE" w:rsidR="00E66E72" w:rsidRDefault="00E66E72" w:rsidP="008C6018">
            <w:pPr>
              <w:widowControl w:val="0"/>
              <w:tabs>
                <w:tab w:val="left" w:pos="5040"/>
                <w:tab w:val="left" w:pos="5760"/>
                <w:tab w:val="left" w:pos="6008"/>
                <w:tab w:val="left" w:pos="6480"/>
                <w:tab w:val="left" w:pos="7200"/>
                <w:tab w:val="left" w:pos="7920"/>
                <w:tab w:val="left" w:pos="8640"/>
              </w:tabs>
              <w:suppressAutoHyphens/>
              <w:autoSpaceDE w:val="0"/>
              <w:autoSpaceDN w:val="0"/>
              <w:textAlignment w:val="baseline"/>
              <w:rPr>
                <w:lang w:val="fr-FR"/>
              </w:rPr>
            </w:pPr>
            <w:r w:rsidRPr="00196831">
              <w:rPr>
                <w:lang w:val="fr-FR"/>
              </w:rPr>
              <w:t>UNEP/CMS/COP14/Doc</w:t>
            </w:r>
            <w:r w:rsidR="00196831">
              <w:rPr>
                <w:lang w:val="fr-FR"/>
              </w:rPr>
              <w:t>.27.7.3</w:t>
            </w:r>
          </w:p>
          <w:p w14:paraId="1E8784B4" w14:textId="3E28BF5A" w:rsidR="00E66E72" w:rsidRPr="00196831" w:rsidRDefault="00CC3984" w:rsidP="008C6018">
            <w:pPr>
              <w:widowControl w:val="0"/>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lang w:val="fr-FR"/>
              </w:rPr>
            </w:pPr>
            <w:r>
              <w:rPr>
                <w:lang w:val="fr-FR"/>
              </w:rPr>
              <w:t>14 novembre 2023</w:t>
            </w:r>
          </w:p>
          <w:p w14:paraId="4FFAAFB4" w14:textId="77777777" w:rsidR="00E66E72" w:rsidRPr="00196831" w:rsidRDefault="00E66E72" w:rsidP="008C6018">
            <w:pPr>
              <w:widowControl w:val="0"/>
              <w:tabs>
                <w:tab w:val="left" w:pos="5040"/>
                <w:tab w:val="left" w:pos="5760"/>
                <w:tab w:val="left" w:pos="6008"/>
                <w:tab w:val="left" w:pos="6480"/>
                <w:tab w:val="left" w:pos="7200"/>
                <w:tab w:val="left" w:pos="7920"/>
                <w:tab w:val="left" w:pos="8640"/>
              </w:tabs>
              <w:suppressAutoHyphens/>
              <w:autoSpaceDE w:val="0"/>
              <w:autoSpaceDN w:val="0"/>
              <w:textAlignment w:val="baseline"/>
              <w:rPr>
                <w:rFonts w:eastAsia="Times New Roman"/>
                <w:sz w:val="12"/>
                <w:szCs w:val="12"/>
                <w:lang w:val="fr-FR"/>
              </w:rPr>
            </w:pPr>
          </w:p>
          <w:p w14:paraId="5F335CB6" w14:textId="77777777" w:rsidR="00E66E72" w:rsidRPr="00196831" w:rsidRDefault="00E66E72" w:rsidP="008C6018">
            <w:pPr>
              <w:widowControl w:val="0"/>
              <w:suppressAutoHyphens/>
              <w:autoSpaceDE w:val="0"/>
              <w:autoSpaceDN w:val="0"/>
              <w:textAlignment w:val="baseline"/>
              <w:rPr>
                <w:rFonts w:ascii="Calibri" w:eastAsia="Calibri" w:hAnsi="Calibri" w:cs="Times New Roman"/>
                <w:lang w:val="fr-FR"/>
              </w:rPr>
            </w:pPr>
            <w:r w:rsidRPr="00196831">
              <w:rPr>
                <w:lang w:val="fr-FR"/>
              </w:rPr>
              <w:t>Français</w:t>
            </w:r>
          </w:p>
          <w:p w14:paraId="5078A787" w14:textId="77777777" w:rsidR="00E66E72" w:rsidRPr="00994BB0" w:rsidRDefault="00E66E72" w:rsidP="008C6018">
            <w:pPr>
              <w:widowControl w:val="0"/>
              <w:suppressAutoHyphens/>
              <w:autoSpaceDE w:val="0"/>
              <w:autoSpaceDN w:val="0"/>
              <w:textAlignment w:val="baseline"/>
              <w:rPr>
                <w:rFonts w:ascii="Calibri" w:eastAsia="Calibri" w:hAnsi="Calibri" w:cs="Times New Roman"/>
                <w:lang w:val="fr-FR"/>
              </w:rPr>
            </w:pPr>
            <w:r w:rsidRPr="00196831">
              <w:rPr>
                <w:lang w:val="fr-FR"/>
              </w:rPr>
              <w:t>Original : Anglais</w:t>
            </w:r>
          </w:p>
          <w:p w14:paraId="3FBFD816" w14:textId="77777777" w:rsidR="00E66E72" w:rsidRPr="00EC2A58" w:rsidRDefault="00E66E72" w:rsidP="008C6018">
            <w:pPr>
              <w:widowControl w:val="0"/>
              <w:suppressAutoHyphens/>
              <w:autoSpaceDE w:val="0"/>
              <w:autoSpaceDN w:val="0"/>
              <w:textAlignment w:val="baseline"/>
              <w:rPr>
                <w:rFonts w:eastAsia="Times New Roman"/>
                <w:sz w:val="12"/>
                <w:szCs w:val="12"/>
                <w:lang w:val="fr-FR"/>
              </w:rPr>
            </w:pPr>
          </w:p>
        </w:tc>
      </w:tr>
    </w:tbl>
    <w:p w14:paraId="1DF7085E" w14:textId="77777777" w:rsidR="00C80BC7" w:rsidRPr="00CC3984" w:rsidRDefault="00C80BC7" w:rsidP="00C80BC7">
      <w:pPr>
        <w:widowControl w:val="0"/>
        <w:tabs>
          <w:tab w:val="left" w:pos="-1057"/>
          <w:tab w:val="left" w:pos="-720"/>
        </w:tabs>
        <w:suppressAutoHyphens/>
        <w:autoSpaceDE w:val="0"/>
        <w:autoSpaceDN w:val="0"/>
        <w:spacing w:before="80"/>
        <w:textAlignment w:val="baseline"/>
        <w:rPr>
          <w:rFonts w:ascii="Calibri" w:eastAsia="Calibri" w:hAnsi="Calibri" w:cs="Times New Roman"/>
          <w:lang w:val="fr-FR"/>
        </w:rPr>
      </w:pPr>
      <w:r w:rsidRPr="00EC2A58">
        <w:rPr>
          <w:lang w:val="fr-FR"/>
        </w:rPr>
        <w:t>1</w:t>
      </w:r>
      <w:r w:rsidRPr="00CC3984">
        <w:rPr>
          <w:lang w:val="fr-FR"/>
        </w:rPr>
        <w:t>4</w:t>
      </w:r>
      <w:r w:rsidRPr="00CC3984">
        <w:rPr>
          <w:vertAlign w:val="superscript"/>
          <w:lang w:val="fr-FR"/>
        </w:rPr>
        <w:t>ème</w:t>
      </w:r>
      <w:r w:rsidRPr="00CC3984">
        <w:rPr>
          <w:lang w:val="fr-FR"/>
        </w:rPr>
        <w:t xml:space="preserve"> SESSION DE LA CONFÉRENCE DES PARTIES</w:t>
      </w:r>
    </w:p>
    <w:p w14:paraId="2908C316" w14:textId="77777777" w:rsidR="00C80BC7" w:rsidRPr="00CC3984" w:rsidRDefault="00C80BC7" w:rsidP="00C80BC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sidRPr="00CC3984">
        <w:rPr>
          <w:bCs/>
          <w:lang w:val="fr-FR"/>
        </w:rPr>
        <w:t>Samarcande, Ouzbékistan, 12 – 17 février 2024</w:t>
      </w:r>
    </w:p>
    <w:p w14:paraId="5030DAAA" w14:textId="5BFE76E5" w:rsidR="00C80BC7" w:rsidRPr="00EC2A58" w:rsidRDefault="00CC3984" w:rsidP="00C80BC7">
      <w:pPr>
        <w:widowControl w:val="0"/>
        <w:suppressAutoHyphens/>
        <w:autoSpaceDE w:val="0"/>
        <w:autoSpaceDN w:val="0"/>
        <w:spacing w:line="228" w:lineRule="auto"/>
        <w:textAlignment w:val="baseline"/>
        <w:rPr>
          <w:rFonts w:ascii="Calibri" w:eastAsia="Calibri" w:hAnsi="Calibri" w:cs="Times New Roman"/>
          <w:lang w:val="fr-FR"/>
        </w:rPr>
      </w:pPr>
      <w:r>
        <w:rPr>
          <w:iCs/>
          <w:lang w:val="fr-FR"/>
        </w:rPr>
        <w:t>Point 27.3</w:t>
      </w:r>
      <w:r w:rsidR="00C80BC7" w:rsidRPr="00CC3984">
        <w:rPr>
          <w:iCs/>
          <w:lang w:val="fr-FR"/>
        </w:rPr>
        <w:t xml:space="preserve"> de l’ordre du jour</w:t>
      </w:r>
    </w:p>
    <w:p w14:paraId="0A5748C2" w14:textId="77777777" w:rsidR="00D36E5D" w:rsidRDefault="00D36E5D">
      <w:pPr>
        <w:widowControl w:val="0"/>
        <w:rPr>
          <w:lang w:val="fr-FR"/>
        </w:rPr>
      </w:pPr>
    </w:p>
    <w:p w14:paraId="567067D5" w14:textId="77777777" w:rsidR="00E66E72" w:rsidRDefault="00E66E72">
      <w:pPr>
        <w:widowControl w:val="0"/>
        <w:rPr>
          <w:lang w:val="fr-FR"/>
        </w:rPr>
      </w:pPr>
    </w:p>
    <w:p w14:paraId="52082FD8" w14:textId="77777777" w:rsidR="00E66E72" w:rsidRPr="004F216B" w:rsidRDefault="00E66E72">
      <w:pPr>
        <w:widowControl w:val="0"/>
        <w:rPr>
          <w:lang w:val="fr-FR"/>
        </w:rPr>
      </w:pPr>
    </w:p>
    <w:p w14:paraId="6CD8262F" w14:textId="26C3E857" w:rsidR="00564AB6" w:rsidRPr="004F216B" w:rsidRDefault="00636419" w:rsidP="00327FE8">
      <w:pPr>
        <w:tabs>
          <w:tab w:val="left" w:pos="6840"/>
        </w:tabs>
        <w:spacing w:line="252" w:lineRule="exact"/>
        <w:ind w:right="26"/>
        <w:jc w:val="center"/>
        <w:rPr>
          <w:b/>
          <w:lang w:val="fr-FR"/>
        </w:rPr>
      </w:pPr>
      <w:r w:rsidRPr="004F216B">
        <w:rPr>
          <w:b/>
          <w:lang w:val="fr-FR"/>
        </w:rPr>
        <w:t>MISE EN ŒUVRE DES DISPOSITIONS DE L</w:t>
      </w:r>
      <w:r w:rsidR="00B2062C" w:rsidRPr="004F216B">
        <w:rPr>
          <w:b/>
          <w:lang w:val="fr-FR"/>
        </w:rPr>
        <w:t>’</w:t>
      </w:r>
      <w:r w:rsidRPr="004F216B">
        <w:rPr>
          <w:b/>
          <w:lang w:val="fr-FR"/>
        </w:rPr>
        <w:t xml:space="preserve">ANNEXE I DE LA CMS - INSCRIPTION DU </w:t>
      </w:r>
    </w:p>
    <w:p w14:paraId="399115DB" w14:textId="56BFFF3C" w:rsidR="00D67332" w:rsidRPr="004F216B" w:rsidRDefault="00636419" w:rsidP="00564AB6">
      <w:pPr>
        <w:tabs>
          <w:tab w:val="left" w:pos="6840"/>
        </w:tabs>
        <w:spacing w:after="120"/>
        <w:ind w:right="28"/>
        <w:jc w:val="center"/>
        <w:rPr>
          <w:b/>
          <w:lang w:val="fr-FR"/>
        </w:rPr>
      </w:pPr>
      <w:r w:rsidRPr="004F216B">
        <w:rPr>
          <w:b/>
          <w:lang w:val="fr-FR"/>
        </w:rPr>
        <w:t xml:space="preserve">REQUIN OCÉANIQUE </w:t>
      </w:r>
      <w:r w:rsidRPr="004F216B">
        <w:rPr>
          <w:lang w:val="fr-FR"/>
        </w:rPr>
        <w:t>(</w:t>
      </w:r>
      <w:r w:rsidRPr="004F216B">
        <w:rPr>
          <w:i/>
          <w:lang w:val="fr-FR"/>
        </w:rPr>
        <w:t>Carcharhinus longimanus</w:t>
      </w:r>
      <w:r w:rsidRPr="004F216B">
        <w:rPr>
          <w:lang w:val="fr-FR"/>
        </w:rPr>
        <w:t>)</w:t>
      </w:r>
    </w:p>
    <w:p w14:paraId="51AA23C2" w14:textId="7837F6B2" w:rsidR="00D36E5D" w:rsidRPr="004F216B" w:rsidRDefault="00CC463E" w:rsidP="00327FE8">
      <w:pPr>
        <w:widowControl w:val="0"/>
        <w:ind w:right="26"/>
        <w:jc w:val="center"/>
        <w:rPr>
          <w:rFonts w:ascii="Calibri" w:eastAsia="Calibri" w:hAnsi="Calibri" w:cs="Calibri"/>
          <w:lang w:val="fr-FR"/>
        </w:rPr>
      </w:pPr>
      <w:r w:rsidRPr="004F216B">
        <w:rPr>
          <w:i/>
          <w:lang w:val="fr-FR"/>
        </w:rPr>
        <w:t>(Préparé par les Maldives)</w:t>
      </w:r>
    </w:p>
    <w:p w14:paraId="0818FF80" w14:textId="77777777" w:rsidR="00D36E5D" w:rsidRPr="004F216B" w:rsidRDefault="00D36E5D">
      <w:pPr>
        <w:widowControl w:val="0"/>
        <w:tabs>
          <w:tab w:val="left" w:pos="8295"/>
        </w:tabs>
        <w:jc w:val="both"/>
        <w:rPr>
          <w:lang w:val="fr-FR"/>
        </w:rPr>
      </w:pPr>
    </w:p>
    <w:p w14:paraId="4CE6B20D" w14:textId="77777777" w:rsidR="00564AB6" w:rsidRPr="004F216B" w:rsidRDefault="00564AB6">
      <w:pPr>
        <w:widowControl w:val="0"/>
        <w:rPr>
          <w:rFonts w:ascii="Calibri" w:eastAsia="Calibri" w:hAnsi="Calibri" w:cs="Calibri"/>
          <w:lang w:val="fr-FR"/>
        </w:rPr>
      </w:pPr>
    </w:p>
    <w:p w14:paraId="420E88DF" w14:textId="1EAF79F7" w:rsidR="00D36E5D" w:rsidRPr="004F216B" w:rsidRDefault="00CC463E">
      <w:pPr>
        <w:widowControl w:val="0"/>
        <w:rPr>
          <w:rFonts w:ascii="Calibri" w:eastAsia="Calibri" w:hAnsi="Calibri" w:cs="Calibri"/>
          <w:lang w:val="fr-FR"/>
        </w:rPr>
      </w:pPr>
      <w:r w:rsidRPr="004F216B">
        <w:rPr>
          <w:noProof/>
          <w:lang w:val="fr-FR"/>
        </w:rPr>
        <mc:AlternateContent>
          <mc:Choice Requires="wps">
            <w:drawing>
              <wp:anchor distT="0" distB="0" distL="114300" distR="114300" simplePos="0" relativeHeight="251654656" behindDoc="0" locked="0" layoutInCell="1" hidden="0" allowOverlap="1" wp14:anchorId="70C2E6A3" wp14:editId="23FE36DC">
                <wp:simplePos x="0" y="0"/>
                <wp:positionH relativeFrom="column">
                  <wp:posOffset>571500</wp:posOffset>
                </wp:positionH>
                <wp:positionV relativeFrom="paragraph">
                  <wp:posOffset>81281</wp:posOffset>
                </wp:positionV>
                <wp:extent cx="4629150" cy="1447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4629150" cy="14478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8251084" w14:textId="17990BCF" w:rsidR="00D36E5D" w:rsidRPr="00D6261F" w:rsidRDefault="00CC463E" w:rsidP="00564AB6">
                            <w:pPr>
                              <w:spacing w:line="258" w:lineRule="auto"/>
                              <w:textDirection w:val="btLr"/>
                              <w:rPr>
                                <w:color w:val="000000" w:themeColor="text1"/>
                                <w:lang w:val="fr-FR"/>
                              </w:rPr>
                            </w:pPr>
                            <w:r>
                              <w:rPr>
                                <w:color w:val="000000" w:themeColor="text1"/>
                                <w:lang w:val="fr-FR"/>
                              </w:rPr>
                              <w:t>Résumé :</w:t>
                            </w:r>
                          </w:p>
                          <w:p w14:paraId="60F74FB3" w14:textId="77777777" w:rsidR="00D36E5D" w:rsidRPr="00D6261F" w:rsidRDefault="00D36E5D">
                            <w:pPr>
                              <w:jc w:val="both"/>
                              <w:textDirection w:val="btLr"/>
                              <w:rPr>
                                <w:color w:val="000000" w:themeColor="text1"/>
                                <w:lang w:val="fr-FR"/>
                              </w:rPr>
                            </w:pPr>
                          </w:p>
                          <w:p w14:paraId="74FE14F5" w14:textId="683A112C" w:rsidR="00D67332" w:rsidRPr="00D6261F" w:rsidRDefault="00F512BE" w:rsidP="00564AB6">
                            <w:pPr>
                              <w:tabs>
                                <w:tab w:val="left" w:pos="6096"/>
                              </w:tabs>
                              <w:ind w:right="-98"/>
                              <w:jc w:val="both"/>
                              <w:rPr>
                                <w:color w:val="000000" w:themeColor="text1"/>
                                <w:lang w:val="fr-FR"/>
                              </w:rPr>
                            </w:pPr>
                            <w:r>
                              <w:rPr>
                                <w:color w:val="000000" w:themeColor="text1"/>
                                <w:lang w:val="fr-FR"/>
                              </w:rPr>
                              <w:t>Le gouvernement des Maldives a préparé une série de projets de décisions visant à améliorer la mise en œuvre des dispositions de l</w:t>
                            </w:r>
                            <w:r w:rsidR="00B2062C">
                              <w:rPr>
                                <w:color w:val="000000" w:themeColor="text1"/>
                                <w:lang w:val="fr-FR"/>
                              </w:rPr>
                              <w:t>’</w:t>
                            </w:r>
                            <w:r>
                              <w:rPr>
                                <w:color w:val="000000" w:themeColor="text1"/>
                                <w:lang w:val="fr-FR"/>
                              </w:rPr>
                              <w:t xml:space="preserve">Annexe I de la CMS relatives au </w:t>
                            </w:r>
                            <w:r>
                              <w:rPr>
                                <w:bCs/>
                                <w:color w:val="000000" w:themeColor="text1"/>
                                <w:lang w:val="fr-FR"/>
                              </w:rPr>
                              <w:t>requin océanique</w:t>
                            </w:r>
                            <w:r>
                              <w:rPr>
                                <w:b/>
                                <w:color w:val="000000" w:themeColor="text1"/>
                                <w:lang w:val="fr-FR"/>
                              </w:rPr>
                              <w:t xml:space="preserve"> </w:t>
                            </w:r>
                            <w:r>
                              <w:rPr>
                                <w:color w:val="000000" w:themeColor="text1"/>
                                <w:lang w:val="fr-FR"/>
                              </w:rPr>
                              <w:t>(</w:t>
                            </w:r>
                            <w:r>
                              <w:rPr>
                                <w:i/>
                                <w:color w:val="000000" w:themeColor="text1"/>
                                <w:lang w:val="fr-FR"/>
                              </w:rPr>
                              <w:t>Carcharhinus longimanus</w:t>
                            </w:r>
                            <w:r>
                              <w:rPr>
                                <w:color w:val="000000" w:themeColor="text1"/>
                                <w:lang w:val="fr-FR"/>
                              </w:rPr>
                              <w:t>).</w:t>
                            </w:r>
                          </w:p>
                          <w:p w14:paraId="0F3A7783" w14:textId="77777777" w:rsidR="00D36E5D" w:rsidRPr="00D6261F" w:rsidRDefault="00D36E5D">
                            <w:pPr>
                              <w:textDirection w:val="btLr"/>
                              <w:rPr>
                                <w:color w:val="000000" w:themeColor="text1"/>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0C2E6A3" id="Rectangle 9" o:spid="_x0000_s1026" style="position:absolute;margin-left:45pt;margin-top:6.4pt;width:364.5pt;height:1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">
                <v:stroke startarrowwidth="narrow" startarrowlength="short" endarrowwidth="narrow" endarrowlength="short" joinstyle="round"/>
                <v:textbox inset="2.53958mm,1.2694mm,2.53958mm,1.2694mm">
                  <w:txbxContent>
                    <w:p w14:paraId="18251084" w14:textId="17990BCF" w:rsidR="00D36E5D" w:rsidRPr="00D6261F" w:rsidRDefault="00CC463E" w:rsidP="00564AB6">
                      <w:pPr>
                        <w:spacing w:line="258" w:lineRule="auto"/>
                        <w:textDirection w:val="btLr"/>
                        <w:rPr>
                          <w:color w:val="000000" w:themeColor="text1"/>
                          <w:lang w:val="fr-FR"/>
                        </w:rPr>
                      </w:pPr>
                      <w:r>
                        <w:rPr>
                          <w:color w:val="000000" w:themeColor="text1"/>
                          <w:lang w:val="fr-FR"/>
                        </w:rPr>
                        <w:t>Résumé :</w:t>
                      </w:r>
                    </w:p>
                    <w:p w14:paraId="60F74FB3" w14:textId="77777777" w:rsidR="00D36E5D" w:rsidRPr="00D6261F" w:rsidRDefault="00D36E5D">
                      <w:pPr>
                        <w:jc w:val="both"/>
                        <w:textDirection w:val="btLr"/>
                        <w:rPr>
                          <w:color w:val="000000" w:themeColor="text1"/>
                          <w:lang w:val="fr-FR"/>
                        </w:rPr>
                      </w:pPr>
                    </w:p>
                    <w:p w14:paraId="74FE14F5" w14:textId="683A112C" w:rsidR="00D67332" w:rsidRPr="00D6261F" w:rsidRDefault="00F512BE" w:rsidP="00564AB6">
                      <w:pPr>
                        <w:tabs>
                          <w:tab w:val="left" w:pos="6096"/>
                        </w:tabs>
                        <w:ind w:right="-98"/>
                        <w:jc w:val="both"/>
                        <w:rPr>
                          <w:color w:val="000000" w:themeColor="text1"/>
                          <w:lang w:val="fr-FR"/>
                        </w:rPr>
                      </w:pPr>
                      <w:r>
                        <w:rPr>
                          <w:color w:val="000000" w:themeColor="text1"/>
                          <w:lang w:val="fr-FR"/>
                        </w:rPr>
                        <w:t>Le gouvernement des Maldives a préparé une série de projets de décisions visant à améliorer la mise en œuvre des dispositions de l</w:t>
                      </w:r>
                      <w:r w:rsidR="00B2062C">
                        <w:rPr>
                          <w:color w:val="000000" w:themeColor="text1"/>
                          <w:lang w:val="fr-FR"/>
                        </w:rPr>
                        <w:t>’</w:t>
                      </w:r>
                      <w:r>
                        <w:rPr>
                          <w:color w:val="000000" w:themeColor="text1"/>
                          <w:lang w:val="fr-FR"/>
                        </w:rPr>
                        <w:t xml:space="preserve">Annexe I de la CMS relatives au </w:t>
                      </w:r>
                      <w:r>
                        <w:rPr>
                          <w:bCs/>
                          <w:color w:val="000000" w:themeColor="text1"/>
                          <w:lang w:val="fr-FR"/>
                        </w:rPr>
                        <w:t>requin océanique</w:t>
                      </w:r>
                      <w:r>
                        <w:rPr>
                          <w:b/>
                          <w:color w:val="000000" w:themeColor="text1"/>
                          <w:lang w:val="fr-FR"/>
                        </w:rPr>
                        <w:t xml:space="preserve"> </w:t>
                      </w:r>
                      <w:r>
                        <w:rPr>
                          <w:color w:val="000000" w:themeColor="text1"/>
                          <w:lang w:val="fr-FR"/>
                        </w:rPr>
                        <w:t>(</w:t>
                      </w:r>
                      <w:r>
                        <w:rPr>
                          <w:i/>
                          <w:color w:val="000000" w:themeColor="text1"/>
                          <w:lang w:val="fr-FR"/>
                        </w:rPr>
                        <w:t>Carcharhinus longimanus</w:t>
                      </w:r>
                      <w:r>
                        <w:rPr>
                          <w:color w:val="000000" w:themeColor="text1"/>
                          <w:lang w:val="fr-FR"/>
                        </w:rPr>
                        <w:t>).</w:t>
                      </w:r>
                    </w:p>
                    <w:p w14:paraId="0F3A7783" w14:textId="77777777" w:rsidR="00D36E5D" w:rsidRPr="00D6261F" w:rsidRDefault="00D36E5D">
                      <w:pPr>
                        <w:textDirection w:val="btLr"/>
                        <w:rPr>
                          <w:color w:val="000000" w:themeColor="text1"/>
                          <w:lang w:val="fr-FR"/>
                        </w:rPr>
                      </w:pPr>
                    </w:p>
                  </w:txbxContent>
                </v:textbox>
              </v:rect>
            </w:pict>
          </mc:Fallback>
        </mc:AlternateContent>
      </w:r>
    </w:p>
    <w:p w14:paraId="42A5B5C4" w14:textId="77777777" w:rsidR="00D36E5D" w:rsidRPr="004F216B" w:rsidRDefault="00D36E5D">
      <w:pPr>
        <w:widowControl w:val="0"/>
        <w:rPr>
          <w:sz w:val="21"/>
          <w:szCs w:val="21"/>
          <w:lang w:val="fr-FR"/>
        </w:rPr>
      </w:pPr>
    </w:p>
    <w:p w14:paraId="6A3B097A" w14:textId="77777777" w:rsidR="00D36E5D" w:rsidRPr="004F216B" w:rsidRDefault="00D36E5D">
      <w:pPr>
        <w:widowControl w:val="0"/>
        <w:rPr>
          <w:sz w:val="21"/>
          <w:szCs w:val="21"/>
          <w:lang w:val="fr-FR"/>
        </w:rPr>
      </w:pPr>
    </w:p>
    <w:p w14:paraId="75E76F06" w14:textId="77777777" w:rsidR="00D36E5D" w:rsidRPr="004F216B" w:rsidRDefault="00D36E5D">
      <w:pPr>
        <w:widowControl w:val="0"/>
        <w:rPr>
          <w:sz w:val="21"/>
          <w:szCs w:val="21"/>
          <w:lang w:val="fr-FR"/>
        </w:rPr>
      </w:pPr>
    </w:p>
    <w:p w14:paraId="4A9B33FD" w14:textId="77777777" w:rsidR="00D36E5D" w:rsidRPr="004F216B" w:rsidRDefault="00D36E5D">
      <w:pPr>
        <w:widowControl w:val="0"/>
        <w:rPr>
          <w:sz w:val="21"/>
          <w:szCs w:val="21"/>
          <w:lang w:val="fr-FR"/>
        </w:rPr>
      </w:pPr>
    </w:p>
    <w:p w14:paraId="3F263FA9" w14:textId="77777777" w:rsidR="00D36E5D" w:rsidRPr="004F216B" w:rsidRDefault="00D36E5D">
      <w:pPr>
        <w:widowControl w:val="0"/>
        <w:rPr>
          <w:sz w:val="21"/>
          <w:szCs w:val="21"/>
          <w:lang w:val="fr-FR"/>
        </w:rPr>
      </w:pPr>
    </w:p>
    <w:p w14:paraId="39650C90" w14:textId="77777777" w:rsidR="00D36E5D" w:rsidRPr="004F216B" w:rsidRDefault="00D36E5D">
      <w:pPr>
        <w:widowControl w:val="0"/>
        <w:rPr>
          <w:sz w:val="21"/>
          <w:szCs w:val="21"/>
          <w:lang w:val="fr-FR"/>
        </w:rPr>
      </w:pPr>
    </w:p>
    <w:p w14:paraId="749FC5CE" w14:textId="77777777" w:rsidR="00D36E5D" w:rsidRPr="004F216B" w:rsidRDefault="00D36E5D">
      <w:pPr>
        <w:widowControl w:val="0"/>
        <w:rPr>
          <w:sz w:val="21"/>
          <w:szCs w:val="21"/>
          <w:lang w:val="fr-FR"/>
        </w:rPr>
      </w:pPr>
    </w:p>
    <w:p w14:paraId="30745358" w14:textId="77777777" w:rsidR="00D36E5D" w:rsidRPr="004F216B" w:rsidRDefault="00D36E5D">
      <w:pPr>
        <w:widowControl w:val="0"/>
        <w:rPr>
          <w:sz w:val="21"/>
          <w:szCs w:val="21"/>
          <w:lang w:val="fr-FR"/>
        </w:rPr>
      </w:pPr>
    </w:p>
    <w:p w14:paraId="79AE12D5" w14:textId="77777777" w:rsidR="00D36E5D" w:rsidRPr="004F216B" w:rsidRDefault="00D36E5D">
      <w:pPr>
        <w:widowControl w:val="0"/>
        <w:rPr>
          <w:sz w:val="21"/>
          <w:szCs w:val="21"/>
          <w:lang w:val="fr-FR"/>
        </w:rPr>
      </w:pPr>
    </w:p>
    <w:p w14:paraId="26157A9A" w14:textId="77777777" w:rsidR="00D36E5D" w:rsidRPr="004F216B" w:rsidRDefault="00D36E5D">
      <w:pPr>
        <w:widowControl w:val="0"/>
        <w:rPr>
          <w:sz w:val="21"/>
          <w:szCs w:val="21"/>
          <w:lang w:val="fr-FR"/>
        </w:rPr>
      </w:pPr>
    </w:p>
    <w:p w14:paraId="210D3E23" w14:textId="77777777" w:rsidR="00D36E5D" w:rsidRPr="004F216B" w:rsidRDefault="00D36E5D">
      <w:pPr>
        <w:widowControl w:val="0"/>
        <w:rPr>
          <w:sz w:val="21"/>
          <w:szCs w:val="21"/>
          <w:lang w:val="fr-FR"/>
        </w:rPr>
      </w:pPr>
    </w:p>
    <w:p w14:paraId="1415968A" w14:textId="77777777" w:rsidR="00D36E5D" w:rsidRPr="004F216B" w:rsidRDefault="00D36E5D">
      <w:pPr>
        <w:widowControl w:val="0"/>
        <w:rPr>
          <w:sz w:val="21"/>
          <w:szCs w:val="21"/>
          <w:lang w:val="fr-FR"/>
        </w:rPr>
      </w:pPr>
    </w:p>
    <w:p w14:paraId="1B3CED19" w14:textId="77777777" w:rsidR="00D36E5D" w:rsidRPr="004F216B" w:rsidRDefault="00D36E5D">
      <w:pPr>
        <w:widowControl w:val="0"/>
        <w:rPr>
          <w:sz w:val="21"/>
          <w:szCs w:val="21"/>
          <w:lang w:val="fr-FR"/>
        </w:rPr>
      </w:pPr>
    </w:p>
    <w:p w14:paraId="0B609E12" w14:textId="77777777" w:rsidR="00D36E5D" w:rsidRPr="004F216B" w:rsidRDefault="00D36E5D">
      <w:pPr>
        <w:widowControl w:val="0"/>
        <w:rPr>
          <w:sz w:val="21"/>
          <w:szCs w:val="21"/>
          <w:lang w:val="fr-FR"/>
        </w:rPr>
      </w:pPr>
    </w:p>
    <w:p w14:paraId="149CBEAE" w14:textId="77777777" w:rsidR="00D36E5D" w:rsidRPr="004F216B" w:rsidRDefault="00D36E5D">
      <w:pPr>
        <w:widowControl w:val="0"/>
        <w:rPr>
          <w:sz w:val="21"/>
          <w:szCs w:val="21"/>
          <w:lang w:val="fr-FR"/>
        </w:rPr>
      </w:pPr>
    </w:p>
    <w:p w14:paraId="5C4BDE25" w14:textId="77777777" w:rsidR="00D36E5D" w:rsidRPr="004F216B" w:rsidRDefault="00D36E5D">
      <w:pPr>
        <w:widowControl w:val="0"/>
        <w:rPr>
          <w:sz w:val="21"/>
          <w:szCs w:val="21"/>
          <w:lang w:val="fr-FR"/>
        </w:rPr>
      </w:pPr>
    </w:p>
    <w:p w14:paraId="65960F79" w14:textId="77777777" w:rsidR="00D36E5D" w:rsidRPr="004F216B" w:rsidRDefault="00D36E5D">
      <w:pPr>
        <w:widowControl w:val="0"/>
        <w:rPr>
          <w:sz w:val="21"/>
          <w:szCs w:val="21"/>
          <w:lang w:val="fr-FR"/>
        </w:rPr>
      </w:pPr>
    </w:p>
    <w:p w14:paraId="48DC9396" w14:textId="77777777" w:rsidR="00D36E5D" w:rsidRPr="004F216B" w:rsidRDefault="00D36E5D">
      <w:pPr>
        <w:widowControl w:val="0"/>
        <w:tabs>
          <w:tab w:val="left" w:pos="7245"/>
        </w:tabs>
        <w:rPr>
          <w:sz w:val="21"/>
          <w:szCs w:val="21"/>
          <w:lang w:val="fr-FR"/>
        </w:rPr>
      </w:pPr>
    </w:p>
    <w:p w14:paraId="5116BA48" w14:textId="77777777" w:rsidR="00D36E5D" w:rsidRPr="004F216B" w:rsidRDefault="00D36E5D">
      <w:pPr>
        <w:widowControl w:val="0"/>
        <w:rPr>
          <w:lang w:val="fr-FR"/>
        </w:rPr>
      </w:pPr>
    </w:p>
    <w:p w14:paraId="6FF53F5C" w14:textId="77777777" w:rsidR="00D36E5D" w:rsidRPr="004F216B" w:rsidRDefault="00D36E5D">
      <w:pPr>
        <w:widowControl w:val="0"/>
        <w:rPr>
          <w:lang w:val="fr-FR"/>
        </w:rPr>
      </w:pPr>
    </w:p>
    <w:p w14:paraId="2E8C9925" w14:textId="77777777" w:rsidR="00D36E5D" w:rsidRPr="004F216B" w:rsidRDefault="00D36E5D">
      <w:pPr>
        <w:rPr>
          <w:lang w:val="fr-BE"/>
        </w:rPr>
      </w:pPr>
    </w:p>
    <w:p w14:paraId="62DBE97F" w14:textId="77777777" w:rsidR="00D36E5D" w:rsidRPr="004F216B" w:rsidRDefault="00D36E5D">
      <w:pPr>
        <w:rPr>
          <w:lang w:val="fr-BE"/>
        </w:rPr>
      </w:pPr>
    </w:p>
    <w:p w14:paraId="29998ACC" w14:textId="77777777" w:rsidR="00D36E5D" w:rsidRPr="004F216B" w:rsidRDefault="00D36E5D">
      <w:pPr>
        <w:rPr>
          <w:lang w:val="fr-BE"/>
        </w:rPr>
      </w:pPr>
    </w:p>
    <w:p w14:paraId="026E8FE7" w14:textId="77777777" w:rsidR="00D36E5D" w:rsidRPr="004F216B" w:rsidRDefault="00D36E5D">
      <w:pPr>
        <w:rPr>
          <w:lang w:val="fr-FR"/>
        </w:rPr>
        <w:sectPr w:rsidR="00D36E5D" w:rsidRPr="004F216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gNumType w:start="1"/>
          <w:cols w:space="720"/>
          <w:titlePg/>
        </w:sectPr>
      </w:pPr>
    </w:p>
    <w:p w14:paraId="3E5E6557" w14:textId="3BA4B0FB" w:rsidR="00564AB6" w:rsidRPr="004F216B" w:rsidRDefault="00564AB6" w:rsidP="00CC3984">
      <w:pPr>
        <w:tabs>
          <w:tab w:val="left" w:pos="6840"/>
        </w:tabs>
        <w:ind w:right="26"/>
        <w:jc w:val="center"/>
        <w:rPr>
          <w:b/>
          <w:lang w:val="fr-FR"/>
        </w:rPr>
      </w:pPr>
      <w:r w:rsidRPr="004F216B">
        <w:rPr>
          <w:b/>
          <w:lang w:val="fr-FR"/>
        </w:rPr>
        <w:lastRenderedPageBreak/>
        <w:t>MISE EN ŒUVRE DES DISPOSITIONS DE L</w:t>
      </w:r>
      <w:r w:rsidR="00B2062C" w:rsidRPr="004F216B">
        <w:rPr>
          <w:b/>
          <w:lang w:val="fr-FR"/>
        </w:rPr>
        <w:t>’</w:t>
      </w:r>
      <w:r w:rsidRPr="004F216B">
        <w:rPr>
          <w:b/>
          <w:lang w:val="fr-FR"/>
        </w:rPr>
        <w:t xml:space="preserve">ANNEXE I DE LA CMS - INSCRIPTION DU </w:t>
      </w:r>
    </w:p>
    <w:p w14:paraId="46628130" w14:textId="77777777" w:rsidR="00564AB6" w:rsidRPr="004F216B" w:rsidRDefault="00564AB6" w:rsidP="00CC3984">
      <w:pPr>
        <w:tabs>
          <w:tab w:val="left" w:pos="6840"/>
        </w:tabs>
        <w:ind w:right="28"/>
        <w:jc w:val="center"/>
        <w:rPr>
          <w:b/>
          <w:lang w:val="fr-FR"/>
        </w:rPr>
      </w:pPr>
      <w:r w:rsidRPr="004F216B">
        <w:rPr>
          <w:b/>
          <w:lang w:val="fr-FR"/>
        </w:rPr>
        <w:t xml:space="preserve">REQUIN OCÉANIQUE </w:t>
      </w:r>
      <w:r w:rsidRPr="004F216B">
        <w:rPr>
          <w:lang w:val="fr-FR"/>
        </w:rPr>
        <w:t>(</w:t>
      </w:r>
      <w:r w:rsidRPr="004F216B">
        <w:rPr>
          <w:i/>
          <w:lang w:val="fr-FR"/>
        </w:rPr>
        <w:t>Carcharhinus longimanus</w:t>
      </w:r>
      <w:r w:rsidRPr="004F216B">
        <w:rPr>
          <w:lang w:val="fr-FR"/>
        </w:rPr>
        <w:t>)</w:t>
      </w:r>
    </w:p>
    <w:p w14:paraId="523E38FA" w14:textId="77777777" w:rsidR="00564AB6" w:rsidRDefault="00564AB6" w:rsidP="00CC3984">
      <w:pPr>
        <w:rPr>
          <w:rFonts w:asciiTheme="minorHAnsi" w:hAnsiTheme="minorHAnsi" w:cstheme="minorHAnsi"/>
          <w:sz w:val="24"/>
          <w:szCs w:val="24"/>
          <w:u w:val="single"/>
          <w:lang w:val="fr-FR"/>
        </w:rPr>
      </w:pPr>
    </w:p>
    <w:p w14:paraId="0DA6D6E2" w14:textId="77777777" w:rsidR="00786245" w:rsidRPr="004F216B" w:rsidRDefault="00786245" w:rsidP="00CC3984">
      <w:pPr>
        <w:rPr>
          <w:rFonts w:asciiTheme="minorHAnsi" w:hAnsiTheme="minorHAnsi" w:cstheme="minorHAnsi"/>
          <w:sz w:val="24"/>
          <w:szCs w:val="24"/>
          <w:u w:val="single"/>
          <w:lang w:val="fr-FR"/>
        </w:rPr>
      </w:pPr>
    </w:p>
    <w:p w14:paraId="7694A21B" w14:textId="65AC604C" w:rsidR="005F7F6E" w:rsidRPr="004F216B" w:rsidRDefault="005F7F6E" w:rsidP="00CC3984">
      <w:pPr>
        <w:rPr>
          <w:u w:val="single"/>
          <w:lang w:val="fr-FR"/>
        </w:rPr>
      </w:pPr>
      <w:r w:rsidRPr="004F216B">
        <w:rPr>
          <w:u w:val="single"/>
          <w:lang w:val="fr-FR"/>
        </w:rPr>
        <w:t>Résumé :</w:t>
      </w:r>
    </w:p>
    <w:p w14:paraId="2D7905A6" w14:textId="77777777" w:rsidR="005F7F6E" w:rsidRPr="004F216B" w:rsidRDefault="005F7F6E" w:rsidP="00CC3984">
      <w:pPr>
        <w:rPr>
          <w:lang w:val="fr-BE"/>
        </w:rPr>
      </w:pPr>
    </w:p>
    <w:p w14:paraId="288E9D60" w14:textId="6F4303C4" w:rsidR="00564AB6" w:rsidRPr="004F216B" w:rsidRDefault="005F7F6E" w:rsidP="00564AB6">
      <w:pPr>
        <w:pStyle w:val="NormalWeb"/>
        <w:numPr>
          <w:ilvl w:val="0"/>
          <w:numId w:val="25"/>
        </w:numPr>
        <w:spacing w:before="0" w:beforeAutospacing="0" w:after="0" w:afterAutospacing="0"/>
        <w:ind w:left="567" w:hanging="567"/>
        <w:jc w:val="both"/>
        <w:rPr>
          <w:rFonts w:ascii="Arial" w:hAnsi="Arial" w:cs="Arial"/>
          <w:sz w:val="22"/>
          <w:szCs w:val="22"/>
          <w:lang w:val="fr-FR"/>
        </w:rPr>
      </w:pPr>
      <w:r w:rsidRPr="004F216B">
        <w:rPr>
          <w:rFonts w:ascii="Arial" w:hAnsi="Arial" w:cs="Arial"/>
          <w:sz w:val="22"/>
          <w:szCs w:val="22"/>
          <w:lang w:val="fr-FR"/>
        </w:rPr>
        <w:t>Les Maldives ont soumis une proposition d</w:t>
      </w:r>
      <w:r w:rsidR="00B2062C" w:rsidRPr="004F216B">
        <w:rPr>
          <w:rFonts w:ascii="Arial" w:hAnsi="Arial" w:cs="Arial"/>
          <w:sz w:val="22"/>
          <w:szCs w:val="22"/>
          <w:lang w:val="fr-FR"/>
        </w:rPr>
        <w:t>’</w:t>
      </w:r>
      <w:r w:rsidRPr="004F216B">
        <w:rPr>
          <w:rFonts w:ascii="Arial" w:hAnsi="Arial" w:cs="Arial"/>
          <w:sz w:val="22"/>
          <w:szCs w:val="22"/>
          <w:lang w:val="fr-FR"/>
        </w:rPr>
        <w:t>action concertée pour la COP de la CMS (UNEP/CMS/COP14/Doc.32.3.6) et conformément au document UNEP/CMS/COP14/Doc.32.3.6/Add.1, le Conseil scientifique a noté que l</w:t>
      </w:r>
      <w:r w:rsidR="00B2062C" w:rsidRPr="004F216B">
        <w:rPr>
          <w:rFonts w:ascii="Arial" w:hAnsi="Arial" w:cs="Arial"/>
          <w:sz w:val="22"/>
          <w:szCs w:val="22"/>
          <w:lang w:val="fr-FR"/>
        </w:rPr>
        <w:t>’</w:t>
      </w:r>
      <w:r w:rsidRPr="004F216B">
        <w:rPr>
          <w:rFonts w:ascii="Arial" w:hAnsi="Arial" w:cs="Arial"/>
          <w:sz w:val="22"/>
          <w:szCs w:val="22"/>
          <w:lang w:val="fr-FR"/>
        </w:rPr>
        <w:t xml:space="preserve">action serait mieux encadrée en tant que projets de décision pour la COP14 de la CMS. </w:t>
      </w:r>
    </w:p>
    <w:p w14:paraId="4C6CC794" w14:textId="77777777" w:rsidR="00564AB6" w:rsidRPr="004F216B" w:rsidRDefault="00564AB6" w:rsidP="00564AB6">
      <w:pPr>
        <w:pStyle w:val="NormalWeb"/>
        <w:spacing w:before="0" w:beforeAutospacing="0" w:after="0" w:afterAutospacing="0"/>
        <w:ind w:left="567"/>
        <w:jc w:val="both"/>
        <w:rPr>
          <w:rFonts w:ascii="Arial" w:hAnsi="Arial" w:cs="Arial"/>
          <w:sz w:val="22"/>
          <w:szCs w:val="22"/>
          <w:lang w:val="fr-FR"/>
        </w:rPr>
      </w:pPr>
    </w:p>
    <w:p w14:paraId="6057B727" w14:textId="6774EB37" w:rsidR="005F7F6E" w:rsidRPr="004F216B" w:rsidRDefault="005F7F6E" w:rsidP="00564AB6">
      <w:pPr>
        <w:pStyle w:val="NormalWeb"/>
        <w:numPr>
          <w:ilvl w:val="0"/>
          <w:numId w:val="25"/>
        </w:numPr>
        <w:spacing w:before="0" w:beforeAutospacing="0" w:after="0" w:afterAutospacing="0"/>
        <w:ind w:left="567" w:hanging="567"/>
        <w:jc w:val="both"/>
        <w:rPr>
          <w:rFonts w:ascii="Arial" w:hAnsi="Arial" w:cs="Arial"/>
          <w:sz w:val="22"/>
          <w:szCs w:val="22"/>
          <w:lang w:val="fr-FR"/>
        </w:rPr>
      </w:pPr>
      <w:r w:rsidRPr="004F216B">
        <w:rPr>
          <w:rFonts w:ascii="Arial" w:hAnsi="Arial" w:cs="Arial"/>
          <w:sz w:val="22"/>
          <w:szCs w:val="22"/>
          <w:lang w:val="fr-FR"/>
        </w:rPr>
        <w:t>Par ce document, le gouvernement des Maldives présente un ensemble de projets de décisions recommandés par le Conseil scientifique pour l</w:t>
      </w:r>
      <w:r w:rsidR="00B2062C" w:rsidRPr="004F216B">
        <w:rPr>
          <w:rFonts w:ascii="Arial" w:hAnsi="Arial" w:cs="Arial"/>
          <w:sz w:val="22"/>
          <w:szCs w:val="22"/>
          <w:lang w:val="fr-FR"/>
        </w:rPr>
        <w:t>’</w:t>
      </w:r>
      <w:r w:rsidRPr="004F216B">
        <w:rPr>
          <w:rFonts w:ascii="Arial" w:hAnsi="Arial" w:cs="Arial"/>
          <w:sz w:val="22"/>
          <w:szCs w:val="22"/>
          <w:lang w:val="fr-FR"/>
        </w:rPr>
        <w:t>adoption de projets de décisions visant à améliorer la mise en œuvre des dispositions de l</w:t>
      </w:r>
      <w:r w:rsidR="00B2062C" w:rsidRPr="004F216B">
        <w:rPr>
          <w:rFonts w:ascii="Arial" w:hAnsi="Arial" w:cs="Arial"/>
          <w:sz w:val="22"/>
          <w:szCs w:val="22"/>
          <w:lang w:val="fr-FR"/>
        </w:rPr>
        <w:t>’</w:t>
      </w:r>
      <w:r w:rsidRPr="004F216B">
        <w:rPr>
          <w:rFonts w:ascii="Arial" w:hAnsi="Arial" w:cs="Arial"/>
          <w:sz w:val="22"/>
          <w:szCs w:val="22"/>
          <w:lang w:val="fr-FR"/>
        </w:rPr>
        <w:t xml:space="preserve">Annexe I de la CMS relatives au requin océanique. </w:t>
      </w:r>
    </w:p>
    <w:p w14:paraId="14F19AF9" w14:textId="77777777" w:rsidR="00D36E5D" w:rsidRPr="004F216B" w:rsidRDefault="00D36E5D" w:rsidP="00564AB6">
      <w:pPr>
        <w:rPr>
          <w:lang w:val="fr-BE"/>
        </w:rPr>
      </w:pPr>
    </w:p>
    <w:p w14:paraId="13D3073F" w14:textId="77777777" w:rsidR="00D36E5D" w:rsidRPr="004F216B" w:rsidRDefault="00CC463E">
      <w:pPr>
        <w:rPr>
          <w:u w:val="single"/>
          <w:lang w:val="fr-FR"/>
        </w:rPr>
      </w:pPr>
      <w:r w:rsidRPr="004F216B">
        <w:rPr>
          <w:u w:val="single"/>
          <w:lang w:val="fr-FR"/>
        </w:rPr>
        <w:t>Contexte général</w:t>
      </w:r>
    </w:p>
    <w:p w14:paraId="73FAA566" w14:textId="77777777" w:rsidR="005F7F6E" w:rsidRPr="004F216B" w:rsidRDefault="005F7F6E" w:rsidP="0039753E">
      <w:pPr>
        <w:ind w:right="1434"/>
        <w:jc w:val="both"/>
        <w:rPr>
          <w:lang w:val="fr-FR"/>
        </w:rPr>
      </w:pPr>
      <w:bookmarkStart w:id="0" w:name="_heading=h.gjdgxs" w:colFirst="0" w:colLast="0"/>
      <w:bookmarkEnd w:id="0"/>
    </w:p>
    <w:p w14:paraId="12848050" w14:textId="05DFC5A3" w:rsidR="00E055F3" w:rsidRPr="004F216B" w:rsidRDefault="00E055F3" w:rsidP="00564AB6">
      <w:pPr>
        <w:pStyle w:val="ListParagraph"/>
        <w:numPr>
          <w:ilvl w:val="0"/>
          <w:numId w:val="1"/>
        </w:numPr>
        <w:ind w:left="567" w:right="28" w:hanging="567"/>
        <w:contextualSpacing w:val="0"/>
        <w:jc w:val="both"/>
        <w:rPr>
          <w:lang w:val="fr-FR"/>
        </w:rPr>
      </w:pPr>
      <w:r w:rsidRPr="004F216B">
        <w:rPr>
          <w:lang w:val="fr-FR"/>
        </w:rPr>
        <w:t>Anciennement l</w:t>
      </w:r>
      <w:r w:rsidR="00B2062C" w:rsidRPr="004F216B">
        <w:rPr>
          <w:lang w:val="fr-FR"/>
        </w:rPr>
        <w:t>’</w:t>
      </w:r>
      <w:r w:rsidRPr="004F216B">
        <w:rPr>
          <w:lang w:val="fr-FR"/>
        </w:rPr>
        <w:t>un des requins pélagiques les plus répandus au monde, le requin océanique est présent dans toutes les régions du monde, des eaux tropicales aux eaux tempérées chaudes de l</w:t>
      </w:r>
      <w:r w:rsidR="00B2062C" w:rsidRPr="004F216B">
        <w:rPr>
          <w:lang w:val="fr-FR"/>
        </w:rPr>
        <w:t>’</w:t>
      </w:r>
      <w:r w:rsidRPr="004F216B">
        <w:rPr>
          <w:lang w:val="fr-FR"/>
        </w:rPr>
        <w:t>océan, où, quel que soit l</w:t>
      </w:r>
      <w:r w:rsidR="00B2062C" w:rsidRPr="004F216B">
        <w:rPr>
          <w:lang w:val="fr-FR"/>
        </w:rPr>
        <w:t>’</w:t>
      </w:r>
      <w:r w:rsidRPr="004F216B">
        <w:rPr>
          <w:lang w:val="fr-FR"/>
        </w:rPr>
        <w:t>endroit, il est couramment confronté à tout type de flottes réglementées par les principales organisations régionales de gestion de la pêche au thon (ORGP thonières</w:t>
      </w:r>
      <w:r w:rsidR="00B2062C" w:rsidRPr="004F216B">
        <w:rPr>
          <w:lang w:val="fr-FR"/>
        </w:rPr>
        <w:t> </w:t>
      </w:r>
      <w:r w:rsidRPr="004F216B">
        <w:rPr>
          <w:lang w:val="fr-FR"/>
        </w:rPr>
        <w:t>; Quieroz</w:t>
      </w:r>
      <w:r w:rsidRPr="004F216B">
        <w:rPr>
          <w:spacing w:val="-44"/>
          <w:lang w:val="fr-FR"/>
        </w:rPr>
        <w:t xml:space="preserve"> </w:t>
      </w:r>
      <w:r w:rsidRPr="004F216B">
        <w:rPr>
          <w:lang w:val="fr-FR"/>
        </w:rPr>
        <w:t>et autres, 2019).</w:t>
      </w:r>
    </w:p>
    <w:p w14:paraId="32DCF009" w14:textId="77777777" w:rsidR="00E055F3" w:rsidRPr="004F216B" w:rsidRDefault="00E055F3" w:rsidP="00564AB6">
      <w:pPr>
        <w:pStyle w:val="ListParagraph"/>
        <w:ind w:left="567" w:right="28" w:hanging="567"/>
        <w:contextualSpacing w:val="0"/>
        <w:jc w:val="both"/>
        <w:rPr>
          <w:lang w:val="fr-FR"/>
        </w:rPr>
      </w:pPr>
    </w:p>
    <w:p w14:paraId="25BD1B7C" w14:textId="6C93E14D" w:rsidR="00E055F3" w:rsidRPr="004F216B" w:rsidRDefault="0040384D" w:rsidP="00564AB6">
      <w:pPr>
        <w:pStyle w:val="ListParagraph"/>
        <w:numPr>
          <w:ilvl w:val="0"/>
          <w:numId w:val="1"/>
        </w:numPr>
        <w:ind w:left="567" w:right="28" w:hanging="567"/>
        <w:contextualSpacing w:val="0"/>
        <w:jc w:val="both"/>
        <w:rPr>
          <w:lang w:val="fr-FR"/>
        </w:rPr>
      </w:pPr>
      <w:r w:rsidRPr="004F216B">
        <w:rPr>
          <w:lang w:val="fr-FR"/>
        </w:rPr>
        <w:t>À peu près au même moment où les Parties à la CITES ont décidé d</w:t>
      </w:r>
      <w:r w:rsidR="00B2062C" w:rsidRPr="004F216B">
        <w:rPr>
          <w:lang w:val="fr-FR"/>
        </w:rPr>
        <w:t>’</w:t>
      </w:r>
      <w:r w:rsidRPr="004F216B">
        <w:rPr>
          <w:lang w:val="fr-FR"/>
        </w:rPr>
        <w:t>inscrire le requin océanique à l</w:t>
      </w:r>
      <w:r w:rsidR="00B2062C" w:rsidRPr="004F216B">
        <w:rPr>
          <w:lang w:val="fr-FR"/>
        </w:rPr>
        <w:t>’</w:t>
      </w:r>
      <w:r w:rsidRPr="004F216B">
        <w:rPr>
          <w:lang w:val="fr-FR"/>
        </w:rPr>
        <w:t>Annexe II de la CITES (2013), cette espèce est devenue la seule espèce de requin protégée par toutes les ORGP thonières, qui interdisent en grande partie sa détention,</w:t>
      </w:r>
      <w:r w:rsidRPr="004F216B">
        <w:rPr>
          <w:spacing w:val="-6"/>
          <w:lang w:val="fr-FR"/>
        </w:rPr>
        <w:t xml:space="preserve"> </w:t>
      </w:r>
      <w:r w:rsidRPr="004F216B">
        <w:rPr>
          <w:lang w:val="fr-FR"/>
        </w:rPr>
        <w:t>son transbordement,</w:t>
      </w:r>
      <w:r w:rsidRPr="004F216B">
        <w:rPr>
          <w:spacing w:val="-5"/>
          <w:lang w:val="fr-FR"/>
        </w:rPr>
        <w:t xml:space="preserve"> </w:t>
      </w:r>
      <w:r w:rsidRPr="004F216B">
        <w:rPr>
          <w:lang w:val="fr-FR"/>
        </w:rPr>
        <w:t>et</w:t>
      </w:r>
      <w:r w:rsidRPr="004F216B">
        <w:rPr>
          <w:spacing w:val="-5"/>
          <w:lang w:val="fr-FR"/>
        </w:rPr>
        <w:t xml:space="preserve"> </w:t>
      </w:r>
      <w:r w:rsidRPr="004F216B">
        <w:rPr>
          <w:lang w:val="fr-FR"/>
        </w:rPr>
        <w:t>son débarquement dans les pêcheries couvertes par ces organismes.</w:t>
      </w:r>
      <w:r w:rsidRPr="004F216B">
        <w:rPr>
          <w:spacing w:val="-7"/>
          <w:lang w:val="fr-FR"/>
        </w:rPr>
        <w:t xml:space="preserve"> </w:t>
      </w:r>
      <w:r w:rsidRPr="004F216B">
        <w:rPr>
          <w:lang w:val="fr-FR"/>
        </w:rPr>
        <w:t>Ces</w:t>
      </w:r>
      <w:r w:rsidRPr="004F216B">
        <w:rPr>
          <w:spacing w:val="-7"/>
          <w:lang w:val="fr-FR"/>
        </w:rPr>
        <w:t xml:space="preserve"> </w:t>
      </w:r>
      <w:r w:rsidRPr="004F216B">
        <w:rPr>
          <w:lang w:val="fr-FR"/>
        </w:rPr>
        <w:t>mesures</w:t>
      </w:r>
      <w:r w:rsidRPr="004F216B">
        <w:rPr>
          <w:spacing w:val="-6"/>
          <w:lang w:val="fr-FR"/>
        </w:rPr>
        <w:t xml:space="preserve"> </w:t>
      </w:r>
      <w:r w:rsidRPr="004F216B">
        <w:rPr>
          <w:lang w:val="fr-FR"/>
        </w:rPr>
        <w:t>reflètent la reconnaissance</w:t>
      </w:r>
      <w:r w:rsidRPr="004F216B">
        <w:rPr>
          <w:spacing w:val="-6"/>
          <w:lang w:val="fr-FR"/>
        </w:rPr>
        <w:t xml:space="preserve"> </w:t>
      </w:r>
      <w:r w:rsidRPr="004F216B">
        <w:rPr>
          <w:lang w:val="fr-FR"/>
        </w:rPr>
        <w:t>globale</w:t>
      </w:r>
      <w:r w:rsidRPr="004F216B">
        <w:rPr>
          <w:spacing w:val="-5"/>
          <w:lang w:val="fr-FR"/>
        </w:rPr>
        <w:t xml:space="preserve"> </w:t>
      </w:r>
      <w:r w:rsidRPr="004F216B">
        <w:rPr>
          <w:lang w:val="fr-FR"/>
        </w:rPr>
        <w:t>de son état de conservation désastreux et la nécessité urgente de prendre des mesures. Par la suite (COP 13, 2020), l</w:t>
      </w:r>
      <w:r w:rsidR="00B2062C" w:rsidRPr="004F216B">
        <w:rPr>
          <w:lang w:val="fr-FR"/>
        </w:rPr>
        <w:t>’</w:t>
      </w:r>
      <w:r w:rsidRPr="004F216B">
        <w:rPr>
          <w:lang w:val="fr-FR"/>
        </w:rPr>
        <w:t xml:space="preserve">espèce a été inscrite à </w:t>
      </w:r>
      <w:r w:rsidRPr="004F216B">
        <w:rPr>
          <w:spacing w:val="-2"/>
          <w:lang w:val="fr-FR"/>
        </w:rPr>
        <w:t>l</w:t>
      </w:r>
      <w:r w:rsidR="00B2062C" w:rsidRPr="004F216B">
        <w:rPr>
          <w:spacing w:val="-2"/>
          <w:lang w:val="fr-FR"/>
        </w:rPr>
        <w:t>’</w:t>
      </w:r>
      <w:r w:rsidRPr="004F216B">
        <w:rPr>
          <w:spacing w:val="-2"/>
          <w:lang w:val="fr-FR"/>
        </w:rPr>
        <w:t xml:space="preserve">Annexe I </w:t>
      </w:r>
      <w:r w:rsidRPr="004F216B">
        <w:rPr>
          <w:lang w:val="fr-FR"/>
        </w:rPr>
        <w:t>de la CMS.</w:t>
      </w:r>
    </w:p>
    <w:p w14:paraId="36371B57" w14:textId="77777777" w:rsidR="00564AB6" w:rsidRPr="004F216B" w:rsidRDefault="00564AB6" w:rsidP="00564AB6">
      <w:pPr>
        <w:ind w:left="567" w:right="28" w:hanging="567"/>
        <w:jc w:val="both"/>
        <w:rPr>
          <w:lang w:val="fr-FR"/>
        </w:rPr>
      </w:pPr>
    </w:p>
    <w:p w14:paraId="198EB61F" w14:textId="0012278E" w:rsidR="00E055F3" w:rsidRPr="004F216B" w:rsidRDefault="00566229" w:rsidP="00564AB6">
      <w:pPr>
        <w:pStyle w:val="BodyText"/>
        <w:numPr>
          <w:ilvl w:val="0"/>
          <w:numId w:val="1"/>
        </w:numPr>
        <w:ind w:left="567" w:right="28" w:hanging="567"/>
        <w:jc w:val="both"/>
        <w:rPr>
          <w:sz w:val="22"/>
          <w:szCs w:val="22"/>
          <w:lang w:val="fr-FR"/>
        </w:rPr>
      </w:pPr>
      <w:r w:rsidRPr="004F216B">
        <w:rPr>
          <w:sz w:val="22"/>
          <w:szCs w:val="22"/>
          <w:lang w:val="fr-FR"/>
        </w:rPr>
        <w:t>Dans ce document, nous</w:t>
      </w:r>
      <w:r w:rsidRPr="004F216B">
        <w:rPr>
          <w:spacing w:val="-12"/>
          <w:sz w:val="22"/>
          <w:szCs w:val="22"/>
          <w:lang w:val="fr-FR"/>
        </w:rPr>
        <w:t xml:space="preserve"> </w:t>
      </w:r>
      <w:r w:rsidRPr="004F216B">
        <w:rPr>
          <w:sz w:val="22"/>
          <w:szCs w:val="22"/>
          <w:lang w:val="fr-FR"/>
        </w:rPr>
        <w:t>présentons</w:t>
      </w:r>
      <w:r w:rsidRPr="004F216B">
        <w:rPr>
          <w:spacing w:val="-12"/>
          <w:sz w:val="22"/>
          <w:szCs w:val="22"/>
          <w:lang w:val="fr-FR"/>
        </w:rPr>
        <w:t xml:space="preserve"> </w:t>
      </w:r>
      <w:r w:rsidRPr="004F216B">
        <w:rPr>
          <w:sz w:val="22"/>
          <w:szCs w:val="22"/>
          <w:lang w:val="fr-FR"/>
        </w:rPr>
        <w:t>des preuves</w:t>
      </w:r>
      <w:r w:rsidRPr="004F216B">
        <w:rPr>
          <w:spacing w:val="-12"/>
          <w:sz w:val="22"/>
          <w:szCs w:val="22"/>
          <w:lang w:val="fr-FR"/>
        </w:rPr>
        <w:t xml:space="preserve"> </w:t>
      </w:r>
      <w:r w:rsidRPr="004F216B">
        <w:rPr>
          <w:sz w:val="22"/>
          <w:szCs w:val="22"/>
          <w:lang w:val="fr-FR"/>
        </w:rPr>
        <w:t>de</w:t>
      </w:r>
      <w:r w:rsidRPr="004F216B">
        <w:rPr>
          <w:spacing w:val="-11"/>
          <w:sz w:val="22"/>
          <w:szCs w:val="22"/>
          <w:lang w:val="fr-FR"/>
        </w:rPr>
        <w:t xml:space="preserve"> </w:t>
      </w:r>
      <w:r w:rsidRPr="004F216B">
        <w:rPr>
          <w:sz w:val="22"/>
          <w:szCs w:val="22"/>
          <w:lang w:val="fr-FR"/>
        </w:rPr>
        <w:t>la</w:t>
      </w:r>
      <w:r w:rsidRPr="004F216B">
        <w:rPr>
          <w:spacing w:val="-12"/>
          <w:sz w:val="22"/>
          <w:szCs w:val="22"/>
          <w:lang w:val="fr-FR"/>
        </w:rPr>
        <w:t xml:space="preserve"> </w:t>
      </w:r>
      <w:r w:rsidRPr="004F216B">
        <w:rPr>
          <w:sz w:val="22"/>
          <w:szCs w:val="22"/>
          <w:lang w:val="fr-FR"/>
        </w:rPr>
        <w:t>présence</w:t>
      </w:r>
      <w:r w:rsidRPr="004F216B">
        <w:rPr>
          <w:spacing w:val="-12"/>
          <w:sz w:val="22"/>
          <w:szCs w:val="22"/>
          <w:lang w:val="fr-FR"/>
        </w:rPr>
        <w:t xml:space="preserve"> </w:t>
      </w:r>
      <w:r w:rsidRPr="004F216B">
        <w:rPr>
          <w:sz w:val="22"/>
          <w:szCs w:val="22"/>
          <w:lang w:val="fr-FR"/>
        </w:rPr>
        <w:t>continue</w:t>
      </w:r>
      <w:r w:rsidRPr="004F216B">
        <w:rPr>
          <w:spacing w:val="-12"/>
          <w:sz w:val="22"/>
          <w:szCs w:val="22"/>
          <w:lang w:val="fr-FR"/>
        </w:rPr>
        <w:t xml:space="preserve"> </w:t>
      </w:r>
      <w:r w:rsidRPr="004F216B">
        <w:rPr>
          <w:sz w:val="22"/>
          <w:szCs w:val="22"/>
          <w:lang w:val="fr-FR"/>
        </w:rPr>
        <w:t>de</w:t>
      </w:r>
      <w:r w:rsidRPr="004F216B">
        <w:rPr>
          <w:spacing w:val="-10"/>
          <w:sz w:val="22"/>
          <w:szCs w:val="22"/>
          <w:lang w:val="fr-FR"/>
        </w:rPr>
        <w:t xml:space="preserve"> </w:t>
      </w:r>
      <w:r w:rsidRPr="004F216B">
        <w:rPr>
          <w:sz w:val="22"/>
          <w:szCs w:val="22"/>
          <w:lang w:val="fr-FR"/>
        </w:rPr>
        <w:t>l</w:t>
      </w:r>
      <w:r w:rsidR="00B2062C" w:rsidRPr="004F216B">
        <w:rPr>
          <w:sz w:val="22"/>
          <w:szCs w:val="22"/>
          <w:lang w:val="fr-FR"/>
        </w:rPr>
        <w:t>’</w:t>
      </w:r>
      <w:r w:rsidRPr="004F216B">
        <w:rPr>
          <w:sz w:val="22"/>
          <w:szCs w:val="22"/>
          <w:lang w:val="fr-FR"/>
        </w:rPr>
        <w:t>espèce</w:t>
      </w:r>
      <w:r w:rsidRPr="004F216B">
        <w:rPr>
          <w:spacing w:val="-14"/>
          <w:sz w:val="22"/>
          <w:szCs w:val="22"/>
          <w:lang w:val="fr-FR"/>
        </w:rPr>
        <w:t xml:space="preserve"> </w:t>
      </w:r>
      <w:r w:rsidRPr="004F216B">
        <w:rPr>
          <w:sz w:val="22"/>
          <w:szCs w:val="22"/>
          <w:lang w:val="fr-FR"/>
        </w:rPr>
        <w:t>du requin</w:t>
      </w:r>
      <w:r w:rsidRPr="004F216B">
        <w:rPr>
          <w:spacing w:val="-14"/>
          <w:sz w:val="22"/>
          <w:szCs w:val="22"/>
          <w:lang w:val="fr-FR"/>
        </w:rPr>
        <w:t xml:space="preserve"> </w:t>
      </w:r>
      <w:r w:rsidRPr="004F216B">
        <w:rPr>
          <w:sz w:val="22"/>
          <w:szCs w:val="22"/>
          <w:lang w:val="fr-FR"/>
        </w:rPr>
        <w:t>océanique</w:t>
      </w:r>
      <w:r w:rsidRPr="004F216B">
        <w:rPr>
          <w:spacing w:val="-9"/>
          <w:sz w:val="22"/>
          <w:szCs w:val="22"/>
          <w:lang w:val="fr-FR"/>
        </w:rPr>
        <w:t xml:space="preserve"> </w:t>
      </w:r>
      <w:r w:rsidRPr="004F216B">
        <w:rPr>
          <w:sz w:val="22"/>
          <w:szCs w:val="22"/>
          <w:lang w:val="fr-FR"/>
        </w:rPr>
        <w:t>en danger critique d</w:t>
      </w:r>
      <w:r w:rsidR="00B2062C" w:rsidRPr="004F216B">
        <w:rPr>
          <w:sz w:val="22"/>
          <w:szCs w:val="22"/>
          <w:lang w:val="fr-FR"/>
        </w:rPr>
        <w:t>’</w:t>
      </w:r>
      <w:r w:rsidRPr="004F216B">
        <w:rPr>
          <w:sz w:val="22"/>
          <w:szCs w:val="22"/>
          <w:lang w:val="fr-FR"/>
        </w:rPr>
        <w:t>extinction</w:t>
      </w:r>
      <w:r w:rsidRPr="004F216B">
        <w:rPr>
          <w:spacing w:val="-12"/>
          <w:sz w:val="22"/>
          <w:szCs w:val="22"/>
          <w:lang w:val="fr-FR"/>
        </w:rPr>
        <w:t xml:space="preserve"> </w:t>
      </w:r>
      <w:r w:rsidRPr="004F216B">
        <w:rPr>
          <w:sz w:val="22"/>
          <w:szCs w:val="22"/>
          <w:lang w:val="fr-FR"/>
        </w:rPr>
        <w:t>dans</w:t>
      </w:r>
      <w:r w:rsidRPr="004F216B">
        <w:rPr>
          <w:spacing w:val="-11"/>
          <w:sz w:val="22"/>
          <w:szCs w:val="22"/>
          <w:lang w:val="fr-FR"/>
        </w:rPr>
        <w:t xml:space="preserve"> </w:t>
      </w:r>
      <w:r w:rsidRPr="004F216B">
        <w:rPr>
          <w:sz w:val="22"/>
          <w:szCs w:val="22"/>
          <w:lang w:val="fr-FR"/>
        </w:rPr>
        <w:t>le commerce</w:t>
      </w:r>
      <w:r w:rsidRPr="004F216B">
        <w:rPr>
          <w:spacing w:val="-12"/>
          <w:sz w:val="22"/>
          <w:szCs w:val="22"/>
          <w:lang w:val="fr-FR"/>
        </w:rPr>
        <w:t xml:space="preserve"> </w:t>
      </w:r>
      <w:r w:rsidRPr="004F216B">
        <w:rPr>
          <w:sz w:val="22"/>
          <w:szCs w:val="22"/>
          <w:lang w:val="fr-FR"/>
        </w:rPr>
        <w:t>international,</w:t>
      </w:r>
      <w:r w:rsidRPr="004F216B">
        <w:rPr>
          <w:spacing w:val="-10"/>
          <w:sz w:val="22"/>
          <w:szCs w:val="22"/>
          <w:lang w:val="fr-FR"/>
        </w:rPr>
        <w:t xml:space="preserve"> </w:t>
      </w:r>
      <w:r w:rsidRPr="004F216B">
        <w:rPr>
          <w:sz w:val="22"/>
          <w:szCs w:val="22"/>
          <w:lang w:val="fr-FR"/>
        </w:rPr>
        <w:t>ce</w:t>
      </w:r>
      <w:r w:rsidRPr="004F216B">
        <w:rPr>
          <w:spacing w:val="-8"/>
          <w:sz w:val="22"/>
          <w:szCs w:val="22"/>
          <w:lang w:val="fr-FR"/>
        </w:rPr>
        <w:t xml:space="preserve"> </w:t>
      </w:r>
      <w:r w:rsidRPr="004F216B">
        <w:rPr>
          <w:sz w:val="22"/>
          <w:szCs w:val="22"/>
          <w:lang w:val="fr-FR"/>
        </w:rPr>
        <w:t>commerce</w:t>
      </w:r>
      <w:r w:rsidRPr="004F216B">
        <w:rPr>
          <w:spacing w:val="-9"/>
          <w:sz w:val="22"/>
          <w:szCs w:val="22"/>
          <w:lang w:val="fr-FR"/>
        </w:rPr>
        <w:t xml:space="preserve"> </w:t>
      </w:r>
      <w:r w:rsidRPr="004F216B">
        <w:rPr>
          <w:sz w:val="22"/>
          <w:szCs w:val="22"/>
          <w:lang w:val="fr-FR"/>
        </w:rPr>
        <w:t>représentant</w:t>
      </w:r>
      <w:r w:rsidRPr="004F216B">
        <w:rPr>
          <w:spacing w:val="-12"/>
          <w:sz w:val="22"/>
          <w:szCs w:val="22"/>
          <w:lang w:val="fr-FR"/>
        </w:rPr>
        <w:t xml:space="preserve"> </w:t>
      </w:r>
      <w:r w:rsidRPr="004F216B">
        <w:rPr>
          <w:sz w:val="22"/>
          <w:szCs w:val="22"/>
          <w:lang w:val="fr-FR"/>
        </w:rPr>
        <w:t>des</w:t>
      </w:r>
      <w:r w:rsidRPr="004F216B">
        <w:rPr>
          <w:spacing w:val="-13"/>
          <w:sz w:val="22"/>
          <w:szCs w:val="22"/>
          <w:lang w:val="fr-FR"/>
        </w:rPr>
        <w:t xml:space="preserve"> </w:t>
      </w:r>
      <w:r w:rsidRPr="004F216B">
        <w:rPr>
          <w:sz w:val="22"/>
          <w:szCs w:val="22"/>
          <w:lang w:val="fr-FR"/>
        </w:rPr>
        <w:t>volumes</w:t>
      </w:r>
      <w:r w:rsidRPr="004F216B">
        <w:rPr>
          <w:spacing w:val="-10"/>
          <w:sz w:val="22"/>
          <w:szCs w:val="22"/>
          <w:lang w:val="fr-FR"/>
        </w:rPr>
        <w:t xml:space="preserve"> </w:t>
      </w:r>
      <w:r w:rsidRPr="004F216B">
        <w:rPr>
          <w:sz w:val="22"/>
          <w:szCs w:val="22"/>
          <w:lang w:val="fr-FR"/>
        </w:rPr>
        <w:t>considérablement</w:t>
      </w:r>
      <w:r w:rsidRPr="004F216B">
        <w:rPr>
          <w:spacing w:val="-9"/>
          <w:sz w:val="22"/>
          <w:szCs w:val="22"/>
          <w:lang w:val="fr-FR"/>
        </w:rPr>
        <w:t xml:space="preserve"> </w:t>
      </w:r>
      <w:r w:rsidRPr="004F216B">
        <w:rPr>
          <w:sz w:val="22"/>
          <w:szCs w:val="22"/>
          <w:lang w:val="fr-FR"/>
        </w:rPr>
        <w:t>plus</w:t>
      </w:r>
      <w:r w:rsidRPr="004F216B">
        <w:rPr>
          <w:spacing w:val="-12"/>
          <w:sz w:val="22"/>
          <w:szCs w:val="22"/>
          <w:lang w:val="fr-FR"/>
        </w:rPr>
        <w:t xml:space="preserve"> </w:t>
      </w:r>
      <w:r w:rsidRPr="004F216B">
        <w:rPr>
          <w:sz w:val="22"/>
          <w:szCs w:val="22"/>
          <w:lang w:val="fr-FR"/>
        </w:rPr>
        <w:t>importants et provenant d</w:t>
      </w:r>
      <w:r w:rsidR="00B2062C" w:rsidRPr="004F216B">
        <w:rPr>
          <w:sz w:val="22"/>
          <w:szCs w:val="22"/>
          <w:lang w:val="fr-FR"/>
        </w:rPr>
        <w:t>’</w:t>
      </w:r>
      <w:r w:rsidRPr="004F216B">
        <w:rPr>
          <w:sz w:val="22"/>
          <w:szCs w:val="22"/>
          <w:lang w:val="fr-FR"/>
        </w:rPr>
        <w:t>un plus grand nombre de parties que ce qui a été déclaré à la CITES. L</w:t>
      </w:r>
      <w:r w:rsidR="00B2062C" w:rsidRPr="004F216B">
        <w:rPr>
          <w:sz w:val="22"/>
          <w:szCs w:val="22"/>
          <w:lang w:val="fr-FR"/>
        </w:rPr>
        <w:t>’</w:t>
      </w:r>
      <w:r w:rsidRPr="004F216B">
        <w:rPr>
          <w:sz w:val="22"/>
          <w:szCs w:val="22"/>
          <w:lang w:val="fr-FR"/>
        </w:rPr>
        <w:t>analyse présentée dans ce document indique que pas moins de 36</w:t>
      </w:r>
      <w:r w:rsidR="00B2062C" w:rsidRPr="004F216B">
        <w:rPr>
          <w:sz w:val="22"/>
          <w:szCs w:val="22"/>
          <w:lang w:val="fr-FR"/>
        </w:rPr>
        <w:t> </w:t>
      </w:r>
      <w:r w:rsidRPr="004F216B">
        <w:rPr>
          <w:sz w:val="22"/>
          <w:szCs w:val="22"/>
          <w:lang w:val="fr-FR"/>
        </w:rPr>
        <w:t>216 requins océaniques ont été</w:t>
      </w:r>
      <w:r w:rsidRPr="004F216B">
        <w:rPr>
          <w:spacing w:val="-4"/>
          <w:sz w:val="22"/>
          <w:szCs w:val="22"/>
          <w:lang w:val="fr-FR"/>
        </w:rPr>
        <w:t xml:space="preserve"> </w:t>
      </w:r>
      <w:r w:rsidRPr="004F216B">
        <w:rPr>
          <w:sz w:val="22"/>
          <w:szCs w:val="22"/>
          <w:lang w:val="fr-FR"/>
        </w:rPr>
        <w:t>commercialisés</w:t>
      </w:r>
      <w:r w:rsidRPr="004F216B">
        <w:rPr>
          <w:spacing w:val="-3"/>
          <w:sz w:val="22"/>
          <w:szCs w:val="22"/>
          <w:lang w:val="fr-FR"/>
        </w:rPr>
        <w:t xml:space="preserve"> </w:t>
      </w:r>
      <w:r w:rsidRPr="004F216B">
        <w:rPr>
          <w:sz w:val="22"/>
          <w:szCs w:val="22"/>
          <w:lang w:val="fr-FR"/>
        </w:rPr>
        <w:t>illégalement</w:t>
      </w:r>
      <w:r w:rsidRPr="004F216B">
        <w:rPr>
          <w:spacing w:val="-7"/>
          <w:sz w:val="22"/>
          <w:szCs w:val="22"/>
          <w:lang w:val="fr-FR"/>
        </w:rPr>
        <w:t xml:space="preserve"> </w:t>
      </w:r>
      <w:r w:rsidRPr="004F216B">
        <w:rPr>
          <w:sz w:val="22"/>
          <w:szCs w:val="22"/>
          <w:lang w:val="fr-FR"/>
        </w:rPr>
        <w:t>via</w:t>
      </w:r>
      <w:r w:rsidRPr="004F216B">
        <w:rPr>
          <w:spacing w:val="-3"/>
          <w:sz w:val="22"/>
          <w:szCs w:val="22"/>
          <w:lang w:val="fr-FR"/>
        </w:rPr>
        <w:t xml:space="preserve"> </w:t>
      </w:r>
      <w:r w:rsidRPr="004F216B">
        <w:rPr>
          <w:sz w:val="22"/>
          <w:szCs w:val="22"/>
          <w:lang w:val="fr-FR"/>
        </w:rPr>
        <w:t>la RAS de</w:t>
      </w:r>
      <w:r w:rsidRPr="004F216B">
        <w:rPr>
          <w:spacing w:val="-6"/>
          <w:sz w:val="22"/>
          <w:szCs w:val="22"/>
          <w:lang w:val="fr-FR"/>
        </w:rPr>
        <w:t xml:space="preserve"> </w:t>
      </w:r>
      <w:r w:rsidRPr="004F216B">
        <w:rPr>
          <w:sz w:val="22"/>
          <w:szCs w:val="22"/>
          <w:lang w:val="fr-FR"/>
        </w:rPr>
        <w:t>Hong</w:t>
      </w:r>
      <w:r w:rsidRPr="004F216B">
        <w:rPr>
          <w:spacing w:val="-5"/>
          <w:sz w:val="22"/>
          <w:szCs w:val="22"/>
          <w:lang w:val="fr-FR"/>
        </w:rPr>
        <w:t xml:space="preserve"> </w:t>
      </w:r>
      <w:r w:rsidRPr="004F216B">
        <w:rPr>
          <w:sz w:val="22"/>
          <w:szCs w:val="22"/>
          <w:lang w:val="fr-FR"/>
        </w:rPr>
        <w:t>Kong</w:t>
      </w:r>
      <w:r w:rsidRPr="004F216B">
        <w:rPr>
          <w:spacing w:val="-6"/>
          <w:sz w:val="22"/>
          <w:szCs w:val="22"/>
          <w:lang w:val="fr-FR"/>
        </w:rPr>
        <w:t xml:space="preserve"> </w:t>
      </w:r>
      <w:r w:rsidRPr="004F216B">
        <w:rPr>
          <w:sz w:val="22"/>
          <w:szCs w:val="22"/>
          <w:lang w:val="fr-FR"/>
        </w:rPr>
        <w:t>sur une durée de</w:t>
      </w:r>
      <w:r w:rsidRPr="004F216B">
        <w:rPr>
          <w:spacing w:val="-6"/>
          <w:sz w:val="22"/>
          <w:szCs w:val="22"/>
          <w:lang w:val="fr-FR"/>
        </w:rPr>
        <w:t xml:space="preserve"> </w:t>
      </w:r>
      <w:r w:rsidRPr="004F216B">
        <w:rPr>
          <w:sz w:val="22"/>
          <w:szCs w:val="22"/>
          <w:lang w:val="fr-FR"/>
        </w:rPr>
        <w:t>trois</w:t>
      </w:r>
      <w:r w:rsidRPr="004F216B">
        <w:rPr>
          <w:spacing w:val="-3"/>
          <w:sz w:val="22"/>
          <w:szCs w:val="22"/>
          <w:lang w:val="fr-FR"/>
        </w:rPr>
        <w:t xml:space="preserve"> </w:t>
      </w:r>
      <w:r w:rsidRPr="004F216B">
        <w:rPr>
          <w:sz w:val="22"/>
          <w:szCs w:val="22"/>
          <w:lang w:val="fr-FR"/>
        </w:rPr>
        <w:t>ans,</w:t>
      </w:r>
      <w:r w:rsidRPr="004F216B">
        <w:rPr>
          <w:spacing w:val="-5"/>
          <w:sz w:val="22"/>
          <w:szCs w:val="22"/>
          <w:lang w:val="fr-FR"/>
        </w:rPr>
        <w:t xml:space="preserve"> </w:t>
      </w:r>
      <w:r w:rsidRPr="004F216B">
        <w:rPr>
          <w:sz w:val="22"/>
          <w:szCs w:val="22"/>
          <w:lang w:val="fr-FR"/>
        </w:rPr>
        <w:t>de</w:t>
      </w:r>
      <w:r w:rsidRPr="004F216B">
        <w:rPr>
          <w:spacing w:val="-5"/>
          <w:sz w:val="22"/>
          <w:szCs w:val="22"/>
          <w:lang w:val="fr-FR"/>
        </w:rPr>
        <w:t xml:space="preserve"> </w:t>
      </w:r>
      <w:r w:rsidRPr="004F216B">
        <w:rPr>
          <w:sz w:val="22"/>
          <w:szCs w:val="22"/>
          <w:lang w:val="fr-FR"/>
        </w:rPr>
        <w:t>2015</w:t>
      </w:r>
      <w:r w:rsidRPr="004F216B">
        <w:rPr>
          <w:spacing w:val="-4"/>
          <w:sz w:val="22"/>
          <w:szCs w:val="22"/>
          <w:lang w:val="fr-FR"/>
        </w:rPr>
        <w:t xml:space="preserve"> </w:t>
      </w:r>
      <w:r w:rsidRPr="004F216B">
        <w:rPr>
          <w:sz w:val="22"/>
          <w:szCs w:val="22"/>
          <w:lang w:val="fr-FR"/>
        </w:rPr>
        <w:t>à 2017, alors que seulement environ 11</w:t>
      </w:r>
      <w:r w:rsidR="00B2062C" w:rsidRPr="004F216B">
        <w:rPr>
          <w:sz w:val="22"/>
          <w:szCs w:val="22"/>
          <w:lang w:val="fr-FR"/>
        </w:rPr>
        <w:t> </w:t>
      </w:r>
      <w:r w:rsidRPr="004F216B">
        <w:rPr>
          <w:sz w:val="22"/>
          <w:szCs w:val="22"/>
          <w:lang w:val="fr-FR"/>
        </w:rPr>
        <w:t>815 individus ont été comptabilisés dans la base de données sur le Commerce CITES au cours de cette</w:t>
      </w:r>
      <w:r w:rsidRPr="004F216B">
        <w:rPr>
          <w:spacing w:val="-1"/>
          <w:sz w:val="22"/>
          <w:szCs w:val="22"/>
          <w:lang w:val="fr-FR"/>
        </w:rPr>
        <w:t xml:space="preserve"> </w:t>
      </w:r>
      <w:r w:rsidRPr="004F216B">
        <w:rPr>
          <w:sz w:val="22"/>
          <w:szCs w:val="22"/>
          <w:lang w:val="fr-FR"/>
        </w:rPr>
        <w:t>période.</w:t>
      </w:r>
    </w:p>
    <w:p w14:paraId="379BF331" w14:textId="77777777" w:rsidR="00564AB6" w:rsidRPr="004F216B" w:rsidRDefault="00564AB6" w:rsidP="00564AB6">
      <w:pPr>
        <w:pStyle w:val="BodyText"/>
        <w:ind w:left="567" w:right="28" w:hanging="567"/>
        <w:jc w:val="both"/>
        <w:rPr>
          <w:sz w:val="22"/>
          <w:szCs w:val="22"/>
          <w:lang w:val="fr-FR"/>
        </w:rPr>
      </w:pPr>
    </w:p>
    <w:p w14:paraId="081E8DE8" w14:textId="4F0CD095" w:rsidR="00E055F3" w:rsidRPr="004F216B" w:rsidRDefault="00E055F3" w:rsidP="00564AB6">
      <w:pPr>
        <w:pStyle w:val="BodyText"/>
        <w:numPr>
          <w:ilvl w:val="0"/>
          <w:numId w:val="1"/>
        </w:numPr>
        <w:ind w:left="567" w:right="28" w:hanging="567"/>
        <w:jc w:val="both"/>
        <w:rPr>
          <w:sz w:val="22"/>
          <w:szCs w:val="22"/>
          <w:lang w:val="fr-FR"/>
        </w:rPr>
      </w:pPr>
      <w:r w:rsidRPr="004F216B">
        <w:rPr>
          <w:sz w:val="22"/>
          <w:szCs w:val="22"/>
          <w:lang w:val="fr-FR"/>
        </w:rPr>
        <w:t>Le requin océanique est une espèce très vulnérable, capturée «</w:t>
      </w:r>
      <w:r w:rsidR="00B2062C" w:rsidRPr="004F216B">
        <w:rPr>
          <w:sz w:val="22"/>
          <w:szCs w:val="22"/>
          <w:lang w:val="fr-FR"/>
        </w:rPr>
        <w:t> </w:t>
      </w:r>
      <w:r w:rsidRPr="004F216B">
        <w:rPr>
          <w:sz w:val="22"/>
          <w:szCs w:val="22"/>
          <w:lang w:val="fr-FR"/>
        </w:rPr>
        <w:t>accidentellement</w:t>
      </w:r>
      <w:r w:rsidR="00B2062C" w:rsidRPr="004F216B">
        <w:rPr>
          <w:sz w:val="22"/>
          <w:szCs w:val="22"/>
          <w:lang w:val="fr-FR"/>
        </w:rPr>
        <w:t> </w:t>
      </w:r>
      <w:r w:rsidRPr="004F216B">
        <w:rPr>
          <w:sz w:val="22"/>
          <w:szCs w:val="22"/>
          <w:lang w:val="fr-FR"/>
        </w:rPr>
        <w:t>» dans les pêches</w:t>
      </w:r>
      <w:r w:rsidRPr="004F216B">
        <w:rPr>
          <w:spacing w:val="-17"/>
          <w:sz w:val="22"/>
          <w:szCs w:val="22"/>
          <w:lang w:val="fr-FR"/>
        </w:rPr>
        <w:t xml:space="preserve"> </w:t>
      </w:r>
      <w:r w:rsidRPr="004F216B">
        <w:rPr>
          <w:sz w:val="22"/>
          <w:szCs w:val="22"/>
          <w:lang w:val="fr-FR"/>
        </w:rPr>
        <w:t>pélagiques</w:t>
      </w:r>
      <w:r w:rsidRPr="004F216B">
        <w:rPr>
          <w:spacing w:val="-16"/>
          <w:sz w:val="22"/>
          <w:szCs w:val="22"/>
          <w:lang w:val="fr-FR"/>
        </w:rPr>
        <w:t xml:space="preserve"> </w:t>
      </w:r>
      <w:r w:rsidRPr="004F216B">
        <w:rPr>
          <w:sz w:val="22"/>
          <w:szCs w:val="22"/>
          <w:lang w:val="fr-FR"/>
        </w:rPr>
        <w:t>du monde entier.</w:t>
      </w:r>
      <w:r w:rsidRPr="004F216B">
        <w:rPr>
          <w:spacing w:val="-14"/>
          <w:sz w:val="22"/>
          <w:szCs w:val="22"/>
          <w:lang w:val="fr-FR"/>
        </w:rPr>
        <w:t xml:space="preserve"> </w:t>
      </w:r>
      <w:r w:rsidRPr="004F216B">
        <w:rPr>
          <w:sz w:val="22"/>
          <w:szCs w:val="22"/>
          <w:lang w:val="fr-FR"/>
        </w:rPr>
        <w:t>Avant</w:t>
      </w:r>
      <w:r w:rsidRPr="004F216B">
        <w:rPr>
          <w:spacing w:val="-17"/>
          <w:sz w:val="22"/>
          <w:szCs w:val="22"/>
          <w:lang w:val="fr-FR"/>
        </w:rPr>
        <w:t xml:space="preserve"> </w:t>
      </w:r>
      <w:r w:rsidRPr="004F216B">
        <w:rPr>
          <w:sz w:val="22"/>
          <w:szCs w:val="22"/>
          <w:lang w:val="fr-FR"/>
        </w:rPr>
        <w:t>son</w:t>
      </w:r>
      <w:r w:rsidRPr="004F216B">
        <w:rPr>
          <w:spacing w:val="-14"/>
          <w:sz w:val="22"/>
          <w:szCs w:val="22"/>
          <w:lang w:val="fr-FR"/>
        </w:rPr>
        <w:t xml:space="preserve"> </w:t>
      </w:r>
      <w:r w:rsidRPr="004F216B">
        <w:rPr>
          <w:sz w:val="22"/>
          <w:szCs w:val="22"/>
          <w:lang w:val="fr-FR"/>
        </w:rPr>
        <w:t>inscription</w:t>
      </w:r>
      <w:r w:rsidRPr="004F216B">
        <w:rPr>
          <w:spacing w:val="-17"/>
          <w:sz w:val="22"/>
          <w:szCs w:val="22"/>
          <w:lang w:val="fr-FR"/>
        </w:rPr>
        <w:t xml:space="preserve"> </w:t>
      </w:r>
      <w:r w:rsidRPr="004F216B">
        <w:rPr>
          <w:sz w:val="22"/>
          <w:szCs w:val="22"/>
          <w:lang w:val="fr-FR"/>
        </w:rPr>
        <w:t>à la</w:t>
      </w:r>
      <w:r w:rsidRPr="004F216B">
        <w:rPr>
          <w:spacing w:val="-17"/>
          <w:sz w:val="22"/>
          <w:szCs w:val="22"/>
          <w:lang w:val="fr-FR"/>
        </w:rPr>
        <w:t xml:space="preserve"> </w:t>
      </w:r>
      <w:r w:rsidRPr="004F216B">
        <w:rPr>
          <w:sz w:val="22"/>
          <w:szCs w:val="22"/>
          <w:lang w:val="fr-FR"/>
        </w:rPr>
        <w:t>CITES,</w:t>
      </w:r>
      <w:r w:rsidRPr="004F216B">
        <w:rPr>
          <w:spacing w:val="-15"/>
          <w:sz w:val="22"/>
          <w:szCs w:val="22"/>
          <w:lang w:val="fr-FR"/>
        </w:rPr>
        <w:t xml:space="preserve"> </w:t>
      </w:r>
      <w:r w:rsidRPr="004F216B">
        <w:rPr>
          <w:sz w:val="22"/>
          <w:szCs w:val="22"/>
          <w:lang w:val="fr-FR"/>
        </w:rPr>
        <w:t>les préoccupations</w:t>
      </w:r>
      <w:r w:rsidRPr="004F216B">
        <w:rPr>
          <w:spacing w:val="-17"/>
          <w:sz w:val="22"/>
          <w:szCs w:val="22"/>
          <w:lang w:val="fr-FR"/>
        </w:rPr>
        <w:t xml:space="preserve"> </w:t>
      </w:r>
      <w:r w:rsidRPr="004F216B">
        <w:rPr>
          <w:sz w:val="22"/>
          <w:szCs w:val="22"/>
          <w:lang w:val="fr-FR"/>
        </w:rPr>
        <w:t>concernant</w:t>
      </w:r>
      <w:r w:rsidRPr="004F216B">
        <w:rPr>
          <w:spacing w:val="-16"/>
          <w:sz w:val="22"/>
          <w:szCs w:val="22"/>
          <w:lang w:val="fr-FR"/>
        </w:rPr>
        <w:t xml:space="preserve"> </w:t>
      </w:r>
      <w:r w:rsidRPr="004F216B">
        <w:rPr>
          <w:sz w:val="22"/>
          <w:szCs w:val="22"/>
          <w:lang w:val="fr-FR"/>
        </w:rPr>
        <w:t>le</w:t>
      </w:r>
      <w:r w:rsidRPr="004F216B">
        <w:rPr>
          <w:spacing w:val="-16"/>
          <w:sz w:val="22"/>
          <w:szCs w:val="22"/>
          <w:lang w:val="fr-FR"/>
        </w:rPr>
        <w:t xml:space="preserve"> </w:t>
      </w:r>
      <w:r w:rsidRPr="004F216B">
        <w:rPr>
          <w:sz w:val="22"/>
          <w:szCs w:val="22"/>
          <w:lang w:val="fr-FR"/>
        </w:rPr>
        <w:t>déclin continu</w:t>
      </w:r>
      <w:r w:rsidRPr="004F216B">
        <w:rPr>
          <w:spacing w:val="-15"/>
          <w:sz w:val="22"/>
          <w:szCs w:val="22"/>
          <w:lang w:val="fr-FR"/>
        </w:rPr>
        <w:t xml:space="preserve"> </w:t>
      </w:r>
      <w:r w:rsidRPr="004F216B">
        <w:rPr>
          <w:sz w:val="22"/>
          <w:szCs w:val="22"/>
          <w:lang w:val="fr-FR"/>
        </w:rPr>
        <w:t>des populations de cette espèce (aujourd</w:t>
      </w:r>
      <w:r w:rsidR="00B2062C" w:rsidRPr="004F216B">
        <w:rPr>
          <w:sz w:val="22"/>
          <w:szCs w:val="22"/>
          <w:lang w:val="fr-FR"/>
        </w:rPr>
        <w:t>’</w:t>
      </w:r>
      <w:r w:rsidRPr="004F216B">
        <w:rPr>
          <w:sz w:val="22"/>
          <w:szCs w:val="22"/>
          <w:lang w:val="fr-FR"/>
        </w:rPr>
        <w:t>hui classée «</w:t>
      </w:r>
      <w:r w:rsidR="00B2062C" w:rsidRPr="004F216B">
        <w:rPr>
          <w:sz w:val="22"/>
          <w:szCs w:val="22"/>
          <w:lang w:val="fr-FR"/>
        </w:rPr>
        <w:t> </w:t>
      </w:r>
      <w:r w:rsidRPr="004F216B">
        <w:rPr>
          <w:sz w:val="22"/>
          <w:szCs w:val="22"/>
          <w:lang w:val="fr-FR"/>
        </w:rPr>
        <w:t>en danger critique d</w:t>
      </w:r>
      <w:r w:rsidR="00B2062C" w:rsidRPr="004F216B">
        <w:rPr>
          <w:sz w:val="22"/>
          <w:szCs w:val="22"/>
          <w:lang w:val="fr-FR"/>
        </w:rPr>
        <w:t>’</w:t>
      </w:r>
      <w:r w:rsidRPr="004F216B">
        <w:rPr>
          <w:sz w:val="22"/>
          <w:szCs w:val="22"/>
          <w:lang w:val="fr-FR"/>
        </w:rPr>
        <w:t>extinction</w:t>
      </w:r>
      <w:r w:rsidR="00B2062C" w:rsidRPr="004F216B">
        <w:rPr>
          <w:sz w:val="22"/>
          <w:szCs w:val="22"/>
          <w:lang w:val="fr-FR"/>
        </w:rPr>
        <w:t> </w:t>
      </w:r>
      <w:r w:rsidRPr="004F216B">
        <w:rPr>
          <w:sz w:val="22"/>
          <w:szCs w:val="22"/>
          <w:lang w:val="fr-FR"/>
        </w:rPr>
        <w:t>» au niveau mondial par l</w:t>
      </w:r>
      <w:r w:rsidR="00B2062C" w:rsidRPr="004F216B">
        <w:rPr>
          <w:sz w:val="22"/>
          <w:szCs w:val="22"/>
          <w:lang w:val="fr-FR"/>
        </w:rPr>
        <w:t>’</w:t>
      </w:r>
      <w:r w:rsidRPr="004F216B">
        <w:rPr>
          <w:sz w:val="22"/>
          <w:szCs w:val="22"/>
          <w:lang w:val="fr-FR"/>
        </w:rPr>
        <w:t>UICN), avaient déjà entraîné un renforcement de sa protection grâce à une série de mesures de gestion de la pêche</w:t>
      </w:r>
      <w:r w:rsidRPr="004F216B">
        <w:rPr>
          <w:spacing w:val="-10"/>
          <w:sz w:val="22"/>
          <w:szCs w:val="22"/>
          <w:lang w:val="fr-FR"/>
        </w:rPr>
        <w:t xml:space="preserve"> </w:t>
      </w:r>
      <w:r w:rsidRPr="004F216B">
        <w:rPr>
          <w:sz w:val="22"/>
          <w:szCs w:val="22"/>
          <w:lang w:val="fr-FR"/>
        </w:rPr>
        <w:t>et de conservation de la biodiversité</w:t>
      </w:r>
      <w:r w:rsidRPr="004F216B">
        <w:rPr>
          <w:spacing w:val="-7"/>
          <w:sz w:val="22"/>
          <w:szCs w:val="22"/>
          <w:lang w:val="fr-FR"/>
        </w:rPr>
        <w:t xml:space="preserve"> </w:t>
      </w:r>
      <w:r w:rsidRPr="004F216B">
        <w:rPr>
          <w:sz w:val="22"/>
          <w:szCs w:val="22"/>
          <w:lang w:val="fr-FR"/>
        </w:rPr>
        <w:t>(CMS),</w:t>
      </w:r>
      <w:r w:rsidRPr="004F216B">
        <w:rPr>
          <w:spacing w:val="-8"/>
          <w:sz w:val="22"/>
          <w:szCs w:val="22"/>
          <w:lang w:val="fr-FR"/>
        </w:rPr>
        <w:t xml:space="preserve"> </w:t>
      </w:r>
      <w:r w:rsidRPr="004F216B">
        <w:rPr>
          <w:sz w:val="22"/>
          <w:szCs w:val="22"/>
          <w:lang w:val="fr-FR"/>
        </w:rPr>
        <w:t>ainsi qu</w:t>
      </w:r>
      <w:r w:rsidR="00B2062C" w:rsidRPr="004F216B">
        <w:rPr>
          <w:sz w:val="22"/>
          <w:szCs w:val="22"/>
          <w:lang w:val="fr-FR"/>
        </w:rPr>
        <w:t>’</w:t>
      </w:r>
      <w:r w:rsidRPr="004F216B">
        <w:rPr>
          <w:sz w:val="22"/>
          <w:szCs w:val="22"/>
          <w:lang w:val="fr-FR"/>
        </w:rPr>
        <w:t>à des mesures de</w:t>
      </w:r>
      <w:r w:rsidRPr="004F216B">
        <w:rPr>
          <w:spacing w:val="-9"/>
          <w:sz w:val="22"/>
          <w:szCs w:val="22"/>
          <w:lang w:val="fr-FR"/>
        </w:rPr>
        <w:t xml:space="preserve"> </w:t>
      </w:r>
      <w:r w:rsidRPr="004F216B">
        <w:rPr>
          <w:sz w:val="22"/>
          <w:szCs w:val="22"/>
          <w:lang w:val="fr-FR"/>
        </w:rPr>
        <w:t>réglementation du</w:t>
      </w:r>
      <w:r w:rsidRPr="004F216B">
        <w:rPr>
          <w:spacing w:val="-8"/>
          <w:sz w:val="22"/>
          <w:szCs w:val="22"/>
          <w:lang w:val="fr-FR"/>
        </w:rPr>
        <w:t xml:space="preserve"> </w:t>
      </w:r>
      <w:r w:rsidRPr="004F216B">
        <w:rPr>
          <w:sz w:val="22"/>
          <w:szCs w:val="22"/>
          <w:lang w:val="fr-FR"/>
        </w:rPr>
        <w:t>commerce</w:t>
      </w:r>
      <w:r w:rsidRPr="004F216B">
        <w:rPr>
          <w:spacing w:val="-9"/>
          <w:sz w:val="22"/>
          <w:szCs w:val="22"/>
          <w:lang w:val="fr-FR"/>
        </w:rPr>
        <w:t xml:space="preserve"> </w:t>
      </w:r>
      <w:r w:rsidRPr="004F216B">
        <w:rPr>
          <w:sz w:val="22"/>
          <w:szCs w:val="22"/>
          <w:lang w:val="fr-FR"/>
        </w:rPr>
        <w:t>à l</w:t>
      </w:r>
      <w:r w:rsidR="00B2062C" w:rsidRPr="004F216B">
        <w:rPr>
          <w:sz w:val="22"/>
          <w:szCs w:val="22"/>
          <w:lang w:val="fr-FR"/>
        </w:rPr>
        <w:t>’</w:t>
      </w:r>
      <w:r w:rsidRPr="004F216B">
        <w:rPr>
          <w:sz w:val="22"/>
          <w:szCs w:val="22"/>
          <w:lang w:val="fr-FR"/>
        </w:rPr>
        <w:t>échelle</w:t>
      </w:r>
      <w:r w:rsidRPr="004F216B">
        <w:rPr>
          <w:spacing w:val="-10"/>
          <w:sz w:val="22"/>
          <w:szCs w:val="22"/>
          <w:lang w:val="fr-FR"/>
        </w:rPr>
        <w:t xml:space="preserve"> </w:t>
      </w:r>
      <w:r w:rsidRPr="004F216B">
        <w:rPr>
          <w:sz w:val="22"/>
          <w:szCs w:val="22"/>
          <w:lang w:val="fr-FR"/>
        </w:rPr>
        <w:t>nationale,</w:t>
      </w:r>
      <w:r w:rsidRPr="004F216B">
        <w:rPr>
          <w:spacing w:val="-8"/>
          <w:sz w:val="22"/>
          <w:szCs w:val="22"/>
          <w:lang w:val="fr-FR"/>
        </w:rPr>
        <w:t xml:space="preserve"> </w:t>
      </w:r>
      <w:r w:rsidRPr="004F216B">
        <w:rPr>
          <w:sz w:val="22"/>
          <w:szCs w:val="22"/>
          <w:lang w:val="fr-FR"/>
        </w:rPr>
        <w:t xml:space="preserve">régionale, et mondiale. </w:t>
      </w:r>
    </w:p>
    <w:p w14:paraId="5CB108DC" w14:textId="77777777" w:rsidR="00564AB6" w:rsidRPr="004F216B" w:rsidRDefault="00564AB6" w:rsidP="00564AB6">
      <w:pPr>
        <w:pStyle w:val="BodyText"/>
        <w:ind w:left="567" w:right="28" w:hanging="567"/>
        <w:jc w:val="both"/>
        <w:rPr>
          <w:sz w:val="22"/>
          <w:szCs w:val="22"/>
          <w:lang w:val="fr-FR"/>
        </w:rPr>
      </w:pPr>
    </w:p>
    <w:p w14:paraId="7945D8EB" w14:textId="44A3BAB3" w:rsidR="00E055F3" w:rsidRPr="004F216B" w:rsidRDefault="00E055F3" w:rsidP="00564AB6">
      <w:pPr>
        <w:pStyle w:val="BodyText"/>
        <w:numPr>
          <w:ilvl w:val="0"/>
          <w:numId w:val="1"/>
        </w:numPr>
        <w:ind w:left="567" w:right="28" w:hanging="567"/>
        <w:jc w:val="both"/>
        <w:rPr>
          <w:sz w:val="22"/>
          <w:szCs w:val="22"/>
          <w:lang w:val="fr-FR"/>
        </w:rPr>
      </w:pPr>
      <w:r w:rsidRPr="004F216B">
        <w:rPr>
          <w:sz w:val="22"/>
          <w:szCs w:val="22"/>
          <w:lang w:val="fr-FR"/>
        </w:rPr>
        <w:t>Des données sur la capture et le commerce international des requins océaniques provenant des statistiques en ligne de l</w:t>
      </w:r>
      <w:r w:rsidR="00B2062C" w:rsidRPr="004F216B">
        <w:rPr>
          <w:sz w:val="22"/>
          <w:szCs w:val="22"/>
          <w:lang w:val="fr-FR"/>
        </w:rPr>
        <w:t>’</w:t>
      </w:r>
      <w:r w:rsidRPr="004F216B">
        <w:rPr>
          <w:sz w:val="22"/>
          <w:szCs w:val="22"/>
          <w:lang w:val="fr-FR"/>
        </w:rPr>
        <w:t>Organisation des Nations Unies pour l</w:t>
      </w:r>
      <w:r w:rsidR="00B2062C" w:rsidRPr="004F216B">
        <w:rPr>
          <w:sz w:val="22"/>
          <w:szCs w:val="22"/>
          <w:lang w:val="fr-FR"/>
        </w:rPr>
        <w:t>’</w:t>
      </w:r>
      <w:r w:rsidRPr="004F216B">
        <w:rPr>
          <w:sz w:val="22"/>
          <w:szCs w:val="22"/>
          <w:lang w:val="fr-FR"/>
        </w:rPr>
        <w:t>alimentation et l</w:t>
      </w:r>
      <w:r w:rsidR="00B2062C" w:rsidRPr="004F216B">
        <w:rPr>
          <w:sz w:val="22"/>
          <w:szCs w:val="22"/>
          <w:lang w:val="fr-FR"/>
        </w:rPr>
        <w:t>’</w:t>
      </w:r>
      <w:r w:rsidRPr="004F216B">
        <w:rPr>
          <w:sz w:val="22"/>
          <w:szCs w:val="22"/>
          <w:lang w:val="fr-FR"/>
        </w:rPr>
        <w:t>agriculture (FAO), des organisations régionales de gestion</w:t>
      </w:r>
      <w:r w:rsidRPr="004F216B">
        <w:rPr>
          <w:spacing w:val="-11"/>
          <w:sz w:val="22"/>
          <w:szCs w:val="22"/>
          <w:lang w:val="fr-FR"/>
        </w:rPr>
        <w:t xml:space="preserve"> </w:t>
      </w:r>
      <w:r w:rsidRPr="004F216B">
        <w:rPr>
          <w:sz w:val="22"/>
          <w:szCs w:val="22"/>
          <w:lang w:val="fr-FR"/>
        </w:rPr>
        <w:t>des pêches pour le thon</w:t>
      </w:r>
      <w:r w:rsidRPr="004F216B">
        <w:rPr>
          <w:spacing w:val="-8"/>
          <w:sz w:val="22"/>
          <w:szCs w:val="22"/>
          <w:lang w:val="fr-FR"/>
        </w:rPr>
        <w:t xml:space="preserve"> </w:t>
      </w:r>
      <w:r w:rsidRPr="004F216B">
        <w:rPr>
          <w:sz w:val="22"/>
          <w:szCs w:val="22"/>
          <w:lang w:val="fr-FR"/>
        </w:rPr>
        <w:t>(ORPG thonières)</w:t>
      </w:r>
      <w:r w:rsidR="00B2062C" w:rsidRPr="004F216B">
        <w:rPr>
          <w:sz w:val="22"/>
          <w:szCs w:val="22"/>
          <w:lang w:val="fr-FR"/>
        </w:rPr>
        <w:t> </w:t>
      </w:r>
      <w:r w:rsidRPr="004F216B">
        <w:rPr>
          <w:sz w:val="22"/>
          <w:szCs w:val="22"/>
          <w:lang w:val="fr-FR"/>
        </w:rPr>
        <w:t>; de la</w:t>
      </w:r>
      <w:r w:rsidRPr="004F216B">
        <w:rPr>
          <w:spacing w:val="-7"/>
          <w:sz w:val="22"/>
          <w:szCs w:val="22"/>
          <w:lang w:val="fr-FR"/>
        </w:rPr>
        <w:t xml:space="preserve"> </w:t>
      </w:r>
      <w:r w:rsidRPr="004F216B">
        <w:rPr>
          <w:sz w:val="22"/>
          <w:szCs w:val="22"/>
          <w:lang w:val="fr-FR"/>
        </w:rPr>
        <w:t>Commission</w:t>
      </w:r>
      <w:r w:rsidRPr="004F216B">
        <w:rPr>
          <w:spacing w:val="-8"/>
          <w:sz w:val="22"/>
          <w:szCs w:val="22"/>
          <w:lang w:val="fr-FR"/>
        </w:rPr>
        <w:t xml:space="preserve"> </w:t>
      </w:r>
      <w:r w:rsidRPr="004F216B">
        <w:rPr>
          <w:sz w:val="22"/>
          <w:szCs w:val="22"/>
          <w:lang w:val="fr-FR"/>
        </w:rPr>
        <w:t>internationale</w:t>
      </w:r>
      <w:r w:rsidRPr="004F216B">
        <w:rPr>
          <w:spacing w:val="-9"/>
          <w:sz w:val="22"/>
          <w:szCs w:val="22"/>
          <w:lang w:val="fr-FR"/>
        </w:rPr>
        <w:t xml:space="preserve"> </w:t>
      </w:r>
      <w:r w:rsidRPr="004F216B">
        <w:rPr>
          <w:sz w:val="22"/>
          <w:szCs w:val="22"/>
          <w:lang w:val="fr-FR"/>
        </w:rPr>
        <w:t>pour</w:t>
      </w:r>
      <w:r w:rsidRPr="004F216B">
        <w:rPr>
          <w:spacing w:val="-8"/>
          <w:sz w:val="22"/>
          <w:szCs w:val="22"/>
          <w:lang w:val="fr-FR"/>
        </w:rPr>
        <w:t xml:space="preserve"> </w:t>
      </w:r>
      <w:r w:rsidRPr="004F216B">
        <w:rPr>
          <w:sz w:val="22"/>
          <w:szCs w:val="22"/>
          <w:lang w:val="fr-FR"/>
        </w:rPr>
        <w:t>la</w:t>
      </w:r>
      <w:r w:rsidRPr="004F216B">
        <w:rPr>
          <w:spacing w:val="-8"/>
          <w:sz w:val="22"/>
          <w:szCs w:val="22"/>
          <w:lang w:val="fr-FR"/>
        </w:rPr>
        <w:t xml:space="preserve"> </w:t>
      </w:r>
      <w:r w:rsidRPr="004F216B">
        <w:rPr>
          <w:sz w:val="22"/>
          <w:szCs w:val="22"/>
          <w:lang w:val="fr-FR"/>
        </w:rPr>
        <w:t>conservation des thonidés de l</w:t>
      </w:r>
      <w:r w:rsidR="00B2062C" w:rsidRPr="004F216B">
        <w:rPr>
          <w:sz w:val="22"/>
          <w:szCs w:val="22"/>
          <w:lang w:val="fr-FR"/>
        </w:rPr>
        <w:t>’</w:t>
      </w:r>
      <w:r w:rsidRPr="004F216B">
        <w:rPr>
          <w:sz w:val="22"/>
          <w:szCs w:val="22"/>
          <w:lang w:val="fr-FR"/>
        </w:rPr>
        <w:t>Atlantique (CICTA), de la Commission des thons de l</w:t>
      </w:r>
      <w:r w:rsidR="00B2062C" w:rsidRPr="004F216B">
        <w:rPr>
          <w:sz w:val="22"/>
          <w:szCs w:val="22"/>
          <w:lang w:val="fr-FR"/>
        </w:rPr>
        <w:t>’</w:t>
      </w:r>
      <w:r w:rsidRPr="004F216B">
        <w:rPr>
          <w:sz w:val="22"/>
          <w:szCs w:val="22"/>
          <w:lang w:val="fr-FR"/>
        </w:rPr>
        <w:t xml:space="preserve">Océan Indien </w:t>
      </w:r>
      <w:r w:rsidRPr="004F216B">
        <w:rPr>
          <w:sz w:val="22"/>
          <w:szCs w:val="22"/>
          <w:lang w:val="fr-FR"/>
        </w:rPr>
        <w:lastRenderedPageBreak/>
        <w:t>(CTOI), de la Commission interaméricaine du thon tropical (CITT), de la Commission des pêches du Pacifique occidental et central (WCPFC), de la base de données sur le Commerce CITES, des données des douanes de la RAS de Hong Kong, et des registres de confiscation du ministère de l</w:t>
      </w:r>
      <w:r w:rsidR="00B2062C" w:rsidRPr="004F216B">
        <w:rPr>
          <w:sz w:val="22"/>
          <w:szCs w:val="22"/>
          <w:lang w:val="fr-FR"/>
        </w:rPr>
        <w:t>’</w:t>
      </w:r>
      <w:r w:rsidRPr="004F216B">
        <w:rPr>
          <w:sz w:val="22"/>
          <w:szCs w:val="22"/>
          <w:lang w:val="fr-FR"/>
        </w:rPr>
        <w:t>agriculture, de la pêche et de la conservation de la RAS de Hong Kong, comparées à des recherches analysant la composition des espèces mondiales dans le commerce international</w:t>
      </w:r>
      <w:r w:rsidRPr="004F216B">
        <w:rPr>
          <w:spacing w:val="-7"/>
          <w:sz w:val="22"/>
          <w:szCs w:val="22"/>
          <w:lang w:val="fr-FR"/>
        </w:rPr>
        <w:t xml:space="preserve"> </w:t>
      </w:r>
      <w:r w:rsidRPr="004F216B">
        <w:rPr>
          <w:sz w:val="22"/>
          <w:szCs w:val="22"/>
          <w:lang w:val="fr-FR"/>
        </w:rPr>
        <w:t>des ailerons, ont été utilisées pour évaluer les niveaux récents de commerce international de requins océaniques.</w:t>
      </w:r>
    </w:p>
    <w:p w14:paraId="06ADCE5A" w14:textId="77777777" w:rsidR="00564AB6" w:rsidRPr="004F216B" w:rsidRDefault="00564AB6" w:rsidP="00564AB6">
      <w:pPr>
        <w:pStyle w:val="BodyText"/>
        <w:ind w:right="28"/>
        <w:jc w:val="both"/>
        <w:rPr>
          <w:sz w:val="22"/>
          <w:szCs w:val="22"/>
          <w:lang w:val="fr-FR"/>
        </w:rPr>
      </w:pPr>
    </w:p>
    <w:p w14:paraId="7E200474" w14:textId="0A5CA19F" w:rsidR="00E055F3" w:rsidRPr="004F216B" w:rsidRDefault="00E055F3" w:rsidP="00564AB6">
      <w:pPr>
        <w:pStyle w:val="BodyText"/>
        <w:numPr>
          <w:ilvl w:val="0"/>
          <w:numId w:val="1"/>
        </w:numPr>
        <w:ind w:left="567" w:right="28" w:hanging="567"/>
        <w:jc w:val="both"/>
        <w:rPr>
          <w:sz w:val="22"/>
          <w:szCs w:val="22"/>
          <w:lang w:val="fr-FR"/>
        </w:rPr>
      </w:pPr>
      <w:r w:rsidRPr="004F216B">
        <w:rPr>
          <w:sz w:val="22"/>
          <w:szCs w:val="22"/>
          <w:lang w:val="fr-FR"/>
        </w:rPr>
        <w:t>Les données officielles sur les débarquements communiquées par les gouvernements aux ORGP thonières font état d</w:t>
      </w:r>
      <w:r w:rsidR="00B2062C" w:rsidRPr="004F216B">
        <w:rPr>
          <w:sz w:val="22"/>
          <w:szCs w:val="22"/>
          <w:lang w:val="fr-FR"/>
        </w:rPr>
        <w:t>’</w:t>
      </w:r>
      <w:r w:rsidRPr="004F216B">
        <w:rPr>
          <w:sz w:val="22"/>
          <w:szCs w:val="22"/>
          <w:lang w:val="fr-FR"/>
        </w:rPr>
        <w:t>une réduction des captures depuis que l</w:t>
      </w:r>
      <w:r w:rsidR="00B2062C" w:rsidRPr="004F216B">
        <w:rPr>
          <w:sz w:val="22"/>
          <w:szCs w:val="22"/>
          <w:lang w:val="fr-FR"/>
        </w:rPr>
        <w:t>’</w:t>
      </w:r>
      <w:r w:rsidRPr="004F216B">
        <w:rPr>
          <w:sz w:val="22"/>
          <w:szCs w:val="22"/>
          <w:lang w:val="fr-FR"/>
        </w:rPr>
        <w:t>espèce a été interdite dans les quatre organismes. De faibles volumes de commerce ont été enregistrés dans la base de données sur le Commerce CITES depuis que l</w:t>
      </w:r>
      <w:r w:rsidR="00B2062C" w:rsidRPr="004F216B">
        <w:rPr>
          <w:sz w:val="22"/>
          <w:szCs w:val="22"/>
          <w:lang w:val="fr-FR"/>
        </w:rPr>
        <w:t>’</w:t>
      </w:r>
      <w:r w:rsidRPr="004F216B">
        <w:rPr>
          <w:sz w:val="22"/>
          <w:szCs w:val="22"/>
          <w:lang w:val="fr-FR"/>
        </w:rPr>
        <w:t>inscription à l</w:t>
      </w:r>
      <w:r w:rsidR="00B2062C" w:rsidRPr="004F216B">
        <w:rPr>
          <w:sz w:val="22"/>
          <w:szCs w:val="22"/>
          <w:lang w:val="fr-FR"/>
        </w:rPr>
        <w:t>’</w:t>
      </w:r>
      <w:r w:rsidRPr="004F216B">
        <w:rPr>
          <w:sz w:val="22"/>
          <w:szCs w:val="22"/>
          <w:lang w:val="fr-FR"/>
        </w:rPr>
        <w:t>Annexe II de la CITES est</w:t>
      </w:r>
      <w:r w:rsidRPr="004F216B">
        <w:rPr>
          <w:spacing w:val="-7"/>
          <w:sz w:val="22"/>
          <w:szCs w:val="22"/>
          <w:lang w:val="fr-FR"/>
        </w:rPr>
        <w:t xml:space="preserve"> </w:t>
      </w:r>
      <w:r w:rsidRPr="004F216B">
        <w:rPr>
          <w:sz w:val="22"/>
          <w:szCs w:val="22"/>
          <w:lang w:val="fr-FR"/>
        </w:rPr>
        <w:t>entrée en vigueur,</w:t>
      </w:r>
      <w:r w:rsidRPr="004F216B">
        <w:rPr>
          <w:spacing w:val="-6"/>
          <w:sz w:val="22"/>
          <w:szCs w:val="22"/>
          <w:lang w:val="fr-FR"/>
        </w:rPr>
        <w:t xml:space="preserve"> </w:t>
      </w:r>
      <w:r w:rsidRPr="004F216B">
        <w:rPr>
          <w:sz w:val="22"/>
          <w:szCs w:val="22"/>
          <w:lang w:val="fr-FR"/>
        </w:rPr>
        <w:t>indiquant</w:t>
      </w:r>
      <w:r w:rsidRPr="004F216B">
        <w:rPr>
          <w:spacing w:val="-6"/>
          <w:sz w:val="22"/>
          <w:szCs w:val="22"/>
          <w:lang w:val="fr-FR"/>
        </w:rPr>
        <w:t xml:space="preserve"> </w:t>
      </w:r>
      <w:r w:rsidRPr="004F216B">
        <w:rPr>
          <w:sz w:val="22"/>
          <w:szCs w:val="22"/>
          <w:lang w:val="fr-FR"/>
        </w:rPr>
        <w:t>un bon</w:t>
      </w:r>
      <w:r w:rsidRPr="004F216B">
        <w:rPr>
          <w:spacing w:val="-7"/>
          <w:sz w:val="22"/>
          <w:szCs w:val="22"/>
          <w:lang w:val="fr-FR"/>
        </w:rPr>
        <w:t xml:space="preserve"> </w:t>
      </w:r>
      <w:r w:rsidRPr="004F216B">
        <w:rPr>
          <w:sz w:val="22"/>
          <w:szCs w:val="22"/>
          <w:lang w:val="fr-FR"/>
        </w:rPr>
        <w:t>respect</w:t>
      </w:r>
      <w:r w:rsidRPr="004F216B">
        <w:rPr>
          <w:spacing w:val="-4"/>
          <w:sz w:val="22"/>
          <w:szCs w:val="22"/>
          <w:lang w:val="fr-FR"/>
        </w:rPr>
        <w:t xml:space="preserve"> </w:t>
      </w:r>
      <w:r w:rsidRPr="004F216B">
        <w:rPr>
          <w:sz w:val="22"/>
          <w:szCs w:val="22"/>
          <w:lang w:val="fr-FR"/>
        </w:rPr>
        <w:t>de</w:t>
      </w:r>
      <w:r w:rsidRPr="004F216B">
        <w:rPr>
          <w:spacing w:val="-4"/>
          <w:sz w:val="22"/>
          <w:szCs w:val="22"/>
          <w:lang w:val="fr-FR"/>
        </w:rPr>
        <w:t xml:space="preserve"> </w:t>
      </w:r>
      <w:r w:rsidRPr="004F216B">
        <w:rPr>
          <w:sz w:val="22"/>
          <w:szCs w:val="22"/>
          <w:lang w:val="fr-FR"/>
        </w:rPr>
        <w:t>ces</w:t>
      </w:r>
      <w:r w:rsidRPr="004F216B">
        <w:rPr>
          <w:spacing w:val="-6"/>
          <w:sz w:val="22"/>
          <w:szCs w:val="22"/>
          <w:lang w:val="fr-FR"/>
        </w:rPr>
        <w:t xml:space="preserve"> </w:t>
      </w:r>
      <w:r w:rsidRPr="004F216B">
        <w:rPr>
          <w:sz w:val="22"/>
          <w:szCs w:val="22"/>
          <w:lang w:val="fr-FR"/>
        </w:rPr>
        <w:t>mesures, si l</w:t>
      </w:r>
      <w:r w:rsidR="00B2062C" w:rsidRPr="004F216B">
        <w:rPr>
          <w:sz w:val="22"/>
          <w:szCs w:val="22"/>
          <w:lang w:val="fr-FR"/>
        </w:rPr>
        <w:t>’</w:t>
      </w:r>
      <w:r w:rsidRPr="004F216B">
        <w:rPr>
          <w:sz w:val="22"/>
          <w:szCs w:val="22"/>
          <w:lang w:val="fr-FR"/>
        </w:rPr>
        <w:t>on se réfère uniquement à cette base de données.</w:t>
      </w:r>
      <w:r w:rsidRPr="004F216B">
        <w:rPr>
          <w:spacing w:val="-7"/>
          <w:sz w:val="22"/>
          <w:szCs w:val="22"/>
          <w:lang w:val="fr-FR"/>
        </w:rPr>
        <w:t xml:space="preserve"> </w:t>
      </w:r>
      <w:r w:rsidRPr="004F216B">
        <w:rPr>
          <w:sz w:val="22"/>
          <w:szCs w:val="22"/>
          <w:lang w:val="fr-FR"/>
        </w:rPr>
        <w:t>Cependant</w:t>
      </w:r>
      <w:r w:rsidRPr="004F216B">
        <w:rPr>
          <w:spacing w:val="-5"/>
          <w:sz w:val="22"/>
          <w:szCs w:val="22"/>
          <w:lang w:val="fr-FR"/>
        </w:rPr>
        <w:t>,</w:t>
      </w:r>
      <w:r w:rsidRPr="004F216B">
        <w:rPr>
          <w:sz w:val="22"/>
          <w:szCs w:val="22"/>
          <w:lang w:val="fr-FR"/>
        </w:rPr>
        <w:t xml:space="preserve"> les saisies d</w:t>
      </w:r>
      <w:r w:rsidR="00B2062C" w:rsidRPr="004F216B">
        <w:rPr>
          <w:sz w:val="22"/>
          <w:szCs w:val="22"/>
          <w:lang w:val="fr-FR"/>
        </w:rPr>
        <w:t>’</w:t>
      </w:r>
      <w:r w:rsidRPr="004F216B">
        <w:rPr>
          <w:sz w:val="22"/>
          <w:szCs w:val="22"/>
          <w:lang w:val="fr-FR"/>
        </w:rPr>
        <w:t>ailerons</w:t>
      </w:r>
      <w:r w:rsidRPr="004F216B">
        <w:rPr>
          <w:spacing w:val="-5"/>
          <w:sz w:val="22"/>
          <w:szCs w:val="22"/>
          <w:lang w:val="fr-FR"/>
        </w:rPr>
        <w:t xml:space="preserve"> </w:t>
      </w:r>
      <w:r w:rsidRPr="004F216B">
        <w:rPr>
          <w:sz w:val="22"/>
          <w:szCs w:val="22"/>
          <w:lang w:val="fr-FR"/>
        </w:rPr>
        <w:t>de requins océaniques non transformés facilement identifiables faisant l</w:t>
      </w:r>
      <w:r w:rsidR="00B2062C" w:rsidRPr="004F216B">
        <w:rPr>
          <w:sz w:val="22"/>
          <w:szCs w:val="22"/>
          <w:lang w:val="fr-FR"/>
        </w:rPr>
        <w:t>’</w:t>
      </w:r>
      <w:r w:rsidRPr="004F216B">
        <w:rPr>
          <w:sz w:val="22"/>
          <w:szCs w:val="22"/>
          <w:lang w:val="fr-FR"/>
        </w:rPr>
        <w:t>objet d</w:t>
      </w:r>
      <w:r w:rsidR="00B2062C" w:rsidRPr="004F216B">
        <w:rPr>
          <w:sz w:val="22"/>
          <w:szCs w:val="22"/>
          <w:lang w:val="fr-FR"/>
        </w:rPr>
        <w:t>’</w:t>
      </w:r>
      <w:r w:rsidRPr="004F216B">
        <w:rPr>
          <w:sz w:val="22"/>
          <w:szCs w:val="22"/>
          <w:lang w:val="fr-FR"/>
        </w:rPr>
        <w:t>un commerce illégal et les recherches menées dans les marchés de détail de la plaque tournante mondiale du commerce d</w:t>
      </w:r>
      <w:r w:rsidR="00B2062C" w:rsidRPr="004F216B">
        <w:rPr>
          <w:sz w:val="22"/>
          <w:szCs w:val="22"/>
          <w:lang w:val="fr-FR"/>
        </w:rPr>
        <w:t>’</w:t>
      </w:r>
      <w:r w:rsidRPr="004F216B">
        <w:rPr>
          <w:sz w:val="22"/>
          <w:szCs w:val="22"/>
          <w:lang w:val="fr-FR"/>
        </w:rPr>
        <w:t>ailerons de requins indiquent que les données officielles masquent une sous-déclaration importante de la part des Parties à la FAO, aux ORGP et à la</w:t>
      </w:r>
      <w:r w:rsidRPr="004F216B">
        <w:rPr>
          <w:spacing w:val="-20"/>
          <w:sz w:val="22"/>
          <w:szCs w:val="22"/>
          <w:lang w:val="fr-FR"/>
        </w:rPr>
        <w:t xml:space="preserve"> </w:t>
      </w:r>
      <w:r w:rsidRPr="004F216B">
        <w:rPr>
          <w:sz w:val="22"/>
          <w:szCs w:val="22"/>
          <w:lang w:val="fr-FR"/>
        </w:rPr>
        <w:t>CITES, ainsi qu</w:t>
      </w:r>
      <w:r w:rsidR="00B2062C" w:rsidRPr="004F216B">
        <w:rPr>
          <w:sz w:val="22"/>
          <w:szCs w:val="22"/>
          <w:lang w:val="fr-FR"/>
        </w:rPr>
        <w:t>’</w:t>
      </w:r>
      <w:r w:rsidRPr="004F216B">
        <w:rPr>
          <w:sz w:val="22"/>
          <w:szCs w:val="22"/>
          <w:lang w:val="fr-FR"/>
        </w:rPr>
        <w:t>un manque probable de respect des dispositions de ces organismes et des mesures de la CMS concernant l</w:t>
      </w:r>
      <w:r w:rsidR="00B2062C" w:rsidRPr="004F216B">
        <w:rPr>
          <w:sz w:val="22"/>
          <w:szCs w:val="22"/>
          <w:lang w:val="fr-FR"/>
        </w:rPr>
        <w:t>’</w:t>
      </w:r>
      <w:r w:rsidRPr="004F216B">
        <w:rPr>
          <w:sz w:val="22"/>
          <w:szCs w:val="22"/>
          <w:lang w:val="fr-FR"/>
        </w:rPr>
        <w:t xml:space="preserve">espèce en question. </w:t>
      </w:r>
    </w:p>
    <w:p w14:paraId="6A5B1D90" w14:textId="77777777" w:rsidR="00564AB6" w:rsidRPr="004F216B" w:rsidRDefault="00564AB6" w:rsidP="00564AB6">
      <w:pPr>
        <w:pStyle w:val="BodyText"/>
        <w:ind w:left="567" w:right="28" w:hanging="567"/>
        <w:jc w:val="both"/>
        <w:rPr>
          <w:sz w:val="22"/>
          <w:szCs w:val="22"/>
          <w:lang w:val="fr-FR"/>
        </w:rPr>
      </w:pPr>
    </w:p>
    <w:p w14:paraId="4BFBD673" w14:textId="49063675" w:rsidR="00E055F3" w:rsidRPr="004F216B" w:rsidRDefault="00E055F3" w:rsidP="00564AB6">
      <w:pPr>
        <w:pStyle w:val="BodyText"/>
        <w:numPr>
          <w:ilvl w:val="0"/>
          <w:numId w:val="1"/>
        </w:numPr>
        <w:ind w:left="567" w:right="28" w:hanging="567"/>
        <w:jc w:val="both"/>
        <w:rPr>
          <w:sz w:val="22"/>
          <w:szCs w:val="22"/>
          <w:lang w:val="fr-FR"/>
        </w:rPr>
      </w:pPr>
      <w:r w:rsidRPr="004F216B">
        <w:rPr>
          <w:sz w:val="22"/>
          <w:szCs w:val="22"/>
          <w:lang w:val="fr-FR"/>
        </w:rPr>
        <w:t>On estime que la RAS de Hong</w:t>
      </w:r>
      <w:r w:rsidRPr="004F216B">
        <w:rPr>
          <w:spacing w:val="-13"/>
          <w:sz w:val="22"/>
          <w:szCs w:val="22"/>
          <w:lang w:val="fr-FR"/>
        </w:rPr>
        <w:t xml:space="preserve"> </w:t>
      </w:r>
      <w:r w:rsidRPr="004F216B">
        <w:rPr>
          <w:sz w:val="22"/>
          <w:szCs w:val="22"/>
          <w:lang w:val="fr-FR"/>
        </w:rPr>
        <w:t>Kong représente</w:t>
      </w:r>
      <w:r w:rsidRPr="004F216B">
        <w:rPr>
          <w:spacing w:val="-11"/>
          <w:sz w:val="22"/>
          <w:szCs w:val="22"/>
          <w:lang w:val="fr-FR"/>
        </w:rPr>
        <w:t xml:space="preserve"> </w:t>
      </w:r>
      <w:r w:rsidRPr="004F216B">
        <w:rPr>
          <w:sz w:val="22"/>
          <w:szCs w:val="22"/>
          <w:lang w:val="fr-FR"/>
        </w:rPr>
        <w:t>50</w:t>
      </w:r>
      <w:r w:rsidR="00B2062C" w:rsidRPr="004F216B">
        <w:rPr>
          <w:sz w:val="22"/>
          <w:szCs w:val="22"/>
          <w:lang w:val="fr-FR"/>
        </w:rPr>
        <w:t> </w:t>
      </w:r>
      <w:r w:rsidRPr="004F216B">
        <w:rPr>
          <w:sz w:val="22"/>
          <w:szCs w:val="22"/>
          <w:lang w:val="fr-FR"/>
        </w:rPr>
        <w:t>%</w:t>
      </w:r>
      <w:r w:rsidRPr="004F216B">
        <w:rPr>
          <w:spacing w:val="-11"/>
          <w:sz w:val="22"/>
          <w:szCs w:val="22"/>
          <w:lang w:val="fr-FR"/>
        </w:rPr>
        <w:t xml:space="preserve"> </w:t>
      </w:r>
      <w:r w:rsidRPr="004F216B">
        <w:rPr>
          <w:sz w:val="22"/>
          <w:szCs w:val="22"/>
          <w:lang w:val="fr-FR"/>
        </w:rPr>
        <w:t>du commerce mondial</w:t>
      </w:r>
      <w:r w:rsidRPr="004F216B">
        <w:rPr>
          <w:spacing w:val="-13"/>
          <w:sz w:val="22"/>
          <w:szCs w:val="22"/>
          <w:lang w:val="fr-FR"/>
        </w:rPr>
        <w:t xml:space="preserve"> </w:t>
      </w:r>
      <w:r w:rsidRPr="004F216B">
        <w:rPr>
          <w:sz w:val="22"/>
          <w:szCs w:val="22"/>
          <w:lang w:val="fr-FR"/>
        </w:rPr>
        <w:t>d</w:t>
      </w:r>
      <w:r w:rsidR="00B2062C" w:rsidRPr="004F216B">
        <w:rPr>
          <w:sz w:val="22"/>
          <w:szCs w:val="22"/>
          <w:lang w:val="fr-FR"/>
        </w:rPr>
        <w:t>’</w:t>
      </w:r>
      <w:r w:rsidRPr="004F216B">
        <w:rPr>
          <w:sz w:val="22"/>
          <w:szCs w:val="22"/>
          <w:lang w:val="fr-FR"/>
        </w:rPr>
        <w:t>ailerons.</w:t>
      </w:r>
      <w:r w:rsidRPr="004F216B">
        <w:rPr>
          <w:spacing w:val="-11"/>
          <w:sz w:val="22"/>
          <w:szCs w:val="22"/>
          <w:lang w:val="fr-FR"/>
        </w:rPr>
        <w:t xml:space="preserve"> </w:t>
      </w:r>
      <w:r w:rsidRPr="004F216B">
        <w:rPr>
          <w:sz w:val="22"/>
          <w:szCs w:val="22"/>
          <w:lang w:val="fr-FR"/>
        </w:rPr>
        <w:t>Au cours de</w:t>
      </w:r>
      <w:r w:rsidRPr="004F216B">
        <w:rPr>
          <w:spacing w:val="-12"/>
          <w:sz w:val="22"/>
          <w:szCs w:val="22"/>
          <w:lang w:val="fr-FR"/>
        </w:rPr>
        <w:t xml:space="preserve"> </w:t>
      </w:r>
      <w:r w:rsidRPr="004F216B">
        <w:rPr>
          <w:sz w:val="22"/>
          <w:szCs w:val="22"/>
          <w:lang w:val="fr-FR"/>
        </w:rPr>
        <w:t>la</w:t>
      </w:r>
      <w:r w:rsidRPr="004F216B">
        <w:rPr>
          <w:spacing w:val="-11"/>
          <w:sz w:val="22"/>
          <w:szCs w:val="22"/>
          <w:lang w:val="fr-FR"/>
        </w:rPr>
        <w:t xml:space="preserve"> </w:t>
      </w:r>
      <w:r w:rsidRPr="004F216B">
        <w:rPr>
          <w:sz w:val="22"/>
          <w:szCs w:val="22"/>
          <w:lang w:val="fr-FR"/>
        </w:rPr>
        <w:t>préparation initiale des ailerons avant la transformation, lors de la première importation vers la RAS de Hong Kong, l</w:t>
      </w:r>
      <w:r w:rsidR="00B2062C" w:rsidRPr="004F216B">
        <w:rPr>
          <w:sz w:val="22"/>
          <w:szCs w:val="22"/>
          <w:lang w:val="fr-FR"/>
        </w:rPr>
        <w:t>’</w:t>
      </w:r>
      <w:r w:rsidRPr="004F216B">
        <w:rPr>
          <w:sz w:val="22"/>
          <w:szCs w:val="22"/>
          <w:lang w:val="fr-FR"/>
        </w:rPr>
        <w:t>excès de viande, la peau et le cartilage sont retirés. Ces rebuts sont vendus pour la consommation en tant que sous-produit bon marché de l</w:t>
      </w:r>
      <w:r w:rsidR="00B2062C" w:rsidRPr="004F216B">
        <w:rPr>
          <w:sz w:val="22"/>
          <w:szCs w:val="22"/>
          <w:lang w:val="fr-FR"/>
        </w:rPr>
        <w:t>’</w:t>
      </w:r>
      <w:r w:rsidRPr="004F216B">
        <w:rPr>
          <w:sz w:val="22"/>
          <w:szCs w:val="22"/>
          <w:lang w:val="fr-FR"/>
        </w:rPr>
        <w:t>aileron de requin. Les analyses génétiques à long terme de ces rebuts, représentant l</w:t>
      </w:r>
      <w:r w:rsidR="00B2062C" w:rsidRPr="004F216B">
        <w:rPr>
          <w:sz w:val="22"/>
          <w:szCs w:val="22"/>
          <w:lang w:val="fr-FR"/>
        </w:rPr>
        <w:t>’</w:t>
      </w:r>
      <w:r w:rsidRPr="004F216B">
        <w:rPr>
          <w:sz w:val="22"/>
          <w:szCs w:val="22"/>
          <w:lang w:val="fr-FR"/>
        </w:rPr>
        <w:t>ensemble du commerce des ailerons de requins (Fields et autres, 2018, Cardeñosa et autres, 2022), indiquent que les ailerons de requins océaniques se sont maintenus sur les marchés des ailerons de la RAS de Hong Kong et de la Chine continentale dans des quantités comparables à celles enregistrées avant l</w:t>
      </w:r>
      <w:r w:rsidR="00B2062C" w:rsidRPr="004F216B">
        <w:rPr>
          <w:sz w:val="22"/>
          <w:szCs w:val="22"/>
          <w:lang w:val="fr-FR"/>
        </w:rPr>
        <w:t>’</w:t>
      </w:r>
      <w:r w:rsidRPr="004F216B">
        <w:rPr>
          <w:sz w:val="22"/>
          <w:szCs w:val="22"/>
          <w:lang w:val="fr-FR"/>
        </w:rPr>
        <w:t>entrée en vigueur de l</w:t>
      </w:r>
      <w:r w:rsidR="00B2062C" w:rsidRPr="004F216B">
        <w:rPr>
          <w:sz w:val="22"/>
          <w:szCs w:val="22"/>
          <w:lang w:val="fr-FR"/>
        </w:rPr>
        <w:t>’</w:t>
      </w:r>
      <w:r w:rsidRPr="004F216B">
        <w:rPr>
          <w:sz w:val="22"/>
          <w:szCs w:val="22"/>
          <w:lang w:val="fr-FR"/>
        </w:rPr>
        <w:t>inscription à l</w:t>
      </w:r>
      <w:r w:rsidR="00B2062C" w:rsidRPr="004F216B">
        <w:rPr>
          <w:sz w:val="22"/>
          <w:szCs w:val="22"/>
          <w:lang w:val="fr-FR"/>
        </w:rPr>
        <w:t>’</w:t>
      </w:r>
      <w:r w:rsidRPr="004F216B">
        <w:rPr>
          <w:sz w:val="22"/>
          <w:szCs w:val="22"/>
          <w:lang w:val="fr-FR"/>
        </w:rPr>
        <w:t>Annexe II de la CMS en</w:t>
      </w:r>
      <w:r w:rsidRPr="004F216B">
        <w:rPr>
          <w:spacing w:val="-5"/>
          <w:sz w:val="22"/>
          <w:szCs w:val="22"/>
          <w:lang w:val="fr-FR"/>
        </w:rPr>
        <w:t xml:space="preserve"> </w:t>
      </w:r>
      <w:r w:rsidRPr="004F216B">
        <w:rPr>
          <w:sz w:val="22"/>
          <w:szCs w:val="22"/>
          <w:lang w:val="fr-FR"/>
        </w:rPr>
        <w:t>2014.</w:t>
      </w:r>
    </w:p>
    <w:p w14:paraId="2AF9C313" w14:textId="6C5BD5F4" w:rsidR="00564AB6" w:rsidRPr="004F216B" w:rsidRDefault="00564AB6" w:rsidP="00564AB6">
      <w:pPr>
        <w:pStyle w:val="BodyText"/>
        <w:ind w:left="567" w:right="28" w:hanging="567"/>
        <w:jc w:val="both"/>
        <w:rPr>
          <w:sz w:val="22"/>
          <w:szCs w:val="22"/>
          <w:lang w:val="fr-FR"/>
        </w:rPr>
      </w:pPr>
    </w:p>
    <w:p w14:paraId="289BF8DF" w14:textId="18F9B99A" w:rsidR="00E055F3" w:rsidRPr="004F216B" w:rsidRDefault="008C7175" w:rsidP="00564AB6">
      <w:pPr>
        <w:pStyle w:val="BodyText"/>
        <w:numPr>
          <w:ilvl w:val="0"/>
          <w:numId w:val="1"/>
        </w:numPr>
        <w:ind w:left="567" w:right="28" w:hanging="567"/>
        <w:jc w:val="both"/>
        <w:rPr>
          <w:sz w:val="22"/>
          <w:szCs w:val="22"/>
          <w:lang w:val="fr-FR"/>
        </w:rPr>
      </w:pPr>
      <w:r w:rsidRPr="004F216B">
        <w:rPr>
          <w:sz w:val="22"/>
          <w:szCs w:val="22"/>
          <w:lang w:val="fr-FR"/>
        </w:rPr>
        <w:t>Dans l</w:t>
      </w:r>
      <w:r w:rsidR="00B2062C" w:rsidRPr="004F216B">
        <w:rPr>
          <w:sz w:val="22"/>
          <w:szCs w:val="22"/>
          <w:lang w:val="fr-FR"/>
        </w:rPr>
        <w:t>’</w:t>
      </w:r>
      <w:r w:rsidRPr="004F216B">
        <w:rPr>
          <w:sz w:val="22"/>
          <w:szCs w:val="22"/>
          <w:lang w:val="fr-FR"/>
        </w:rPr>
        <w:t>ensemble, il existe des divergences évidentes entre les volumes de requins océaniques enregistrés dans la base de données sur le Commerce CITES et ceux issus du marché mondial d</w:t>
      </w:r>
      <w:r w:rsidR="00B2062C" w:rsidRPr="004F216B">
        <w:rPr>
          <w:sz w:val="22"/>
          <w:szCs w:val="22"/>
          <w:lang w:val="fr-FR"/>
        </w:rPr>
        <w:t>’</w:t>
      </w:r>
      <w:r w:rsidRPr="004F216B">
        <w:rPr>
          <w:sz w:val="22"/>
          <w:szCs w:val="22"/>
          <w:lang w:val="fr-FR"/>
        </w:rPr>
        <w:t>ailerons. En outre, comme expliqué</w:t>
      </w:r>
      <w:r w:rsidRPr="004F216B">
        <w:rPr>
          <w:spacing w:val="-7"/>
          <w:sz w:val="22"/>
          <w:szCs w:val="22"/>
          <w:lang w:val="fr-FR"/>
        </w:rPr>
        <w:t xml:space="preserve"> </w:t>
      </w:r>
      <w:r w:rsidRPr="004F216B">
        <w:rPr>
          <w:sz w:val="22"/>
          <w:szCs w:val="22"/>
          <w:lang w:val="fr-FR"/>
        </w:rPr>
        <w:t>dans</w:t>
      </w:r>
      <w:r w:rsidRPr="004F216B">
        <w:rPr>
          <w:spacing w:val="-9"/>
          <w:sz w:val="22"/>
          <w:szCs w:val="22"/>
          <w:lang w:val="fr-FR"/>
        </w:rPr>
        <w:t xml:space="preserve"> </w:t>
      </w:r>
      <w:r w:rsidRPr="004F216B">
        <w:rPr>
          <w:sz w:val="22"/>
          <w:szCs w:val="22"/>
          <w:lang w:val="fr-FR"/>
        </w:rPr>
        <w:t>ce document,</w:t>
      </w:r>
      <w:r w:rsidRPr="004F216B">
        <w:rPr>
          <w:spacing w:val="-8"/>
          <w:sz w:val="22"/>
          <w:szCs w:val="22"/>
          <w:lang w:val="fr-FR"/>
        </w:rPr>
        <w:t xml:space="preserve"> </w:t>
      </w:r>
      <w:r w:rsidRPr="004F216B">
        <w:rPr>
          <w:sz w:val="22"/>
          <w:szCs w:val="22"/>
          <w:lang w:val="fr-FR"/>
        </w:rPr>
        <w:t>il existe d</w:t>
      </w:r>
      <w:r w:rsidR="00B2062C" w:rsidRPr="004F216B">
        <w:rPr>
          <w:sz w:val="22"/>
          <w:szCs w:val="22"/>
          <w:lang w:val="fr-FR"/>
        </w:rPr>
        <w:t>’</w:t>
      </w:r>
      <w:r w:rsidRPr="004F216B">
        <w:rPr>
          <w:sz w:val="22"/>
          <w:szCs w:val="22"/>
          <w:lang w:val="fr-FR"/>
        </w:rPr>
        <w:t>autres</w:t>
      </w:r>
      <w:r w:rsidRPr="004F216B">
        <w:rPr>
          <w:spacing w:val="-10"/>
          <w:sz w:val="22"/>
          <w:szCs w:val="22"/>
          <w:lang w:val="fr-FR"/>
        </w:rPr>
        <w:t xml:space="preserve"> </w:t>
      </w:r>
      <w:r w:rsidRPr="004F216B">
        <w:rPr>
          <w:sz w:val="22"/>
          <w:szCs w:val="22"/>
          <w:lang w:val="fr-FR"/>
        </w:rPr>
        <w:t>divergences</w:t>
      </w:r>
      <w:r w:rsidRPr="004F216B">
        <w:rPr>
          <w:spacing w:val="-9"/>
          <w:sz w:val="22"/>
          <w:szCs w:val="22"/>
          <w:lang w:val="fr-FR"/>
        </w:rPr>
        <w:t xml:space="preserve"> </w:t>
      </w:r>
      <w:r w:rsidRPr="004F216B">
        <w:rPr>
          <w:sz w:val="22"/>
          <w:szCs w:val="22"/>
          <w:lang w:val="fr-FR"/>
        </w:rPr>
        <w:t>entre</w:t>
      </w:r>
      <w:r w:rsidRPr="004F216B">
        <w:rPr>
          <w:spacing w:val="-6"/>
          <w:sz w:val="22"/>
          <w:szCs w:val="22"/>
          <w:lang w:val="fr-FR"/>
        </w:rPr>
        <w:t xml:space="preserve"> </w:t>
      </w:r>
      <w:r w:rsidRPr="004F216B">
        <w:rPr>
          <w:sz w:val="22"/>
          <w:szCs w:val="22"/>
          <w:lang w:val="fr-FR"/>
        </w:rPr>
        <w:t>les</w:t>
      </w:r>
      <w:r w:rsidRPr="004F216B">
        <w:rPr>
          <w:spacing w:val="-6"/>
          <w:sz w:val="22"/>
          <w:szCs w:val="22"/>
          <w:lang w:val="fr-FR"/>
        </w:rPr>
        <w:t xml:space="preserve"> </w:t>
      </w:r>
      <w:r w:rsidRPr="004F216B">
        <w:rPr>
          <w:sz w:val="22"/>
          <w:szCs w:val="22"/>
          <w:lang w:val="fr-FR"/>
        </w:rPr>
        <w:t>données sur le débarquement des requins océaniques</w:t>
      </w:r>
      <w:r w:rsidRPr="004F216B">
        <w:rPr>
          <w:spacing w:val="-7"/>
          <w:sz w:val="22"/>
          <w:szCs w:val="22"/>
          <w:lang w:val="fr-FR"/>
        </w:rPr>
        <w:t xml:space="preserve"> </w:t>
      </w:r>
      <w:r w:rsidRPr="004F216B">
        <w:rPr>
          <w:sz w:val="22"/>
          <w:szCs w:val="22"/>
          <w:lang w:val="fr-FR"/>
        </w:rPr>
        <w:t>déclarées aux ORGP thonières, celles déclarées au FAO, et le commerce documenté dans la base de données sur le Commerce CITES. Il ressort de cette analyse que d</w:t>
      </w:r>
      <w:r w:rsidR="00B2062C" w:rsidRPr="004F216B">
        <w:rPr>
          <w:sz w:val="22"/>
          <w:szCs w:val="22"/>
          <w:lang w:val="fr-FR"/>
        </w:rPr>
        <w:t>’</w:t>
      </w:r>
      <w:r w:rsidRPr="004F216B">
        <w:rPr>
          <w:sz w:val="22"/>
          <w:szCs w:val="22"/>
          <w:lang w:val="fr-FR"/>
        </w:rPr>
        <w:t>importants volumes de produits issus du requin océanique sont commercialisés sans documentation CITES adéquate et ne sont pas conformes à la</w:t>
      </w:r>
      <w:r w:rsidRPr="004F216B">
        <w:rPr>
          <w:spacing w:val="-1"/>
          <w:sz w:val="22"/>
          <w:szCs w:val="22"/>
          <w:lang w:val="fr-FR"/>
        </w:rPr>
        <w:t xml:space="preserve"> </w:t>
      </w:r>
      <w:r w:rsidRPr="004F216B">
        <w:rPr>
          <w:sz w:val="22"/>
          <w:szCs w:val="22"/>
          <w:lang w:val="fr-FR"/>
        </w:rPr>
        <w:t>CITES. Ceci est préoccupant du point de vue du respect des dispositions de la CMS, car cela indique que les dispositions de l</w:t>
      </w:r>
      <w:r w:rsidR="00B2062C" w:rsidRPr="004F216B">
        <w:rPr>
          <w:sz w:val="22"/>
          <w:szCs w:val="22"/>
          <w:lang w:val="fr-FR"/>
        </w:rPr>
        <w:t>’</w:t>
      </w:r>
      <w:r w:rsidRPr="004F216B">
        <w:rPr>
          <w:sz w:val="22"/>
          <w:szCs w:val="22"/>
          <w:lang w:val="fr-FR"/>
        </w:rPr>
        <w:t>Annexe I de la CMS, de même que les dispositions de la CITES et les mesures de l</w:t>
      </w:r>
      <w:r w:rsidR="00B2062C" w:rsidRPr="004F216B">
        <w:rPr>
          <w:sz w:val="22"/>
          <w:szCs w:val="22"/>
          <w:lang w:val="fr-FR"/>
        </w:rPr>
        <w:t>’</w:t>
      </w:r>
      <w:r w:rsidRPr="004F216B">
        <w:rPr>
          <w:sz w:val="22"/>
          <w:szCs w:val="22"/>
          <w:lang w:val="fr-FR"/>
        </w:rPr>
        <w:t>ORGP, sont mal ou partiellement mises en œuvre.</w:t>
      </w:r>
    </w:p>
    <w:p w14:paraId="1FEF6D48" w14:textId="4B2366AC" w:rsidR="009E0BC1" w:rsidRDefault="009E0BC1">
      <w:pPr>
        <w:rPr>
          <w:u w:val="single"/>
          <w:lang w:val="fr-FR"/>
        </w:rPr>
      </w:pPr>
    </w:p>
    <w:p w14:paraId="18A5970B" w14:textId="4A166CD5" w:rsidR="00786245" w:rsidRDefault="00786245">
      <w:pPr>
        <w:rPr>
          <w:u w:val="single"/>
          <w:lang w:val="fr-FR"/>
        </w:rPr>
      </w:pPr>
      <w:r>
        <w:rPr>
          <w:u w:val="single"/>
          <w:lang w:val="fr-FR"/>
        </w:rPr>
        <w:br w:type="page"/>
      </w:r>
    </w:p>
    <w:p w14:paraId="595A0E8E" w14:textId="049F41DA" w:rsidR="009E0BC1" w:rsidRDefault="00786245">
      <w:pPr>
        <w:rPr>
          <w:u w:val="single"/>
          <w:lang w:val="fr-FR"/>
        </w:rPr>
      </w:pPr>
      <w:r w:rsidRPr="004F216B">
        <w:rPr>
          <w:noProof/>
          <w:lang w:val="fr-FR"/>
        </w:rPr>
        <w:lastRenderedPageBreak/>
        <w:drawing>
          <wp:anchor distT="0" distB="0" distL="0" distR="0" simplePos="0" relativeHeight="251660800" behindDoc="1" locked="0" layoutInCell="1" allowOverlap="1" wp14:anchorId="2F76373F" wp14:editId="2F1278E7">
            <wp:simplePos x="0" y="0"/>
            <wp:positionH relativeFrom="page">
              <wp:posOffset>1781175</wp:posOffset>
            </wp:positionH>
            <wp:positionV relativeFrom="paragraph">
              <wp:posOffset>0</wp:posOffset>
            </wp:positionV>
            <wp:extent cx="2997200" cy="2639060"/>
            <wp:effectExtent l="0" t="0" r="0" b="8890"/>
            <wp:wrapTight wrapText="bothSides">
              <wp:wrapPolygon edited="0">
                <wp:start x="0" y="0"/>
                <wp:lineTo x="0" y="21517"/>
                <wp:lineTo x="21417" y="21517"/>
                <wp:lineTo x="21417" y="0"/>
                <wp:lineTo x="0" y="0"/>
              </wp:wrapPolygon>
            </wp:wrapTight>
            <wp:docPr id="67621927" name="Picture 67621927"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1927" name="Picture 67621927" descr="A map of the world&#10;&#10;Description automatically generated"/>
                    <pic:cNvPicPr/>
                  </pic:nvPicPr>
                  <pic:blipFill>
                    <a:blip r:embed="rId19" cstate="print"/>
                    <a:stretch>
                      <a:fillRect/>
                    </a:stretch>
                  </pic:blipFill>
                  <pic:spPr>
                    <a:xfrm>
                      <a:off x="0" y="0"/>
                      <a:ext cx="2997200" cy="2639060"/>
                    </a:xfrm>
                    <a:prstGeom prst="rect">
                      <a:avLst/>
                    </a:prstGeom>
                  </pic:spPr>
                </pic:pic>
              </a:graphicData>
            </a:graphic>
            <wp14:sizeRelH relativeFrom="margin">
              <wp14:pctWidth>0</wp14:pctWidth>
            </wp14:sizeRelH>
            <wp14:sizeRelV relativeFrom="margin">
              <wp14:pctHeight>0</wp14:pctHeight>
            </wp14:sizeRelV>
          </wp:anchor>
        </w:drawing>
      </w:r>
    </w:p>
    <w:p w14:paraId="1E237A62" w14:textId="436255B3" w:rsidR="00786245" w:rsidRDefault="00786245">
      <w:pPr>
        <w:rPr>
          <w:u w:val="single"/>
          <w:lang w:val="fr-FR"/>
        </w:rPr>
      </w:pPr>
    </w:p>
    <w:p w14:paraId="682574F7" w14:textId="77777777" w:rsidR="00786245" w:rsidRDefault="00786245">
      <w:pPr>
        <w:rPr>
          <w:u w:val="single"/>
          <w:lang w:val="fr-FR"/>
        </w:rPr>
      </w:pPr>
    </w:p>
    <w:p w14:paraId="606C9269" w14:textId="77777777" w:rsidR="00786245" w:rsidRDefault="00786245">
      <w:pPr>
        <w:rPr>
          <w:u w:val="single"/>
          <w:lang w:val="fr-FR"/>
        </w:rPr>
      </w:pPr>
    </w:p>
    <w:p w14:paraId="7E22E16C" w14:textId="77777777" w:rsidR="00786245" w:rsidRDefault="00786245">
      <w:pPr>
        <w:rPr>
          <w:u w:val="single"/>
          <w:lang w:val="fr-FR"/>
        </w:rPr>
      </w:pPr>
    </w:p>
    <w:p w14:paraId="303A423C" w14:textId="77777777" w:rsidR="00786245" w:rsidRDefault="00786245">
      <w:pPr>
        <w:rPr>
          <w:u w:val="single"/>
          <w:lang w:val="fr-FR"/>
        </w:rPr>
      </w:pPr>
    </w:p>
    <w:p w14:paraId="6B8CA0D8" w14:textId="77777777" w:rsidR="00786245" w:rsidRDefault="00786245">
      <w:pPr>
        <w:rPr>
          <w:u w:val="single"/>
          <w:lang w:val="fr-FR"/>
        </w:rPr>
      </w:pPr>
    </w:p>
    <w:p w14:paraId="1E2A277B" w14:textId="77777777" w:rsidR="00786245" w:rsidRDefault="00786245">
      <w:pPr>
        <w:rPr>
          <w:u w:val="single"/>
          <w:lang w:val="fr-FR"/>
        </w:rPr>
      </w:pPr>
    </w:p>
    <w:p w14:paraId="7F2EC313" w14:textId="77777777" w:rsidR="00786245" w:rsidRDefault="00786245">
      <w:pPr>
        <w:rPr>
          <w:u w:val="single"/>
          <w:lang w:val="fr-FR"/>
        </w:rPr>
      </w:pPr>
    </w:p>
    <w:p w14:paraId="28EA8B3B" w14:textId="77777777" w:rsidR="00786245" w:rsidRDefault="00786245">
      <w:pPr>
        <w:rPr>
          <w:u w:val="single"/>
          <w:lang w:val="fr-FR"/>
        </w:rPr>
      </w:pPr>
    </w:p>
    <w:p w14:paraId="23A0D1AC" w14:textId="77777777" w:rsidR="00786245" w:rsidRDefault="00786245">
      <w:pPr>
        <w:rPr>
          <w:u w:val="single"/>
          <w:lang w:val="fr-FR"/>
        </w:rPr>
      </w:pPr>
    </w:p>
    <w:p w14:paraId="50A45DAF" w14:textId="77777777" w:rsidR="00786245" w:rsidRDefault="00786245">
      <w:pPr>
        <w:rPr>
          <w:u w:val="single"/>
          <w:lang w:val="fr-FR"/>
        </w:rPr>
      </w:pPr>
    </w:p>
    <w:p w14:paraId="54DEBD43" w14:textId="77777777" w:rsidR="00786245" w:rsidRDefault="00786245">
      <w:pPr>
        <w:rPr>
          <w:u w:val="single"/>
          <w:lang w:val="fr-FR"/>
        </w:rPr>
      </w:pPr>
    </w:p>
    <w:p w14:paraId="6F90F06A" w14:textId="77777777" w:rsidR="00786245" w:rsidRDefault="00786245">
      <w:pPr>
        <w:rPr>
          <w:u w:val="single"/>
          <w:lang w:val="fr-FR"/>
        </w:rPr>
      </w:pPr>
    </w:p>
    <w:p w14:paraId="674E7996" w14:textId="77777777" w:rsidR="00786245" w:rsidRDefault="00786245">
      <w:pPr>
        <w:rPr>
          <w:u w:val="single"/>
          <w:lang w:val="fr-FR"/>
        </w:rPr>
      </w:pPr>
    </w:p>
    <w:p w14:paraId="0BD70B55" w14:textId="77777777" w:rsidR="00786245" w:rsidRDefault="00786245">
      <w:pPr>
        <w:rPr>
          <w:u w:val="single"/>
          <w:lang w:val="fr-FR"/>
        </w:rPr>
      </w:pPr>
    </w:p>
    <w:p w14:paraId="01448153" w14:textId="77777777" w:rsidR="00786245" w:rsidRDefault="00786245">
      <w:pPr>
        <w:rPr>
          <w:u w:val="single"/>
          <w:lang w:val="fr-FR"/>
        </w:rPr>
      </w:pPr>
    </w:p>
    <w:p w14:paraId="33914BC1" w14:textId="77777777" w:rsidR="00786245" w:rsidRPr="004F216B" w:rsidRDefault="00786245" w:rsidP="00786245">
      <w:pPr>
        <w:spacing w:before="120"/>
        <w:ind w:left="851" w:right="1435"/>
        <w:jc w:val="both"/>
        <w:rPr>
          <w:iCs/>
          <w:sz w:val="20"/>
          <w:szCs w:val="20"/>
          <w:lang w:val="fr-FR"/>
        </w:rPr>
      </w:pPr>
      <w:r w:rsidRPr="004F216B">
        <w:rPr>
          <w:iCs/>
          <w:sz w:val="20"/>
          <w:szCs w:val="20"/>
          <w:lang w:val="fr-FR"/>
        </w:rPr>
        <w:t>Figure 1 : Répartition mondiale du requin océanique (© Liste rouge de l’UICN)</w:t>
      </w:r>
    </w:p>
    <w:p w14:paraId="5670FBF4" w14:textId="77777777" w:rsidR="009E0BC1" w:rsidRPr="004F216B" w:rsidRDefault="009E0BC1">
      <w:pPr>
        <w:rPr>
          <w:u w:val="single"/>
          <w:lang w:val="fr-FR"/>
        </w:rPr>
      </w:pPr>
    </w:p>
    <w:p w14:paraId="13A42C0E" w14:textId="58FFC369" w:rsidR="00D36E5D" w:rsidRPr="004F216B" w:rsidRDefault="00CC463E">
      <w:r w:rsidRPr="004F216B">
        <w:rPr>
          <w:u w:val="single"/>
          <w:lang w:val="fr-FR"/>
        </w:rPr>
        <w:t>Actions recommandées</w:t>
      </w:r>
      <w:r w:rsidR="00B2062C" w:rsidRPr="004F216B">
        <w:rPr>
          <w:u w:val="single"/>
          <w:lang w:val="fr-FR"/>
        </w:rPr>
        <w:t> </w:t>
      </w:r>
      <w:r w:rsidRPr="004F216B">
        <w:rPr>
          <w:u w:val="single"/>
          <w:lang w:val="fr-FR"/>
        </w:rPr>
        <w:t>:</w:t>
      </w:r>
    </w:p>
    <w:p w14:paraId="1C3ACFD5" w14:textId="77777777" w:rsidR="00D36E5D" w:rsidRPr="004F216B" w:rsidRDefault="00D36E5D"/>
    <w:p w14:paraId="7E1FEB4F" w14:textId="62467CB0" w:rsidR="004C7AD6" w:rsidRPr="004F216B" w:rsidRDefault="00CC463E" w:rsidP="0039753E">
      <w:pPr>
        <w:widowControl w:val="0"/>
        <w:numPr>
          <w:ilvl w:val="0"/>
          <w:numId w:val="1"/>
        </w:numPr>
        <w:ind w:left="567" w:hanging="567"/>
        <w:jc w:val="both"/>
        <w:rPr>
          <w:lang w:val="fr-FR"/>
        </w:rPr>
      </w:pPr>
      <w:r w:rsidRPr="004F216B">
        <w:rPr>
          <w:lang w:val="fr-FR"/>
        </w:rPr>
        <w:t>Il est recommandé à la Conférence des Parties</w:t>
      </w:r>
      <w:r w:rsidR="00B2062C" w:rsidRPr="004F216B">
        <w:rPr>
          <w:lang w:val="fr-FR"/>
        </w:rPr>
        <w:t> </w:t>
      </w:r>
      <w:r w:rsidRPr="004F216B">
        <w:rPr>
          <w:lang w:val="fr-FR"/>
        </w:rPr>
        <w:t>:</w:t>
      </w:r>
    </w:p>
    <w:p w14:paraId="7957B79D" w14:textId="77777777" w:rsidR="00564AB6" w:rsidRPr="004F216B" w:rsidRDefault="00564AB6" w:rsidP="00564AB6">
      <w:pPr>
        <w:widowControl w:val="0"/>
        <w:ind w:left="567"/>
        <w:jc w:val="both"/>
        <w:rPr>
          <w:lang w:val="fr-FR"/>
        </w:rPr>
      </w:pPr>
    </w:p>
    <w:p w14:paraId="03BBA932" w14:textId="11A1BB68" w:rsidR="00471EC3" w:rsidRPr="004F216B" w:rsidRDefault="003367A6" w:rsidP="00093DCB">
      <w:pPr>
        <w:widowControl w:val="0"/>
        <w:ind w:left="1134" w:hanging="567"/>
        <w:jc w:val="both"/>
        <w:rPr>
          <w:b/>
          <w:i/>
          <w:lang w:val="fr-FR"/>
        </w:rPr>
      </w:pPr>
      <w:r w:rsidRPr="004F216B">
        <w:rPr>
          <w:lang w:val="fr-FR"/>
        </w:rPr>
        <w:t>a) d</w:t>
      </w:r>
      <w:r w:rsidR="00B2062C" w:rsidRPr="004F216B">
        <w:rPr>
          <w:lang w:val="fr-FR"/>
        </w:rPr>
        <w:t>’</w:t>
      </w:r>
      <w:r w:rsidRPr="004F216B">
        <w:rPr>
          <w:lang w:val="fr-FR"/>
        </w:rPr>
        <w:t>adopter les projets de Décision figurant dans l</w:t>
      </w:r>
      <w:r w:rsidR="00B2062C" w:rsidRPr="004F216B">
        <w:rPr>
          <w:lang w:val="fr-FR"/>
        </w:rPr>
        <w:t>’</w:t>
      </w:r>
      <w:r w:rsidRPr="004F216B">
        <w:rPr>
          <w:lang w:val="fr-FR"/>
        </w:rPr>
        <w:t>Annexe.</w:t>
      </w:r>
    </w:p>
    <w:p w14:paraId="40AF0181" w14:textId="09E72A4F" w:rsidR="00093DCB" w:rsidRPr="004F216B" w:rsidRDefault="00093DCB" w:rsidP="00093DCB">
      <w:pPr>
        <w:widowControl w:val="0"/>
        <w:ind w:left="1134" w:hanging="567"/>
        <w:jc w:val="both"/>
        <w:rPr>
          <w:b/>
          <w:i/>
          <w:lang w:val="fr-FR"/>
        </w:rPr>
      </w:pPr>
    </w:p>
    <w:p w14:paraId="054392FB" w14:textId="77777777" w:rsidR="00093DCB" w:rsidRPr="004F216B" w:rsidRDefault="00093DCB" w:rsidP="00093DCB">
      <w:pPr>
        <w:widowControl w:val="0"/>
        <w:ind w:left="1134" w:hanging="567"/>
        <w:jc w:val="both"/>
        <w:rPr>
          <w:b/>
          <w:i/>
          <w:lang w:val="fr-FR"/>
        </w:rPr>
        <w:sectPr w:rsidR="00093DCB" w:rsidRPr="004F216B" w:rsidSect="00DD2FED">
          <w:headerReference w:type="even" r:id="rId20"/>
          <w:headerReference w:type="default" r:id="rId21"/>
          <w:headerReference w:type="first" r:id="rId22"/>
          <w:footerReference w:type="first" r:id="rId23"/>
          <w:pgSz w:w="11906" w:h="16838"/>
          <w:pgMar w:top="1440" w:right="1440" w:bottom="1440" w:left="1440" w:header="720" w:footer="720" w:gutter="0"/>
          <w:cols w:space="720"/>
          <w:titlePg/>
          <w:docGrid w:linePitch="299"/>
        </w:sectPr>
      </w:pPr>
    </w:p>
    <w:p w14:paraId="3E343302" w14:textId="5F19F73B" w:rsidR="00136B22" w:rsidRPr="004F216B" w:rsidRDefault="0069072E" w:rsidP="0069072E">
      <w:pPr>
        <w:jc w:val="right"/>
        <w:rPr>
          <w:b/>
          <w:iCs/>
          <w:lang w:val="fr-FR"/>
        </w:rPr>
      </w:pPr>
      <w:r w:rsidRPr="004F216B">
        <w:rPr>
          <w:b/>
          <w:iCs/>
          <w:lang w:val="fr-FR"/>
        </w:rPr>
        <w:lastRenderedPageBreak/>
        <w:t>ANNEXE</w:t>
      </w:r>
    </w:p>
    <w:p w14:paraId="59DA2A34" w14:textId="77777777" w:rsidR="004C7AD6" w:rsidRPr="004F216B" w:rsidRDefault="004C7AD6">
      <w:pPr>
        <w:jc w:val="both"/>
        <w:rPr>
          <w:b/>
          <w:i/>
          <w:lang w:val="fr-FR"/>
        </w:rPr>
      </w:pPr>
    </w:p>
    <w:p w14:paraId="09FDDA42" w14:textId="77777777" w:rsidR="00093DCB" w:rsidRPr="004F216B" w:rsidRDefault="00093DCB">
      <w:pPr>
        <w:jc w:val="both"/>
        <w:rPr>
          <w:b/>
          <w:i/>
          <w:lang w:val="fr-FR"/>
        </w:rPr>
      </w:pPr>
    </w:p>
    <w:p w14:paraId="6F51D73F" w14:textId="6903D1DC" w:rsidR="004C7AD6" w:rsidRPr="004F216B" w:rsidRDefault="00093DCB" w:rsidP="00A17147">
      <w:pPr>
        <w:jc w:val="center"/>
        <w:rPr>
          <w:bCs/>
          <w:iCs/>
          <w:lang w:val="fr-FR"/>
        </w:rPr>
      </w:pPr>
      <w:r w:rsidRPr="004F216B">
        <w:rPr>
          <w:bCs/>
          <w:iCs/>
          <w:lang w:val="fr-FR"/>
        </w:rPr>
        <w:t>PROJETS DE DÉCISION</w:t>
      </w:r>
    </w:p>
    <w:p w14:paraId="7AD912E5" w14:textId="77777777" w:rsidR="0069072E" w:rsidRPr="004F216B" w:rsidRDefault="0069072E" w:rsidP="00A17147">
      <w:pPr>
        <w:jc w:val="center"/>
        <w:rPr>
          <w:bCs/>
          <w:iCs/>
          <w:lang w:val="fr-FR"/>
        </w:rPr>
      </w:pPr>
    </w:p>
    <w:p w14:paraId="19B79C26" w14:textId="23A56DA9" w:rsidR="0069072E" w:rsidRPr="004F216B" w:rsidRDefault="0069072E" w:rsidP="0069072E">
      <w:pPr>
        <w:jc w:val="center"/>
        <w:rPr>
          <w:b/>
          <w:iCs/>
          <w:lang w:val="fr-FR"/>
        </w:rPr>
      </w:pPr>
      <w:r w:rsidRPr="004F216B">
        <w:rPr>
          <w:b/>
          <w:iCs/>
          <w:lang w:val="fr-FR"/>
        </w:rPr>
        <w:t>MISE EN ŒUVRE DE L</w:t>
      </w:r>
      <w:r w:rsidR="00B2062C" w:rsidRPr="004F216B">
        <w:rPr>
          <w:b/>
          <w:iCs/>
          <w:lang w:val="fr-FR"/>
        </w:rPr>
        <w:t>’</w:t>
      </w:r>
      <w:r w:rsidRPr="004F216B">
        <w:rPr>
          <w:b/>
          <w:iCs/>
          <w:lang w:val="fr-FR"/>
        </w:rPr>
        <w:t xml:space="preserve">ANNEXE I DE LA CMS - INSCRIPTION </w:t>
      </w:r>
    </w:p>
    <w:p w14:paraId="02E59656" w14:textId="30EB8C1C" w:rsidR="0069072E" w:rsidRPr="004F216B" w:rsidRDefault="0069072E" w:rsidP="00093DCB">
      <w:pPr>
        <w:jc w:val="center"/>
        <w:rPr>
          <w:b/>
          <w:iCs/>
          <w:lang w:val="fr-FR"/>
        </w:rPr>
      </w:pPr>
      <w:r w:rsidRPr="004F216B">
        <w:rPr>
          <w:b/>
          <w:iCs/>
          <w:lang w:val="fr-FR"/>
        </w:rPr>
        <w:t xml:space="preserve">DU REQUIN OCÉANIQUE </w:t>
      </w:r>
      <w:r w:rsidRPr="004F216B">
        <w:rPr>
          <w:bCs/>
          <w:iCs/>
          <w:lang w:val="fr-FR"/>
        </w:rPr>
        <w:t>(</w:t>
      </w:r>
      <w:r w:rsidRPr="004F216B">
        <w:rPr>
          <w:bCs/>
          <w:i/>
          <w:lang w:val="fr-FR"/>
        </w:rPr>
        <w:t>Carcharhinus longimanus</w:t>
      </w:r>
      <w:r w:rsidRPr="004F216B">
        <w:rPr>
          <w:bCs/>
          <w:iCs/>
          <w:lang w:val="fr-FR"/>
        </w:rPr>
        <w:t>)</w:t>
      </w:r>
    </w:p>
    <w:p w14:paraId="0035439E" w14:textId="77777777" w:rsidR="004C7AD6" w:rsidRPr="004F216B" w:rsidRDefault="004C7AD6">
      <w:pPr>
        <w:jc w:val="both"/>
        <w:rPr>
          <w:b/>
          <w:i/>
          <w:lang w:val="fr-FR"/>
        </w:rPr>
      </w:pPr>
    </w:p>
    <w:p w14:paraId="470CCD71" w14:textId="77777777" w:rsidR="00A17147" w:rsidRPr="004F216B" w:rsidRDefault="00A17147">
      <w:pPr>
        <w:jc w:val="both"/>
        <w:rPr>
          <w:b/>
          <w:i/>
          <w:lang w:val="fr-FR"/>
        </w:rPr>
      </w:pPr>
    </w:p>
    <w:p w14:paraId="0A191E98" w14:textId="5FEDF640" w:rsidR="00D36E5D" w:rsidRPr="004F216B" w:rsidRDefault="00CC463E">
      <w:pPr>
        <w:jc w:val="both"/>
        <w:rPr>
          <w:b/>
          <w:i/>
          <w:lang w:val="fr-FR"/>
        </w:rPr>
      </w:pPr>
      <w:r w:rsidRPr="004F216B">
        <w:rPr>
          <w:b/>
          <w:i/>
          <w:lang w:val="fr-FR"/>
        </w:rPr>
        <w:t xml:space="preserve">Décision adressée aux Parties </w:t>
      </w:r>
    </w:p>
    <w:p w14:paraId="00B76040" w14:textId="77777777" w:rsidR="00D36E5D" w:rsidRPr="004F216B" w:rsidRDefault="00D36E5D">
      <w:pPr>
        <w:jc w:val="both"/>
        <w:rPr>
          <w:lang w:val="fr-FR"/>
        </w:rPr>
      </w:pPr>
    </w:p>
    <w:p w14:paraId="095FD9FC" w14:textId="0EF8D748" w:rsidR="00A04CB8" w:rsidRPr="004F216B" w:rsidRDefault="00093DCB" w:rsidP="00093DCB">
      <w:pPr>
        <w:ind w:left="851" w:hanging="851"/>
        <w:jc w:val="both"/>
        <w:rPr>
          <w:lang w:val="fr-FR"/>
        </w:rPr>
      </w:pPr>
      <w:r w:rsidRPr="004F216B">
        <w:rPr>
          <w:lang w:val="fr-FR"/>
        </w:rPr>
        <w:t xml:space="preserve">14.AA </w:t>
      </w:r>
      <w:r w:rsidRPr="004F216B">
        <w:rPr>
          <w:lang w:val="fr-FR"/>
        </w:rPr>
        <w:tab/>
        <w:t>Les Parties sont priées de fournir au Secrétariat de la CMS des informations sur les mesures de gestion nationales et régionales adoptées en faveur du requin océanique, en précisant comment elles répondent aux objectifs de l</w:t>
      </w:r>
      <w:r w:rsidR="00B2062C" w:rsidRPr="004F216B">
        <w:rPr>
          <w:lang w:val="fr-FR"/>
        </w:rPr>
        <w:t>’</w:t>
      </w:r>
      <w:r w:rsidRPr="004F216B">
        <w:rPr>
          <w:lang w:val="fr-FR"/>
        </w:rPr>
        <w:t xml:space="preserve">Annexe I de la CMS </w:t>
      </w:r>
    </w:p>
    <w:p w14:paraId="4603929D" w14:textId="12E2113B" w:rsidR="00DD2FED" w:rsidRPr="004F216B" w:rsidRDefault="00DD2FED" w:rsidP="00A04CB8">
      <w:pPr>
        <w:widowControl w:val="0"/>
        <w:jc w:val="both"/>
        <w:rPr>
          <w:lang w:val="fr-FR"/>
        </w:rPr>
      </w:pPr>
    </w:p>
    <w:p w14:paraId="5235C9E6" w14:textId="6B5D80AC" w:rsidR="00D36E5D" w:rsidRPr="004F216B" w:rsidRDefault="00D36E5D">
      <w:pPr>
        <w:jc w:val="both"/>
        <w:rPr>
          <w:lang w:val="fr-FR"/>
        </w:rPr>
      </w:pPr>
    </w:p>
    <w:p w14:paraId="748F6394" w14:textId="77777777" w:rsidR="00D36E5D" w:rsidRPr="004F216B" w:rsidRDefault="00CC463E">
      <w:pPr>
        <w:jc w:val="both"/>
        <w:rPr>
          <w:b/>
          <w:i/>
          <w:lang w:val="fr-FR"/>
        </w:rPr>
      </w:pPr>
      <w:r w:rsidRPr="004F216B">
        <w:rPr>
          <w:b/>
          <w:i/>
          <w:lang w:val="fr-FR"/>
        </w:rPr>
        <w:t>Décision adressée au Secrétariat</w:t>
      </w:r>
    </w:p>
    <w:p w14:paraId="3BEC1B9A" w14:textId="6AAAD943" w:rsidR="00D36E5D" w:rsidRPr="004F216B" w:rsidRDefault="00D36E5D" w:rsidP="00093DCB">
      <w:pPr>
        <w:tabs>
          <w:tab w:val="left" w:pos="8295"/>
        </w:tabs>
        <w:jc w:val="both"/>
        <w:rPr>
          <w:lang w:val="fr-FR"/>
        </w:rPr>
      </w:pPr>
    </w:p>
    <w:p w14:paraId="6BEBBFEE" w14:textId="77777777" w:rsidR="00D36E5D" w:rsidRPr="004F216B" w:rsidRDefault="00CC463E">
      <w:pPr>
        <w:ind w:left="851" w:hanging="851"/>
        <w:jc w:val="both"/>
        <w:rPr>
          <w:lang w:val="fr-FR"/>
        </w:rPr>
      </w:pPr>
      <w:r w:rsidRPr="004F216B">
        <w:rPr>
          <w:lang w:val="fr-FR"/>
        </w:rPr>
        <w:t>14.BB</w:t>
      </w:r>
      <w:r w:rsidRPr="004F216B">
        <w:rPr>
          <w:lang w:val="fr-FR"/>
        </w:rPr>
        <w:tab/>
        <w:t>Le Secrétariat est prié :</w:t>
      </w:r>
    </w:p>
    <w:p w14:paraId="4E2EF742" w14:textId="77777777" w:rsidR="00D36E5D" w:rsidRPr="004F216B" w:rsidRDefault="00D36E5D">
      <w:pPr>
        <w:jc w:val="both"/>
        <w:rPr>
          <w:lang w:val="fr-FR"/>
        </w:rPr>
      </w:pPr>
    </w:p>
    <w:p w14:paraId="7AD08B18" w14:textId="673819BB" w:rsidR="00D36E5D" w:rsidRPr="004F216B" w:rsidRDefault="00CC463E">
      <w:pPr>
        <w:widowControl w:val="0"/>
        <w:numPr>
          <w:ilvl w:val="0"/>
          <w:numId w:val="3"/>
        </w:numPr>
        <w:ind w:left="1418" w:hanging="567"/>
        <w:jc w:val="both"/>
        <w:rPr>
          <w:lang w:val="fr-FR"/>
        </w:rPr>
      </w:pPr>
      <w:r w:rsidRPr="004F216B">
        <w:rPr>
          <w:lang w:val="fr-FR"/>
        </w:rPr>
        <w:t>d</w:t>
      </w:r>
      <w:r w:rsidR="00B2062C" w:rsidRPr="004F216B">
        <w:rPr>
          <w:lang w:val="fr-FR"/>
        </w:rPr>
        <w:t>’</w:t>
      </w:r>
      <w:r w:rsidRPr="004F216B">
        <w:rPr>
          <w:lang w:val="fr-FR"/>
        </w:rPr>
        <w:t>envoyer une notification pour demander des informations aux Parties en application de la Décision 14.AA</w:t>
      </w:r>
      <w:r w:rsidR="00B2062C" w:rsidRPr="004F216B">
        <w:rPr>
          <w:lang w:val="fr-FR"/>
        </w:rPr>
        <w:t> </w:t>
      </w:r>
      <w:r w:rsidRPr="004F216B">
        <w:rPr>
          <w:lang w:val="fr-FR"/>
        </w:rPr>
        <w:t>;</w:t>
      </w:r>
    </w:p>
    <w:p w14:paraId="2D751C0B" w14:textId="77777777" w:rsidR="00D36E5D" w:rsidRPr="004F216B" w:rsidRDefault="00D36E5D">
      <w:pPr>
        <w:ind w:left="1418" w:hanging="567"/>
        <w:jc w:val="both"/>
        <w:rPr>
          <w:lang w:val="fr-FR"/>
        </w:rPr>
      </w:pPr>
    </w:p>
    <w:p w14:paraId="00C1A34C" w14:textId="6CF653E7" w:rsidR="00D36E5D" w:rsidRPr="004F216B" w:rsidRDefault="00CC463E">
      <w:pPr>
        <w:widowControl w:val="0"/>
        <w:numPr>
          <w:ilvl w:val="0"/>
          <w:numId w:val="3"/>
        </w:numPr>
        <w:ind w:left="1418" w:hanging="567"/>
        <w:jc w:val="both"/>
        <w:rPr>
          <w:lang w:val="fr-FR"/>
        </w:rPr>
      </w:pPr>
      <w:r w:rsidRPr="004F216B">
        <w:rPr>
          <w:lang w:val="fr-FR"/>
        </w:rPr>
        <w:t>de rassembler les informations fournies par les Parties en réponse à la Décision 14.AA et de les transmettre en temps utile pour qu</w:t>
      </w:r>
      <w:r w:rsidR="00B2062C" w:rsidRPr="004F216B">
        <w:rPr>
          <w:lang w:val="fr-FR"/>
        </w:rPr>
        <w:t>’</w:t>
      </w:r>
      <w:r w:rsidRPr="004F216B">
        <w:rPr>
          <w:lang w:val="fr-FR"/>
        </w:rPr>
        <w:t>elles puissent être soumises à l</w:t>
      </w:r>
      <w:r w:rsidR="00B2062C" w:rsidRPr="004F216B">
        <w:rPr>
          <w:lang w:val="fr-FR"/>
        </w:rPr>
        <w:t>’</w:t>
      </w:r>
      <w:r w:rsidRPr="004F216B">
        <w:rPr>
          <w:lang w:val="fr-FR"/>
        </w:rPr>
        <w:t>examen du Comité permanent lors de sa 55</w:t>
      </w:r>
      <w:r w:rsidRPr="004F216B">
        <w:rPr>
          <w:vertAlign w:val="superscript"/>
          <w:lang w:val="fr-FR"/>
        </w:rPr>
        <w:t>e</w:t>
      </w:r>
      <w:r w:rsidRPr="004F216B">
        <w:rPr>
          <w:lang w:val="fr-FR"/>
        </w:rPr>
        <w:t xml:space="preserve"> réunion. </w:t>
      </w:r>
    </w:p>
    <w:p w14:paraId="599B1B2A" w14:textId="77777777" w:rsidR="00D36E5D" w:rsidRPr="004F216B" w:rsidRDefault="00D36E5D">
      <w:pPr>
        <w:jc w:val="both"/>
        <w:rPr>
          <w:i/>
          <w:lang w:val="fr-FR"/>
        </w:rPr>
      </w:pPr>
    </w:p>
    <w:p w14:paraId="107639B8" w14:textId="77777777" w:rsidR="00093DCB" w:rsidRPr="004F216B" w:rsidRDefault="00093DCB">
      <w:pPr>
        <w:jc w:val="both"/>
        <w:rPr>
          <w:i/>
          <w:lang w:val="fr-FR"/>
        </w:rPr>
      </w:pPr>
    </w:p>
    <w:p w14:paraId="2E6E067E" w14:textId="77777777" w:rsidR="00D36E5D" w:rsidRPr="004F216B" w:rsidRDefault="00CC463E">
      <w:pPr>
        <w:jc w:val="both"/>
        <w:rPr>
          <w:b/>
          <w:i/>
          <w:lang w:val="fr-FR"/>
        </w:rPr>
      </w:pPr>
      <w:r w:rsidRPr="004F216B">
        <w:rPr>
          <w:b/>
          <w:i/>
          <w:lang w:val="fr-FR"/>
        </w:rPr>
        <w:t>Décision adressée à : Comité permanent</w:t>
      </w:r>
    </w:p>
    <w:p w14:paraId="4DFBE50B" w14:textId="77777777" w:rsidR="00D36E5D" w:rsidRPr="004F216B" w:rsidRDefault="00D36E5D">
      <w:pPr>
        <w:jc w:val="both"/>
        <w:rPr>
          <w:lang w:val="fr-FR"/>
        </w:rPr>
      </w:pPr>
    </w:p>
    <w:p w14:paraId="538EA598" w14:textId="657AC3B9" w:rsidR="00D36E5D" w:rsidRPr="004F216B" w:rsidRDefault="00CC463E">
      <w:pPr>
        <w:ind w:left="851" w:hanging="851"/>
        <w:jc w:val="both"/>
        <w:rPr>
          <w:i/>
          <w:lang w:val="fr-FR"/>
        </w:rPr>
      </w:pPr>
      <w:r w:rsidRPr="004F216B">
        <w:rPr>
          <w:lang w:val="fr-FR"/>
        </w:rPr>
        <w:t>14.CC</w:t>
      </w:r>
      <w:r w:rsidRPr="004F216B">
        <w:rPr>
          <w:lang w:val="fr-FR"/>
        </w:rPr>
        <w:tab/>
        <w:t>Le Comité permanent est prié d</w:t>
      </w:r>
      <w:r w:rsidR="00B2062C" w:rsidRPr="004F216B">
        <w:rPr>
          <w:lang w:val="fr-FR"/>
        </w:rPr>
        <w:t>’</w:t>
      </w:r>
      <w:r w:rsidRPr="004F216B">
        <w:rPr>
          <w:lang w:val="fr-FR"/>
        </w:rPr>
        <w:t>examiner la compilation des informations fournies par le Secrétariat en application de la Décision 14.</w:t>
      </w:r>
      <w:r w:rsidR="00B2062C" w:rsidRPr="004F216B">
        <w:rPr>
          <w:lang w:val="fr-FR"/>
        </w:rPr>
        <w:t xml:space="preserve"> </w:t>
      </w:r>
      <w:r w:rsidRPr="004F216B">
        <w:rPr>
          <w:lang w:val="fr-FR"/>
        </w:rPr>
        <w:t>BB, de rendre compte des progrès accomplis et de formuler des recommandations à la Conférence des Parties concernant les mesures à prendre lors de sa 15</w:t>
      </w:r>
      <w:r w:rsidRPr="004F216B">
        <w:rPr>
          <w:vertAlign w:val="superscript"/>
          <w:lang w:val="fr-FR"/>
        </w:rPr>
        <w:t>e</w:t>
      </w:r>
      <w:r w:rsidRPr="004F216B">
        <w:rPr>
          <w:lang w:val="fr-FR"/>
        </w:rPr>
        <w:t xml:space="preserve"> réunion.</w:t>
      </w:r>
    </w:p>
    <w:p w14:paraId="2273A6D1" w14:textId="77777777" w:rsidR="00D36E5D" w:rsidRPr="004F216B" w:rsidRDefault="00D36E5D">
      <w:pPr>
        <w:jc w:val="both"/>
        <w:rPr>
          <w:lang w:val="fr-FR"/>
        </w:rPr>
      </w:pPr>
    </w:p>
    <w:p w14:paraId="10B1EDEF" w14:textId="77777777" w:rsidR="00D36E5D" w:rsidRPr="004F216B" w:rsidRDefault="00D36E5D" w:rsidP="00F512BE">
      <w:pPr>
        <w:jc w:val="both"/>
        <w:rPr>
          <w:i/>
          <w:lang w:val="fr-FR"/>
        </w:rPr>
      </w:pPr>
    </w:p>
    <w:p w14:paraId="1501ADA3" w14:textId="77777777" w:rsidR="00D36E5D" w:rsidRPr="004F216B" w:rsidRDefault="00D36E5D">
      <w:pPr>
        <w:jc w:val="both"/>
        <w:rPr>
          <w:lang w:val="fr-FR"/>
        </w:rPr>
      </w:pPr>
    </w:p>
    <w:p w14:paraId="7C6F0873" w14:textId="77777777" w:rsidR="00D36E5D" w:rsidRPr="004F216B" w:rsidRDefault="00D36E5D">
      <w:pPr>
        <w:jc w:val="both"/>
        <w:rPr>
          <w:lang w:val="fr-FR"/>
        </w:rPr>
      </w:pPr>
    </w:p>
    <w:p w14:paraId="4AA4137F" w14:textId="77777777" w:rsidR="00D36E5D" w:rsidRPr="004F216B" w:rsidRDefault="00D36E5D">
      <w:pPr>
        <w:tabs>
          <w:tab w:val="left" w:pos="1020"/>
        </w:tabs>
        <w:rPr>
          <w:lang w:val="fr-FR"/>
        </w:rPr>
      </w:pPr>
    </w:p>
    <w:p w14:paraId="138CC263" w14:textId="77777777" w:rsidR="00D36E5D" w:rsidRPr="00564AB6" w:rsidRDefault="00D36E5D">
      <w:pPr>
        <w:pBdr>
          <w:top w:val="nil"/>
          <w:left w:val="nil"/>
          <w:bottom w:val="nil"/>
          <w:right w:val="nil"/>
          <w:between w:val="nil"/>
        </w:pBdr>
        <w:ind w:left="360" w:hanging="360"/>
        <w:rPr>
          <w:lang w:val="fr-FR"/>
        </w:rPr>
      </w:pPr>
    </w:p>
    <w:sectPr w:rsidR="00D36E5D" w:rsidRPr="00564AB6" w:rsidSect="00DD2FED">
      <w:headerReference w:type="first" r:id="rId24"/>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FCFB" w14:textId="77777777" w:rsidR="00503F60" w:rsidRDefault="00503F60">
      <w:r>
        <w:rPr>
          <w:lang w:val="fr-FR"/>
        </w:rPr>
        <w:separator/>
      </w:r>
    </w:p>
  </w:endnote>
  <w:endnote w:type="continuationSeparator" w:id="0">
    <w:p w14:paraId="2DDF40C6" w14:textId="77777777" w:rsidR="00503F60" w:rsidRDefault="00503F60">
      <w:r>
        <w:rPr>
          <w:lang w:val="fr-FR"/>
        </w:rPr>
        <w:continuationSeparator/>
      </w:r>
    </w:p>
  </w:endnote>
  <w:endnote w:type="continuationNotice" w:id="1">
    <w:p w14:paraId="5CBF0C73" w14:textId="77777777" w:rsidR="00503F60" w:rsidRDefault="00503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D26A" w14:textId="73122747" w:rsidR="00D36E5D" w:rsidRDefault="00CC463E">
    <w:pPr>
      <w:pBdr>
        <w:top w:val="nil"/>
        <w:left w:val="nil"/>
        <w:bottom w:val="nil"/>
        <w:right w:val="nil"/>
        <w:between w:val="nil"/>
      </w:pBdr>
      <w:tabs>
        <w:tab w:val="center" w:pos="4680"/>
        <w:tab w:val="right" w:pos="9360"/>
      </w:tabs>
      <w:jc w:val="center"/>
      <w:rPr>
        <w:color w:val="000000"/>
        <w:sz w:val="18"/>
        <w:szCs w:val="18"/>
        <w:lang w:val="fr-FR"/>
      </w:rPr>
    </w:pPr>
    <w:r>
      <w:rPr>
        <w:color w:val="000000"/>
        <w:sz w:val="18"/>
        <w:szCs w:val="18"/>
        <w:lang w:val="fr-FR"/>
      </w:rPr>
      <w:fldChar w:fldCharType="begin"/>
    </w:r>
    <w:r>
      <w:rPr>
        <w:color w:val="000000"/>
        <w:sz w:val="18"/>
        <w:szCs w:val="18"/>
        <w:lang w:val="fr-FR"/>
      </w:rPr>
      <w:instrText>PAGE</w:instrText>
    </w:r>
    <w:r>
      <w:rPr>
        <w:color w:val="000000"/>
        <w:sz w:val="18"/>
        <w:szCs w:val="18"/>
        <w:lang w:val="fr-FR"/>
      </w:rPr>
      <w:fldChar w:fldCharType="separate"/>
    </w:r>
    <w:r>
      <w:rPr>
        <w:color w:val="000000"/>
        <w:sz w:val="18"/>
        <w:szCs w:val="18"/>
        <w:lang w:val="fr-FR"/>
      </w:rPr>
      <w:t>6</w:t>
    </w:r>
    <w:r>
      <w:rPr>
        <w:color w:val="000000"/>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601626"/>
      <w:docPartObj>
        <w:docPartGallery w:val="Page Numbers (Bottom of Page)"/>
        <w:docPartUnique/>
      </w:docPartObj>
    </w:sdtPr>
    <w:sdtEndPr>
      <w:rPr>
        <w:noProof/>
        <w:sz w:val="18"/>
        <w:szCs w:val="18"/>
      </w:rPr>
    </w:sdtEndPr>
    <w:sdtContent>
      <w:p w14:paraId="6E3DFCFD" w14:textId="218303FF" w:rsidR="00056DAD" w:rsidRPr="00564AB6" w:rsidRDefault="00056DAD" w:rsidP="00564AB6">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BD55" w14:textId="77777777" w:rsidR="006F519A" w:rsidRDefault="006F51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85985694"/>
      <w:docPartObj>
        <w:docPartGallery w:val="Page Numbers (Bottom of Page)"/>
        <w:docPartUnique/>
      </w:docPartObj>
    </w:sdtPr>
    <w:sdtEndPr>
      <w:rPr>
        <w:noProof/>
      </w:rPr>
    </w:sdtEndPr>
    <w:sdtContent>
      <w:p w14:paraId="73FC2B39" w14:textId="4887A05D" w:rsidR="00564AB6" w:rsidRPr="00564AB6" w:rsidRDefault="00564AB6" w:rsidP="00564AB6">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87A4" w14:textId="77777777" w:rsidR="00503F60" w:rsidRDefault="00503F60">
      <w:r>
        <w:rPr>
          <w:lang w:val="fr-FR"/>
        </w:rPr>
        <w:separator/>
      </w:r>
    </w:p>
  </w:footnote>
  <w:footnote w:type="continuationSeparator" w:id="0">
    <w:p w14:paraId="5B233B7B" w14:textId="77777777" w:rsidR="00503F60" w:rsidRDefault="00503F60">
      <w:r>
        <w:rPr>
          <w:lang w:val="fr-FR"/>
        </w:rPr>
        <w:continuationSeparator/>
      </w:r>
    </w:p>
  </w:footnote>
  <w:footnote w:type="continuationNotice" w:id="1">
    <w:p w14:paraId="33B93B12" w14:textId="77777777" w:rsidR="00503F60" w:rsidRDefault="00503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8AC8" w14:textId="7D1E4050" w:rsidR="00D36E5D" w:rsidRDefault="00CC463E">
    <w:pPr>
      <w:pBdr>
        <w:top w:val="nil"/>
        <w:left w:val="nil"/>
        <w:bottom w:val="single" w:sz="4" w:space="1" w:color="000000"/>
        <w:right w:val="nil"/>
        <w:between w:val="nil"/>
      </w:pBdr>
      <w:tabs>
        <w:tab w:val="center" w:pos="4680"/>
        <w:tab w:val="right" w:pos="9360"/>
      </w:tabs>
      <w:rPr>
        <w:i/>
        <w:color w:val="000000"/>
        <w:sz w:val="18"/>
        <w:szCs w:val="18"/>
        <w:lang w:val="fr-FR"/>
      </w:rPr>
    </w:pPr>
    <w:r>
      <w:rPr>
        <w:i/>
        <w:color w:val="000000"/>
        <w:sz w:val="18"/>
        <w:szCs w:val="18"/>
        <w:lang w:val="fr-FR"/>
      </w:rPr>
      <w:t>UNEP/CMS/COP14/Doc.</w:t>
    </w:r>
    <w:r>
      <w:rPr>
        <w:i/>
        <w:color w:val="000000"/>
        <w:sz w:val="18"/>
        <w:szCs w:val="18"/>
        <w:highlight w:val="yellow"/>
        <w:lang w:val="fr-FR"/>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6E4A" w14:textId="77777777" w:rsidR="00D36E5D" w:rsidRDefault="00CC463E">
    <w:pPr>
      <w:pBdr>
        <w:top w:val="nil"/>
        <w:left w:val="nil"/>
        <w:bottom w:val="single" w:sz="4" w:space="1" w:color="000000"/>
        <w:right w:val="nil"/>
        <w:between w:val="nil"/>
      </w:pBdr>
      <w:tabs>
        <w:tab w:val="center" w:pos="4680"/>
        <w:tab w:val="right" w:pos="9360"/>
      </w:tabs>
      <w:rPr>
        <w:i/>
        <w:color w:val="000000"/>
        <w:sz w:val="18"/>
        <w:szCs w:val="18"/>
        <w:lang w:val="fr-FR"/>
      </w:rPr>
    </w:pPr>
    <w:r>
      <w:rPr>
        <w:i/>
        <w:color w:val="000000"/>
        <w:sz w:val="18"/>
        <w:szCs w:val="18"/>
        <w:lang w:val="fr-FR"/>
      </w:rPr>
      <w:t>UNEP/CMS/COP14/Doc.</w:t>
    </w:r>
    <w:r>
      <w:rPr>
        <w:i/>
        <w:color w:val="000000"/>
        <w:sz w:val="18"/>
        <w:szCs w:val="18"/>
        <w:highlight w:val="yellow"/>
        <w:lang w:val="fr-FR"/>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0ABD" w14:textId="77777777" w:rsidR="00864C2D" w:rsidRPr="00EC2A58" w:rsidRDefault="00864C2D" w:rsidP="00864C2D">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rPr>
    </w:pPr>
    <w:r>
      <w:rPr>
        <w:noProof/>
      </w:rPr>
      <w:drawing>
        <wp:anchor distT="0" distB="0" distL="114300" distR="114300" simplePos="0" relativeHeight="251661312" behindDoc="0" locked="0" layoutInCell="1" allowOverlap="1" wp14:anchorId="5599B266" wp14:editId="045DE6AC">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Pr="00EC2A58">
      <w:rPr>
        <w:rFonts w:eastAsia="Times New Roman" w:cs="Times New Roman"/>
        <w:noProof/>
        <w:sz w:val="18"/>
        <w:szCs w:val="20"/>
      </w:rPr>
      <w:drawing>
        <wp:anchor distT="0" distB="0" distL="114300" distR="114300" simplePos="0" relativeHeight="251659264" behindDoc="0" locked="0" layoutInCell="1" allowOverlap="1" wp14:anchorId="21671261" wp14:editId="0A38C811">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0" name="Picture 2" descr="A black and white logo&#10;&#10;Description automatically generated"/>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Pr="00EC2A58">
      <w:rPr>
        <w:rFonts w:eastAsia="Times New Roman" w:cs="Times New Roman"/>
        <w:noProof/>
        <w:sz w:val="4"/>
        <w:szCs w:val="4"/>
      </w:rPr>
      <w:drawing>
        <wp:anchor distT="0" distB="0" distL="114300" distR="114300" simplePos="0" relativeHeight="251660288" behindDoc="0" locked="0" layoutInCell="1" allowOverlap="1" wp14:anchorId="3F5FE9D3" wp14:editId="5D9A1F96">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02252B30" w14:textId="77777777" w:rsidR="00D36E5D" w:rsidRDefault="00D36E5D">
    <w:pPr>
      <w:pBdr>
        <w:top w:val="nil"/>
        <w:left w:val="nil"/>
        <w:bottom w:val="nil"/>
        <w:right w:val="nil"/>
        <w:between w:val="nil"/>
      </w:pBdr>
      <w:tabs>
        <w:tab w:val="center" w:pos="4680"/>
        <w:tab w:val="right" w:pos="9360"/>
      </w:tabs>
      <w:rPr>
        <w:color w:val="000000"/>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9573" w14:textId="513482A5" w:rsidR="00D36E5D" w:rsidRDefault="00CC463E">
    <w:pPr>
      <w:pBdr>
        <w:top w:val="nil"/>
        <w:left w:val="nil"/>
        <w:bottom w:val="single" w:sz="4" w:space="1" w:color="000000"/>
        <w:right w:val="nil"/>
        <w:between w:val="nil"/>
      </w:pBdr>
      <w:tabs>
        <w:tab w:val="center" w:pos="4680"/>
        <w:tab w:val="right" w:pos="9360"/>
      </w:tabs>
      <w:rPr>
        <w:i/>
        <w:color w:val="000000"/>
        <w:sz w:val="18"/>
        <w:szCs w:val="18"/>
        <w:lang w:val="fr-FR"/>
      </w:rPr>
    </w:pPr>
    <w:r>
      <w:rPr>
        <w:i/>
        <w:color w:val="000000"/>
        <w:sz w:val="18"/>
        <w:szCs w:val="18"/>
        <w:lang w:val="fr-FR"/>
      </w:rPr>
      <w:t>UNEP/CMS/COP14/Doc.</w:t>
    </w:r>
    <w:r>
      <w:rPr>
        <w:lang w:val="fr-FR"/>
      </w:rPr>
      <w:t xml:space="preserve"> </w:t>
    </w:r>
    <w:r>
      <w:rPr>
        <w:i/>
        <w:color w:val="000000"/>
        <w:sz w:val="18"/>
        <w:szCs w:val="18"/>
        <w:lang w:val="fr-FR"/>
      </w:rPr>
      <w:t>27.7.3</w:t>
    </w:r>
  </w:p>
  <w:p w14:paraId="52A716FF" w14:textId="77777777" w:rsidR="00D36E5D" w:rsidRDefault="00D36E5D">
    <w:pPr>
      <w:pBdr>
        <w:top w:val="nil"/>
        <w:left w:val="nil"/>
        <w:bottom w:val="nil"/>
        <w:right w:val="nil"/>
        <w:between w:val="nil"/>
      </w:pBdr>
      <w:tabs>
        <w:tab w:val="center" w:pos="4680"/>
        <w:tab w:val="right" w:pos="9360"/>
      </w:tabs>
      <w:rPr>
        <w:color w:val="000000"/>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83B6" w14:textId="6C025267" w:rsidR="004C7AD6" w:rsidRPr="000E4BAE" w:rsidRDefault="004C7AD6" w:rsidP="008C7175">
    <w:pPr>
      <w:pBdr>
        <w:top w:val="nil"/>
        <w:left w:val="nil"/>
        <w:bottom w:val="single" w:sz="4" w:space="1" w:color="000000"/>
        <w:right w:val="nil"/>
        <w:between w:val="nil"/>
      </w:pBdr>
      <w:tabs>
        <w:tab w:val="center" w:pos="4680"/>
        <w:tab w:val="right" w:pos="9360"/>
      </w:tabs>
      <w:jc w:val="right"/>
      <w:rPr>
        <w:i/>
        <w:color w:val="000000"/>
        <w:sz w:val="18"/>
        <w:szCs w:val="18"/>
        <w:lang w:val="fr-FR"/>
      </w:rPr>
    </w:pPr>
    <w:r>
      <w:rPr>
        <w:i/>
        <w:color w:val="000000"/>
        <w:sz w:val="18"/>
        <w:szCs w:val="18"/>
        <w:lang w:val="fr-FR"/>
      </w:rPr>
      <w:t>UNEP/CMS/COP14/Doc.27.7.3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8732" w14:textId="2245AA8B" w:rsidR="00D36E5D" w:rsidRPr="00564AB6" w:rsidRDefault="00CC463E" w:rsidP="00564AB6">
    <w:pPr>
      <w:pBdr>
        <w:top w:val="nil"/>
        <w:left w:val="nil"/>
        <w:bottom w:val="single" w:sz="4" w:space="1" w:color="000000"/>
        <w:right w:val="nil"/>
        <w:between w:val="nil"/>
      </w:pBdr>
      <w:tabs>
        <w:tab w:val="center" w:pos="4680"/>
        <w:tab w:val="right" w:pos="9360"/>
      </w:tabs>
      <w:rPr>
        <w:i/>
        <w:color w:val="000000"/>
        <w:sz w:val="18"/>
        <w:szCs w:val="18"/>
      </w:rPr>
    </w:pPr>
    <w:r>
      <w:rPr>
        <w:i/>
        <w:color w:val="000000"/>
        <w:sz w:val="18"/>
        <w:szCs w:val="18"/>
      </w:rPr>
      <w:t>UNEP/CMS/COP14/Doc.27.7.3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97AB" w14:textId="4F0BF210" w:rsidR="00471EC3" w:rsidRDefault="00471EC3" w:rsidP="006F519A">
    <w:pPr>
      <w:pBdr>
        <w:top w:val="nil"/>
        <w:left w:val="nil"/>
        <w:bottom w:val="single" w:sz="4" w:space="1" w:color="000000"/>
        <w:right w:val="nil"/>
        <w:between w:val="nil"/>
      </w:pBdr>
      <w:tabs>
        <w:tab w:val="center" w:pos="4680"/>
        <w:tab w:val="right" w:pos="9360"/>
      </w:tabs>
      <w:jc w:val="right"/>
      <w:rPr>
        <w:i/>
        <w:color w:val="000000"/>
        <w:sz w:val="18"/>
        <w:szCs w:val="18"/>
      </w:rPr>
    </w:pPr>
    <w:r>
      <w:rPr>
        <w:i/>
        <w:color w:val="000000"/>
        <w:sz w:val="18"/>
        <w:szCs w:val="18"/>
      </w:rPr>
      <w:t>UNEP/CMS/COP14/Doc.27.7.3/A</w:t>
    </w:r>
    <w:r w:rsidR="006F519A">
      <w:rPr>
        <w:i/>
        <w:color w:val="000000"/>
        <w:sz w:val="18"/>
        <w:szCs w:val="18"/>
      </w:rPr>
      <w:t>n</w:t>
    </w:r>
    <w:r>
      <w:rPr>
        <w:i/>
        <w:color w:val="000000"/>
        <w:sz w:val="18"/>
        <w:szCs w:val="18"/>
      </w:rPr>
      <w:t>nex</w:t>
    </w:r>
    <w:r w:rsidR="006F519A">
      <w:rPr>
        <w:i/>
        <w:color w:val="000000"/>
        <w:sz w:val="18"/>
        <w:szCs w:val="18"/>
      </w:rPr>
      <w:t>e</w:t>
    </w:r>
  </w:p>
  <w:p w14:paraId="720F5914" w14:textId="77777777" w:rsidR="00471EC3" w:rsidRDefault="00471EC3">
    <w:pPr>
      <w:tabs>
        <w:tab w:val="center" w:pos="4680"/>
        <w:tab w:val="right" w:pos="9360"/>
      </w:tabs>
      <w:ind w:right="-547"/>
      <w:rPr>
        <w:rFonts w:ascii="Calibri" w:eastAsia="Calibri" w:hAnsi="Calibri" w:cs="Calibri"/>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06"/>
    <w:multiLevelType w:val="multilevel"/>
    <w:tmpl w:val="6B2E5D76"/>
    <w:lvl w:ilvl="0">
      <w:start w:val="1"/>
      <w:numFmt w:val="lowerLetter"/>
      <w:pStyle w:val="FourthnumberingA"/>
      <w:lvlText w:val="%1)"/>
      <w:lvlJc w:val="left"/>
      <w:pPr>
        <w:ind w:left="360" w:hanging="360"/>
      </w:pPr>
      <w:rPr>
        <w:b w:val="0"/>
        <w:i w:val="0"/>
        <w:smallCaps w:val="0"/>
        <w:strike w:val="0"/>
        <w:u w:val="none"/>
        <w:vertAlign w:val="baseli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7EE65DF"/>
    <w:multiLevelType w:val="multilevel"/>
    <w:tmpl w:val="D44AD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FF53D4"/>
    <w:multiLevelType w:val="multilevel"/>
    <w:tmpl w:val="626C4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761EF8"/>
    <w:multiLevelType w:val="multilevel"/>
    <w:tmpl w:val="85B27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F47545"/>
    <w:multiLevelType w:val="multilevel"/>
    <w:tmpl w:val="4A24CE0A"/>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6347FB6"/>
    <w:multiLevelType w:val="hybridMultilevel"/>
    <w:tmpl w:val="8996C0BC"/>
    <w:lvl w:ilvl="0" w:tplc="99C827D0">
      <w:start w:val="1"/>
      <w:numFmt w:val="lowerRoman"/>
      <w:lvlText w:val="(%1)."/>
      <w:lvlJc w:val="left"/>
      <w:pPr>
        <w:ind w:left="1740" w:hanging="540"/>
        <w:jc w:val="right"/>
      </w:pPr>
      <w:rPr>
        <w:rFonts w:ascii="Arial" w:eastAsia="Arial" w:hAnsi="Arial" w:cs="Arial" w:hint="default"/>
        <w:spacing w:val="-2"/>
        <w:w w:val="100"/>
        <w:sz w:val="22"/>
        <w:szCs w:val="22"/>
        <w:lang w:val="en-GB" w:eastAsia="en-GB" w:bidi="en-GB"/>
      </w:rPr>
    </w:lvl>
    <w:lvl w:ilvl="1" w:tplc="DD68992C">
      <w:start w:val="1"/>
      <w:numFmt w:val="decimal"/>
      <w:lvlText w:val="%2."/>
      <w:lvlJc w:val="left"/>
      <w:pPr>
        <w:ind w:left="2542" w:hanging="850"/>
        <w:jc w:val="left"/>
      </w:pPr>
      <w:rPr>
        <w:rFonts w:ascii="Arial" w:eastAsia="Arial" w:hAnsi="Arial" w:cs="Arial" w:hint="default"/>
        <w:b/>
        <w:bCs/>
        <w:spacing w:val="-1"/>
        <w:w w:val="100"/>
        <w:sz w:val="22"/>
        <w:szCs w:val="22"/>
        <w:lang w:val="en-GB" w:eastAsia="en-GB" w:bidi="en-GB"/>
      </w:rPr>
    </w:lvl>
    <w:lvl w:ilvl="2" w:tplc="A450300A">
      <w:numFmt w:val="bullet"/>
      <w:lvlText w:val="•"/>
      <w:lvlJc w:val="left"/>
      <w:pPr>
        <w:ind w:left="3513" w:hanging="850"/>
      </w:pPr>
      <w:rPr>
        <w:rFonts w:hint="default"/>
        <w:lang w:val="en-GB" w:eastAsia="en-GB" w:bidi="en-GB"/>
      </w:rPr>
    </w:lvl>
    <w:lvl w:ilvl="3" w:tplc="6C36CE16">
      <w:numFmt w:val="bullet"/>
      <w:lvlText w:val="•"/>
      <w:lvlJc w:val="left"/>
      <w:pPr>
        <w:ind w:left="4487" w:hanging="850"/>
      </w:pPr>
      <w:rPr>
        <w:rFonts w:hint="default"/>
        <w:lang w:val="en-GB" w:eastAsia="en-GB" w:bidi="en-GB"/>
      </w:rPr>
    </w:lvl>
    <w:lvl w:ilvl="4" w:tplc="D474E95C">
      <w:numFmt w:val="bullet"/>
      <w:lvlText w:val="•"/>
      <w:lvlJc w:val="left"/>
      <w:pPr>
        <w:ind w:left="5461" w:hanging="850"/>
      </w:pPr>
      <w:rPr>
        <w:rFonts w:hint="default"/>
        <w:lang w:val="en-GB" w:eastAsia="en-GB" w:bidi="en-GB"/>
      </w:rPr>
    </w:lvl>
    <w:lvl w:ilvl="5" w:tplc="F00CB7DE">
      <w:numFmt w:val="bullet"/>
      <w:lvlText w:val="•"/>
      <w:lvlJc w:val="left"/>
      <w:pPr>
        <w:ind w:left="6435" w:hanging="850"/>
      </w:pPr>
      <w:rPr>
        <w:rFonts w:hint="default"/>
        <w:lang w:val="en-GB" w:eastAsia="en-GB" w:bidi="en-GB"/>
      </w:rPr>
    </w:lvl>
    <w:lvl w:ilvl="6" w:tplc="7580507C">
      <w:numFmt w:val="bullet"/>
      <w:lvlText w:val="•"/>
      <w:lvlJc w:val="left"/>
      <w:pPr>
        <w:ind w:left="7408" w:hanging="850"/>
      </w:pPr>
      <w:rPr>
        <w:rFonts w:hint="default"/>
        <w:lang w:val="en-GB" w:eastAsia="en-GB" w:bidi="en-GB"/>
      </w:rPr>
    </w:lvl>
    <w:lvl w:ilvl="7" w:tplc="2690BAE4">
      <w:numFmt w:val="bullet"/>
      <w:lvlText w:val="•"/>
      <w:lvlJc w:val="left"/>
      <w:pPr>
        <w:ind w:left="8382" w:hanging="850"/>
      </w:pPr>
      <w:rPr>
        <w:rFonts w:hint="default"/>
        <w:lang w:val="en-GB" w:eastAsia="en-GB" w:bidi="en-GB"/>
      </w:rPr>
    </w:lvl>
    <w:lvl w:ilvl="8" w:tplc="30A488DE">
      <w:numFmt w:val="bullet"/>
      <w:lvlText w:val="•"/>
      <w:lvlJc w:val="left"/>
      <w:pPr>
        <w:ind w:left="9356" w:hanging="850"/>
      </w:pPr>
      <w:rPr>
        <w:rFonts w:hint="default"/>
        <w:lang w:val="en-GB" w:eastAsia="en-GB" w:bidi="en-GB"/>
      </w:rPr>
    </w:lvl>
  </w:abstractNum>
  <w:abstractNum w:abstractNumId="6" w15:restartNumberingAfterBreak="0">
    <w:nsid w:val="19476499"/>
    <w:multiLevelType w:val="multilevel"/>
    <w:tmpl w:val="127A3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13575C"/>
    <w:multiLevelType w:val="multilevel"/>
    <w:tmpl w:val="4A46A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3C0FDA"/>
    <w:multiLevelType w:val="multilevel"/>
    <w:tmpl w:val="B9429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3C5DBB"/>
    <w:multiLevelType w:val="hybridMultilevel"/>
    <w:tmpl w:val="16BEC2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DEA1F0B"/>
    <w:multiLevelType w:val="multilevel"/>
    <w:tmpl w:val="380A314A"/>
    <w:lvl w:ilvl="0">
      <w:start w:val="1"/>
      <w:numFmt w:val="lowerLetter"/>
      <w:pStyle w:val="Firstnumbering"/>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1" w15:restartNumberingAfterBreak="0">
    <w:nsid w:val="365F278F"/>
    <w:multiLevelType w:val="multilevel"/>
    <w:tmpl w:val="AFCEF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A51F54"/>
    <w:multiLevelType w:val="hybridMultilevel"/>
    <w:tmpl w:val="249005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EF6D86"/>
    <w:multiLevelType w:val="multilevel"/>
    <w:tmpl w:val="1AA22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970814"/>
    <w:multiLevelType w:val="multilevel"/>
    <w:tmpl w:val="4CA01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8B66D7"/>
    <w:multiLevelType w:val="hybridMultilevel"/>
    <w:tmpl w:val="02D856D8"/>
    <w:lvl w:ilvl="0" w:tplc="25742968">
      <w:numFmt w:val="bullet"/>
      <w:lvlText w:val="o"/>
      <w:lvlJc w:val="left"/>
      <w:pPr>
        <w:ind w:left="1081" w:hanging="360"/>
      </w:pPr>
      <w:rPr>
        <w:rFonts w:ascii="Courier New" w:eastAsia="Courier New" w:hAnsi="Courier New" w:cs="Courier New" w:hint="default"/>
        <w:w w:val="100"/>
        <w:sz w:val="22"/>
        <w:szCs w:val="22"/>
        <w:lang w:val="en-GB" w:eastAsia="en-GB" w:bidi="en-GB"/>
      </w:rPr>
    </w:lvl>
    <w:lvl w:ilvl="1" w:tplc="FBAA5754">
      <w:numFmt w:val="bullet"/>
      <w:lvlText w:val="•"/>
      <w:lvlJc w:val="left"/>
      <w:pPr>
        <w:ind w:left="1983" w:hanging="360"/>
      </w:pPr>
      <w:rPr>
        <w:rFonts w:hint="default"/>
        <w:lang w:val="en-GB" w:eastAsia="en-GB" w:bidi="en-GB"/>
      </w:rPr>
    </w:lvl>
    <w:lvl w:ilvl="2" w:tplc="96A608F8">
      <w:numFmt w:val="bullet"/>
      <w:lvlText w:val="•"/>
      <w:lvlJc w:val="left"/>
      <w:pPr>
        <w:ind w:left="2885" w:hanging="360"/>
      </w:pPr>
      <w:rPr>
        <w:rFonts w:hint="default"/>
        <w:lang w:val="en-GB" w:eastAsia="en-GB" w:bidi="en-GB"/>
      </w:rPr>
    </w:lvl>
    <w:lvl w:ilvl="3" w:tplc="5B4A924E">
      <w:numFmt w:val="bullet"/>
      <w:lvlText w:val="•"/>
      <w:lvlJc w:val="left"/>
      <w:pPr>
        <w:ind w:left="3788" w:hanging="360"/>
      </w:pPr>
      <w:rPr>
        <w:rFonts w:hint="default"/>
        <w:lang w:val="en-GB" w:eastAsia="en-GB" w:bidi="en-GB"/>
      </w:rPr>
    </w:lvl>
    <w:lvl w:ilvl="4" w:tplc="67FA743A">
      <w:numFmt w:val="bullet"/>
      <w:lvlText w:val="•"/>
      <w:lvlJc w:val="left"/>
      <w:pPr>
        <w:ind w:left="4690" w:hanging="360"/>
      </w:pPr>
      <w:rPr>
        <w:rFonts w:hint="default"/>
        <w:lang w:val="en-GB" w:eastAsia="en-GB" w:bidi="en-GB"/>
      </w:rPr>
    </w:lvl>
    <w:lvl w:ilvl="5" w:tplc="715C370E">
      <w:numFmt w:val="bullet"/>
      <w:lvlText w:val="•"/>
      <w:lvlJc w:val="left"/>
      <w:pPr>
        <w:ind w:left="5593" w:hanging="360"/>
      </w:pPr>
      <w:rPr>
        <w:rFonts w:hint="default"/>
        <w:lang w:val="en-GB" w:eastAsia="en-GB" w:bidi="en-GB"/>
      </w:rPr>
    </w:lvl>
    <w:lvl w:ilvl="6" w:tplc="7B14233C">
      <w:numFmt w:val="bullet"/>
      <w:lvlText w:val="•"/>
      <w:lvlJc w:val="left"/>
      <w:pPr>
        <w:ind w:left="6495" w:hanging="360"/>
      </w:pPr>
      <w:rPr>
        <w:rFonts w:hint="default"/>
        <w:lang w:val="en-GB" w:eastAsia="en-GB" w:bidi="en-GB"/>
      </w:rPr>
    </w:lvl>
    <w:lvl w:ilvl="7" w:tplc="1E4A6C52">
      <w:numFmt w:val="bullet"/>
      <w:lvlText w:val="•"/>
      <w:lvlJc w:val="left"/>
      <w:pPr>
        <w:ind w:left="7397" w:hanging="360"/>
      </w:pPr>
      <w:rPr>
        <w:rFonts w:hint="default"/>
        <w:lang w:val="en-GB" w:eastAsia="en-GB" w:bidi="en-GB"/>
      </w:rPr>
    </w:lvl>
    <w:lvl w:ilvl="8" w:tplc="19EE1F32">
      <w:numFmt w:val="bullet"/>
      <w:lvlText w:val="•"/>
      <w:lvlJc w:val="left"/>
      <w:pPr>
        <w:ind w:left="8300" w:hanging="360"/>
      </w:pPr>
      <w:rPr>
        <w:rFonts w:hint="default"/>
        <w:lang w:val="en-GB" w:eastAsia="en-GB" w:bidi="en-GB"/>
      </w:rPr>
    </w:lvl>
  </w:abstractNum>
  <w:abstractNum w:abstractNumId="16" w15:restartNumberingAfterBreak="0">
    <w:nsid w:val="44F05FFB"/>
    <w:multiLevelType w:val="multilevel"/>
    <w:tmpl w:val="CFAEC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F10446"/>
    <w:multiLevelType w:val="multilevel"/>
    <w:tmpl w:val="63F2A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1F3772"/>
    <w:multiLevelType w:val="multilevel"/>
    <w:tmpl w:val="BF968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F8660B"/>
    <w:multiLevelType w:val="multilevel"/>
    <w:tmpl w:val="1256E19C"/>
    <w:lvl w:ilvl="0">
      <w:start w:val="1"/>
      <w:numFmt w:val="lowerLetter"/>
      <w:pStyle w:val="Secondnumber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3B6945"/>
    <w:multiLevelType w:val="multilevel"/>
    <w:tmpl w:val="7BC26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784552"/>
    <w:multiLevelType w:val="multilevel"/>
    <w:tmpl w:val="24704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AF5045"/>
    <w:multiLevelType w:val="multilevel"/>
    <w:tmpl w:val="77E28B10"/>
    <w:lvl w:ilvl="0">
      <w:numFmt w:val="bullet"/>
      <w:pStyle w:val="Thirdnumberingi"/>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46F0F3B"/>
    <w:multiLevelType w:val="multilevel"/>
    <w:tmpl w:val="D5DAC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294BD0"/>
    <w:multiLevelType w:val="multilevel"/>
    <w:tmpl w:val="4A46E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698188">
    <w:abstractNumId w:val="4"/>
  </w:num>
  <w:num w:numId="2" w16cid:durableId="215358697">
    <w:abstractNumId w:val="10"/>
  </w:num>
  <w:num w:numId="3" w16cid:durableId="779760318">
    <w:abstractNumId w:val="19"/>
  </w:num>
  <w:num w:numId="4" w16cid:durableId="914778958">
    <w:abstractNumId w:val="22"/>
  </w:num>
  <w:num w:numId="5" w16cid:durableId="415370405">
    <w:abstractNumId w:val="0"/>
  </w:num>
  <w:num w:numId="6" w16cid:durableId="1187793029">
    <w:abstractNumId w:val="5"/>
  </w:num>
  <w:num w:numId="7" w16cid:durableId="597711563">
    <w:abstractNumId w:val="15"/>
  </w:num>
  <w:num w:numId="8" w16cid:durableId="1923684251">
    <w:abstractNumId w:val="7"/>
  </w:num>
  <w:num w:numId="9" w16cid:durableId="292715140">
    <w:abstractNumId w:val="6"/>
  </w:num>
  <w:num w:numId="10" w16cid:durableId="178783898">
    <w:abstractNumId w:val="13"/>
  </w:num>
  <w:num w:numId="11" w16cid:durableId="883252252">
    <w:abstractNumId w:val="1"/>
  </w:num>
  <w:num w:numId="12" w16cid:durableId="1561137000">
    <w:abstractNumId w:val="17"/>
  </w:num>
  <w:num w:numId="13" w16cid:durableId="1728995118">
    <w:abstractNumId w:val="20"/>
  </w:num>
  <w:num w:numId="14" w16cid:durableId="2140412728">
    <w:abstractNumId w:val="23"/>
  </w:num>
  <w:num w:numId="15" w16cid:durableId="1172334465">
    <w:abstractNumId w:val="16"/>
  </w:num>
  <w:num w:numId="16" w16cid:durableId="673923496">
    <w:abstractNumId w:val="11"/>
  </w:num>
  <w:num w:numId="17" w16cid:durableId="2091273989">
    <w:abstractNumId w:val="21"/>
  </w:num>
  <w:num w:numId="18" w16cid:durableId="1265188266">
    <w:abstractNumId w:val="14"/>
  </w:num>
  <w:num w:numId="19" w16cid:durableId="1556116231">
    <w:abstractNumId w:val="24"/>
  </w:num>
  <w:num w:numId="20" w16cid:durableId="1502576167">
    <w:abstractNumId w:val="18"/>
  </w:num>
  <w:num w:numId="21" w16cid:durableId="808326561">
    <w:abstractNumId w:val="3"/>
  </w:num>
  <w:num w:numId="22" w16cid:durableId="858011243">
    <w:abstractNumId w:val="2"/>
  </w:num>
  <w:num w:numId="23" w16cid:durableId="181893996">
    <w:abstractNumId w:val="8"/>
  </w:num>
  <w:num w:numId="24" w16cid:durableId="1763137330">
    <w:abstractNumId w:val="12"/>
  </w:num>
  <w:num w:numId="25" w16cid:durableId="2005164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5D"/>
    <w:rsid w:val="00053503"/>
    <w:rsid w:val="000549C7"/>
    <w:rsid w:val="00056DAD"/>
    <w:rsid w:val="00071A75"/>
    <w:rsid w:val="00071B56"/>
    <w:rsid w:val="00093DCB"/>
    <w:rsid w:val="000C1315"/>
    <w:rsid w:val="000E4BAE"/>
    <w:rsid w:val="000F4BE9"/>
    <w:rsid w:val="0010088A"/>
    <w:rsid w:val="00115331"/>
    <w:rsid w:val="00131D15"/>
    <w:rsid w:val="00136B22"/>
    <w:rsid w:val="00181EEB"/>
    <w:rsid w:val="00193E5C"/>
    <w:rsid w:val="00196831"/>
    <w:rsid w:val="001C3F34"/>
    <w:rsid w:val="001D6108"/>
    <w:rsid w:val="00220015"/>
    <w:rsid w:val="0024779A"/>
    <w:rsid w:val="0025460B"/>
    <w:rsid w:val="00283AED"/>
    <w:rsid w:val="002E154E"/>
    <w:rsid w:val="002F77E1"/>
    <w:rsid w:val="00314BE4"/>
    <w:rsid w:val="0031670C"/>
    <w:rsid w:val="00327FE8"/>
    <w:rsid w:val="003367A6"/>
    <w:rsid w:val="00362560"/>
    <w:rsid w:val="00370EEF"/>
    <w:rsid w:val="00372125"/>
    <w:rsid w:val="00390124"/>
    <w:rsid w:val="0039753E"/>
    <w:rsid w:val="003A4CA8"/>
    <w:rsid w:val="003B3BAB"/>
    <w:rsid w:val="003B60BB"/>
    <w:rsid w:val="003B74F8"/>
    <w:rsid w:val="003C56DA"/>
    <w:rsid w:val="003F65B2"/>
    <w:rsid w:val="0040384D"/>
    <w:rsid w:val="00422CDE"/>
    <w:rsid w:val="00447FE4"/>
    <w:rsid w:val="00471EC3"/>
    <w:rsid w:val="00482A3F"/>
    <w:rsid w:val="004B6178"/>
    <w:rsid w:val="004C7AD6"/>
    <w:rsid w:val="004F216B"/>
    <w:rsid w:val="0050288B"/>
    <w:rsid w:val="00503F60"/>
    <w:rsid w:val="00544A37"/>
    <w:rsid w:val="00564AB6"/>
    <w:rsid w:val="00566229"/>
    <w:rsid w:val="005843E7"/>
    <w:rsid w:val="005D1B19"/>
    <w:rsid w:val="005F53BC"/>
    <w:rsid w:val="005F7F6E"/>
    <w:rsid w:val="00604D85"/>
    <w:rsid w:val="0062179C"/>
    <w:rsid w:val="00625535"/>
    <w:rsid w:val="00636419"/>
    <w:rsid w:val="006741D4"/>
    <w:rsid w:val="006853E4"/>
    <w:rsid w:val="0069072E"/>
    <w:rsid w:val="006A5E5F"/>
    <w:rsid w:val="006C18D7"/>
    <w:rsid w:val="006E1D7D"/>
    <w:rsid w:val="006F0057"/>
    <w:rsid w:val="006F519A"/>
    <w:rsid w:val="006F5C6D"/>
    <w:rsid w:val="0070698E"/>
    <w:rsid w:val="007203F9"/>
    <w:rsid w:val="0073541C"/>
    <w:rsid w:val="00761977"/>
    <w:rsid w:val="00786245"/>
    <w:rsid w:val="00794B86"/>
    <w:rsid w:val="007A11C4"/>
    <w:rsid w:val="007D3A19"/>
    <w:rsid w:val="007F3A76"/>
    <w:rsid w:val="00864C2D"/>
    <w:rsid w:val="008C7175"/>
    <w:rsid w:val="008D1D8F"/>
    <w:rsid w:val="00942B9F"/>
    <w:rsid w:val="009549FD"/>
    <w:rsid w:val="009870A9"/>
    <w:rsid w:val="00994BB0"/>
    <w:rsid w:val="009E0BC1"/>
    <w:rsid w:val="00A04CB8"/>
    <w:rsid w:val="00A10583"/>
    <w:rsid w:val="00A14D60"/>
    <w:rsid w:val="00A17147"/>
    <w:rsid w:val="00A60C43"/>
    <w:rsid w:val="00AC3AFA"/>
    <w:rsid w:val="00AD469A"/>
    <w:rsid w:val="00AF1FB6"/>
    <w:rsid w:val="00B2062C"/>
    <w:rsid w:val="00B429CF"/>
    <w:rsid w:val="00B47A1F"/>
    <w:rsid w:val="00B573E0"/>
    <w:rsid w:val="00BC7468"/>
    <w:rsid w:val="00C03A38"/>
    <w:rsid w:val="00C1531E"/>
    <w:rsid w:val="00C42EB8"/>
    <w:rsid w:val="00C80BC7"/>
    <w:rsid w:val="00C82653"/>
    <w:rsid w:val="00CC3984"/>
    <w:rsid w:val="00CC463E"/>
    <w:rsid w:val="00CD34CF"/>
    <w:rsid w:val="00CD4E24"/>
    <w:rsid w:val="00D03673"/>
    <w:rsid w:val="00D043C6"/>
    <w:rsid w:val="00D17895"/>
    <w:rsid w:val="00D339A4"/>
    <w:rsid w:val="00D36E5D"/>
    <w:rsid w:val="00D6261F"/>
    <w:rsid w:val="00D670ED"/>
    <w:rsid w:val="00D67332"/>
    <w:rsid w:val="00DB04D7"/>
    <w:rsid w:val="00DB2CBD"/>
    <w:rsid w:val="00DD2FED"/>
    <w:rsid w:val="00E055F3"/>
    <w:rsid w:val="00E13E20"/>
    <w:rsid w:val="00E14C7B"/>
    <w:rsid w:val="00E444EC"/>
    <w:rsid w:val="00E66E72"/>
    <w:rsid w:val="00E76599"/>
    <w:rsid w:val="00E96478"/>
    <w:rsid w:val="00EE6DDA"/>
    <w:rsid w:val="00F21643"/>
    <w:rsid w:val="00F512BE"/>
    <w:rsid w:val="00FA5F65"/>
    <w:rsid w:val="00FB34BE"/>
    <w:rsid w:val="29CE3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2007D"/>
  <w15:docId w15:val="{A90FED91-028A-A045-AF79-0F8AD18B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E0DE9"/>
    <w:pPr>
      <w:tabs>
        <w:tab w:val="center" w:pos="4680"/>
        <w:tab w:val="right" w:pos="9360"/>
      </w:tabs>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ind w:left="567" w:hanging="567"/>
      <w:contextualSpacing w:val="0"/>
    </w:pPr>
  </w:style>
  <w:style w:type="paragraph" w:customStyle="1" w:styleId="Secondnumbering">
    <w:name w:val="Second numbering"/>
    <w:basedOn w:val="Firstnumbering"/>
    <w:link w:val="SecondnumberingChar"/>
    <w:qFormat/>
    <w:rsid w:val="00360838"/>
    <w:pPr>
      <w:numPr>
        <w:numId w:val="3"/>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BodyText">
    <w:name w:val="Body Text"/>
    <w:basedOn w:val="Normal"/>
    <w:link w:val="BodyTextChar"/>
    <w:uiPriority w:val="1"/>
    <w:qFormat/>
    <w:rsid w:val="00D67332"/>
    <w:pPr>
      <w:widowControl w:val="0"/>
      <w:autoSpaceDE w:val="0"/>
      <w:autoSpaceDN w:val="0"/>
    </w:pPr>
    <w:rPr>
      <w:sz w:val="24"/>
      <w:szCs w:val="24"/>
      <w:lang w:eastAsia="en-GB" w:bidi="en-GB"/>
    </w:rPr>
  </w:style>
  <w:style w:type="character" w:customStyle="1" w:styleId="BodyTextChar">
    <w:name w:val="Body Text Char"/>
    <w:basedOn w:val="DefaultParagraphFont"/>
    <w:link w:val="BodyText"/>
    <w:uiPriority w:val="1"/>
    <w:rsid w:val="00D67332"/>
    <w:rPr>
      <w:sz w:val="24"/>
      <w:szCs w:val="24"/>
      <w:lang w:eastAsia="en-GB" w:bidi="en-GB"/>
    </w:rPr>
  </w:style>
  <w:style w:type="character" w:styleId="CommentReference">
    <w:name w:val="annotation reference"/>
    <w:basedOn w:val="DefaultParagraphFont"/>
    <w:uiPriority w:val="99"/>
    <w:semiHidden/>
    <w:unhideWhenUsed/>
    <w:rsid w:val="00E055F3"/>
    <w:rPr>
      <w:sz w:val="16"/>
      <w:szCs w:val="16"/>
    </w:rPr>
  </w:style>
  <w:style w:type="paragraph" w:styleId="CommentText">
    <w:name w:val="annotation text"/>
    <w:basedOn w:val="Normal"/>
    <w:link w:val="CommentTextChar"/>
    <w:uiPriority w:val="99"/>
    <w:unhideWhenUsed/>
    <w:rsid w:val="00E055F3"/>
    <w:rPr>
      <w:sz w:val="20"/>
      <w:szCs w:val="20"/>
    </w:rPr>
  </w:style>
  <w:style w:type="character" w:customStyle="1" w:styleId="CommentTextChar">
    <w:name w:val="Comment Text Char"/>
    <w:basedOn w:val="DefaultParagraphFont"/>
    <w:link w:val="CommentText"/>
    <w:uiPriority w:val="99"/>
    <w:rsid w:val="00E055F3"/>
    <w:rPr>
      <w:sz w:val="20"/>
      <w:szCs w:val="20"/>
    </w:rPr>
  </w:style>
  <w:style w:type="paragraph" w:styleId="CommentSubject">
    <w:name w:val="annotation subject"/>
    <w:basedOn w:val="CommentText"/>
    <w:next w:val="CommentText"/>
    <w:link w:val="CommentSubjectChar"/>
    <w:uiPriority w:val="99"/>
    <w:semiHidden/>
    <w:unhideWhenUsed/>
    <w:rsid w:val="00E055F3"/>
    <w:rPr>
      <w:b/>
      <w:bCs/>
    </w:rPr>
  </w:style>
  <w:style w:type="character" w:customStyle="1" w:styleId="CommentSubjectChar">
    <w:name w:val="Comment Subject Char"/>
    <w:basedOn w:val="CommentTextChar"/>
    <w:link w:val="CommentSubject"/>
    <w:uiPriority w:val="99"/>
    <w:semiHidden/>
    <w:rsid w:val="00E055F3"/>
    <w:rPr>
      <w:b/>
      <w:bCs/>
      <w:sz w:val="20"/>
      <w:szCs w:val="20"/>
    </w:rPr>
  </w:style>
  <w:style w:type="paragraph" w:styleId="NormalWeb">
    <w:name w:val="Normal (Web)"/>
    <w:basedOn w:val="Normal"/>
    <w:uiPriority w:val="99"/>
    <w:semiHidden/>
    <w:unhideWhenUsed/>
    <w:rsid w:val="005F7F6E"/>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sid w:val="0024779A"/>
    <w:rPr>
      <w:color w:val="2B579A"/>
      <w:shd w:val="clear" w:color="auto" w:fill="E1DFDD"/>
    </w:rPr>
  </w:style>
  <w:style w:type="character" w:styleId="Hyperlink">
    <w:name w:val="Hyperlink"/>
    <w:basedOn w:val="DefaultParagraphFont"/>
    <w:uiPriority w:val="99"/>
    <w:unhideWhenUsed/>
    <w:rsid w:val="003B3BAB"/>
    <w:rPr>
      <w:color w:val="0563C1" w:themeColor="hyperlink"/>
      <w:u w:val="single"/>
    </w:rPr>
  </w:style>
  <w:style w:type="character" w:styleId="UnresolvedMention">
    <w:name w:val="Unresolved Mention"/>
    <w:basedOn w:val="DefaultParagraphFont"/>
    <w:uiPriority w:val="99"/>
    <w:semiHidden/>
    <w:unhideWhenUsed/>
    <w:rsid w:val="000F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337987">
      <w:bodyDiv w:val="1"/>
      <w:marLeft w:val="0"/>
      <w:marRight w:val="0"/>
      <w:marTop w:val="0"/>
      <w:marBottom w:val="0"/>
      <w:divBdr>
        <w:top w:val="none" w:sz="0" w:space="0" w:color="auto"/>
        <w:left w:val="none" w:sz="0" w:space="0" w:color="auto"/>
        <w:bottom w:val="none" w:sz="0" w:space="0" w:color="auto"/>
        <w:right w:val="none" w:sz="0" w:space="0" w:color="auto"/>
      </w:divBdr>
      <w:divsChild>
        <w:div w:id="908611712">
          <w:marLeft w:val="0"/>
          <w:marRight w:val="0"/>
          <w:marTop w:val="0"/>
          <w:marBottom w:val="0"/>
          <w:divBdr>
            <w:top w:val="none" w:sz="0" w:space="0" w:color="auto"/>
            <w:left w:val="none" w:sz="0" w:space="0" w:color="auto"/>
            <w:bottom w:val="none" w:sz="0" w:space="0" w:color="auto"/>
            <w:right w:val="none" w:sz="0" w:space="0" w:color="auto"/>
          </w:divBdr>
          <w:divsChild>
            <w:div w:id="197547132">
              <w:marLeft w:val="0"/>
              <w:marRight w:val="0"/>
              <w:marTop w:val="0"/>
              <w:marBottom w:val="0"/>
              <w:divBdr>
                <w:top w:val="none" w:sz="0" w:space="0" w:color="auto"/>
                <w:left w:val="none" w:sz="0" w:space="0" w:color="auto"/>
                <w:bottom w:val="none" w:sz="0" w:space="0" w:color="auto"/>
                <w:right w:val="none" w:sz="0" w:space="0" w:color="auto"/>
              </w:divBdr>
              <w:divsChild>
                <w:div w:id="4385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riaJoseOrtiz xmlns="a7b50396-0b06-45c1-b28e-46f86d566a10" xsi:nil="true"/>
    <TaxKeywordTaxHTField xmlns="c15478a5-0be8-4f5d-8383-b307d5ba8bf6">
      <Terms xmlns="http://schemas.microsoft.com/office/infopath/2007/PartnerControls"/>
    </TaxKeywordTaxHTField>
    <_Flow_SignoffStatus xmlns="a7b50396-0b06-45c1-b28e-46f86d566a10" xsi:nil="true"/>
    <Sent xmlns="a7b50396-0b06-45c1-b28e-46f86d566a10" xsi:nil="true"/>
    <Notes xmlns="a7b50396-0b06-45c1-b28e-46f86d566a10" xsi:nil="true"/>
    <Reviewer xmlns="a7b50396-0b06-45c1-b28e-46f86d566a10" xsi:nil="true"/>
    <lcf76f155ced4ddcb4097134ff3c332f xmlns="a7b50396-0b06-45c1-b28e-46f86d566a10">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3fAEhPktTvgrojrKBBJujj7Tw==">CgMxLjAyCGguZ2pkZ3hzOAByITFydEJ3d2xWUUtRNjYzVmFUMzFSekhrZUU2WlJ2c1RCRw==</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A8A73-E2B8-48F0-9FC1-073DD59CA0AD}"/>
</file>

<file path=customXml/itemProps2.xml><?xml version="1.0" encoding="utf-8"?>
<ds:datastoreItem xmlns:ds="http://schemas.openxmlformats.org/officeDocument/2006/customXml" ds:itemID="{399B59DC-3B41-407C-8A81-1FDF8F254950}">
  <ds:schemaRefs>
    <ds:schemaRef ds:uri="http://schemas.microsoft.com/office/2006/metadata/properties"/>
    <ds:schemaRef ds:uri="http://schemas.microsoft.com/office/infopath/2007/PartnerControls"/>
    <ds:schemaRef ds:uri="a7b50396-0b06-45c1-b28e-46f86d566a10"/>
    <ds:schemaRef ds:uri="c15478a5-0be8-4f5d-8383-b307d5ba8bf6"/>
    <ds:schemaRef ds:uri="985ec44e-1bab-4c0b-9df0-6ba128686fc9"/>
  </ds:schemaRefs>
</ds:datastoreItem>
</file>

<file path=customXml/itemProps3.xml><?xml version="1.0" encoding="utf-8"?>
<ds:datastoreItem xmlns:ds="http://schemas.openxmlformats.org/officeDocument/2006/customXml" ds:itemID="{AB1B44D4-FF24-4BC7-B612-A7F0C0361777}">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E9F1C19-40E6-4242-BC28-0A5552219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Links>
    <vt:vector size="12" baseType="variant">
      <vt:variant>
        <vt:i4>786510</vt:i4>
      </vt:variant>
      <vt:variant>
        <vt:i4>3</vt:i4>
      </vt:variant>
      <vt:variant>
        <vt:i4>0</vt:i4>
      </vt:variant>
      <vt:variant>
        <vt:i4>5</vt:i4>
      </vt:variant>
      <vt:variant>
        <vt:lpwstr>https://www.cms.int/en/document/annex-1-maldives-proposal-concerted-action-oceanic-whitetip-shark-carcharhinus-longimanus</vt:lpwstr>
      </vt:variant>
      <vt:variant>
        <vt:lpwstr/>
      </vt:variant>
      <vt:variant>
        <vt:i4>4784166</vt:i4>
      </vt:variant>
      <vt:variant>
        <vt:i4>0</vt:i4>
      </vt:variant>
      <vt:variant>
        <vt:i4>0</vt:i4>
      </vt:variant>
      <vt:variant>
        <vt:i4>5</vt:i4>
      </vt:variant>
      <vt:variant>
        <vt:lpwstr>mailto:mariana.hillcruz@un.org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Cancino</dc:creator>
  <cp:lastModifiedBy>Ximena Victoria Cancino Ordenes</cp:lastModifiedBy>
  <cp:revision>16</cp:revision>
  <dcterms:created xsi:type="dcterms:W3CDTF">2023-12-06T09:32:00Z</dcterms:created>
  <dcterms:modified xsi:type="dcterms:W3CDTF">2023-12-08T13:19:00Z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TaxKeyword">
    <vt:lpwstr/>
  </property>
  <property fmtid="{D5CDD505-2E9C-101B-9397-08002B2CF9AE}" pid="5" name="MediaServiceImageTags">
    <vt:lpwstr/>
  </property>
</Properties>
</file>