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8D2E3E"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3103DDE6" w:rsidR="00E966DE" w:rsidRPr="00E03263" w:rsidRDefault="00E966DE" w:rsidP="009750BD">
            <w:pPr>
              <w:spacing w:before="40" w:after="40"/>
              <w:rPr>
                <w:rFonts w:ascii="Arial" w:hAnsi="Arial" w:cs="Arial"/>
                <w:lang w:val="es-ES"/>
              </w:rPr>
            </w:pPr>
            <w:r w:rsidRPr="00E03263">
              <w:rPr>
                <w:rFonts w:ascii="Arial" w:hAnsi="Arial" w:cs="Arial"/>
                <w:lang w:val="es-ES"/>
              </w:rPr>
              <w:t>CMS/</w:t>
            </w:r>
            <w:proofErr w:type="spellStart"/>
            <w:r w:rsidRPr="00E03263">
              <w:rPr>
                <w:rFonts w:ascii="Arial" w:hAnsi="Arial" w:cs="Arial"/>
                <w:lang w:val="es-ES"/>
              </w:rPr>
              <w:t>Sharks</w:t>
            </w:r>
            <w:proofErr w:type="spellEnd"/>
            <w:r w:rsidRPr="00E03263">
              <w:rPr>
                <w:rFonts w:ascii="Arial" w:hAnsi="Arial" w:cs="Arial"/>
                <w:lang w:val="es-ES"/>
              </w:rPr>
              <w:t>/MOS4/Doc.</w:t>
            </w:r>
            <w:r w:rsidR="008D2E3E" w:rsidRPr="00E03263">
              <w:rPr>
                <w:rFonts w:ascii="Arial" w:hAnsi="Arial" w:cs="Arial"/>
                <w:lang w:val="es-ES"/>
              </w:rPr>
              <w:t>12.1</w:t>
            </w:r>
          </w:p>
          <w:p w14:paraId="290E891E" w14:textId="35C668B9" w:rsidR="00E966DE" w:rsidRPr="00E03263" w:rsidRDefault="008D2E3E" w:rsidP="009750BD">
            <w:pPr>
              <w:spacing w:before="40" w:after="40"/>
              <w:rPr>
                <w:rFonts w:ascii="Arial" w:hAnsi="Arial" w:cs="Arial"/>
                <w:lang w:val="es-ES"/>
              </w:rPr>
            </w:pPr>
            <w:r w:rsidRPr="00E03263">
              <w:rPr>
                <w:rFonts w:ascii="Arial" w:hAnsi="Arial" w:cs="Arial"/>
                <w:lang w:val="es-ES"/>
              </w:rPr>
              <w:t>3 de enero de 2023</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3424F476"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8D2E3E">
        <w:rPr>
          <w:rFonts w:ascii="Arial" w:eastAsia="Times New Roman" w:hAnsi="Arial" w:cs="Arial"/>
          <w:bCs/>
          <w:lang w:val="es-ES"/>
        </w:rPr>
        <w:t>12</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6FA7E317" w14:textId="77777777" w:rsidR="007F365D" w:rsidRPr="007F365D" w:rsidRDefault="007F365D" w:rsidP="007F365D">
      <w:pPr>
        <w:widowControl w:val="0"/>
        <w:autoSpaceDE w:val="0"/>
        <w:autoSpaceDN w:val="0"/>
        <w:adjustRightInd w:val="0"/>
        <w:spacing w:after="120" w:line="240" w:lineRule="auto"/>
        <w:jc w:val="center"/>
        <w:rPr>
          <w:rFonts w:ascii="Arial" w:eastAsia="Times New Roman" w:hAnsi="Arial" w:cs="Arial"/>
          <w:b/>
          <w:bCs/>
          <w:lang w:val="es-ES"/>
        </w:rPr>
      </w:pPr>
      <w:r w:rsidRPr="007F365D">
        <w:rPr>
          <w:rFonts w:ascii="Arial" w:eastAsia="Times New Roman" w:hAnsi="Arial" w:cs="Arial"/>
          <w:b/>
          <w:bCs/>
          <w:lang w:val="es-ES"/>
        </w:rPr>
        <w:t>BORRADOR DE PROGRAMA DE TRABAJO (2023-2025)</w:t>
      </w:r>
    </w:p>
    <w:p w14:paraId="16BFCFB6" w14:textId="77777777" w:rsidR="007F365D" w:rsidRPr="007F365D" w:rsidRDefault="007F365D" w:rsidP="007F365D">
      <w:pPr>
        <w:widowControl w:val="0"/>
        <w:autoSpaceDE w:val="0"/>
        <w:autoSpaceDN w:val="0"/>
        <w:adjustRightInd w:val="0"/>
        <w:spacing w:after="0" w:line="240" w:lineRule="auto"/>
        <w:jc w:val="center"/>
        <w:rPr>
          <w:rFonts w:ascii="Arial" w:eastAsia="Times New Roman" w:hAnsi="Arial" w:cs="Arial"/>
          <w:bCs/>
          <w:i/>
          <w:lang w:val="es-ES"/>
        </w:rPr>
      </w:pPr>
      <w:r w:rsidRPr="007F365D">
        <w:rPr>
          <w:rFonts w:ascii="Arial" w:eastAsia="Times New Roman" w:hAnsi="Arial" w:cs="Arial"/>
          <w:bCs/>
          <w:i/>
          <w:lang w:val="es-ES"/>
        </w:rPr>
        <w:t>(Preparado por la Secretaría)</w:t>
      </w:r>
    </w:p>
    <w:p w14:paraId="57903163" w14:textId="77777777" w:rsidR="007F365D" w:rsidRPr="007F365D" w:rsidRDefault="007F365D" w:rsidP="007F365D">
      <w:pPr>
        <w:widowControl w:val="0"/>
        <w:autoSpaceDE w:val="0"/>
        <w:autoSpaceDN w:val="0"/>
        <w:adjustRightInd w:val="0"/>
        <w:spacing w:after="0" w:line="240" w:lineRule="auto"/>
        <w:jc w:val="center"/>
        <w:rPr>
          <w:rFonts w:ascii="Arial" w:eastAsia="Times New Roman" w:hAnsi="Arial" w:cs="Arial"/>
          <w:bCs/>
          <w:i/>
          <w:lang w:val="es-ES"/>
        </w:rPr>
      </w:pPr>
    </w:p>
    <w:p w14:paraId="51C38C9D" w14:textId="77777777" w:rsidR="007F365D" w:rsidRPr="007F365D" w:rsidRDefault="007F365D" w:rsidP="007F365D">
      <w:pPr>
        <w:widowControl w:val="0"/>
        <w:autoSpaceDE w:val="0"/>
        <w:autoSpaceDN w:val="0"/>
        <w:adjustRightInd w:val="0"/>
        <w:spacing w:after="0" w:line="240" w:lineRule="auto"/>
        <w:ind w:left="720"/>
        <w:contextualSpacing/>
        <w:rPr>
          <w:rFonts w:ascii="Arial" w:eastAsia="Times New Roman" w:hAnsi="Arial" w:cs="Arial"/>
          <w:lang w:val="es-ES"/>
        </w:rPr>
      </w:pPr>
    </w:p>
    <w:p w14:paraId="55F64138"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El </w:t>
      </w:r>
      <w:r w:rsidRPr="007F365D">
        <w:rPr>
          <w:rFonts w:ascii="Arial" w:eastAsia="Times New Roman" w:hAnsi="Arial" w:cs="Arial"/>
          <w:u w:val="single"/>
          <w:lang w:val="es-ES"/>
        </w:rPr>
        <w:t>Anexo</w:t>
      </w:r>
      <w:r w:rsidRPr="007F365D">
        <w:rPr>
          <w:rFonts w:ascii="Arial" w:eastAsia="Times New Roman" w:hAnsi="Arial" w:cs="Arial"/>
          <w:lang w:val="es-ES"/>
        </w:rPr>
        <w:t xml:space="preserve"> contiene un borrador del Programa de Trabajo (POW, por sus siglas en inglés), que enumera actividades que la Secretaría sugiere que se tomen en el próximo trienio (2023-2025). El POW va dirigido a orientar a los Signatarios, al Comité Asesor (CA), al Grupo de Trabajo de Conservación (CWG, por sus siglas en inglés), Socios Cooperadores y la Secretaría.</w:t>
      </w:r>
    </w:p>
    <w:p w14:paraId="6330E78B"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662FB668"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Este documento se desmarca significativamente del anterior Programa de Trabajo (2019-2022), ya que se ha preparado de forma bastante diferente:</w:t>
      </w:r>
    </w:p>
    <w:p w14:paraId="4F7597BC"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6D4AECF9" w14:textId="77777777" w:rsidR="007F365D" w:rsidRPr="007F365D" w:rsidRDefault="007F365D" w:rsidP="00E03263">
      <w:pPr>
        <w:widowControl w:val="0"/>
        <w:numPr>
          <w:ilvl w:val="0"/>
          <w:numId w:val="10"/>
        </w:numPr>
        <w:tabs>
          <w:tab w:val="left" w:pos="0"/>
          <w:tab w:val="left" w:pos="540"/>
        </w:tabs>
        <w:autoSpaceDE w:val="0"/>
        <w:autoSpaceDN w:val="0"/>
        <w:adjustRightInd w:val="0"/>
        <w:spacing w:after="0" w:line="240" w:lineRule="auto"/>
        <w:ind w:left="900"/>
        <w:contextualSpacing/>
        <w:jc w:val="both"/>
        <w:rPr>
          <w:rFonts w:ascii="Arial" w:eastAsia="Times New Roman" w:hAnsi="Arial" w:cs="Arial"/>
          <w:lang w:val="es-ES"/>
        </w:rPr>
      </w:pPr>
      <w:r w:rsidRPr="007F365D">
        <w:rPr>
          <w:rFonts w:ascii="Arial" w:eastAsia="Times New Roman" w:hAnsi="Arial" w:cs="Arial"/>
          <w:lang w:val="es-ES"/>
        </w:rPr>
        <w:t xml:space="preserve">Se divide en dos secciones: (1) tareas principales de la Secretaría y el CA y (2) actividades de conservación que serán financiadas por recursos presupuestarios extras. </w:t>
      </w:r>
    </w:p>
    <w:p w14:paraId="6E71F8F3" w14:textId="77777777" w:rsidR="007F365D" w:rsidRPr="007F365D" w:rsidRDefault="007F365D" w:rsidP="00E03263">
      <w:pPr>
        <w:tabs>
          <w:tab w:val="left" w:pos="0"/>
          <w:tab w:val="left" w:pos="540"/>
        </w:tabs>
        <w:spacing w:after="0" w:line="240" w:lineRule="auto"/>
        <w:ind w:left="900" w:hanging="360"/>
        <w:contextualSpacing/>
        <w:jc w:val="both"/>
        <w:rPr>
          <w:rFonts w:ascii="Arial" w:eastAsia="Times New Roman" w:hAnsi="Arial" w:cs="Arial"/>
          <w:lang w:val="es-ES"/>
        </w:rPr>
      </w:pPr>
    </w:p>
    <w:p w14:paraId="25688315" w14:textId="77777777" w:rsidR="007F365D" w:rsidRPr="007F365D" w:rsidRDefault="007F365D" w:rsidP="00E03263">
      <w:pPr>
        <w:widowControl w:val="0"/>
        <w:numPr>
          <w:ilvl w:val="0"/>
          <w:numId w:val="10"/>
        </w:numPr>
        <w:tabs>
          <w:tab w:val="left" w:pos="0"/>
          <w:tab w:val="left" w:pos="540"/>
        </w:tabs>
        <w:autoSpaceDE w:val="0"/>
        <w:autoSpaceDN w:val="0"/>
        <w:adjustRightInd w:val="0"/>
        <w:spacing w:after="0" w:line="240" w:lineRule="auto"/>
        <w:ind w:left="900"/>
        <w:contextualSpacing/>
        <w:jc w:val="both"/>
        <w:rPr>
          <w:rFonts w:ascii="Arial" w:eastAsia="Times New Roman" w:hAnsi="Arial" w:cs="Arial"/>
          <w:lang w:val="es-ES"/>
        </w:rPr>
      </w:pPr>
      <w:r w:rsidRPr="007F365D">
        <w:rPr>
          <w:rFonts w:ascii="Arial" w:eastAsia="Times New Roman" w:hAnsi="Arial" w:cs="Arial"/>
          <w:lang w:val="es-ES"/>
        </w:rPr>
        <w:t xml:space="preserve">Se ha calculado la cantidad total de tiempo de personal disponible por miembro de personal durante el trienio y se ha estimado la cantidad de tiempo requerido para cada actividad. Esto permite el cálculo de los requisitos de personal necesarios para aplicar las actividades acordadas por los Signatarios. </w:t>
      </w:r>
    </w:p>
    <w:p w14:paraId="35797966"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1032FD73"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r w:rsidRPr="007F365D">
        <w:rPr>
          <w:rFonts w:ascii="Arial" w:eastAsia="Times New Roman" w:hAnsi="Arial" w:cs="Arial"/>
          <w:lang w:val="es-ES"/>
        </w:rPr>
        <w:t xml:space="preserve">A </w:t>
      </w:r>
      <w:proofErr w:type="gramStart"/>
      <w:r w:rsidRPr="007F365D">
        <w:rPr>
          <w:rFonts w:ascii="Arial" w:eastAsia="Times New Roman" w:hAnsi="Arial" w:cs="Arial"/>
          <w:lang w:val="es-ES"/>
        </w:rPr>
        <w:t>continuación</w:t>
      </w:r>
      <w:proofErr w:type="gramEnd"/>
      <w:r w:rsidRPr="007F365D">
        <w:rPr>
          <w:rFonts w:ascii="Arial" w:eastAsia="Times New Roman" w:hAnsi="Arial" w:cs="Arial"/>
          <w:lang w:val="es-ES"/>
        </w:rPr>
        <w:t xml:space="preserve"> se explicarán en detalle ambos aspectos nuevos.          </w:t>
      </w:r>
    </w:p>
    <w:p w14:paraId="0F31CB85"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lang w:val="es-ES"/>
        </w:rPr>
      </w:pPr>
    </w:p>
    <w:p w14:paraId="04595D46" w14:textId="54B408D3"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Una revisión de la aplicación del Programa de Trabajo durante el trienio anterior </w:t>
      </w:r>
      <w:r w:rsidRPr="007F365D">
        <w:rPr>
          <w:rFonts w:ascii="Arial" w:eastAsia="Times New Roman" w:hAnsi="Arial" w:cs="Arial"/>
          <w:lang w:val="es-ES"/>
        </w:rPr>
        <w:br/>
        <w:t xml:space="preserve">(2019-2021) se llevará a cabo después de revisar los Informes Nacionales de los Signatarios resumiendo las actividades llevadas a cabo durante el pasado trienio.  Ya que los informes deben enviarse antes del 29 de enero de 2023, esta revisión se publicará en febrero de 2023 como </w:t>
      </w:r>
      <w:hyperlink r:id="rId10"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/MOS4/Doc.12.2</w:t>
        </w:r>
      </w:hyperlink>
      <w:r w:rsidRPr="007F365D">
        <w:rPr>
          <w:rFonts w:ascii="Arial" w:eastAsia="Times New Roman" w:hAnsi="Arial" w:cs="Arial"/>
          <w:lang w:val="es-ES"/>
        </w:rPr>
        <w:t xml:space="preserve">.  </w:t>
      </w:r>
    </w:p>
    <w:p w14:paraId="735C037E"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2BFEFA67"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A partir de entonces, la Secretaría se planteará si cualquiera de las actividades activas o no implementadas por completo del Programa de Trabajo previo tiene que llevarse a cabo y si este documento requiere una revisión correspondiente. Dicha revisión se publicaría en febrero de 2023 si fuera necesario.</w:t>
      </w:r>
    </w:p>
    <w:p w14:paraId="6FD8FE2F" w14:textId="77777777" w:rsidR="007F365D" w:rsidRPr="007F365D" w:rsidRDefault="007F365D" w:rsidP="007F365D">
      <w:pPr>
        <w:widowControl w:val="0"/>
        <w:autoSpaceDE w:val="0"/>
        <w:autoSpaceDN w:val="0"/>
        <w:adjustRightInd w:val="0"/>
        <w:spacing w:after="0" w:line="240" w:lineRule="auto"/>
        <w:ind w:left="720"/>
        <w:contextualSpacing/>
        <w:rPr>
          <w:rFonts w:ascii="Arial" w:eastAsia="Times New Roman" w:hAnsi="Arial" w:cs="Arial"/>
          <w:lang w:val="es-ES"/>
        </w:rPr>
      </w:pPr>
    </w:p>
    <w:p w14:paraId="729C36D3" w14:textId="54E1CEA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Este documento debería debatirse en el contexto del presupuesto propuesto para el próximo trienio (</w:t>
      </w:r>
      <w:hyperlink r:id="rId11"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/MOS4/Doc.14.2</w:t>
        </w:r>
      </w:hyperlink>
      <w:r w:rsidRPr="007F365D">
        <w:rPr>
          <w:rFonts w:ascii="Arial" w:eastAsia="Times New Roman" w:hAnsi="Arial" w:cs="Arial"/>
          <w:lang w:val="es-ES"/>
        </w:rPr>
        <w:t xml:space="preserve">) para asegurar los niveles adecuados de personal. </w:t>
      </w:r>
    </w:p>
    <w:p w14:paraId="6DF03044"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32788509"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 xml:space="preserve">Distinción entre tareas principales y actividades de conservación </w:t>
      </w:r>
      <w:proofErr w:type="spellStart"/>
      <w:r w:rsidRPr="007F365D">
        <w:rPr>
          <w:rFonts w:ascii="Arial" w:eastAsia="Times New Roman" w:hAnsi="Arial" w:cs="Arial"/>
          <w:b/>
          <w:bCs/>
          <w:lang w:val="es-ES"/>
        </w:rPr>
        <w:t>extra-presupuestarias</w:t>
      </w:r>
      <w:proofErr w:type="spellEnd"/>
    </w:p>
    <w:p w14:paraId="54946623"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5C1F2B93"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La Secretaría ha incluido las siguientes actividades en el borrador del Programa de Trabajo (2023-2025):</w:t>
      </w:r>
    </w:p>
    <w:p w14:paraId="32D77E98" w14:textId="77777777" w:rsidR="007F365D" w:rsidRPr="007F365D" w:rsidRDefault="007F365D" w:rsidP="007F365D">
      <w:pPr>
        <w:widowControl w:val="0"/>
        <w:autoSpaceDE w:val="0"/>
        <w:autoSpaceDN w:val="0"/>
        <w:adjustRightInd w:val="0"/>
        <w:spacing w:after="0" w:line="240" w:lineRule="auto"/>
        <w:ind w:left="720"/>
        <w:contextualSpacing/>
        <w:rPr>
          <w:rFonts w:ascii="Arial" w:eastAsia="Times New Roman" w:hAnsi="Arial" w:cs="Arial"/>
          <w:lang w:val="es-ES"/>
        </w:rPr>
      </w:pPr>
    </w:p>
    <w:p w14:paraId="10205F0B"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ab/>
        <w:t>Sección 1: tareas principales de la Secretaría y el Comité Asesor</w:t>
      </w:r>
    </w:p>
    <w:p w14:paraId="44EAE9F5" w14:textId="77777777" w:rsidR="007F365D" w:rsidRPr="007F365D" w:rsidRDefault="007F365D" w:rsidP="007F365D">
      <w:pPr>
        <w:widowControl w:val="0"/>
        <w:numPr>
          <w:ilvl w:val="1"/>
          <w:numId w:val="8"/>
        </w:numPr>
        <w:tabs>
          <w:tab w:val="left" w:pos="0"/>
          <w:tab w:val="left" w:pos="720"/>
        </w:tabs>
        <w:autoSpaceDE w:val="0"/>
        <w:autoSpaceDN w:val="0"/>
        <w:adjustRightInd w:val="0"/>
        <w:spacing w:after="0" w:line="240" w:lineRule="auto"/>
        <w:ind w:left="1080" w:hanging="540"/>
        <w:contextualSpacing/>
        <w:jc w:val="both"/>
        <w:rPr>
          <w:rFonts w:ascii="Arial" w:eastAsia="Times New Roman" w:hAnsi="Arial" w:cs="Arial"/>
          <w:lang w:val="es-ES"/>
        </w:rPr>
      </w:pPr>
      <w:r w:rsidRPr="007F365D">
        <w:rPr>
          <w:rFonts w:ascii="Arial" w:eastAsia="Times New Roman" w:hAnsi="Arial" w:cs="Arial"/>
          <w:lang w:val="es-ES"/>
        </w:rPr>
        <w:t>Tareas principales encargadas de la Secretaría según sus Términos de Referencia (TOR, por sus siglas en inglés);</w:t>
      </w:r>
    </w:p>
    <w:p w14:paraId="031E485B" w14:textId="77777777" w:rsidR="007F365D" w:rsidRPr="007F365D" w:rsidRDefault="007F365D" w:rsidP="007F365D">
      <w:pPr>
        <w:widowControl w:val="0"/>
        <w:numPr>
          <w:ilvl w:val="1"/>
          <w:numId w:val="8"/>
        </w:numPr>
        <w:tabs>
          <w:tab w:val="left" w:pos="0"/>
          <w:tab w:val="left" w:pos="720"/>
        </w:tabs>
        <w:autoSpaceDE w:val="0"/>
        <w:autoSpaceDN w:val="0"/>
        <w:adjustRightInd w:val="0"/>
        <w:spacing w:after="0" w:line="240" w:lineRule="auto"/>
        <w:ind w:left="1080" w:hanging="540"/>
        <w:contextualSpacing/>
        <w:jc w:val="both"/>
        <w:rPr>
          <w:rFonts w:ascii="Arial" w:eastAsia="Times New Roman" w:hAnsi="Arial" w:cs="Arial"/>
          <w:lang w:val="es-ES"/>
        </w:rPr>
      </w:pPr>
      <w:r w:rsidRPr="007F365D">
        <w:rPr>
          <w:rFonts w:ascii="Arial" w:eastAsia="Times New Roman" w:hAnsi="Arial" w:cs="Arial"/>
          <w:lang w:val="es-ES"/>
        </w:rPr>
        <w:lastRenderedPageBreak/>
        <w:t>Tareas principales del CA, con el apoyo del CWG, según sus TOR.</w:t>
      </w:r>
    </w:p>
    <w:p w14:paraId="3BCA7133" w14:textId="77777777" w:rsidR="007F365D" w:rsidRPr="007F365D" w:rsidRDefault="007F365D" w:rsidP="007F365D">
      <w:pPr>
        <w:tabs>
          <w:tab w:val="left" w:pos="0"/>
          <w:tab w:val="left" w:pos="720"/>
        </w:tabs>
        <w:spacing w:after="0" w:line="240" w:lineRule="auto"/>
        <w:ind w:left="1440"/>
        <w:contextualSpacing/>
        <w:jc w:val="both"/>
        <w:rPr>
          <w:rFonts w:ascii="Arial" w:eastAsia="Times New Roman" w:hAnsi="Arial" w:cs="Arial"/>
          <w:lang w:val="es-ES"/>
        </w:rPr>
      </w:pPr>
    </w:p>
    <w:p w14:paraId="60657676"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ab/>
        <w:t xml:space="preserve">Sección 2: actividades de conservación </w:t>
      </w:r>
      <w:proofErr w:type="spellStart"/>
      <w:r w:rsidRPr="007F365D">
        <w:rPr>
          <w:rFonts w:ascii="Arial" w:eastAsia="Times New Roman" w:hAnsi="Arial" w:cs="Arial"/>
          <w:b/>
          <w:bCs/>
          <w:lang w:val="es-ES"/>
        </w:rPr>
        <w:t>extra-presupuestarias</w:t>
      </w:r>
      <w:proofErr w:type="spellEnd"/>
    </w:p>
    <w:p w14:paraId="2F7E81E8" w14:textId="77777777" w:rsidR="007F365D" w:rsidRPr="007F365D" w:rsidRDefault="007F365D" w:rsidP="007F365D">
      <w:pPr>
        <w:widowControl w:val="0"/>
        <w:numPr>
          <w:ilvl w:val="1"/>
          <w:numId w:val="8"/>
        </w:numPr>
        <w:tabs>
          <w:tab w:val="left" w:pos="0"/>
          <w:tab w:val="left" w:pos="720"/>
        </w:tabs>
        <w:autoSpaceDE w:val="0"/>
        <w:autoSpaceDN w:val="0"/>
        <w:adjustRightInd w:val="0"/>
        <w:spacing w:after="0" w:line="240" w:lineRule="auto"/>
        <w:ind w:left="1080" w:hanging="540"/>
        <w:contextualSpacing/>
        <w:jc w:val="both"/>
        <w:rPr>
          <w:rFonts w:ascii="Arial" w:eastAsia="Times New Roman" w:hAnsi="Arial" w:cs="Arial"/>
          <w:lang w:val="es-ES"/>
        </w:rPr>
      </w:pPr>
      <w:r w:rsidRPr="007F365D">
        <w:rPr>
          <w:rFonts w:ascii="Arial" w:eastAsia="Times New Roman" w:hAnsi="Arial" w:cs="Arial"/>
          <w:lang w:val="es-ES"/>
        </w:rPr>
        <w:t>Nuevas actividades que el CA y los Signatarios recomiendan a MOS4 (ver los puntos 10 y 11 del orden del día) o cuya financiación ya ha sido asegurada por la Secretaría.</w:t>
      </w:r>
    </w:p>
    <w:p w14:paraId="234A707C"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79C9F84B" w14:textId="4F4E5172"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Times New Roman" w:eastAsia="Times New Roman" w:hAnsi="Times New Roman" w:cs="Arial"/>
          <w:lang w:val="es-ES"/>
        </w:rPr>
      </w:pPr>
      <w:r w:rsidRPr="007F365D">
        <w:rPr>
          <w:rFonts w:ascii="Arial" w:eastAsia="Times New Roman" w:hAnsi="Arial" w:cs="Arial"/>
          <w:lang w:val="es-ES"/>
        </w:rPr>
        <w:t>Los cambios estructurales en el Programa de Trabajo están en línea con los cambios introducidos en el borrador del presupuesto (</w:t>
      </w:r>
      <w:hyperlink r:id="rId12"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/MOS4/Doc.14.2</w:t>
        </w:r>
      </w:hyperlink>
      <w:r w:rsidRPr="007F365D">
        <w:rPr>
          <w:rFonts w:ascii="Arial" w:eastAsia="Times New Roman" w:hAnsi="Arial" w:cs="Arial"/>
          <w:lang w:val="es-ES"/>
        </w:rPr>
        <w:t xml:space="preserve">) para diferenciar entre tareas principales encargadas que deben ser financiadas por el presupuesto principal y las actividades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xml:space="preserve">, que requerirán financiación adicional aparte de la incluida en el presupuesto. </w:t>
      </w:r>
    </w:p>
    <w:p w14:paraId="54475EBD" w14:textId="77777777" w:rsidR="007F365D" w:rsidRPr="007F365D" w:rsidRDefault="007F365D" w:rsidP="007F365D">
      <w:pPr>
        <w:tabs>
          <w:tab w:val="left" w:pos="0"/>
          <w:tab w:val="left" w:pos="540"/>
        </w:tabs>
        <w:spacing w:after="0" w:line="240" w:lineRule="auto"/>
        <w:ind w:left="540"/>
        <w:contextualSpacing/>
        <w:jc w:val="both"/>
        <w:rPr>
          <w:rFonts w:ascii="Times New Roman" w:eastAsia="Times New Roman" w:hAnsi="Times New Roman" w:cs="Arial"/>
          <w:lang w:val="es-ES"/>
        </w:rPr>
      </w:pPr>
    </w:p>
    <w:p w14:paraId="510A5E7D"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Las tareas principales son actividades esenciales de la Secretaría y del CA para mantener el Memorando de Entendimiento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operativo. Están basadas en sus respectivos TOR y permanecen prácticamente inalteradas desde el trienio anterior. </w:t>
      </w:r>
    </w:p>
    <w:p w14:paraId="15D7B57C"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0F5A01E2"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En referencia a las actividades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xml:space="preserve">, hay una serie de actividades de conservación recomendadas por el CA y por los Signatarios, la mayoría de las cuales se presentan en detalle en los puntos 10 y 11 del orden del día, como se describe a continuación: </w:t>
      </w:r>
    </w:p>
    <w:p w14:paraId="0B06F88C"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2579C43D" w14:textId="4CA4F0B0"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10.1</w:t>
      </w:r>
      <w:r w:rsidRPr="007F365D">
        <w:rPr>
          <w:rFonts w:ascii="Arial" w:eastAsia="Times New Roman" w:hAnsi="Arial" w:cs="Arial"/>
          <w:lang w:val="es-ES"/>
        </w:rPr>
        <w:tab/>
        <w:t>Plan de Acción de Especies Únicas para el Angelote en el mar Mediterráneo (</w:t>
      </w:r>
      <w:hyperlink r:id="rId13"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/MOS4/Doc.10.1</w:t>
        </w:r>
      </w:hyperlink>
      <w:r w:rsidRPr="007F365D">
        <w:rPr>
          <w:rFonts w:ascii="Arial" w:eastAsia="Times New Roman" w:hAnsi="Arial" w:cs="Arial"/>
          <w:lang w:val="es-ES"/>
        </w:rPr>
        <w:t>)</w:t>
      </w:r>
    </w:p>
    <w:p w14:paraId="4B6A2689" w14:textId="54A0E2A8"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10.2</w:t>
      </w:r>
      <w:r w:rsidRPr="007F365D">
        <w:rPr>
          <w:rFonts w:ascii="Arial" w:eastAsia="Times New Roman" w:hAnsi="Arial" w:cs="Arial"/>
          <w:lang w:val="es-ES"/>
        </w:rPr>
        <w:tab/>
        <w:t>Desarrollo de una estrategia de conservación y de planes de acción para tiburones y rayas pelágicos (</w:t>
      </w:r>
      <w:hyperlink r:id="rId14"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/MOS4/Doc.10.2</w:t>
        </w:r>
      </w:hyperlink>
      <w:r w:rsidRPr="007F365D">
        <w:rPr>
          <w:rFonts w:ascii="Arial" w:eastAsia="Times New Roman" w:hAnsi="Arial" w:cs="Arial"/>
          <w:lang w:val="es-ES"/>
        </w:rPr>
        <w:t>)</w:t>
      </w:r>
    </w:p>
    <w:p w14:paraId="42552F75" w14:textId="043C94CA"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10.3</w:t>
      </w:r>
      <w:r w:rsidRPr="007F365D">
        <w:rPr>
          <w:rFonts w:ascii="Arial" w:eastAsia="Times New Roman" w:hAnsi="Arial" w:cs="Arial"/>
          <w:lang w:val="es-ES"/>
        </w:rPr>
        <w:tab/>
        <w:t xml:space="preserve">Desarrollo de una estrategia de conservación y planes de acción para las rayas </w:t>
      </w:r>
      <w:proofErr w:type="spellStart"/>
      <w:r w:rsidRPr="007F365D">
        <w:rPr>
          <w:rFonts w:ascii="Arial" w:eastAsia="Times New Roman" w:hAnsi="Arial" w:cs="Arial"/>
          <w:lang w:val="es-ES"/>
        </w:rPr>
        <w:t>rhino</w:t>
      </w:r>
      <w:proofErr w:type="spellEnd"/>
      <w:r w:rsidRPr="007F365D">
        <w:rPr>
          <w:rFonts w:ascii="Arial" w:eastAsia="Times New Roman" w:hAnsi="Arial" w:cs="Arial"/>
          <w:lang w:val="es-ES"/>
        </w:rPr>
        <w:t xml:space="preserve"> (</w:t>
      </w:r>
      <w:hyperlink r:id="rId15"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/MOS4/Doc.10.3</w:t>
        </w:r>
      </w:hyperlink>
      <w:r w:rsidRPr="007F365D">
        <w:rPr>
          <w:rFonts w:ascii="Arial" w:eastAsia="Times New Roman" w:hAnsi="Arial" w:cs="Arial"/>
          <w:lang w:val="es-ES"/>
        </w:rPr>
        <w:t>)</w:t>
      </w:r>
    </w:p>
    <w:p w14:paraId="590A859A" w14:textId="4548DBCF"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10.4</w:t>
      </w:r>
      <w:r w:rsidRPr="007F365D">
        <w:rPr>
          <w:rFonts w:ascii="Arial" w:eastAsia="Times New Roman" w:hAnsi="Arial" w:cs="Arial"/>
          <w:lang w:val="es-ES"/>
        </w:rPr>
        <w:tab/>
        <w:t>Áreas importantes de tiburones y rayas (ISRA, por sus siglas en inglés) (</w:t>
      </w:r>
      <w:hyperlink r:id="rId16"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/MOS4/Doc.10.4</w:t>
        </w:r>
      </w:hyperlink>
      <w:r w:rsidRPr="007F365D">
        <w:rPr>
          <w:rFonts w:ascii="Arial" w:eastAsia="Times New Roman" w:hAnsi="Arial" w:cs="Arial"/>
          <w:lang w:val="es-ES"/>
        </w:rPr>
        <w:t>)</w:t>
      </w:r>
    </w:p>
    <w:p w14:paraId="03B44695" w14:textId="22059CDD"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10.5</w:t>
      </w:r>
      <w:r w:rsidRPr="007F365D">
        <w:rPr>
          <w:rFonts w:ascii="Arial" w:eastAsia="Times New Roman" w:hAnsi="Arial" w:cs="Arial"/>
          <w:lang w:val="es-ES"/>
        </w:rPr>
        <w:tab/>
        <w:t xml:space="preserve">Priorización regional de especies de tiburones y rayas enumeradas en el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sobre tiburones </w:t>
      </w:r>
      <w:r w:rsidRPr="007F365D">
        <w:rPr>
          <w:rFonts w:ascii="Arial" w:eastAsia="Times New Roman" w:hAnsi="Arial" w:cs="Arial"/>
          <w:lang w:val="es-ES"/>
        </w:rPr>
        <w:br/>
        <w:t>Anexo 1 y Apéndices de la CMS (</w:t>
      </w:r>
      <w:hyperlink r:id="rId17"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/MOS4/Doc.10.5</w:t>
        </w:r>
      </w:hyperlink>
      <w:r w:rsidRPr="007F365D">
        <w:rPr>
          <w:rFonts w:ascii="Arial" w:eastAsia="Times New Roman" w:hAnsi="Arial" w:cs="Arial"/>
          <w:lang w:val="es-ES"/>
        </w:rPr>
        <w:t>)</w:t>
      </w:r>
    </w:p>
    <w:p w14:paraId="3604693E" w14:textId="445BE39B"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10.6</w:t>
      </w:r>
      <w:r w:rsidRPr="007F365D">
        <w:rPr>
          <w:rFonts w:ascii="Arial" w:eastAsia="Times New Roman" w:hAnsi="Arial" w:cs="Arial"/>
          <w:lang w:val="es-ES"/>
        </w:rPr>
        <w:tab/>
        <w:t xml:space="preserve">Mejorar los informes de datos de descargas para especies enumeradas en el Anexo 1 del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de tiburones (</w:t>
      </w:r>
      <w:hyperlink r:id="rId18"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/MOS4/Doc.10.6</w:t>
        </w:r>
      </w:hyperlink>
      <w:r w:rsidRPr="007F365D">
        <w:rPr>
          <w:rFonts w:ascii="Arial" w:eastAsia="Times New Roman" w:hAnsi="Arial" w:cs="Arial"/>
          <w:lang w:val="es-ES"/>
        </w:rPr>
        <w:t>)</w:t>
      </w:r>
    </w:p>
    <w:p w14:paraId="62464251" w14:textId="14E7BA25"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10.7</w:t>
      </w:r>
      <w:r w:rsidRPr="007F365D">
        <w:rPr>
          <w:rFonts w:ascii="Arial" w:eastAsia="Times New Roman" w:hAnsi="Arial" w:cs="Arial"/>
          <w:lang w:val="es-ES"/>
        </w:rPr>
        <w:tab/>
        <w:t xml:space="preserve">Revisión de la mortalidad a causa de las pesquerías de especies de tiburones y rayas enumeradas en el Anexo 1 del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sobre tiburones y en los Apéndices de la CMS (</w:t>
      </w:r>
      <w:hyperlink r:id="rId19"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/MOS4/Doc.10.7</w:t>
        </w:r>
      </w:hyperlink>
      <w:r w:rsidRPr="007F365D">
        <w:rPr>
          <w:rFonts w:ascii="Arial" w:eastAsia="Times New Roman" w:hAnsi="Arial" w:cs="Arial"/>
          <w:lang w:val="es-ES"/>
        </w:rPr>
        <w:t>)</w:t>
      </w:r>
    </w:p>
    <w:p w14:paraId="3C6B129D" w14:textId="15E10053" w:rsidR="007F365D" w:rsidRPr="007F365D" w:rsidRDefault="007F365D" w:rsidP="00461595">
      <w:pPr>
        <w:widowControl w:val="0"/>
        <w:numPr>
          <w:ilvl w:val="0"/>
          <w:numId w:val="11"/>
        </w:numPr>
        <w:tabs>
          <w:tab w:val="left" w:pos="1985"/>
        </w:tabs>
        <w:autoSpaceDE w:val="0"/>
        <w:autoSpaceDN w:val="0"/>
        <w:adjustRightInd w:val="0"/>
        <w:spacing w:after="0" w:line="240" w:lineRule="auto"/>
        <w:contextualSpacing/>
        <w:jc w:val="both"/>
        <w:rPr>
          <w:rFonts w:ascii="Arial" w:eastAsia="Times New Roman" w:hAnsi="Arial" w:cs="Arial"/>
          <w:lang w:val="es-ES"/>
        </w:rPr>
      </w:pPr>
      <w:r w:rsidRPr="007F365D">
        <w:rPr>
          <w:rFonts w:ascii="Arial" w:eastAsia="Times New Roman" w:hAnsi="Arial" w:cs="Arial"/>
          <w:b/>
          <w:bCs/>
          <w:lang w:val="es-ES"/>
        </w:rPr>
        <w:t>11.2</w:t>
      </w:r>
      <w:r w:rsidRPr="007F365D">
        <w:rPr>
          <w:rFonts w:ascii="Arial" w:eastAsia="Times New Roman" w:hAnsi="Arial" w:cs="Arial"/>
          <w:lang w:val="es-ES"/>
        </w:rPr>
        <w:tab/>
        <w:t>Compendio global del estado de conservación y las medidas de gestión de tiburones (</w:t>
      </w:r>
      <w:hyperlink r:id="rId20" w:history="1">
        <w:r w:rsidRPr="007F365D">
          <w:rPr>
            <w:rFonts w:ascii="Arial" w:eastAsia="Times New Roman" w:hAnsi="Arial" w:cs="Arial"/>
            <w:color w:val="0000FF"/>
            <w:u w:val="single"/>
            <w:lang w:val="es-ES"/>
          </w:rPr>
          <w:t>CMS/</w:t>
        </w:r>
        <w:proofErr w:type="spellStart"/>
        <w:r w:rsidRPr="007F365D">
          <w:rPr>
            <w:rFonts w:ascii="Arial" w:eastAsia="Times New Roman" w:hAnsi="Arial" w:cs="Arial"/>
            <w:color w:val="0000FF"/>
            <w:u w:val="single"/>
            <w:lang w:val="es-ES"/>
          </w:rPr>
          <w:t>Sharks</w:t>
        </w:r>
        <w:proofErr w:type="spellEnd"/>
        <w:r w:rsidRPr="007F365D">
          <w:rPr>
            <w:rFonts w:ascii="Arial" w:eastAsia="Times New Roman" w:hAnsi="Arial" w:cs="Arial"/>
            <w:color w:val="0000FF"/>
            <w:u w:val="single"/>
            <w:lang w:val="es-ES"/>
          </w:rPr>
          <w:t>/MOS4/Doc.11.2</w:t>
        </w:r>
      </w:hyperlink>
      <w:r w:rsidRPr="007F365D">
        <w:rPr>
          <w:rFonts w:ascii="Arial" w:eastAsia="Times New Roman" w:hAnsi="Arial" w:cs="Arial"/>
          <w:lang w:val="es-ES"/>
        </w:rPr>
        <w:t>)</w:t>
      </w:r>
    </w:p>
    <w:p w14:paraId="72B5EE2B" w14:textId="77777777" w:rsidR="007F365D" w:rsidRPr="007F365D" w:rsidRDefault="007F365D" w:rsidP="00461595">
      <w:pPr>
        <w:widowControl w:val="0"/>
        <w:tabs>
          <w:tab w:val="left" w:pos="1985"/>
        </w:tabs>
        <w:autoSpaceDE w:val="0"/>
        <w:autoSpaceDN w:val="0"/>
        <w:adjustRightInd w:val="0"/>
        <w:spacing w:after="0" w:line="240" w:lineRule="auto"/>
        <w:ind w:left="1134"/>
        <w:contextualSpacing/>
        <w:jc w:val="both"/>
        <w:rPr>
          <w:rFonts w:ascii="Arial" w:eastAsia="Times New Roman" w:hAnsi="Arial" w:cs="Arial"/>
          <w:lang w:val="es-ES"/>
        </w:rPr>
      </w:pPr>
    </w:p>
    <w:p w14:paraId="487EDF5B"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Pendiente del resultado de las discusiones sobre estos puntos, la Secretaría ha incluido estas actividades en este borrador. Durante esta reunión, la Secretaría actualizará el borrador del Programa de Trabajo siguiendo las decisiones que hayan tomado los Signatarios. </w:t>
      </w:r>
    </w:p>
    <w:p w14:paraId="464B8A16"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5AFD5AA3" w14:textId="77777777" w:rsidR="007F365D" w:rsidRPr="007F365D" w:rsidRDefault="007F365D" w:rsidP="007F365D">
      <w:pPr>
        <w:widowControl w:val="0"/>
        <w:autoSpaceDE w:val="0"/>
        <w:autoSpaceDN w:val="0"/>
        <w:adjustRightInd w:val="0"/>
        <w:spacing w:after="0" w:line="240" w:lineRule="auto"/>
        <w:rPr>
          <w:rFonts w:ascii="Arial" w:eastAsia="Times New Roman" w:hAnsi="Arial" w:cs="Arial"/>
          <w:b/>
          <w:iCs/>
          <w:lang w:val="es-ES"/>
        </w:rPr>
      </w:pPr>
      <w:r w:rsidRPr="007F365D">
        <w:rPr>
          <w:rFonts w:ascii="Arial" w:eastAsia="Times New Roman" w:hAnsi="Arial" w:cs="Arial"/>
          <w:b/>
          <w:iCs/>
          <w:lang w:val="es-ES"/>
        </w:rPr>
        <w:t>Calcular los requisitos de personal</w:t>
      </w:r>
    </w:p>
    <w:p w14:paraId="448B0797" w14:textId="77777777" w:rsidR="007F365D" w:rsidRPr="007F365D" w:rsidRDefault="007F365D" w:rsidP="007F365D">
      <w:pPr>
        <w:widowControl w:val="0"/>
        <w:autoSpaceDE w:val="0"/>
        <w:autoSpaceDN w:val="0"/>
        <w:adjustRightInd w:val="0"/>
        <w:spacing w:after="0" w:line="240" w:lineRule="auto"/>
        <w:rPr>
          <w:rFonts w:ascii="Arial" w:eastAsia="Times New Roman" w:hAnsi="Arial" w:cs="Arial"/>
          <w:b/>
          <w:i/>
          <w:u w:val="single"/>
          <w:lang w:val="es-ES"/>
        </w:rPr>
      </w:pPr>
    </w:p>
    <w:p w14:paraId="24AF06AC"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Las estimaciones de la Secretaría del tiempo de personal requerido para la aplicación de cada actividad se han añadido al borrador del Programa de Trabajo para facilitar decisiones referentes al complemento de personal requerido y la priorización de las actividades. </w:t>
      </w:r>
    </w:p>
    <w:p w14:paraId="699FADA7"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2DD5D036"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Al preparar este Programa de Trabajo, la Secretaría ha hecho un esfuerzo para calcular el tiempo que es necesario para aplicar las diversas tareas, divididas en personal P y G. Estos se han convertido en "días de trabajo netos" y se han calculado en base a una semana de cinco días laborables y una deducción de días libres encargados anuales (permiso anual de 30 días), festivos públicos locales (10 días), formación obligatoria (5 días), baja por enfermedad estimada (5 días) y tiempo estimado invertido en la contribución a la Secretaría de la CMS más amplia (reuniones semanales de personal, reuniones mensuales de estrategia </w:t>
      </w:r>
      <w:r w:rsidRPr="007F365D">
        <w:rPr>
          <w:rFonts w:ascii="Arial" w:eastAsia="Times New Roman" w:hAnsi="Arial" w:cs="Arial"/>
          <w:lang w:val="es-ES"/>
        </w:rPr>
        <w:lastRenderedPageBreak/>
        <w:t>y retiros (26 días), en el personal de la Familia CMS y paneles de reclutamiento interno (5 días solo personal P), y contribución a las sesiones informativas de la CMS, documentos de antecedentes, artículos de prensa, etc. (10 días solo personal P).</w:t>
      </w:r>
    </w:p>
    <w:p w14:paraId="7EA17AB6" w14:textId="77777777" w:rsidR="007F365D" w:rsidRPr="007F365D" w:rsidRDefault="007F365D" w:rsidP="007F365D">
      <w:pPr>
        <w:widowControl w:val="0"/>
        <w:autoSpaceDE w:val="0"/>
        <w:autoSpaceDN w:val="0"/>
        <w:adjustRightInd w:val="0"/>
        <w:spacing w:after="0" w:line="240" w:lineRule="auto"/>
        <w:ind w:left="720"/>
        <w:contextualSpacing/>
        <w:rPr>
          <w:rFonts w:ascii="Arial" w:eastAsia="Times New Roman" w:hAnsi="Arial" w:cs="Arial"/>
          <w:lang w:val="es-ES"/>
        </w:rPr>
      </w:pPr>
    </w:p>
    <w:p w14:paraId="13ED82D1"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Basándose en los cálculos del párrafo anterior y multiplicando de un año a un trienio, el número máximo de días laborables para la aplicación del Programa de Trabajo del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sobre Tiburones durante un </w:t>
      </w:r>
      <w:r w:rsidRPr="007F365D">
        <w:rPr>
          <w:rFonts w:ascii="Arial" w:eastAsia="Times New Roman" w:hAnsi="Arial" w:cs="Arial"/>
          <w:u w:val="single"/>
          <w:lang w:val="es-ES"/>
        </w:rPr>
        <w:t>trienio</w:t>
      </w:r>
      <w:r w:rsidRPr="007F365D">
        <w:rPr>
          <w:rFonts w:ascii="Arial" w:eastAsia="Times New Roman" w:hAnsi="Arial" w:cs="Arial"/>
          <w:lang w:val="es-ES"/>
        </w:rPr>
        <w:t xml:space="preserve"> es </w:t>
      </w:r>
      <w:r w:rsidRPr="007F365D">
        <w:rPr>
          <w:rFonts w:ascii="Arial" w:eastAsia="Times New Roman" w:hAnsi="Arial" w:cs="Arial"/>
          <w:b/>
          <w:bCs/>
          <w:lang w:val="es-ES"/>
        </w:rPr>
        <w:t>510</w:t>
      </w:r>
      <w:r w:rsidRPr="007F365D">
        <w:rPr>
          <w:rFonts w:ascii="Arial" w:eastAsia="Times New Roman" w:hAnsi="Arial" w:cs="Arial"/>
          <w:lang w:val="es-ES"/>
        </w:rPr>
        <w:t xml:space="preserve"> para personal P y </w:t>
      </w:r>
      <w:r w:rsidRPr="007F365D">
        <w:rPr>
          <w:rFonts w:ascii="Arial" w:eastAsia="Times New Roman" w:hAnsi="Arial" w:cs="Arial"/>
          <w:b/>
          <w:bCs/>
          <w:lang w:val="es-ES"/>
        </w:rPr>
        <w:t xml:space="preserve">230 </w:t>
      </w:r>
      <w:r w:rsidRPr="007F365D">
        <w:rPr>
          <w:rFonts w:ascii="Arial" w:eastAsia="Times New Roman" w:hAnsi="Arial" w:cs="Arial"/>
          <w:lang w:val="es-ES"/>
        </w:rPr>
        <w:t>para personal G</w:t>
      </w:r>
      <w:r w:rsidRPr="007F365D">
        <w:rPr>
          <w:rFonts w:ascii="Arial" w:eastAsia="Times New Roman" w:hAnsi="Arial" w:cs="Arial"/>
          <w:vertAlign w:val="superscript"/>
          <w:lang w:val="es-ES"/>
        </w:rPr>
        <w:footnoteReference w:id="1"/>
      </w:r>
      <w:r w:rsidRPr="007F365D">
        <w:rPr>
          <w:rFonts w:ascii="Arial" w:eastAsia="Times New Roman" w:hAnsi="Arial" w:cs="Arial"/>
          <w:lang w:val="es-ES"/>
        </w:rPr>
        <w:t xml:space="preserve">. </w:t>
      </w:r>
    </w:p>
    <w:p w14:paraId="0312F8A4"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09D95B03"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Basándose en la experiencia previa, se calcula que el tiempo total de personal que se necesita para aplicar las tareas principales de la Secretaría durante el trienio, como se incluye en la Sección 1 del borrador del Programa de Trabajo, será aproximadamente de </w:t>
      </w:r>
      <w:r w:rsidRPr="007F365D">
        <w:rPr>
          <w:rFonts w:ascii="Arial" w:eastAsia="Times New Roman" w:hAnsi="Arial" w:cs="Arial"/>
          <w:b/>
          <w:bCs/>
          <w:lang w:val="es-ES"/>
        </w:rPr>
        <w:t xml:space="preserve">472-502 </w:t>
      </w:r>
      <w:r w:rsidRPr="007F365D">
        <w:rPr>
          <w:rFonts w:ascii="Arial" w:eastAsia="Times New Roman" w:hAnsi="Arial" w:cs="Arial"/>
          <w:lang w:val="es-ES"/>
        </w:rPr>
        <w:t xml:space="preserve">días laborales de personal P (entre un 92,5 y un 98,4 % de un puesto a jornada completa) y </w:t>
      </w:r>
      <w:r w:rsidRPr="007F365D">
        <w:rPr>
          <w:rFonts w:ascii="Arial" w:eastAsia="Times New Roman" w:hAnsi="Arial" w:cs="Arial"/>
          <w:b/>
          <w:bCs/>
          <w:lang w:val="es-ES"/>
        </w:rPr>
        <w:t xml:space="preserve">231 </w:t>
      </w:r>
      <w:r w:rsidRPr="007F365D">
        <w:rPr>
          <w:rFonts w:ascii="Arial" w:eastAsia="Times New Roman" w:hAnsi="Arial" w:cs="Arial"/>
          <w:lang w:val="es-ES"/>
        </w:rPr>
        <w:t xml:space="preserve">días laborales de personal G (100,1 % del puesto a tiempo parcial existente). </w:t>
      </w:r>
    </w:p>
    <w:p w14:paraId="728534BE" w14:textId="77777777" w:rsidR="007F365D" w:rsidRPr="007F365D" w:rsidRDefault="007F365D" w:rsidP="007F365D">
      <w:pPr>
        <w:widowControl w:val="0"/>
        <w:autoSpaceDE w:val="0"/>
        <w:autoSpaceDN w:val="0"/>
        <w:adjustRightInd w:val="0"/>
        <w:spacing w:after="0" w:line="240" w:lineRule="auto"/>
        <w:ind w:left="720"/>
        <w:contextualSpacing/>
        <w:rPr>
          <w:rFonts w:ascii="Arial" w:eastAsia="Times New Roman" w:hAnsi="Arial" w:cs="Arial"/>
          <w:lang w:val="es-ES"/>
        </w:rPr>
      </w:pPr>
    </w:p>
    <w:p w14:paraId="7B4545C3"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Al nivel de personal actual, esto dejaría, para todo el trienio, entre 8 y 38 días laborables de tiempo de personal P para la entrega de actividades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xml:space="preserve">. El tiempo laboral disponible del personal G se consumiría por completo. </w:t>
      </w:r>
    </w:p>
    <w:p w14:paraId="2B92385C"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2388F844"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lang w:val="es-ES"/>
        </w:rPr>
      </w:pPr>
      <w:r w:rsidRPr="007F365D">
        <w:rPr>
          <w:rFonts w:ascii="Arial" w:eastAsia="Times New Roman" w:hAnsi="Arial" w:cs="Arial"/>
          <w:lang w:val="es-ES"/>
        </w:rPr>
        <w:t xml:space="preserve">Por lo tanto, para aplicar </w:t>
      </w:r>
      <w:r w:rsidRPr="007F365D">
        <w:rPr>
          <w:rFonts w:ascii="Arial" w:eastAsia="Times New Roman" w:hAnsi="Arial" w:cs="Arial"/>
          <w:b/>
          <w:bCs/>
          <w:lang w:val="es-ES"/>
        </w:rPr>
        <w:t xml:space="preserve">las tareas </w:t>
      </w:r>
      <w:proofErr w:type="spellStart"/>
      <w:r w:rsidRPr="007F365D">
        <w:rPr>
          <w:rFonts w:ascii="Arial" w:eastAsia="Times New Roman" w:hAnsi="Arial" w:cs="Arial"/>
          <w:b/>
          <w:bCs/>
          <w:lang w:val="es-ES"/>
        </w:rPr>
        <w:t>extra-presupuestarias</w:t>
      </w:r>
      <w:proofErr w:type="spellEnd"/>
      <w:r w:rsidRPr="007F365D">
        <w:rPr>
          <w:rFonts w:ascii="Arial" w:eastAsia="Times New Roman" w:hAnsi="Arial" w:cs="Arial"/>
          <w:lang w:val="es-ES"/>
        </w:rPr>
        <w:t xml:space="preserve"> incluidas en este borrador, se requeriría personal adicional. Una vez se haya acabado la Sección 2 del Programa de Trabajo, será posible calcular cuánto personal adicional se necesita.  </w:t>
      </w:r>
    </w:p>
    <w:p w14:paraId="58A9102F"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lang w:val="es-ES"/>
        </w:rPr>
      </w:pPr>
    </w:p>
    <w:p w14:paraId="68DEBFDA"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 xml:space="preserve">Financiar las actividades </w:t>
      </w:r>
      <w:proofErr w:type="spellStart"/>
      <w:r w:rsidRPr="007F365D">
        <w:rPr>
          <w:rFonts w:ascii="Arial" w:eastAsia="Times New Roman" w:hAnsi="Arial" w:cs="Arial"/>
          <w:b/>
          <w:bCs/>
          <w:lang w:val="es-ES"/>
        </w:rPr>
        <w:t>extra-presupuestarias</w:t>
      </w:r>
      <w:proofErr w:type="spellEnd"/>
    </w:p>
    <w:p w14:paraId="4472F3CC"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08FFBEA4"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Times New Roman" w:eastAsia="Times New Roman" w:hAnsi="Times New Roman" w:cs="Arial"/>
          <w:lang w:val="es-ES"/>
        </w:rPr>
      </w:pPr>
      <w:r w:rsidRPr="007F365D">
        <w:rPr>
          <w:rFonts w:ascii="Arial" w:eastAsia="Times New Roman" w:hAnsi="Arial" w:cs="Arial"/>
          <w:lang w:val="es-ES"/>
        </w:rPr>
        <w:t xml:space="preserve">Este documento pretende calcular la cantidad de tiempo de la Secretaría disponible y que sería necesario para aplicar las actividades principales y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xml:space="preserve"> descritas.      Sin embargo, se debe tener en cuenta que ese tiempo también se requerirá de otros, especialmente para las actividades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Los miembros del CA, que dedican su tiempo de forma voluntaria, tendrán que pasar muchas semanas trabajando en estas tareas. Los Socios Cooperadores también invertirán su propio tiempo en muchas de estas actividades.</w:t>
      </w:r>
    </w:p>
    <w:p w14:paraId="564151C6" w14:textId="77777777" w:rsidR="007F365D" w:rsidRPr="007F365D" w:rsidRDefault="007F365D" w:rsidP="007F365D">
      <w:pPr>
        <w:tabs>
          <w:tab w:val="left" w:pos="0"/>
          <w:tab w:val="left" w:pos="540"/>
        </w:tabs>
        <w:spacing w:after="0" w:line="240" w:lineRule="auto"/>
        <w:ind w:left="540"/>
        <w:contextualSpacing/>
        <w:jc w:val="both"/>
        <w:rPr>
          <w:rFonts w:ascii="Times New Roman" w:eastAsia="Times New Roman" w:hAnsi="Times New Roman" w:cs="Arial"/>
          <w:lang w:val="es-ES"/>
        </w:rPr>
      </w:pPr>
    </w:p>
    <w:p w14:paraId="22EAFB9D"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Times New Roman" w:eastAsia="Times New Roman" w:hAnsi="Times New Roman" w:cs="Arial"/>
          <w:lang w:val="es-ES"/>
        </w:rPr>
      </w:pPr>
      <w:r w:rsidRPr="007F365D">
        <w:rPr>
          <w:rFonts w:ascii="Arial" w:eastAsia="Times New Roman" w:hAnsi="Arial" w:cs="Arial"/>
          <w:lang w:val="es-ES"/>
        </w:rPr>
        <w:t xml:space="preserve">La aplicación de actividades de conservación es un componente clave del </w:t>
      </w:r>
      <w:proofErr w:type="spellStart"/>
      <w:r w:rsidRPr="007F365D">
        <w:rPr>
          <w:rFonts w:ascii="Arial" w:eastAsia="Times New Roman" w:hAnsi="Arial" w:cs="Arial"/>
          <w:lang w:val="es-ES"/>
        </w:rPr>
        <w:t>MdE</w:t>
      </w:r>
      <w:proofErr w:type="spellEnd"/>
      <w:r w:rsidRPr="007F365D">
        <w:rPr>
          <w:rFonts w:ascii="Arial" w:eastAsia="Times New Roman" w:hAnsi="Arial" w:cs="Arial"/>
          <w:lang w:val="es-ES"/>
        </w:rPr>
        <w:t xml:space="preserve">. Para aplicarlas, se necesitarán recursos financieros adicionales para asegurar que hay suficiente personal disponible para administrar las actividades y para pagar las mismas. Los Signatarios pueden destinar contribuciones voluntarias a la aplicación de actividades específicas en el Programa de Trabajo. Además, la Secretaría realizará convocatorias regularmente para la financiación de estas actividades </w:t>
      </w:r>
      <w:proofErr w:type="spellStart"/>
      <w:r w:rsidRPr="007F365D">
        <w:rPr>
          <w:rFonts w:ascii="Arial" w:eastAsia="Times New Roman" w:hAnsi="Arial" w:cs="Arial"/>
          <w:lang w:val="es-ES"/>
        </w:rPr>
        <w:t>extra-presupuestarias</w:t>
      </w:r>
      <w:proofErr w:type="spellEnd"/>
      <w:r w:rsidRPr="007F365D">
        <w:rPr>
          <w:rFonts w:ascii="Arial" w:eastAsia="Times New Roman" w:hAnsi="Arial" w:cs="Arial"/>
          <w:lang w:val="es-ES"/>
        </w:rPr>
        <w:t xml:space="preserve"> además de enviar facturas para cubrir los costes del presupuesto principal. </w:t>
      </w:r>
    </w:p>
    <w:p w14:paraId="2BC371FB" w14:textId="77777777" w:rsidR="007F365D" w:rsidRPr="007F365D" w:rsidRDefault="007F365D" w:rsidP="007F365D">
      <w:pPr>
        <w:tabs>
          <w:tab w:val="left" w:pos="0"/>
          <w:tab w:val="left" w:pos="540"/>
        </w:tabs>
        <w:spacing w:after="0" w:line="240" w:lineRule="auto"/>
        <w:ind w:left="720"/>
        <w:contextualSpacing/>
        <w:jc w:val="both"/>
        <w:rPr>
          <w:rFonts w:ascii="Times New Roman" w:eastAsia="Times New Roman" w:hAnsi="Times New Roman" w:cs="Arial"/>
          <w:lang w:val="es-ES"/>
        </w:rPr>
      </w:pPr>
    </w:p>
    <w:p w14:paraId="03F869A7"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Estructura del Programa de Trabajo</w:t>
      </w:r>
    </w:p>
    <w:p w14:paraId="6BF9D95F" w14:textId="77777777" w:rsidR="007F365D" w:rsidRPr="007F365D" w:rsidRDefault="007F365D" w:rsidP="007F365D">
      <w:pPr>
        <w:tabs>
          <w:tab w:val="left" w:pos="0"/>
          <w:tab w:val="left" w:pos="540"/>
        </w:tabs>
        <w:spacing w:after="0" w:line="240" w:lineRule="auto"/>
        <w:contextualSpacing/>
        <w:jc w:val="both"/>
        <w:rPr>
          <w:rFonts w:ascii="Arial" w:eastAsia="Times New Roman" w:hAnsi="Arial" w:cs="Arial"/>
          <w:lang w:val="es-ES"/>
        </w:rPr>
      </w:pPr>
    </w:p>
    <w:p w14:paraId="6B150A12"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Arial" w:eastAsia="Times New Roman" w:hAnsi="Arial" w:cs="Arial"/>
          <w:b/>
          <w:i/>
          <w:u w:val="single"/>
          <w:lang w:val="es-ES"/>
        </w:rPr>
      </w:pPr>
      <w:r w:rsidRPr="007F365D">
        <w:rPr>
          <w:rFonts w:ascii="Arial" w:eastAsia="Times New Roman" w:hAnsi="Arial" w:cs="Arial"/>
          <w:lang w:val="es-ES"/>
        </w:rPr>
        <w:t>Como en el Programa de Trabajo 2019-2021, la tabla contiene actividades numeradas y columnas adicionales para proporcionar información sobre:</w:t>
      </w:r>
    </w:p>
    <w:p w14:paraId="2130386C" w14:textId="77777777" w:rsidR="007F365D" w:rsidRPr="007F365D" w:rsidRDefault="007F365D" w:rsidP="007F365D">
      <w:pPr>
        <w:tabs>
          <w:tab w:val="left" w:pos="0"/>
          <w:tab w:val="left" w:pos="540"/>
        </w:tabs>
        <w:spacing w:after="0" w:line="240" w:lineRule="auto"/>
        <w:ind w:left="540"/>
        <w:contextualSpacing/>
        <w:jc w:val="both"/>
        <w:rPr>
          <w:rFonts w:ascii="Arial" w:eastAsia="Times New Roman" w:hAnsi="Arial" w:cs="Arial"/>
          <w:b/>
          <w:i/>
          <w:u w:val="single"/>
          <w:lang w:val="es-ES"/>
        </w:rPr>
      </w:pPr>
    </w:p>
    <w:p w14:paraId="51F13FA8"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el encargo subyacente para realizar la actividad;</w:t>
      </w:r>
    </w:p>
    <w:p w14:paraId="2F23E141"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el nivel de prioridad (alta o media);</w:t>
      </w:r>
    </w:p>
    <w:p w14:paraId="0E85508F"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el marco temporal para la aplicación de la actividad;</w:t>
      </w:r>
    </w:p>
    <w:p w14:paraId="2B703E8A"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la entidad responsable de la aplicación;</w:t>
      </w:r>
    </w:p>
    <w:p w14:paraId="0C1BFDA4"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disponibilidad de fondos o requisitos de financiación;</w:t>
      </w:r>
    </w:p>
    <w:p w14:paraId="28DE3753" w14:textId="77777777" w:rsidR="007F365D" w:rsidRPr="007F365D" w:rsidRDefault="007F365D" w:rsidP="007F365D">
      <w:pPr>
        <w:widowControl w:val="0"/>
        <w:numPr>
          <w:ilvl w:val="0"/>
          <w:numId w:val="9"/>
        </w:numPr>
        <w:tabs>
          <w:tab w:val="left" w:pos="1985"/>
        </w:tabs>
        <w:autoSpaceDE w:val="0"/>
        <w:autoSpaceDN w:val="0"/>
        <w:adjustRightInd w:val="0"/>
        <w:spacing w:after="0" w:line="240" w:lineRule="auto"/>
        <w:ind w:left="1134" w:hanging="589"/>
        <w:contextualSpacing/>
        <w:rPr>
          <w:rFonts w:ascii="Arial" w:eastAsia="Times New Roman" w:hAnsi="Arial" w:cs="Arial"/>
          <w:lang w:val="es-ES"/>
        </w:rPr>
      </w:pPr>
      <w:r w:rsidRPr="007F365D">
        <w:rPr>
          <w:rFonts w:ascii="Arial" w:eastAsia="Times New Roman" w:hAnsi="Arial" w:cs="Arial"/>
          <w:lang w:val="es-ES"/>
        </w:rPr>
        <w:t>requisitos de personal, presentados como días laborales estimados que el personal P y G deberían dedicar para la aplicación de la actividad.</w:t>
      </w:r>
    </w:p>
    <w:p w14:paraId="6FFD2E36" w14:textId="77777777" w:rsidR="007F365D" w:rsidRPr="007F365D" w:rsidRDefault="007F365D" w:rsidP="007F365D">
      <w:pPr>
        <w:autoSpaceDN w:val="0"/>
        <w:spacing w:after="0" w:line="240" w:lineRule="auto"/>
        <w:rPr>
          <w:rFonts w:ascii="Arial" w:eastAsia="Times New Roman" w:hAnsi="Arial" w:cs="Arial"/>
          <w:u w:val="single"/>
          <w:lang w:val="es-ES"/>
        </w:rPr>
      </w:pPr>
    </w:p>
    <w:p w14:paraId="5442E55A" w14:textId="77777777" w:rsidR="00E03263" w:rsidRDefault="00E03263">
      <w:pPr>
        <w:rPr>
          <w:rFonts w:ascii="Arial" w:eastAsia="Times New Roman" w:hAnsi="Arial" w:cs="Arial"/>
          <w:u w:val="single"/>
          <w:lang w:val="es-ES"/>
        </w:rPr>
      </w:pPr>
      <w:r>
        <w:rPr>
          <w:rFonts w:ascii="Arial" w:eastAsia="Times New Roman" w:hAnsi="Arial" w:cs="Arial"/>
          <w:u w:val="single"/>
          <w:lang w:val="es-ES"/>
        </w:rPr>
        <w:br w:type="page"/>
      </w:r>
    </w:p>
    <w:p w14:paraId="5EE2BD42" w14:textId="1FB3EAC9" w:rsidR="007F365D" w:rsidRPr="007F365D" w:rsidRDefault="007F365D" w:rsidP="007F365D">
      <w:pPr>
        <w:autoSpaceDN w:val="0"/>
        <w:spacing w:after="0" w:line="240" w:lineRule="auto"/>
        <w:rPr>
          <w:rFonts w:ascii="Arial" w:eastAsia="Times New Roman" w:hAnsi="Arial" w:cs="Arial"/>
          <w:u w:val="single"/>
          <w:lang w:val="es-ES"/>
        </w:rPr>
      </w:pPr>
      <w:r w:rsidRPr="007F365D">
        <w:rPr>
          <w:rFonts w:ascii="Arial" w:eastAsia="Times New Roman" w:hAnsi="Arial" w:cs="Arial"/>
          <w:u w:val="single"/>
          <w:lang w:val="es-ES"/>
        </w:rPr>
        <w:lastRenderedPageBreak/>
        <w:t>Acción solicitada:</w:t>
      </w:r>
    </w:p>
    <w:p w14:paraId="3B837FB1" w14:textId="77777777" w:rsidR="007F365D" w:rsidRPr="007F365D" w:rsidRDefault="007F365D" w:rsidP="007F365D">
      <w:pPr>
        <w:widowControl w:val="0"/>
        <w:autoSpaceDE w:val="0"/>
        <w:autoSpaceDN w:val="0"/>
        <w:adjustRightInd w:val="0"/>
        <w:spacing w:after="0" w:line="240" w:lineRule="auto"/>
        <w:jc w:val="both"/>
        <w:rPr>
          <w:rFonts w:ascii="Arial" w:eastAsia="Times New Roman" w:hAnsi="Arial" w:cs="Arial"/>
          <w:lang w:val="es-ES"/>
        </w:rPr>
      </w:pPr>
    </w:p>
    <w:p w14:paraId="3EC686A9" w14:textId="77777777" w:rsidR="007F365D" w:rsidRPr="007F365D" w:rsidRDefault="007F365D" w:rsidP="007F365D">
      <w:pPr>
        <w:widowControl w:val="0"/>
        <w:numPr>
          <w:ilvl w:val="0"/>
          <w:numId w:val="6"/>
        </w:numPr>
        <w:tabs>
          <w:tab w:val="left" w:pos="0"/>
          <w:tab w:val="left" w:pos="540"/>
        </w:tabs>
        <w:autoSpaceDE w:val="0"/>
        <w:autoSpaceDN w:val="0"/>
        <w:adjustRightInd w:val="0"/>
        <w:spacing w:after="0" w:line="240" w:lineRule="auto"/>
        <w:ind w:left="540" w:hanging="540"/>
        <w:contextualSpacing/>
        <w:jc w:val="both"/>
        <w:rPr>
          <w:rFonts w:ascii="Times New Roman" w:eastAsia="Times New Roman" w:hAnsi="Times New Roman" w:cs="Arial"/>
          <w:lang w:val="es-ES"/>
        </w:rPr>
      </w:pPr>
      <w:r w:rsidRPr="007F365D">
        <w:rPr>
          <w:rFonts w:ascii="Arial" w:eastAsia="Times New Roman" w:hAnsi="Arial" w:cs="Arial"/>
          <w:lang w:val="es-ES"/>
        </w:rPr>
        <w:t>Se solicita de la Reunión que:</w:t>
      </w:r>
    </w:p>
    <w:p w14:paraId="6128E7AC" w14:textId="77777777" w:rsidR="007F365D" w:rsidRPr="007F365D" w:rsidRDefault="007F365D" w:rsidP="007F365D">
      <w:pPr>
        <w:widowControl w:val="0"/>
        <w:autoSpaceDE w:val="0"/>
        <w:autoSpaceDN w:val="0"/>
        <w:adjustRightInd w:val="0"/>
        <w:spacing w:after="0" w:line="240" w:lineRule="auto"/>
        <w:jc w:val="both"/>
        <w:rPr>
          <w:rFonts w:ascii="Arial" w:eastAsia="Times New Roman" w:hAnsi="Arial" w:cs="Arial"/>
          <w:lang w:val="es-ES"/>
        </w:rPr>
      </w:pPr>
    </w:p>
    <w:p w14:paraId="794C88FF" w14:textId="77777777" w:rsidR="007F365D" w:rsidRPr="007F365D" w:rsidRDefault="007F365D" w:rsidP="007F365D">
      <w:pPr>
        <w:widowControl w:val="0"/>
        <w:numPr>
          <w:ilvl w:val="0"/>
          <w:numId w:val="5"/>
        </w:numPr>
        <w:autoSpaceDE w:val="0"/>
        <w:autoSpaceDN w:val="0"/>
        <w:adjustRightInd w:val="0"/>
        <w:spacing w:after="0" w:line="240" w:lineRule="auto"/>
        <w:contextualSpacing/>
        <w:jc w:val="both"/>
        <w:rPr>
          <w:rFonts w:ascii="Arial" w:eastAsia="Times New Roman" w:hAnsi="Arial" w:cs="Arial"/>
          <w:bCs/>
          <w:i/>
          <w:lang w:val="es-ES"/>
        </w:rPr>
      </w:pPr>
      <w:r w:rsidRPr="007F365D">
        <w:rPr>
          <w:rFonts w:ascii="Arial" w:eastAsia="Times New Roman" w:hAnsi="Arial" w:cs="Arial"/>
          <w:lang w:val="es-ES"/>
        </w:rPr>
        <w:t xml:space="preserve">Revise el borrador del Programa de Trabajo en el </w:t>
      </w:r>
      <w:r w:rsidRPr="007F365D">
        <w:rPr>
          <w:rFonts w:ascii="Arial" w:eastAsia="Times New Roman" w:hAnsi="Arial" w:cs="Arial"/>
          <w:u w:val="single"/>
          <w:lang w:val="es-ES"/>
        </w:rPr>
        <w:t>Anexo</w:t>
      </w:r>
      <w:r w:rsidRPr="007F365D">
        <w:rPr>
          <w:rFonts w:ascii="Arial" w:eastAsia="Times New Roman" w:hAnsi="Arial" w:cs="Arial"/>
          <w:lang w:val="es-ES"/>
        </w:rPr>
        <w:t>, haga los cambios necesarios, complete el Programa de Trabajo basado en actividades acordadas según los puntos 10, 11 y 14 del orden del día, y adopte el nuevo Programa de Trabajo para el trienio 2023-2025.</w:t>
      </w:r>
    </w:p>
    <w:p w14:paraId="5C37FC5D" w14:textId="758B9BFD" w:rsidR="00E966DE" w:rsidRDefault="00E966DE" w:rsidP="00E966DE">
      <w:pPr>
        <w:widowControl w:val="0"/>
        <w:autoSpaceDE w:val="0"/>
        <w:autoSpaceDN w:val="0"/>
        <w:adjustRightInd w:val="0"/>
        <w:spacing w:after="0" w:line="240" w:lineRule="auto"/>
        <w:jc w:val="both"/>
        <w:rPr>
          <w:rFonts w:ascii="Arial" w:eastAsia="Times New Roman" w:hAnsi="Arial" w:cs="Arial"/>
          <w:lang w:val="es-ES"/>
        </w:rPr>
      </w:pPr>
    </w:p>
    <w:p w14:paraId="65B0E3EE" w14:textId="77777777" w:rsidR="007F365D" w:rsidRDefault="007F365D" w:rsidP="00E966DE">
      <w:pPr>
        <w:widowControl w:val="0"/>
        <w:autoSpaceDE w:val="0"/>
        <w:autoSpaceDN w:val="0"/>
        <w:adjustRightInd w:val="0"/>
        <w:spacing w:after="0" w:line="240" w:lineRule="auto"/>
        <w:jc w:val="both"/>
        <w:rPr>
          <w:rFonts w:ascii="Arial" w:eastAsia="Times New Roman" w:hAnsi="Arial" w:cs="Arial"/>
          <w:lang w:val="es-ES"/>
        </w:rPr>
        <w:sectPr w:rsidR="007F365D" w:rsidSect="001A259F">
          <w:headerReference w:type="even" r:id="rId21"/>
          <w:headerReference w:type="default" r:id="rId22"/>
          <w:footerReference w:type="even" r:id="rId23"/>
          <w:footerReference w:type="default" r:id="rId24"/>
          <w:footerReference w:type="first" r:id="rId25"/>
          <w:pgSz w:w="11906" w:h="16838" w:code="9"/>
          <w:pgMar w:top="1138" w:right="1138" w:bottom="1138" w:left="1138" w:header="708" w:footer="708" w:gutter="0"/>
          <w:cols w:space="708"/>
          <w:titlePg/>
          <w:docGrid w:linePitch="360"/>
        </w:sectPr>
      </w:pPr>
    </w:p>
    <w:p w14:paraId="15A0B2FA" w14:textId="77777777" w:rsidR="007F365D" w:rsidRPr="007F365D" w:rsidRDefault="007F365D" w:rsidP="007F365D">
      <w:pPr>
        <w:widowControl w:val="0"/>
        <w:autoSpaceDE w:val="0"/>
        <w:autoSpaceDN w:val="0"/>
        <w:adjustRightInd w:val="0"/>
        <w:spacing w:after="0" w:line="240" w:lineRule="auto"/>
        <w:ind w:right="252"/>
        <w:jc w:val="right"/>
        <w:rPr>
          <w:rFonts w:ascii="Arial" w:eastAsia="Times New Roman" w:hAnsi="Arial" w:cs="Arial"/>
          <w:b/>
          <w:iCs/>
          <w:lang w:val="es-ES"/>
        </w:rPr>
      </w:pPr>
      <w:r w:rsidRPr="007F365D">
        <w:rPr>
          <w:rFonts w:ascii="Arial" w:eastAsia="Times New Roman" w:hAnsi="Arial" w:cs="Arial"/>
          <w:b/>
          <w:iCs/>
          <w:lang w:val="es-ES"/>
        </w:rPr>
        <w:lastRenderedPageBreak/>
        <w:t>ANEXO</w:t>
      </w:r>
    </w:p>
    <w:p w14:paraId="50FEE035" w14:textId="77777777" w:rsidR="007F365D" w:rsidRPr="007F365D" w:rsidRDefault="007F365D" w:rsidP="007F365D">
      <w:pPr>
        <w:widowControl w:val="0"/>
        <w:autoSpaceDE w:val="0"/>
        <w:autoSpaceDN w:val="0"/>
        <w:adjustRightInd w:val="0"/>
        <w:spacing w:after="0" w:line="240" w:lineRule="auto"/>
        <w:ind w:right="252"/>
        <w:rPr>
          <w:rFonts w:ascii="Arial" w:eastAsia="Times New Roman" w:hAnsi="Arial" w:cs="Arial"/>
          <w:bCs/>
          <w:iCs/>
          <w:lang w:val="es-ES"/>
        </w:rPr>
      </w:pPr>
    </w:p>
    <w:p w14:paraId="5CEC44B8" w14:textId="77777777" w:rsidR="007F365D" w:rsidRPr="007F365D" w:rsidRDefault="007F365D" w:rsidP="007F365D">
      <w:pPr>
        <w:widowControl w:val="0"/>
        <w:autoSpaceDE w:val="0"/>
        <w:autoSpaceDN w:val="0"/>
        <w:adjustRightInd w:val="0"/>
        <w:spacing w:after="0" w:line="240" w:lineRule="auto"/>
        <w:jc w:val="center"/>
        <w:rPr>
          <w:rFonts w:ascii="Arial" w:eastAsia="Times New Roman" w:hAnsi="Arial" w:cs="Arial"/>
          <w:b/>
          <w:sz w:val="24"/>
          <w:szCs w:val="24"/>
          <w:lang w:val="es-ES"/>
        </w:rPr>
      </w:pPr>
      <w:r w:rsidRPr="007F365D">
        <w:rPr>
          <w:rFonts w:ascii="Arial" w:eastAsia="Times New Roman" w:hAnsi="Arial" w:cs="Arial"/>
          <w:b/>
          <w:sz w:val="24"/>
          <w:szCs w:val="24"/>
          <w:lang w:val="es-ES"/>
        </w:rPr>
        <w:t>BORRADOR DE PROGRAMA DE TRABAJO (2023-2025)</w:t>
      </w:r>
    </w:p>
    <w:p w14:paraId="6F151D29"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lang w:val="es-ES"/>
        </w:rPr>
      </w:pPr>
    </w:p>
    <w:p w14:paraId="180C9154"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lang w:val="es-ES"/>
        </w:rPr>
      </w:pPr>
    </w:p>
    <w:p w14:paraId="352FF87E"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t>Sección 1: tareas principales de la Secretaría y el Comité Asesor</w:t>
      </w:r>
    </w:p>
    <w:p w14:paraId="0C5CBD5D"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p>
    <w:tbl>
      <w:tblPr>
        <w:tblStyle w:val="PlainTable23"/>
        <w:tblW w:w="5222" w:type="pct"/>
        <w:tblLayout w:type="fixed"/>
        <w:tblCellMar>
          <w:top w:w="57" w:type="dxa"/>
          <w:bottom w:w="57" w:type="dxa"/>
        </w:tblCellMar>
        <w:tblLook w:val="04A0" w:firstRow="1" w:lastRow="0" w:firstColumn="1" w:lastColumn="0" w:noHBand="0" w:noVBand="1"/>
      </w:tblPr>
      <w:tblGrid>
        <w:gridCol w:w="568"/>
        <w:gridCol w:w="5165"/>
        <w:gridCol w:w="1275"/>
        <w:gridCol w:w="1594"/>
        <w:gridCol w:w="1275"/>
        <w:gridCol w:w="1430"/>
        <w:gridCol w:w="1758"/>
        <w:gridCol w:w="2144"/>
      </w:tblGrid>
      <w:tr w:rsidR="007F365D" w:rsidRPr="00B83C92" w14:paraId="7139DA68" w14:textId="77777777" w:rsidTr="007F48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 w:type="pct"/>
            <w:shd w:val="clear" w:color="auto" w:fill="F2F2F2" w:themeFill="background1" w:themeFillShade="F2"/>
          </w:tcPr>
          <w:p w14:paraId="5CD9461E"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proofErr w:type="spellStart"/>
            <w:r w:rsidRPr="007F365D">
              <w:rPr>
                <w:rFonts w:ascii="Arial" w:eastAsia="Times New Roman" w:hAnsi="Arial" w:cs="Arial"/>
                <w:sz w:val="20"/>
                <w:szCs w:val="20"/>
                <w:lang w:val="es-ES" w:eastAsia="es-ES"/>
              </w:rPr>
              <w:t>Nº</w:t>
            </w:r>
            <w:proofErr w:type="spellEnd"/>
          </w:p>
        </w:tc>
        <w:tc>
          <w:tcPr>
            <w:tcW w:w="1698" w:type="pct"/>
            <w:shd w:val="clear" w:color="auto" w:fill="F2F2F2" w:themeFill="background1" w:themeFillShade="F2"/>
          </w:tcPr>
          <w:p w14:paraId="1663C29F"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color w:val="000000"/>
                <w:sz w:val="20"/>
                <w:szCs w:val="20"/>
                <w:lang w:val="es-ES" w:eastAsia="es-ES"/>
              </w:rPr>
              <w:t>Actividad</w:t>
            </w:r>
          </w:p>
        </w:tc>
        <w:tc>
          <w:tcPr>
            <w:tcW w:w="419" w:type="pct"/>
            <w:shd w:val="clear" w:color="auto" w:fill="F2F2F2" w:themeFill="background1" w:themeFillShade="F2"/>
          </w:tcPr>
          <w:p w14:paraId="0C2DF973"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Encargo</w:t>
            </w:r>
            <w:r w:rsidRPr="007F365D">
              <w:rPr>
                <w:rFonts w:ascii="Arial" w:eastAsia="Calibri" w:hAnsi="Arial" w:cs="Arial"/>
                <w:sz w:val="20"/>
                <w:szCs w:val="20"/>
                <w:vertAlign w:val="superscript"/>
                <w:lang w:val="es-ES"/>
              </w:rPr>
              <w:footnoteReference w:id="2"/>
            </w:r>
          </w:p>
        </w:tc>
        <w:tc>
          <w:tcPr>
            <w:tcW w:w="524" w:type="pct"/>
            <w:shd w:val="clear" w:color="auto" w:fill="F2F2F2" w:themeFill="background1" w:themeFillShade="F2"/>
          </w:tcPr>
          <w:p w14:paraId="5AC76048" w14:textId="77777777" w:rsidR="007F365D" w:rsidRPr="007F365D" w:rsidRDefault="007F365D" w:rsidP="007F365D">
            <w:pPr>
              <w:ind w:right="-253"/>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7F365D">
              <w:rPr>
                <w:rFonts w:ascii="Arial" w:eastAsia="Times New Roman" w:hAnsi="Arial" w:cs="Arial"/>
                <w:sz w:val="20"/>
                <w:szCs w:val="20"/>
                <w:lang w:val="es-ES" w:eastAsia="es-ES"/>
              </w:rPr>
              <w:t>Clasificación </w:t>
            </w:r>
          </w:p>
          <w:p w14:paraId="2DC58A24"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de prioridad</w:t>
            </w:r>
            <w:r w:rsidRPr="007F365D">
              <w:rPr>
                <w:rFonts w:ascii="Arial" w:eastAsia="Calibri" w:hAnsi="Arial" w:cs="Arial"/>
                <w:sz w:val="20"/>
                <w:szCs w:val="20"/>
                <w:vertAlign w:val="superscript"/>
                <w:lang w:val="es-ES"/>
              </w:rPr>
              <w:footnoteReference w:id="3"/>
            </w:r>
          </w:p>
        </w:tc>
        <w:tc>
          <w:tcPr>
            <w:tcW w:w="419" w:type="pct"/>
            <w:shd w:val="clear" w:color="auto" w:fill="F2F2F2" w:themeFill="background1" w:themeFillShade="F2"/>
          </w:tcPr>
          <w:p w14:paraId="0E5154B5"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Marco temporal</w:t>
            </w:r>
            <w:r w:rsidRPr="007F365D">
              <w:rPr>
                <w:rFonts w:ascii="Arial" w:eastAsia="Calibri" w:hAnsi="Arial" w:cs="Arial"/>
                <w:sz w:val="20"/>
                <w:szCs w:val="20"/>
                <w:vertAlign w:val="superscript"/>
                <w:lang w:val="es-ES"/>
              </w:rPr>
              <w:footnoteReference w:id="4"/>
            </w:r>
          </w:p>
        </w:tc>
        <w:tc>
          <w:tcPr>
            <w:tcW w:w="470" w:type="pct"/>
            <w:shd w:val="clear" w:color="auto" w:fill="F2F2F2" w:themeFill="background1" w:themeFillShade="F2"/>
          </w:tcPr>
          <w:p w14:paraId="612B5E1F"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Entidad responsable</w:t>
            </w:r>
            <w:r w:rsidRPr="007F365D">
              <w:rPr>
                <w:rFonts w:ascii="Arial" w:eastAsia="Calibri" w:hAnsi="Arial" w:cs="Arial"/>
                <w:sz w:val="20"/>
                <w:szCs w:val="20"/>
                <w:vertAlign w:val="superscript"/>
                <w:lang w:val="es-ES"/>
              </w:rPr>
              <w:footnoteReference w:id="5"/>
            </w:r>
          </w:p>
        </w:tc>
        <w:tc>
          <w:tcPr>
            <w:tcW w:w="578" w:type="pct"/>
            <w:shd w:val="clear" w:color="auto" w:fill="F2F2F2" w:themeFill="background1" w:themeFillShade="F2"/>
          </w:tcPr>
          <w:p w14:paraId="57C6B835"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Necesidades de financiación</w:t>
            </w:r>
          </w:p>
        </w:tc>
        <w:tc>
          <w:tcPr>
            <w:tcW w:w="705" w:type="pct"/>
            <w:shd w:val="clear" w:color="auto" w:fill="F2F2F2" w:themeFill="background1" w:themeFillShade="F2"/>
          </w:tcPr>
          <w:p w14:paraId="7D95A723" w14:textId="77777777" w:rsidR="007F365D" w:rsidRPr="007F365D" w:rsidRDefault="007F365D" w:rsidP="007F365D">
            <w:pPr>
              <w:tabs>
                <w:tab w:val="left" w:pos="0"/>
                <w:tab w:val="left" w:pos="720"/>
              </w:tabs>
              <w:contextualSpacing/>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eastAsia="es-ES"/>
              </w:rPr>
              <w:t>Personal de la Secretaría que se estima necesario para la aplicación (días laborables por 3 años)</w:t>
            </w:r>
          </w:p>
        </w:tc>
      </w:tr>
      <w:tr w:rsidR="007F365D" w:rsidRPr="007F365D" w14:paraId="70651617"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9CC2E5" w:themeFill="accent5" w:themeFillTint="99"/>
          </w:tcPr>
          <w:p w14:paraId="537CA8D0"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Calibri" w:hAnsi="Arial" w:cs="Arial"/>
                <w:sz w:val="20"/>
                <w:szCs w:val="20"/>
                <w:lang w:val="es-ES"/>
              </w:rPr>
              <w:t>Cooperación y Asociaciones</w:t>
            </w:r>
          </w:p>
        </w:tc>
      </w:tr>
      <w:tr w:rsidR="007F365D" w:rsidRPr="007F365D" w14:paraId="3DA533AF"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710D6B16" w14:textId="77777777" w:rsidR="007F365D" w:rsidRPr="007F365D" w:rsidRDefault="007F365D" w:rsidP="007F365D">
            <w:pPr>
              <w:autoSpaceDN w:val="0"/>
              <w:spacing w:line="256" w:lineRule="auto"/>
              <w:contextualSpacing/>
              <w:rPr>
                <w:rFonts w:ascii="Arial" w:eastAsia="Calibri" w:hAnsi="Arial" w:cs="Arial"/>
                <w:sz w:val="20"/>
                <w:szCs w:val="20"/>
                <w:lang w:val="es-ES"/>
              </w:rPr>
            </w:pPr>
            <w:r w:rsidRPr="007F365D">
              <w:rPr>
                <w:rFonts w:ascii="Arial" w:eastAsia="Calibri" w:hAnsi="Arial" w:cs="Arial"/>
                <w:sz w:val="20"/>
                <w:szCs w:val="20"/>
                <w:lang w:val="es-ES"/>
              </w:rPr>
              <w:t>1</w:t>
            </w:r>
          </w:p>
        </w:tc>
        <w:tc>
          <w:tcPr>
            <w:tcW w:w="1698" w:type="pct"/>
          </w:tcPr>
          <w:p w14:paraId="2AD21937"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Contribuir a preparar y celebrar CMS COP14</w:t>
            </w:r>
            <w:r w:rsidRPr="007F365D">
              <w:rPr>
                <w:rFonts w:ascii="Arial" w:eastAsia="Times New Roman" w:hAnsi="Arial" w:cs="Arial"/>
                <w:sz w:val="20"/>
                <w:szCs w:val="20"/>
                <w:vertAlign w:val="superscript"/>
                <w:lang w:val="es-ES"/>
              </w:rPr>
              <w:footnoteReference w:id="6"/>
            </w:r>
            <w:r w:rsidRPr="007F365D">
              <w:rPr>
                <w:rFonts w:ascii="Arial" w:eastAsia="Times New Roman" w:hAnsi="Arial" w:cs="Arial"/>
                <w:sz w:val="20"/>
                <w:szCs w:val="20"/>
                <w:vertAlign w:val="superscript"/>
                <w:lang w:val="es-ES"/>
              </w:rPr>
              <w:t xml:space="preserve"> , </w:t>
            </w:r>
            <w:r w:rsidRPr="007F365D">
              <w:rPr>
                <w:rFonts w:ascii="Arial" w:eastAsia="Times New Roman" w:hAnsi="Arial" w:cs="Arial"/>
                <w:sz w:val="20"/>
                <w:szCs w:val="20"/>
                <w:lang w:val="es-ES"/>
              </w:rPr>
              <w:t>CMS SCScC6</w:t>
            </w:r>
            <w:r w:rsidRPr="007F365D">
              <w:rPr>
                <w:rFonts w:ascii="Arial" w:eastAsia="Times New Roman" w:hAnsi="Arial" w:cs="Arial"/>
                <w:sz w:val="20"/>
                <w:szCs w:val="20"/>
                <w:vertAlign w:val="superscript"/>
                <w:lang w:val="es-ES"/>
              </w:rPr>
              <w:footnoteReference w:id="7"/>
            </w:r>
            <w:r w:rsidRPr="007F365D">
              <w:rPr>
                <w:rFonts w:ascii="Arial" w:eastAsia="Times New Roman" w:hAnsi="Arial" w:cs="Arial"/>
                <w:sz w:val="20"/>
                <w:szCs w:val="20"/>
                <w:lang w:val="es-ES"/>
              </w:rPr>
              <w:t>, Sc-ScC7</w:t>
            </w:r>
            <w:r w:rsidRPr="007F365D">
              <w:rPr>
                <w:rFonts w:ascii="Arial" w:eastAsia="Times New Roman" w:hAnsi="Arial" w:cs="Arial"/>
                <w:sz w:val="20"/>
                <w:szCs w:val="20"/>
                <w:vertAlign w:val="superscript"/>
                <w:lang w:val="es-ES"/>
              </w:rPr>
              <w:footnoteReference w:id="8"/>
            </w:r>
          </w:p>
        </w:tc>
        <w:tc>
          <w:tcPr>
            <w:tcW w:w="419" w:type="pct"/>
          </w:tcPr>
          <w:p w14:paraId="591E0DF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SEC TOR</w:t>
            </w:r>
          </w:p>
        </w:tc>
        <w:tc>
          <w:tcPr>
            <w:tcW w:w="524" w:type="pct"/>
          </w:tcPr>
          <w:p w14:paraId="7109FB3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26F85CC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2023-2025</w:t>
            </w:r>
          </w:p>
        </w:tc>
        <w:tc>
          <w:tcPr>
            <w:tcW w:w="470" w:type="pct"/>
          </w:tcPr>
          <w:p w14:paraId="210D183D"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SEC</w:t>
            </w:r>
          </w:p>
          <w:p w14:paraId="0E67A7F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CA</w:t>
            </w:r>
          </w:p>
        </w:tc>
        <w:tc>
          <w:tcPr>
            <w:tcW w:w="578" w:type="pct"/>
          </w:tcPr>
          <w:p w14:paraId="39A467D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7331195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 personal: 75</w:t>
            </w:r>
          </w:p>
        </w:tc>
      </w:tr>
      <w:tr w:rsidR="007F365D" w:rsidRPr="00B83C92" w14:paraId="65964461"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 w:type="pct"/>
          </w:tcPr>
          <w:p w14:paraId="05BC92C6"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2</w:t>
            </w:r>
          </w:p>
        </w:tc>
        <w:tc>
          <w:tcPr>
            <w:tcW w:w="1698" w:type="pct"/>
          </w:tcPr>
          <w:p w14:paraId="2E57735F"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Proporcionar comentarios sobre propuestas para la inclusión de especies de tiburones y rayas en los Apéndices de CMS al Consejo Científico de la CMS y la Conferencia de las Partes.</w:t>
            </w:r>
          </w:p>
        </w:tc>
        <w:tc>
          <w:tcPr>
            <w:tcW w:w="419" w:type="pct"/>
          </w:tcPr>
          <w:p w14:paraId="6BF1DB40"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AC TOR</w:t>
            </w:r>
          </w:p>
        </w:tc>
        <w:tc>
          <w:tcPr>
            <w:tcW w:w="524" w:type="pct"/>
          </w:tcPr>
          <w:p w14:paraId="38751AFD"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principal</w:t>
            </w:r>
          </w:p>
        </w:tc>
        <w:tc>
          <w:tcPr>
            <w:tcW w:w="419" w:type="pct"/>
          </w:tcPr>
          <w:p w14:paraId="7F9935BF"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2023</w:t>
            </w:r>
          </w:p>
        </w:tc>
        <w:tc>
          <w:tcPr>
            <w:tcW w:w="470" w:type="pct"/>
          </w:tcPr>
          <w:p w14:paraId="33AFD86C"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CA</w:t>
            </w:r>
          </w:p>
        </w:tc>
        <w:tc>
          <w:tcPr>
            <w:tcW w:w="578" w:type="pct"/>
          </w:tcPr>
          <w:p w14:paraId="7C0E80C5"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536F0817"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No se espera un tiempo de trabajo significativo</w:t>
            </w:r>
          </w:p>
        </w:tc>
      </w:tr>
      <w:tr w:rsidR="007F365D" w:rsidRPr="007F365D" w14:paraId="5B62DCA2"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50CA17E7"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3</w:t>
            </w:r>
          </w:p>
        </w:tc>
        <w:tc>
          <w:tcPr>
            <w:tcW w:w="1698" w:type="pct"/>
          </w:tcPr>
          <w:p w14:paraId="7403CA8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Reforzar sinergias y establecer asociaciones con organizaciones relevantes (incluyendo MEA, ORP, SSG de la CSE de la UICN y ONG).</w:t>
            </w:r>
          </w:p>
        </w:tc>
        <w:tc>
          <w:tcPr>
            <w:tcW w:w="419" w:type="pct"/>
          </w:tcPr>
          <w:p w14:paraId="507CFC60"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color w:val="000000"/>
                <w:sz w:val="20"/>
                <w:szCs w:val="20"/>
                <w:lang w:val="es-ES"/>
              </w:rPr>
              <w:t>SEC TOR</w:t>
            </w:r>
          </w:p>
        </w:tc>
        <w:tc>
          <w:tcPr>
            <w:tcW w:w="524" w:type="pct"/>
          </w:tcPr>
          <w:p w14:paraId="65EAC138"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principal</w:t>
            </w:r>
          </w:p>
        </w:tc>
        <w:tc>
          <w:tcPr>
            <w:tcW w:w="419" w:type="pct"/>
          </w:tcPr>
          <w:p w14:paraId="7A03731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7162E27D"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p w14:paraId="7997CAF8"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CA</w:t>
            </w:r>
          </w:p>
        </w:tc>
        <w:tc>
          <w:tcPr>
            <w:tcW w:w="578" w:type="pct"/>
          </w:tcPr>
          <w:p w14:paraId="4F528C2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2CD7519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30</w:t>
            </w:r>
          </w:p>
        </w:tc>
      </w:tr>
      <w:tr w:rsidR="007F365D" w:rsidRPr="007F365D" w14:paraId="5EB60E35"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9CC2E5" w:themeFill="accent5" w:themeFillTint="99"/>
          </w:tcPr>
          <w:p w14:paraId="7AB72291" w14:textId="31633BD2" w:rsidR="007F365D" w:rsidRPr="007F365D" w:rsidRDefault="00D12DDE" w:rsidP="007F365D">
            <w:pPr>
              <w:tabs>
                <w:tab w:val="left" w:pos="0"/>
                <w:tab w:val="left" w:pos="720"/>
              </w:tabs>
              <w:contextualSpacing/>
              <w:jc w:val="both"/>
              <w:rPr>
                <w:rFonts w:ascii="Arial" w:eastAsia="Times New Roman" w:hAnsi="Arial" w:cs="Arial"/>
                <w:sz w:val="20"/>
                <w:szCs w:val="20"/>
                <w:lang w:val="es-ES"/>
              </w:rPr>
            </w:pPr>
            <w:proofErr w:type="spellStart"/>
            <w:r>
              <w:rPr>
                <w:rFonts w:ascii="Arial" w:eastAsia="Times New Roman" w:hAnsi="Arial" w:cs="Arial"/>
                <w:sz w:val="20"/>
                <w:szCs w:val="20"/>
                <w:lang w:val="es-ES"/>
              </w:rPr>
              <w:t>Divulgación</w:t>
            </w:r>
            <w:r w:rsidR="007F365D" w:rsidRPr="007F365D">
              <w:rPr>
                <w:rFonts w:ascii="Arial" w:eastAsia="Times New Roman" w:hAnsi="Arial" w:cs="Arial"/>
                <w:sz w:val="20"/>
                <w:szCs w:val="20"/>
                <w:lang w:val="es-ES"/>
              </w:rPr>
              <w:t>r</w:t>
            </w:r>
            <w:proofErr w:type="spellEnd"/>
          </w:p>
        </w:tc>
      </w:tr>
      <w:tr w:rsidR="007F365D" w:rsidRPr="007F365D" w14:paraId="7531B5EE"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094BF913"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4</w:t>
            </w:r>
          </w:p>
        </w:tc>
        <w:tc>
          <w:tcPr>
            <w:tcW w:w="1698" w:type="pct"/>
          </w:tcPr>
          <w:p w14:paraId="429EFE02"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 xml:space="preserve">Informar e incrementar la conciencia sobre el </w:t>
            </w:r>
            <w:proofErr w:type="spellStart"/>
            <w:r w:rsidRPr="007F365D">
              <w:rPr>
                <w:rFonts w:ascii="Arial" w:eastAsia="Calibri" w:hAnsi="Arial" w:cs="Arial"/>
                <w:sz w:val="20"/>
                <w:szCs w:val="20"/>
                <w:lang w:val="es-ES"/>
              </w:rPr>
              <w:t>MdE</w:t>
            </w:r>
            <w:proofErr w:type="spellEnd"/>
            <w:r w:rsidRPr="007F365D">
              <w:rPr>
                <w:rFonts w:ascii="Arial" w:eastAsia="Calibri" w:hAnsi="Arial" w:cs="Arial"/>
                <w:sz w:val="20"/>
                <w:szCs w:val="20"/>
                <w:lang w:val="es-ES"/>
              </w:rPr>
              <w:t xml:space="preserve"> sobre tiburones de acuerdo con la Estrategia de Comunicación e incremento de la conciencia del </w:t>
            </w:r>
            <w:proofErr w:type="spellStart"/>
            <w:r w:rsidRPr="007F365D">
              <w:rPr>
                <w:rFonts w:ascii="Arial" w:eastAsia="Calibri" w:hAnsi="Arial" w:cs="Arial"/>
                <w:sz w:val="20"/>
                <w:szCs w:val="20"/>
                <w:lang w:val="es-ES"/>
              </w:rPr>
              <w:t>MdE</w:t>
            </w:r>
            <w:proofErr w:type="spellEnd"/>
            <w:r w:rsidRPr="007F365D">
              <w:rPr>
                <w:rFonts w:ascii="Arial" w:eastAsia="Calibri" w:hAnsi="Arial" w:cs="Arial"/>
                <w:sz w:val="20"/>
                <w:szCs w:val="20"/>
                <w:lang w:val="es-ES"/>
              </w:rPr>
              <w:t xml:space="preserve"> sobre tiburones.</w:t>
            </w:r>
          </w:p>
        </w:tc>
        <w:tc>
          <w:tcPr>
            <w:tcW w:w="419" w:type="pct"/>
          </w:tcPr>
          <w:p w14:paraId="68835DBA"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color w:val="000000"/>
                <w:sz w:val="20"/>
                <w:szCs w:val="20"/>
                <w:lang w:val="es-ES"/>
              </w:rPr>
              <w:t>SEC TOR</w:t>
            </w:r>
          </w:p>
        </w:tc>
        <w:tc>
          <w:tcPr>
            <w:tcW w:w="524" w:type="pct"/>
          </w:tcPr>
          <w:p w14:paraId="12AFA1F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principal</w:t>
            </w:r>
          </w:p>
        </w:tc>
        <w:tc>
          <w:tcPr>
            <w:tcW w:w="419" w:type="pct"/>
          </w:tcPr>
          <w:p w14:paraId="76E4F15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480C9A49"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2687B52B" w14:textId="77777777" w:rsidR="007F365D" w:rsidRPr="007F365D" w:rsidRDefault="007F365D" w:rsidP="007F365D">
            <w:pPr>
              <w:tabs>
                <w:tab w:val="left" w:pos="0"/>
                <w:tab w:val="left" w:pos="720"/>
              </w:tabs>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Hasta un punto limitado incluido en el presupuesto principal</w:t>
            </w:r>
          </w:p>
        </w:tc>
        <w:tc>
          <w:tcPr>
            <w:tcW w:w="705" w:type="pct"/>
          </w:tcPr>
          <w:p w14:paraId="3F3DF382"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15</w:t>
            </w:r>
          </w:p>
          <w:p w14:paraId="46B3A79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G personal: 5</w:t>
            </w:r>
          </w:p>
        </w:tc>
      </w:tr>
      <w:tr w:rsidR="007F365D" w:rsidRPr="007F365D" w14:paraId="1B4A2E7E"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 w:type="pct"/>
          </w:tcPr>
          <w:p w14:paraId="0F1D5663"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lastRenderedPageBreak/>
              <w:t>5</w:t>
            </w:r>
          </w:p>
        </w:tc>
        <w:tc>
          <w:tcPr>
            <w:tcW w:w="1698" w:type="pct"/>
          </w:tcPr>
          <w:p w14:paraId="7387CF3B"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 xml:space="preserve">Animar a todos los Estados del Área de Distribución a unirse a la CMS y convertirse en Signatarios del </w:t>
            </w:r>
            <w:proofErr w:type="spellStart"/>
            <w:r w:rsidRPr="007F365D">
              <w:rPr>
                <w:rFonts w:ascii="Arial" w:eastAsia="Calibri" w:hAnsi="Arial" w:cs="Arial"/>
                <w:sz w:val="20"/>
                <w:szCs w:val="20"/>
                <w:lang w:val="es-ES"/>
              </w:rPr>
              <w:t>MdE</w:t>
            </w:r>
            <w:proofErr w:type="spellEnd"/>
            <w:r w:rsidRPr="007F365D">
              <w:rPr>
                <w:rFonts w:ascii="Arial" w:eastAsia="Calibri" w:hAnsi="Arial" w:cs="Arial"/>
                <w:sz w:val="20"/>
                <w:szCs w:val="20"/>
                <w:lang w:val="es-ES"/>
              </w:rPr>
              <w:t>.</w:t>
            </w:r>
          </w:p>
        </w:tc>
        <w:tc>
          <w:tcPr>
            <w:tcW w:w="419" w:type="pct"/>
          </w:tcPr>
          <w:p w14:paraId="3C25FE46"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color w:val="000000"/>
                <w:sz w:val="20"/>
                <w:szCs w:val="20"/>
                <w:lang w:val="es-ES"/>
              </w:rPr>
              <w:t>SEC TOR</w:t>
            </w:r>
          </w:p>
        </w:tc>
        <w:tc>
          <w:tcPr>
            <w:tcW w:w="524" w:type="pct"/>
          </w:tcPr>
          <w:p w14:paraId="18989661"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principal</w:t>
            </w:r>
          </w:p>
        </w:tc>
        <w:tc>
          <w:tcPr>
            <w:tcW w:w="419" w:type="pct"/>
          </w:tcPr>
          <w:p w14:paraId="30CDBDA3"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5FF0EB1B" w14:textId="77777777" w:rsidR="007F365D" w:rsidRPr="007F365D" w:rsidRDefault="007F365D" w:rsidP="007F365D">
            <w:pPr>
              <w:autoSpaceDN w:val="0"/>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3878634B"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7D861114"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w:t>
            </w:r>
          </w:p>
        </w:tc>
      </w:tr>
      <w:tr w:rsidR="007F365D" w:rsidRPr="007F365D" w14:paraId="16400C95"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07E665ED"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6</w:t>
            </w:r>
          </w:p>
        </w:tc>
        <w:tc>
          <w:tcPr>
            <w:tcW w:w="1698" w:type="pct"/>
          </w:tcPr>
          <w:p w14:paraId="2CE0F9E2"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Representar al </w:t>
            </w:r>
            <w:proofErr w:type="spellStart"/>
            <w:r w:rsidRPr="007F365D">
              <w:rPr>
                <w:rFonts w:ascii="Arial" w:eastAsia="Calibri" w:hAnsi="Arial" w:cs="Arial"/>
                <w:sz w:val="20"/>
                <w:szCs w:val="20"/>
                <w:lang w:val="es-ES"/>
              </w:rPr>
              <w:t>MdE</w:t>
            </w:r>
            <w:proofErr w:type="spellEnd"/>
            <w:r w:rsidRPr="007F365D">
              <w:rPr>
                <w:rFonts w:ascii="Arial" w:eastAsia="Calibri" w:hAnsi="Arial" w:cs="Arial"/>
                <w:sz w:val="20"/>
                <w:szCs w:val="20"/>
                <w:lang w:val="es-ES"/>
              </w:rPr>
              <w:t xml:space="preserve"> en reuniones de otros acuerdos intergubernamentales para facilitar el logro de los objetivos del </w:t>
            </w:r>
            <w:proofErr w:type="spellStart"/>
            <w:r w:rsidRPr="007F365D">
              <w:rPr>
                <w:rFonts w:ascii="Arial" w:eastAsia="Calibri" w:hAnsi="Arial" w:cs="Arial"/>
                <w:sz w:val="20"/>
                <w:szCs w:val="20"/>
                <w:lang w:val="es-ES"/>
              </w:rPr>
              <w:t>MdE</w:t>
            </w:r>
            <w:proofErr w:type="spellEnd"/>
            <w:r w:rsidRPr="007F365D">
              <w:rPr>
                <w:rFonts w:ascii="Arial" w:eastAsia="Calibri" w:hAnsi="Arial" w:cs="Arial"/>
                <w:sz w:val="20"/>
                <w:szCs w:val="20"/>
                <w:lang w:val="es-ES"/>
              </w:rPr>
              <w:t>.</w:t>
            </w:r>
          </w:p>
          <w:p w14:paraId="4DDF233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p>
        </w:tc>
        <w:tc>
          <w:tcPr>
            <w:tcW w:w="419" w:type="pct"/>
          </w:tcPr>
          <w:p w14:paraId="04563C0A"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7B49FD4F"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6087A9F2"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4F8F98A2"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52DF520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presupuesto principal</w:t>
            </w:r>
          </w:p>
        </w:tc>
        <w:tc>
          <w:tcPr>
            <w:tcW w:w="705" w:type="pct"/>
          </w:tcPr>
          <w:p w14:paraId="5C5A7B7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60</w:t>
            </w:r>
          </w:p>
        </w:tc>
      </w:tr>
      <w:tr w:rsidR="007F365D" w:rsidRPr="00B83C92" w14:paraId="5E100E5C"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9CC2E5" w:themeFill="accent5" w:themeFillTint="99"/>
          </w:tcPr>
          <w:p w14:paraId="322F5D03" w14:textId="532FABB5"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Calibri" w:hAnsi="Arial" w:cs="Arial"/>
                <w:sz w:val="20"/>
                <w:szCs w:val="20"/>
                <w:lang w:val="es-ES"/>
              </w:rPr>
              <w:t xml:space="preserve">Apoyo para Reuniones (MOS, CA y </w:t>
            </w:r>
            <w:proofErr w:type="spellStart"/>
            <w:r w:rsidRPr="007F365D">
              <w:rPr>
                <w:rFonts w:ascii="Arial" w:eastAsia="Calibri" w:hAnsi="Arial" w:cs="Arial"/>
                <w:sz w:val="20"/>
                <w:szCs w:val="20"/>
                <w:lang w:val="es-ES"/>
              </w:rPr>
              <w:t>G</w:t>
            </w:r>
            <w:r w:rsidR="007F4802">
              <w:rPr>
                <w:rFonts w:ascii="Arial" w:eastAsia="Calibri" w:hAnsi="Arial" w:cs="Arial"/>
                <w:sz w:val="20"/>
                <w:szCs w:val="20"/>
                <w:lang w:val="es-ES"/>
              </w:rPr>
              <w:t>dT</w:t>
            </w:r>
            <w:proofErr w:type="spellEnd"/>
            <w:r w:rsidRPr="007F365D">
              <w:rPr>
                <w:rFonts w:ascii="Arial" w:eastAsia="Calibri" w:hAnsi="Arial" w:cs="Arial"/>
                <w:sz w:val="20"/>
                <w:szCs w:val="20"/>
                <w:lang w:val="es-ES"/>
              </w:rPr>
              <w:t>)</w:t>
            </w:r>
          </w:p>
        </w:tc>
      </w:tr>
      <w:tr w:rsidR="007F365D" w:rsidRPr="007F365D" w14:paraId="14B1275C"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2903CA32"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7</w:t>
            </w:r>
          </w:p>
        </w:tc>
        <w:tc>
          <w:tcPr>
            <w:tcW w:w="1698" w:type="pct"/>
          </w:tcPr>
          <w:p w14:paraId="1170B3CA"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Preparar y celebrar la 5</w:t>
            </w:r>
            <w:r w:rsidRPr="007F365D">
              <w:rPr>
                <w:rFonts w:ascii="Arial" w:eastAsia="Calibri" w:hAnsi="Arial" w:cs="Arial"/>
                <w:sz w:val="20"/>
                <w:szCs w:val="20"/>
                <w:vertAlign w:val="superscript"/>
                <w:lang w:val="es-ES"/>
              </w:rPr>
              <w:t>ª</w:t>
            </w:r>
            <w:r w:rsidRPr="007F365D">
              <w:rPr>
                <w:rFonts w:ascii="Arial" w:eastAsia="Calibri" w:hAnsi="Arial" w:cs="Arial"/>
                <w:sz w:val="20"/>
                <w:szCs w:val="20"/>
                <w:lang w:val="es-ES"/>
              </w:rPr>
              <w:t xml:space="preserve"> Reunión de los Signatarios</w:t>
            </w:r>
          </w:p>
        </w:tc>
        <w:tc>
          <w:tcPr>
            <w:tcW w:w="419" w:type="pct"/>
          </w:tcPr>
          <w:p w14:paraId="2BADF4C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4B93FFBC"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07C6A4C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2025</w:t>
            </w:r>
          </w:p>
        </w:tc>
        <w:tc>
          <w:tcPr>
            <w:tcW w:w="470" w:type="pct"/>
          </w:tcPr>
          <w:p w14:paraId="6AACBCE3"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p w14:paraId="7FD732B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CA</w:t>
            </w:r>
          </w:p>
        </w:tc>
        <w:tc>
          <w:tcPr>
            <w:tcW w:w="578" w:type="pct"/>
          </w:tcPr>
          <w:p w14:paraId="7DC0B58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6500AE0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120</w:t>
            </w:r>
          </w:p>
          <w:p w14:paraId="6620D5A6"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120</w:t>
            </w:r>
            <w:r w:rsidRPr="007F365D">
              <w:rPr>
                <w:rFonts w:ascii="Arial" w:eastAsia="Times New Roman" w:hAnsi="Arial" w:cs="Arial"/>
                <w:sz w:val="20"/>
                <w:szCs w:val="20"/>
                <w:vertAlign w:val="superscript"/>
                <w:lang w:val="es-ES"/>
              </w:rPr>
              <w:footnoteReference w:id="9"/>
            </w:r>
          </w:p>
        </w:tc>
      </w:tr>
      <w:tr w:rsidR="007F365D" w:rsidRPr="007F365D" w14:paraId="05DF6237"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 w:type="pct"/>
          </w:tcPr>
          <w:p w14:paraId="6B3FB708"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8</w:t>
            </w:r>
          </w:p>
        </w:tc>
        <w:tc>
          <w:tcPr>
            <w:tcW w:w="1698" w:type="pct"/>
          </w:tcPr>
          <w:p w14:paraId="065D9A1B"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Preparar y celebrar la 4</w:t>
            </w:r>
            <w:r w:rsidRPr="007F365D">
              <w:rPr>
                <w:rFonts w:ascii="Arial" w:eastAsia="Calibri" w:hAnsi="Arial" w:cs="Arial"/>
                <w:sz w:val="20"/>
                <w:szCs w:val="20"/>
                <w:vertAlign w:val="superscript"/>
                <w:lang w:val="es-ES"/>
              </w:rPr>
              <w:t>ª</w:t>
            </w:r>
            <w:r w:rsidRPr="007F365D">
              <w:rPr>
                <w:rFonts w:ascii="Arial" w:eastAsia="Calibri" w:hAnsi="Arial" w:cs="Arial"/>
                <w:sz w:val="20"/>
                <w:szCs w:val="20"/>
                <w:lang w:val="es-ES"/>
              </w:rPr>
              <w:t xml:space="preserve"> Reunión del Comité Asesor</w:t>
            </w:r>
          </w:p>
        </w:tc>
        <w:tc>
          <w:tcPr>
            <w:tcW w:w="419" w:type="pct"/>
          </w:tcPr>
          <w:p w14:paraId="4FEDBC60"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6E607C0C"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0683DC03"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2023</w:t>
            </w:r>
          </w:p>
        </w:tc>
        <w:tc>
          <w:tcPr>
            <w:tcW w:w="470" w:type="pct"/>
          </w:tcPr>
          <w:p w14:paraId="0B9C181D" w14:textId="77777777" w:rsidR="007F365D" w:rsidRPr="007F365D" w:rsidRDefault="007F365D" w:rsidP="007F365D">
            <w:pPr>
              <w:autoSpaceDN w:val="0"/>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p w14:paraId="7E55CCC6"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CA</w:t>
            </w:r>
          </w:p>
        </w:tc>
        <w:tc>
          <w:tcPr>
            <w:tcW w:w="578" w:type="pct"/>
          </w:tcPr>
          <w:p w14:paraId="3C9DC9A2"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0C4D0F84"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35</w:t>
            </w:r>
          </w:p>
          <w:p w14:paraId="0358EF42"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30</w:t>
            </w:r>
          </w:p>
        </w:tc>
      </w:tr>
      <w:tr w:rsidR="007F365D" w:rsidRPr="007F365D" w14:paraId="4C782137"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65C78409"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9</w:t>
            </w:r>
          </w:p>
        </w:tc>
        <w:tc>
          <w:tcPr>
            <w:tcW w:w="1698" w:type="pct"/>
          </w:tcPr>
          <w:p w14:paraId="322145F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Preparar y celebrar la 5</w:t>
            </w:r>
            <w:r w:rsidRPr="007F365D">
              <w:rPr>
                <w:rFonts w:ascii="Arial" w:eastAsia="Calibri" w:hAnsi="Arial" w:cs="Arial"/>
                <w:sz w:val="20"/>
                <w:szCs w:val="20"/>
                <w:vertAlign w:val="superscript"/>
                <w:lang w:val="es-ES"/>
              </w:rPr>
              <w:t>ª</w:t>
            </w:r>
            <w:r w:rsidRPr="007F365D">
              <w:rPr>
                <w:rFonts w:ascii="Arial" w:eastAsia="Calibri" w:hAnsi="Arial" w:cs="Arial"/>
                <w:sz w:val="20"/>
                <w:szCs w:val="20"/>
                <w:lang w:val="es-ES"/>
              </w:rPr>
              <w:t xml:space="preserve"> Reunión del Comité Asesor</w:t>
            </w:r>
          </w:p>
        </w:tc>
        <w:tc>
          <w:tcPr>
            <w:tcW w:w="419" w:type="pct"/>
          </w:tcPr>
          <w:p w14:paraId="41867990"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5EF258CF"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1245F2B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2025</w:t>
            </w:r>
          </w:p>
        </w:tc>
        <w:tc>
          <w:tcPr>
            <w:tcW w:w="470" w:type="pct"/>
          </w:tcPr>
          <w:p w14:paraId="207C1C96"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p w14:paraId="5461676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CA</w:t>
            </w:r>
          </w:p>
        </w:tc>
        <w:tc>
          <w:tcPr>
            <w:tcW w:w="578" w:type="pct"/>
          </w:tcPr>
          <w:p w14:paraId="37C7D99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08F45306"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35</w:t>
            </w:r>
          </w:p>
          <w:p w14:paraId="2021D1B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30</w:t>
            </w:r>
          </w:p>
        </w:tc>
      </w:tr>
      <w:tr w:rsidR="007F365D" w:rsidRPr="00B83C92" w14:paraId="6FC8AD1C"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9CC2E5" w:themeFill="accent5" w:themeFillTint="99"/>
          </w:tcPr>
          <w:p w14:paraId="379F27DA"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Apoyo para el Comité Asesor</w:t>
            </w:r>
          </w:p>
        </w:tc>
      </w:tr>
      <w:tr w:rsidR="007F365D" w:rsidRPr="007F365D" w14:paraId="60ABA69C"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00A5FFFD"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10</w:t>
            </w:r>
          </w:p>
        </w:tc>
        <w:tc>
          <w:tcPr>
            <w:tcW w:w="1698" w:type="pct"/>
          </w:tcPr>
          <w:p w14:paraId="7B5A4747"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Ayudar al </w:t>
            </w:r>
            <w:proofErr w:type="gramStart"/>
            <w:r w:rsidRPr="007F365D">
              <w:rPr>
                <w:rFonts w:ascii="Arial" w:eastAsia="Calibri" w:hAnsi="Arial" w:cs="Arial"/>
                <w:sz w:val="20"/>
                <w:szCs w:val="20"/>
                <w:lang w:val="es-ES"/>
              </w:rPr>
              <w:t>Presidente</w:t>
            </w:r>
            <w:proofErr w:type="gramEnd"/>
            <w:r w:rsidRPr="007F365D">
              <w:rPr>
                <w:rFonts w:ascii="Arial" w:eastAsia="Calibri" w:hAnsi="Arial" w:cs="Arial"/>
                <w:sz w:val="20"/>
                <w:szCs w:val="20"/>
                <w:lang w:val="es-ES"/>
              </w:rPr>
              <w:t xml:space="preserve"> del CA según sea necesario para facilitar la labor del Comité y la preparación de documentos de la reunión.</w:t>
            </w:r>
          </w:p>
        </w:tc>
        <w:tc>
          <w:tcPr>
            <w:tcW w:w="419" w:type="pct"/>
          </w:tcPr>
          <w:p w14:paraId="516D5BBD"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6B654B15"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27FE5446"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Calibri" w:hAnsi="Arial" w:cs="Arial"/>
                <w:sz w:val="20"/>
                <w:szCs w:val="20"/>
                <w:lang w:val="es-ES"/>
              </w:rPr>
              <w:t>2023-2025</w:t>
            </w:r>
          </w:p>
        </w:tc>
        <w:tc>
          <w:tcPr>
            <w:tcW w:w="470" w:type="pct"/>
          </w:tcPr>
          <w:p w14:paraId="62F3CDC8"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SEC</w:t>
            </w:r>
          </w:p>
        </w:tc>
        <w:tc>
          <w:tcPr>
            <w:tcW w:w="578" w:type="pct"/>
          </w:tcPr>
          <w:p w14:paraId="3E2A4F04"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presupuesto principal</w:t>
            </w:r>
          </w:p>
        </w:tc>
        <w:tc>
          <w:tcPr>
            <w:tcW w:w="705" w:type="pct"/>
          </w:tcPr>
          <w:p w14:paraId="782632BA"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36</w:t>
            </w:r>
          </w:p>
          <w:p w14:paraId="6C75077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G personal: 12</w:t>
            </w:r>
          </w:p>
        </w:tc>
      </w:tr>
      <w:tr w:rsidR="007F365D" w:rsidRPr="007F365D" w14:paraId="5410460D" w14:textId="77777777" w:rsidTr="0069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nil"/>
            </w:tcBorders>
            <w:shd w:val="clear" w:color="auto" w:fill="9CC2E5" w:themeFill="accent5" w:themeFillTint="99"/>
          </w:tcPr>
          <w:p w14:paraId="342394CD" w14:textId="77777777" w:rsidR="007F365D" w:rsidRPr="007F365D" w:rsidRDefault="007F365D" w:rsidP="007F365D">
            <w:pPr>
              <w:tabs>
                <w:tab w:val="left" w:pos="0"/>
                <w:tab w:val="left" w:pos="720"/>
              </w:tabs>
              <w:contextualSpacing/>
              <w:jc w:val="both"/>
              <w:rPr>
                <w:rFonts w:ascii="Arial" w:eastAsia="Times New Roman" w:hAnsi="Arial" w:cs="Arial"/>
                <w:sz w:val="20"/>
                <w:szCs w:val="20"/>
                <w:lang w:val="es-ES"/>
              </w:rPr>
            </w:pPr>
            <w:r w:rsidRPr="007F365D">
              <w:rPr>
                <w:rFonts w:ascii="Arial" w:eastAsia="Times New Roman" w:hAnsi="Arial" w:cs="Arial"/>
                <w:sz w:val="20"/>
                <w:szCs w:val="20"/>
                <w:lang w:val="es-ES"/>
              </w:rPr>
              <w:t>Gestión de personal</w:t>
            </w:r>
          </w:p>
        </w:tc>
      </w:tr>
      <w:tr w:rsidR="00AA41C0" w:rsidRPr="007F365D" w14:paraId="0E3E2F52" w14:textId="77777777" w:rsidTr="00AA41C0">
        <w:trPr>
          <w:trHeight w:val="1757"/>
        </w:trPr>
        <w:tc>
          <w:tcPr>
            <w:cnfStyle w:val="001000000000" w:firstRow="0" w:lastRow="0" w:firstColumn="1" w:lastColumn="0" w:oddVBand="0" w:evenVBand="0" w:oddHBand="0" w:evenHBand="0" w:firstRowFirstColumn="0" w:firstRowLastColumn="0" w:lastRowFirstColumn="0" w:lastRowLastColumn="0"/>
            <w:tcW w:w="187" w:type="pct"/>
            <w:tcBorders>
              <w:top w:val="nil"/>
              <w:bottom w:val="single" w:sz="4" w:space="0" w:color="auto"/>
            </w:tcBorders>
          </w:tcPr>
          <w:p w14:paraId="0F5C48CD" w14:textId="77777777" w:rsidR="007F365D" w:rsidRPr="007F365D" w:rsidRDefault="007F365D" w:rsidP="007F365D">
            <w:pPr>
              <w:tabs>
                <w:tab w:val="left" w:pos="0"/>
                <w:tab w:val="left" w:pos="720"/>
              </w:tabs>
              <w:contextualSpacing/>
              <w:rPr>
                <w:rFonts w:ascii="Arial" w:eastAsia="Times New Roman" w:hAnsi="Arial" w:cs="Arial"/>
                <w:sz w:val="20"/>
                <w:szCs w:val="20"/>
                <w:lang w:val="es-ES"/>
              </w:rPr>
            </w:pPr>
            <w:r w:rsidRPr="007F365D">
              <w:rPr>
                <w:rFonts w:ascii="Arial" w:eastAsia="Times New Roman" w:hAnsi="Arial" w:cs="Arial"/>
                <w:sz w:val="20"/>
                <w:szCs w:val="20"/>
                <w:lang w:val="es-ES"/>
              </w:rPr>
              <w:t>11</w:t>
            </w:r>
          </w:p>
        </w:tc>
        <w:tc>
          <w:tcPr>
            <w:tcW w:w="1698" w:type="pct"/>
            <w:tcBorders>
              <w:top w:val="nil"/>
              <w:bottom w:val="single" w:sz="4" w:space="0" w:color="auto"/>
            </w:tcBorders>
          </w:tcPr>
          <w:p w14:paraId="62619F69" w14:textId="77777777" w:rsidR="007F365D" w:rsidRPr="007F365D" w:rsidRDefault="007F365D" w:rsidP="007F365D">
            <w:pPr>
              <w:tabs>
                <w:tab w:val="left" w:pos="0"/>
                <w:tab w:val="left" w:pos="720"/>
              </w:tabs>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Reclutamiento y supervisión de personal y becarios</w:t>
            </w:r>
          </w:p>
        </w:tc>
        <w:tc>
          <w:tcPr>
            <w:tcW w:w="419" w:type="pct"/>
            <w:tcBorders>
              <w:top w:val="nil"/>
              <w:bottom w:val="single" w:sz="4" w:space="0" w:color="auto"/>
            </w:tcBorders>
          </w:tcPr>
          <w:p w14:paraId="562D6F29"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Borders>
              <w:top w:val="nil"/>
              <w:bottom w:val="single" w:sz="4" w:space="0" w:color="auto"/>
            </w:tcBorders>
          </w:tcPr>
          <w:p w14:paraId="280E66F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Borders>
              <w:top w:val="nil"/>
              <w:bottom w:val="single" w:sz="4" w:space="0" w:color="auto"/>
            </w:tcBorders>
          </w:tcPr>
          <w:p w14:paraId="4B8FE65E"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Borders>
              <w:top w:val="nil"/>
              <w:bottom w:val="single" w:sz="4" w:space="0" w:color="auto"/>
            </w:tcBorders>
          </w:tcPr>
          <w:p w14:paraId="6A85948A"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Borders>
              <w:top w:val="nil"/>
              <w:bottom w:val="single" w:sz="4" w:space="0" w:color="auto"/>
            </w:tcBorders>
          </w:tcPr>
          <w:p w14:paraId="4BD6F408" w14:textId="77777777" w:rsid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presupuesto principal</w:t>
            </w:r>
          </w:p>
          <w:p w14:paraId="21A05DA8" w14:textId="10BD5E4A" w:rsidR="006931DA" w:rsidRPr="007F365D" w:rsidRDefault="006931DA"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p>
        </w:tc>
        <w:tc>
          <w:tcPr>
            <w:tcW w:w="705" w:type="pct"/>
            <w:tcBorders>
              <w:top w:val="nil"/>
              <w:bottom w:val="single" w:sz="4" w:space="0" w:color="auto"/>
            </w:tcBorders>
          </w:tcPr>
          <w:p w14:paraId="2035C29C"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30</w:t>
            </w:r>
          </w:p>
          <w:p w14:paraId="4977A69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10</w:t>
            </w:r>
          </w:p>
        </w:tc>
      </w:tr>
      <w:tr w:rsidR="007F365D" w:rsidRPr="007F365D" w14:paraId="5110D472" w14:textId="77777777" w:rsidTr="0069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tcBorders>
            <w:shd w:val="clear" w:color="auto" w:fill="9CC2E5" w:themeFill="accent5" w:themeFillTint="99"/>
          </w:tcPr>
          <w:p w14:paraId="02AA0F12" w14:textId="77777777" w:rsidR="007F365D" w:rsidRPr="007F365D" w:rsidRDefault="007F365D" w:rsidP="007F365D">
            <w:pPr>
              <w:tabs>
                <w:tab w:val="left" w:pos="0"/>
                <w:tab w:val="left" w:pos="720"/>
              </w:tabs>
              <w:contextualSpacing/>
              <w:rPr>
                <w:rFonts w:ascii="Arial" w:eastAsia="Times New Roman" w:hAnsi="Arial" w:cs="Arial"/>
                <w:sz w:val="20"/>
                <w:szCs w:val="20"/>
                <w:lang w:val="es-ES"/>
              </w:rPr>
            </w:pPr>
            <w:r w:rsidRPr="007F365D">
              <w:rPr>
                <w:rFonts w:ascii="Arial" w:eastAsia="Times New Roman" w:hAnsi="Arial" w:cs="Arial"/>
                <w:sz w:val="20"/>
                <w:szCs w:val="20"/>
                <w:lang w:val="es-ES"/>
              </w:rPr>
              <w:lastRenderedPageBreak/>
              <w:t>Gestión del presupuesto</w:t>
            </w:r>
          </w:p>
        </w:tc>
      </w:tr>
      <w:tr w:rsidR="007F365D" w:rsidRPr="007F365D" w14:paraId="6F877478"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0DB2E805" w14:textId="77777777" w:rsidR="007F365D" w:rsidRPr="007F365D" w:rsidRDefault="007F365D" w:rsidP="007F365D">
            <w:pPr>
              <w:tabs>
                <w:tab w:val="left" w:pos="0"/>
                <w:tab w:val="left" w:pos="720"/>
              </w:tabs>
              <w:contextualSpacing/>
              <w:rPr>
                <w:rFonts w:ascii="Arial" w:eastAsia="Times New Roman" w:hAnsi="Arial" w:cs="Arial"/>
                <w:sz w:val="20"/>
                <w:szCs w:val="20"/>
                <w:lang w:val="es-ES"/>
              </w:rPr>
            </w:pPr>
            <w:r w:rsidRPr="007F365D">
              <w:rPr>
                <w:rFonts w:ascii="Arial" w:eastAsia="Times New Roman" w:hAnsi="Arial" w:cs="Arial"/>
                <w:sz w:val="20"/>
                <w:szCs w:val="20"/>
                <w:lang w:val="es-ES"/>
              </w:rPr>
              <w:t>12</w:t>
            </w:r>
          </w:p>
        </w:tc>
        <w:tc>
          <w:tcPr>
            <w:tcW w:w="1698" w:type="pct"/>
          </w:tcPr>
          <w:p w14:paraId="237BC0B0" w14:textId="77777777" w:rsidR="007F365D" w:rsidRPr="007F365D" w:rsidRDefault="007F365D" w:rsidP="007F365D">
            <w:pPr>
              <w:tabs>
                <w:tab w:val="left" w:pos="0"/>
                <w:tab w:val="left" w:pos="720"/>
              </w:tabs>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Supervisar el presupuesto e informar</w:t>
            </w:r>
          </w:p>
        </w:tc>
        <w:tc>
          <w:tcPr>
            <w:tcW w:w="419" w:type="pct"/>
          </w:tcPr>
          <w:p w14:paraId="5D9BF49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4303C1E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02320AAB"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54CFF67F"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49303EB4"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5AE264B1"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9</w:t>
            </w:r>
          </w:p>
          <w:p w14:paraId="3A3DCA52"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12</w:t>
            </w:r>
          </w:p>
        </w:tc>
      </w:tr>
      <w:tr w:rsidR="007F365D" w:rsidRPr="007F365D" w14:paraId="35173444"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 w:type="pct"/>
          </w:tcPr>
          <w:p w14:paraId="3A8C00C7" w14:textId="77777777" w:rsidR="007F365D" w:rsidRPr="007F365D" w:rsidRDefault="007F365D" w:rsidP="007F365D">
            <w:pPr>
              <w:tabs>
                <w:tab w:val="left" w:pos="0"/>
                <w:tab w:val="left" w:pos="720"/>
              </w:tabs>
              <w:contextualSpacing/>
              <w:rPr>
                <w:rFonts w:ascii="Arial" w:eastAsia="Times New Roman" w:hAnsi="Arial" w:cs="Arial"/>
                <w:sz w:val="20"/>
                <w:szCs w:val="20"/>
                <w:lang w:val="es-ES"/>
              </w:rPr>
            </w:pPr>
            <w:r w:rsidRPr="007F365D">
              <w:rPr>
                <w:rFonts w:ascii="Arial" w:eastAsia="Times New Roman" w:hAnsi="Arial" w:cs="Arial"/>
                <w:sz w:val="20"/>
                <w:szCs w:val="20"/>
                <w:lang w:val="es-ES"/>
              </w:rPr>
              <w:t>13</w:t>
            </w:r>
          </w:p>
        </w:tc>
        <w:tc>
          <w:tcPr>
            <w:tcW w:w="1698" w:type="pct"/>
          </w:tcPr>
          <w:p w14:paraId="28069C66" w14:textId="77777777" w:rsidR="007F365D" w:rsidRPr="007F365D" w:rsidRDefault="007F365D" w:rsidP="007F365D">
            <w:pPr>
              <w:tabs>
                <w:tab w:val="left" w:pos="0"/>
                <w:tab w:val="left" w:pos="720"/>
              </w:tabs>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Recaudación de fondos para el presupuesto principal</w:t>
            </w:r>
            <w:r w:rsidRPr="007F365D">
              <w:rPr>
                <w:rFonts w:ascii="Arial" w:eastAsia="Calibri" w:hAnsi="Arial" w:cs="Arial"/>
                <w:sz w:val="20"/>
                <w:szCs w:val="20"/>
                <w:vertAlign w:val="superscript"/>
                <w:lang w:val="es-ES"/>
              </w:rPr>
              <w:footnoteReference w:id="10"/>
            </w:r>
          </w:p>
        </w:tc>
        <w:tc>
          <w:tcPr>
            <w:tcW w:w="419" w:type="pct"/>
          </w:tcPr>
          <w:p w14:paraId="20AAC12F"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51C1F087"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18355DB0"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2023-2025</w:t>
            </w:r>
          </w:p>
        </w:tc>
        <w:tc>
          <w:tcPr>
            <w:tcW w:w="470" w:type="pct"/>
          </w:tcPr>
          <w:p w14:paraId="5257D8F7" w14:textId="77777777" w:rsidR="007F365D" w:rsidRPr="007F365D" w:rsidRDefault="007F365D" w:rsidP="007F365D">
            <w:pPr>
              <w:autoSpaceDN w:val="0"/>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0F2B6622"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Calibri" w:hAnsi="Arial" w:cs="Arial"/>
                <w:sz w:val="20"/>
                <w:szCs w:val="20"/>
                <w:lang w:val="es-ES"/>
              </w:rPr>
              <w:t>presupuesto principal</w:t>
            </w:r>
          </w:p>
        </w:tc>
        <w:tc>
          <w:tcPr>
            <w:tcW w:w="705" w:type="pct"/>
          </w:tcPr>
          <w:p w14:paraId="0EF9D722"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9</w:t>
            </w:r>
          </w:p>
          <w:p w14:paraId="21BEF058" w14:textId="77777777" w:rsidR="007F365D" w:rsidRPr="007F365D" w:rsidRDefault="007F365D" w:rsidP="007F365D">
            <w:pPr>
              <w:tabs>
                <w:tab w:val="left" w:pos="0"/>
                <w:tab w:val="left" w:pos="720"/>
              </w:tab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sz w:val="20"/>
                <w:szCs w:val="20"/>
                <w:lang w:val="es-ES"/>
              </w:rPr>
              <w:t>G personal: 12</w:t>
            </w:r>
          </w:p>
        </w:tc>
      </w:tr>
      <w:tr w:rsidR="007F365D" w:rsidRPr="007F365D" w14:paraId="7B12CB8C" w14:textId="77777777" w:rsidTr="007F4802">
        <w:tc>
          <w:tcPr>
            <w:cnfStyle w:val="001000000000" w:firstRow="0" w:lastRow="0" w:firstColumn="1" w:lastColumn="0" w:oddVBand="0" w:evenVBand="0" w:oddHBand="0" w:evenHBand="0" w:firstRowFirstColumn="0" w:firstRowLastColumn="0" w:lastRowFirstColumn="0" w:lastRowLastColumn="0"/>
            <w:tcW w:w="187" w:type="pct"/>
          </w:tcPr>
          <w:p w14:paraId="563CD571" w14:textId="77777777" w:rsidR="007F365D" w:rsidRPr="007F365D" w:rsidRDefault="007F365D" w:rsidP="007F365D">
            <w:pPr>
              <w:tabs>
                <w:tab w:val="left" w:pos="0"/>
                <w:tab w:val="left" w:pos="720"/>
              </w:tabs>
              <w:contextualSpacing/>
              <w:rPr>
                <w:rFonts w:ascii="Arial" w:eastAsia="Times New Roman" w:hAnsi="Arial" w:cs="Arial"/>
                <w:sz w:val="20"/>
                <w:szCs w:val="20"/>
                <w:lang w:val="es-ES"/>
              </w:rPr>
            </w:pPr>
            <w:r w:rsidRPr="007F365D">
              <w:rPr>
                <w:rFonts w:ascii="Arial" w:eastAsia="Times New Roman" w:hAnsi="Arial" w:cs="Arial"/>
                <w:sz w:val="20"/>
                <w:szCs w:val="20"/>
                <w:lang w:val="es-ES"/>
              </w:rPr>
              <w:t>14</w:t>
            </w:r>
          </w:p>
        </w:tc>
        <w:tc>
          <w:tcPr>
            <w:tcW w:w="1698" w:type="pct"/>
          </w:tcPr>
          <w:p w14:paraId="76D5277D" w14:textId="77777777" w:rsidR="007F365D" w:rsidRPr="007F365D" w:rsidRDefault="007F365D" w:rsidP="007F365D">
            <w:pPr>
              <w:tabs>
                <w:tab w:val="left" w:pos="0"/>
                <w:tab w:val="left" w:pos="720"/>
              </w:tabs>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Recaudación de fondos para las actividades </w:t>
            </w:r>
            <w:proofErr w:type="spellStart"/>
            <w:r w:rsidRPr="007F365D">
              <w:rPr>
                <w:rFonts w:ascii="Arial" w:eastAsia="Calibri" w:hAnsi="Arial" w:cs="Arial"/>
                <w:sz w:val="20"/>
                <w:szCs w:val="20"/>
                <w:lang w:val="es-ES"/>
              </w:rPr>
              <w:t>extra-presupuestarias</w:t>
            </w:r>
            <w:proofErr w:type="spellEnd"/>
          </w:p>
        </w:tc>
        <w:tc>
          <w:tcPr>
            <w:tcW w:w="419" w:type="pct"/>
          </w:tcPr>
          <w:p w14:paraId="6A58E5A3"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lang w:val="es-ES"/>
              </w:rPr>
            </w:pPr>
            <w:r w:rsidRPr="007F365D">
              <w:rPr>
                <w:rFonts w:ascii="Arial" w:eastAsia="Calibri" w:hAnsi="Arial" w:cs="Arial"/>
                <w:color w:val="000000"/>
                <w:sz w:val="20"/>
                <w:szCs w:val="20"/>
                <w:lang w:val="es-ES"/>
              </w:rPr>
              <w:t>SEC TOR</w:t>
            </w:r>
          </w:p>
        </w:tc>
        <w:tc>
          <w:tcPr>
            <w:tcW w:w="524" w:type="pct"/>
          </w:tcPr>
          <w:p w14:paraId="6F6E8889"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principal</w:t>
            </w:r>
          </w:p>
        </w:tc>
        <w:tc>
          <w:tcPr>
            <w:tcW w:w="419" w:type="pct"/>
          </w:tcPr>
          <w:p w14:paraId="7E78E64D"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2023-2025</w:t>
            </w:r>
          </w:p>
        </w:tc>
        <w:tc>
          <w:tcPr>
            <w:tcW w:w="470" w:type="pct"/>
          </w:tcPr>
          <w:p w14:paraId="7F2825F5" w14:textId="77777777" w:rsidR="007F365D" w:rsidRPr="007F365D" w:rsidRDefault="007F365D" w:rsidP="007F365D">
            <w:pPr>
              <w:autoSpaceDN w:val="0"/>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 xml:space="preserve">SEC </w:t>
            </w:r>
          </w:p>
        </w:tc>
        <w:tc>
          <w:tcPr>
            <w:tcW w:w="578" w:type="pct"/>
          </w:tcPr>
          <w:p w14:paraId="4245304C"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ES"/>
              </w:rPr>
            </w:pPr>
            <w:r w:rsidRPr="007F365D">
              <w:rPr>
                <w:rFonts w:ascii="Arial" w:eastAsia="Calibri" w:hAnsi="Arial" w:cs="Arial"/>
                <w:sz w:val="20"/>
                <w:szCs w:val="20"/>
                <w:lang w:val="es-ES"/>
              </w:rPr>
              <w:t>presupuesto principal</w:t>
            </w:r>
          </w:p>
        </w:tc>
        <w:tc>
          <w:tcPr>
            <w:tcW w:w="705" w:type="pct"/>
          </w:tcPr>
          <w:p w14:paraId="735ABD08" w14:textId="77777777" w:rsidR="007F365D" w:rsidRPr="007F365D" w:rsidRDefault="007F365D" w:rsidP="007F365D">
            <w:pPr>
              <w:tabs>
                <w:tab w:val="left" w:pos="0"/>
                <w:tab w:val="left" w:pos="720"/>
              </w:tabs>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sz w:val="20"/>
                <w:szCs w:val="20"/>
                <w:lang w:val="es-ES"/>
              </w:rPr>
              <w:t>P personal: 15-45</w:t>
            </w:r>
            <w:r w:rsidRPr="007F365D">
              <w:rPr>
                <w:rFonts w:ascii="Arial" w:eastAsia="Times New Roman" w:hAnsi="Arial" w:cs="Arial"/>
                <w:sz w:val="20"/>
                <w:szCs w:val="20"/>
                <w:vertAlign w:val="superscript"/>
                <w:lang w:val="es-ES"/>
              </w:rPr>
              <w:footnoteReference w:id="11"/>
            </w:r>
          </w:p>
        </w:tc>
      </w:tr>
      <w:tr w:rsidR="007F365D" w:rsidRPr="007F365D" w14:paraId="1ECE6375" w14:textId="77777777" w:rsidTr="007F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5" w:type="pct"/>
            <w:gridSpan w:val="7"/>
          </w:tcPr>
          <w:p w14:paraId="1B17AC94" w14:textId="654BCE6B" w:rsidR="007F365D" w:rsidRPr="007F365D" w:rsidRDefault="007F365D" w:rsidP="007F4802">
            <w:pPr>
              <w:tabs>
                <w:tab w:val="left" w:pos="0"/>
                <w:tab w:val="left" w:pos="720"/>
              </w:tabs>
              <w:contextualSpacing/>
              <w:rPr>
                <w:rFonts w:ascii="Arial" w:eastAsia="Calibri" w:hAnsi="Arial" w:cs="Arial"/>
                <w:sz w:val="20"/>
                <w:szCs w:val="20"/>
                <w:lang w:val="es-ES"/>
              </w:rPr>
            </w:pPr>
            <w:r w:rsidRPr="007F365D">
              <w:rPr>
                <w:rFonts w:ascii="Arial" w:eastAsia="Times New Roman" w:hAnsi="Arial" w:cs="Arial"/>
                <w:sz w:val="20"/>
                <w:szCs w:val="20"/>
                <w:lang w:val="es-ES"/>
              </w:rPr>
              <w:t xml:space="preserve">Tiempo total de personal necesario para aplicar la Sección 1 del Programa de Trabajo: Tareas principales de la Secretaría y el </w:t>
            </w:r>
            <w:r w:rsidR="007F4802">
              <w:rPr>
                <w:rFonts w:ascii="Arial" w:eastAsia="Times New Roman" w:hAnsi="Arial" w:cs="Arial"/>
                <w:sz w:val="20"/>
                <w:szCs w:val="20"/>
                <w:lang w:val="es-ES"/>
              </w:rPr>
              <w:t xml:space="preserve">Comité </w:t>
            </w:r>
            <w:r w:rsidRPr="007F365D">
              <w:rPr>
                <w:rFonts w:ascii="Arial" w:eastAsia="Times New Roman" w:hAnsi="Arial" w:cs="Arial"/>
                <w:sz w:val="20"/>
                <w:szCs w:val="20"/>
                <w:lang w:val="es-ES"/>
              </w:rPr>
              <w:t>Asesor</w:t>
            </w:r>
          </w:p>
        </w:tc>
        <w:tc>
          <w:tcPr>
            <w:tcW w:w="705" w:type="pct"/>
          </w:tcPr>
          <w:p w14:paraId="764460D6" w14:textId="4030BE1A" w:rsidR="007F365D" w:rsidRPr="007F365D" w:rsidRDefault="007F365D" w:rsidP="007F365D">
            <w:pPr>
              <w:tabs>
                <w:tab w:val="left" w:pos="0"/>
                <w:tab w:val="left" w:pos="720"/>
              </w:tabs>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ES"/>
              </w:rPr>
            </w:pPr>
            <w:r w:rsidRPr="007F365D">
              <w:rPr>
                <w:rFonts w:ascii="Arial" w:eastAsia="Times New Roman" w:hAnsi="Arial" w:cs="Arial"/>
                <w:b/>
                <w:bCs/>
                <w:sz w:val="20"/>
                <w:szCs w:val="20"/>
                <w:lang w:val="es-ES"/>
              </w:rPr>
              <w:t>Personal</w:t>
            </w:r>
            <w:r w:rsidR="007F4802">
              <w:rPr>
                <w:rFonts w:ascii="Arial" w:eastAsia="Times New Roman" w:hAnsi="Arial" w:cs="Arial"/>
                <w:b/>
                <w:bCs/>
                <w:sz w:val="20"/>
                <w:szCs w:val="20"/>
                <w:lang w:val="es-ES"/>
              </w:rPr>
              <w:t xml:space="preserve"> P</w:t>
            </w:r>
            <w:r w:rsidRPr="007F365D">
              <w:rPr>
                <w:rFonts w:ascii="Arial" w:eastAsia="Times New Roman" w:hAnsi="Arial" w:cs="Arial"/>
                <w:b/>
                <w:bCs/>
                <w:sz w:val="20"/>
                <w:szCs w:val="20"/>
                <w:lang w:val="es-ES"/>
              </w:rPr>
              <w:t>: 472-502</w:t>
            </w:r>
          </w:p>
          <w:p w14:paraId="3843DEFD" w14:textId="77777777" w:rsidR="007F365D" w:rsidRPr="007F365D" w:rsidRDefault="007F365D" w:rsidP="007F365D">
            <w:pPr>
              <w:tabs>
                <w:tab w:val="left" w:pos="0"/>
                <w:tab w:val="left" w:pos="720"/>
              </w:tabs>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7F365D">
              <w:rPr>
                <w:rFonts w:ascii="Arial" w:eastAsia="Times New Roman" w:hAnsi="Arial" w:cs="Arial"/>
                <w:b/>
                <w:bCs/>
                <w:sz w:val="20"/>
                <w:szCs w:val="20"/>
                <w:lang w:val="es-ES"/>
              </w:rPr>
              <w:t>G personal: 231</w:t>
            </w:r>
          </w:p>
        </w:tc>
      </w:tr>
    </w:tbl>
    <w:p w14:paraId="6ECA4748"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p>
    <w:p w14:paraId="611D95CE"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p>
    <w:p w14:paraId="4708FB65" w14:textId="77777777"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br w:type="page"/>
      </w:r>
    </w:p>
    <w:p w14:paraId="3EA11953" w14:textId="1D977671" w:rsidR="007F365D" w:rsidRPr="007F365D" w:rsidRDefault="007F365D" w:rsidP="007F365D">
      <w:pPr>
        <w:tabs>
          <w:tab w:val="left" w:pos="0"/>
          <w:tab w:val="left" w:pos="720"/>
        </w:tabs>
        <w:spacing w:after="0" w:line="240" w:lineRule="auto"/>
        <w:contextualSpacing/>
        <w:jc w:val="both"/>
        <w:rPr>
          <w:rFonts w:ascii="Arial" w:eastAsia="Times New Roman" w:hAnsi="Arial" w:cs="Arial"/>
          <w:b/>
          <w:bCs/>
          <w:lang w:val="es-ES"/>
        </w:rPr>
      </w:pPr>
      <w:r w:rsidRPr="007F365D">
        <w:rPr>
          <w:rFonts w:ascii="Arial" w:eastAsia="Times New Roman" w:hAnsi="Arial" w:cs="Arial"/>
          <w:b/>
          <w:bCs/>
          <w:lang w:val="es-ES"/>
        </w:rPr>
        <w:lastRenderedPageBreak/>
        <w:t>Sección 2:</w:t>
      </w:r>
      <w:r w:rsidR="006931DA">
        <w:rPr>
          <w:rFonts w:ascii="Arial" w:eastAsia="Times New Roman" w:hAnsi="Arial" w:cs="Arial"/>
          <w:b/>
          <w:bCs/>
          <w:lang w:val="es-ES"/>
        </w:rPr>
        <w:t xml:space="preserve"> </w:t>
      </w:r>
      <w:r w:rsidRPr="007F365D">
        <w:rPr>
          <w:rFonts w:ascii="Arial" w:eastAsia="Times New Roman" w:hAnsi="Arial" w:cs="Arial"/>
          <w:b/>
          <w:bCs/>
          <w:lang w:val="es-ES"/>
        </w:rPr>
        <w:t xml:space="preserve">actividades de conservación </w:t>
      </w:r>
      <w:proofErr w:type="spellStart"/>
      <w:r w:rsidRPr="007F365D">
        <w:rPr>
          <w:rFonts w:ascii="Arial" w:eastAsia="Times New Roman" w:hAnsi="Arial" w:cs="Arial"/>
          <w:b/>
          <w:bCs/>
          <w:lang w:val="es-ES"/>
        </w:rPr>
        <w:t>extra-presupuestarias</w:t>
      </w:r>
      <w:proofErr w:type="spellEnd"/>
    </w:p>
    <w:p w14:paraId="45555181" w14:textId="77777777" w:rsidR="007F365D" w:rsidRPr="007F365D" w:rsidRDefault="007F365D" w:rsidP="007F365D">
      <w:pPr>
        <w:widowControl w:val="0"/>
        <w:autoSpaceDE w:val="0"/>
        <w:autoSpaceDN w:val="0"/>
        <w:adjustRightInd w:val="0"/>
        <w:spacing w:after="0" w:line="240" w:lineRule="auto"/>
        <w:rPr>
          <w:rFonts w:ascii="Lato" w:eastAsia="Times New Roman" w:hAnsi="Lato" w:cs="Times New Roman"/>
          <w:color w:val="333333"/>
          <w:sz w:val="20"/>
          <w:szCs w:val="20"/>
          <w:lang w:val="es-ES"/>
        </w:rPr>
      </w:pPr>
    </w:p>
    <w:p w14:paraId="75249F39" w14:textId="77777777" w:rsidR="007F365D" w:rsidRPr="007F365D" w:rsidRDefault="007F365D" w:rsidP="007F365D">
      <w:pPr>
        <w:widowControl w:val="0"/>
        <w:autoSpaceDE w:val="0"/>
        <w:autoSpaceDN w:val="0"/>
        <w:adjustRightInd w:val="0"/>
        <w:spacing w:after="0" w:line="240" w:lineRule="auto"/>
        <w:rPr>
          <w:rFonts w:ascii="Lato" w:eastAsia="Times New Roman" w:hAnsi="Lato" w:cs="Times New Roman"/>
          <w:color w:val="333333"/>
          <w:sz w:val="20"/>
          <w:szCs w:val="20"/>
          <w:lang w:val="es-ES"/>
        </w:rPr>
      </w:pPr>
    </w:p>
    <w:tbl>
      <w:tblPr>
        <w:tblStyle w:val="PlainTable221"/>
        <w:tblW w:w="5000" w:type="pct"/>
        <w:tblCellMar>
          <w:top w:w="57" w:type="dxa"/>
          <w:bottom w:w="57" w:type="dxa"/>
        </w:tblCellMar>
        <w:tblLook w:val="04A0" w:firstRow="1" w:lastRow="0" w:firstColumn="1" w:lastColumn="0" w:noHBand="0" w:noVBand="1"/>
      </w:tblPr>
      <w:tblGrid>
        <w:gridCol w:w="752"/>
        <w:gridCol w:w="3915"/>
        <w:gridCol w:w="1206"/>
        <w:gridCol w:w="1654"/>
        <w:gridCol w:w="1357"/>
        <w:gridCol w:w="1651"/>
        <w:gridCol w:w="26"/>
        <w:gridCol w:w="1931"/>
        <w:gridCol w:w="26"/>
        <w:gridCol w:w="1980"/>
        <w:gridCol w:w="26"/>
        <w:gridCol w:w="6"/>
        <w:gridCol w:w="32"/>
      </w:tblGrid>
      <w:tr w:rsidR="007F365D" w:rsidRPr="00B83C92" w14:paraId="121D4F24" w14:textId="77777777" w:rsidTr="006931DA">
        <w:trPr>
          <w:gridAfter w:val="2"/>
          <w:cnfStyle w:val="100000000000" w:firstRow="1" w:lastRow="0" w:firstColumn="0" w:lastColumn="0" w:oddVBand="0" w:evenVBand="0" w:oddHBand="0" w:evenHBand="0" w:firstRowFirstColumn="0" w:firstRowLastColumn="0" w:lastRowFirstColumn="0" w:lastRowLastColumn="0"/>
          <w:wAfter w:w="13" w:type="pct"/>
          <w:cantSplit/>
          <w:trHeight w:val="705"/>
          <w:tblHeader/>
        </w:trPr>
        <w:tc>
          <w:tcPr>
            <w:cnfStyle w:val="001000000000" w:firstRow="0" w:lastRow="0" w:firstColumn="1" w:lastColumn="0" w:oddVBand="0" w:evenVBand="0" w:oddHBand="0" w:evenHBand="0" w:firstRowFirstColumn="0" w:firstRowLastColumn="0" w:lastRowFirstColumn="0" w:lastRowLastColumn="0"/>
            <w:tcW w:w="258" w:type="pct"/>
            <w:shd w:val="clear" w:color="auto" w:fill="D9D9D9"/>
            <w:hideMark/>
          </w:tcPr>
          <w:p w14:paraId="18FD33FD" w14:textId="77777777" w:rsidR="007F365D" w:rsidRPr="007F365D" w:rsidRDefault="007F365D" w:rsidP="007F365D">
            <w:pPr>
              <w:textAlignment w:val="baseline"/>
              <w:rPr>
                <w:rFonts w:eastAsia="Times New Roman" w:cs="Arial"/>
                <w:sz w:val="20"/>
                <w:szCs w:val="20"/>
                <w:lang w:val="es-ES" w:eastAsia="en-GB"/>
              </w:rPr>
            </w:pPr>
            <w:proofErr w:type="spellStart"/>
            <w:r w:rsidRPr="007F365D">
              <w:rPr>
                <w:rFonts w:eastAsia="Times New Roman" w:cs="Arial"/>
                <w:sz w:val="20"/>
                <w:szCs w:val="20"/>
                <w:lang w:val="es-ES" w:eastAsia="es-ES"/>
              </w:rPr>
              <w:t>Nº</w:t>
            </w:r>
            <w:proofErr w:type="spellEnd"/>
          </w:p>
        </w:tc>
        <w:tc>
          <w:tcPr>
            <w:tcW w:w="1344" w:type="pct"/>
            <w:shd w:val="clear" w:color="auto" w:fill="D9D9D9"/>
            <w:hideMark/>
          </w:tcPr>
          <w:p w14:paraId="44C02223"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color w:val="000000"/>
                <w:sz w:val="20"/>
                <w:szCs w:val="20"/>
                <w:lang w:val="es-ES" w:eastAsia="es-ES"/>
              </w:rPr>
              <w:t>Actividad</w:t>
            </w:r>
          </w:p>
        </w:tc>
        <w:tc>
          <w:tcPr>
            <w:tcW w:w="414" w:type="pct"/>
            <w:shd w:val="clear" w:color="auto" w:fill="D9D9D9"/>
            <w:hideMark/>
          </w:tcPr>
          <w:p w14:paraId="19EA7F85" w14:textId="77777777" w:rsidR="007F365D" w:rsidRPr="007F365D" w:rsidRDefault="007F365D" w:rsidP="007F365D">
            <w:pPr>
              <w:ind w:left="-105" w:right="-105"/>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Encargo</w:t>
            </w:r>
            <w:r w:rsidRPr="007F365D">
              <w:rPr>
                <w:rFonts w:eastAsia="Calibri" w:cs="Arial"/>
                <w:sz w:val="20"/>
                <w:szCs w:val="20"/>
                <w:vertAlign w:val="superscript"/>
                <w:lang w:val="es-ES"/>
              </w:rPr>
              <w:footnoteReference w:id="12"/>
            </w:r>
          </w:p>
        </w:tc>
        <w:tc>
          <w:tcPr>
            <w:tcW w:w="568" w:type="pct"/>
            <w:shd w:val="clear" w:color="auto" w:fill="D9D9D9"/>
            <w:hideMark/>
          </w:tcPr>
          <w:p w14:paraId="542ACCE2"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Clasificación </w:t>
            </w:r>
          </w:p>
          <w:p w14:paraId="0902E374"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 prioridad</w:t>
            </w:r>
            <w:r w:rsidRPr="007F365D">
              <w:rPr>
                <w:rFonts w:eastAsia="Calibri" w:cs="Arial"/>
                <w:sz w:val="20"/>
                <w:szCs w:val="20"/>
                <w:vertAlign w:val="superscript"/>
                <w:lang w:val="es-ES"/>
              </w:rPr>
              <w:footnoteReference w:id="13"/>
            </w:r>
          </w:p>
        </w:tc>
        <w:tc>
          <w:tcPr>
            <w:tcW w:w="466" w:type="pct"/>
            <w:shd w:val="clear" w:color="auto" w:fill="D9D9D9"/>
            <w:hideMark/>
          </w:tcPr>
          <w:p w14:paraId="4EDC9B74"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Marco temporal</w:t>
            </w:r>
            <w:r w:rsidRPr="007F365D">
              <w:rPr>
                <w:rFonts w:eastAsia="Calibri" w:cs="Arial"/>
                <w:sz w:val="20"/>
                <w:szCs w:val="20"/>
                <w:vertAlign w:val="superscript"/>
                <w:lang w:val="es-ES"/>
              </w:rPr>
              <w:footnoteReference w:id="14"/>
            </w:r>
          </w:p>
        </w:tc>
        <w:tc>
          <w:tcPr>
            <w:tcW w:w="576" w:type="pct"/>
            <w:gridSpan w:val="2"/>
            <w:shd w:val="clear" w:color="auto" w:fill="D9D9D9"/>
            <w:hideMark/>
          </w:tcPr>
          <w:p w14:paraId="00448178"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Entidad responsable</w:t>
            </w:r>
            <w:r w:rsidRPr="007F365D">
              <w:rPr>
                <w:rFonts w:eastAsia="Calibri" w:cs="Arial"/>
                <w:sz w:val="20"/>
                <w:szCs w:val="20"/>
                <w:vertAlign w:val="superscript"/>
                <w:lang w:val="es-ES"/>
              </w:rPr>
              <w:footnoteReference w:id="15"/>
            </w:r>
          </w:p>
        </w:tc>
        <w:tc>
          <w:tcPr>
            <w:tcW w:w="672" w:type="pct"/>
            <w:gridSpan w:val="2"/>
            <w:shd w:val="clear" w:color="auto" w:fill="D9D9D9"/>
            <w:hideMark/>
          </w:tcPr>
          <w:p w14:paraId="5F278147"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Necesidades de financiación</w:t>
            </w:r>
          </w:p>
        </w:tc>
        <w:tc>
          <w:tcPr>
            <w:tcW w:w="689" w:type="pct"/>
            <w:gridSpan w:val="2"/>
            <w:shd w:val="clear" w:color="auto" w:fill="D9D9D9"/>
            <w:hideMark/>
          </w:tcPr>
          <w:p w14:paraId="099772D7" w14:textId="77777777" w:rsidR="007F365D" w:rsidRPr="007F365D" w:rsidRDefault="007F365D" w:rsidP="007F365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Personal de la Secretaría que se estima necesario para la aplicación (días laborables por 3 años)</w:t>
            </w:r>
          </w:p>
        </w:tc>
      </w:tr>
      <w:tr w:rsidR="007F365D" w:rsidRPr="00B83C92" w14:paraId="6E8F2D43"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195"/>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9CC2E5" w:themeFill="accent5" w:themeFillTint="99"/>
          </w:tcPr>
          <w:p w14:paraId="0971D1ED"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Conservación de Especies/Hábitat de Conservación </w:t>
            </w:r>
          </w:p>
        </w:tc>
      </w:tr>
      <w:tr w:rsidR="007F365D" w:rsidRPr="00B83C92" w14:paraId="72CDC6C1" w14:textId="77777777" w:rsidTr="006931DA">
        <w:trPr>
          <w:gridAfter w:val="1"/>
          <w:wAfter w:w="11" w:type="pct"/>
          <w:cantSplit/>
          <w:trHeight w:val="75"/>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05C85E14" w14:textId="5EF31A70" w:rsidR="007F365D" w:rsidRPr="007F365D" w:rsidRDefault="007F365D" w:rsidP="007F365D">
            <w:pPr>
              <w:widowControl w:val="0"/>
              <w:numPr>
                <w:ilvl w:val="0"/>
                <w:numId w:val="12"/>
              </w:numPr>
              <w:autoSpaceDE w:val="0"/>
              <w:autoSpaceDN w:val="0"/>
              <w:adjustRightInd w:val="0"/>
              <w:ind w:left="308" w:right="252" w:hanging="308"/>
              <w:contextualSpacing/>
              <w:rPr>
                <w:rFonts w:eastAsia="Times New Roman" w:cs="Arial"/>
                <w:sz w:val="20"/>
                <w:szCs w:val="20"/>
                <w:lang w:val="es-ES" w:eastAsia="en-GB"/>
              </w:rPr>
            </w:pPr>
            <w:r w:rsidRPr="007F365D">
              <w:rPr>
                <w:rFonts w:eastAsia="Times New Roman" w:cs="Arial"/>
                <w:sz w:val="20"/>
                <w:szCs w:val="20"/>
                <w:lang w:val="es-ES"/>
              </w:rPr>
              <w:t xml:space="preserve">Plan de Acción de Especies Únicas para el Angelote en el mar Mediterráneo (véase </w:t>
            </w:r>
            <w:hyperlink r:id="rId26"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/MOS4/Doc.10.1</w:t>
              </w:r>
            </w:hyperlink>
            <w:r w:rsidRPr="007F365D">
              <w:rPr>
                <w:rFonts w:eastAsia="Times New Roman" w:cs="Arial"/>
                <w:sz w:val="20"/>
                <w:szCs w:val="20"/>
                <w:lang w:val="es-ES"/>
              </w:rPr>
              <w:t>)</w:t>
            </w:r>
          </w:p>
        </w:tc>
      </w:tr>
      <w:tr w:rsidR="007F365D" w:rsidRPr="007F365D" w14:paraId="2AD82703" w14:textId="77777777" w:rsidTr="006931DA">
        <w:trPr>
          <w:gridAfter w:val="2"/>
          <w:cnfStyle w:val="000000100000" w:firstRow="0" w:lastRow="0" w:firstColumn="0" w:lastColumn="0" w:oddVBand="0" w:evenVBand="0" w:oddHBand="1" w:evenHBand="0" w:firstRowFirstColumn="0" w:firstRowLastColumn="0" w:lastRowFirstColumn="0" w:lastRowLastColumn="0"/>
          <w:wAfter w:w="13" w:type="pct"/>
          <w:cantSplit/>
          <w:trHeight w:val="705"/>
        </w:trPr>
        <w:tc>
          <w:tcPr>
            <w:cnfStyle w:val="001000000000" w:firstRow="0" w:lastRow="0" w:firstColumn="1" w:lastColumn="0" w:oddVBand="0" w:evenVBand="0" w:oddHBand="0" w:evenHBand="0" w:firstRowFirstColumn="0" w:firstRowLastColumn="0" w:lastRowFirstColumn="0" w:lastRowLastColumn="0"/>
            <w:tcW w:w="258" w:type="pct"/>
          </w:tcPr>
          <w:p w14:paraId="5B4EE1BB"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1.1</w:t>
            </w:r>
          </w:p>
        </w:tc>
        <w:tc>
          <w:tcPr>
            <w:tcW w:w="1344" w:type="pct"/>
          </w:tcPr>
          <w:p w14:paraId="7C36BA7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n-GB"/>
              </w:rPr>
            </w:pPr>
            <w:r w:rsidRPr="007F365D">
              <w:rPr>
                <w:rFonts w:eastAsia="Times New Roman" w:cs="Arial"/>
                <w:sz w:val="20"/>
                <w:szCs w:val="20"/>
                <w:lang w:val="es-ES"/>
              </w:rPr>
              <w:t>Unirse al Grupo de Trabajo Internacional para el Mediterráneo, preferiblemente con un punto focal del gobierno y un punto focal de cada Estado del Área de Distribución. De este modo se anima a los puntos focales de los Signatarios a colaborar con los puntos focales de la CMS.</w:t>
            </w:r>
          </w:p>
        </w:tc>
        <w:tc>
          <w:tcPr>
            <w:tcW w:w="414" w:type="pct"/>
          </w:tcPr>
          <w:p w14:paraId="5A9B7663" w14:textId="77777777" w:rsidR="007F365D" w:rsidRPr="007F365D" w:rsidRDefault="007F365D" w:rsidP="007F365D">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Resultado 3.8</w:t>
            </w:r>
          </w:p>
        </w:tc>
        <w:tc>
          <w:tcPr>
            <w:tcW w:w="568" w:type="pct"/>
          </w:tcPr>
          <w:p w14:paraId="19199F3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Por determinar </w:t>
            </w:r>
          </w:p>
        </w:tc>
        <w:tc>
          <w:tcPr>
            <w:tcW w:w="466" w:type="pct"/>
          </w:tcPr>
          <w:p w14:paraId="06FCCB8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2023</w:t>
            </w:r>
          </w:p>
        </w:tc>
        <w:tc>
          <w:tcPr>
            <w:tcW w:w="576" w:type="pct"/>
            <w:gridSpan w:val="2"/>
          </w:tcPr>
          <w:p w14:paraId="2B17F04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SIG, CA, SEC</w:t>
            </w:r>
          </w:p>
        </w:tc>
        <w:tc>
          <w:tcPr>
            <w:tcW w:w="672" w:type="pct"/>
            <w:gridSpan w:val="2"/>
          </w:tcPr>
          <w:p w14:paraId="50689FA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p>
        </w:tc>
        <w:tc>
          <w:tcPr>
            <w:tcW w:w="689" w:type="pct"/>
            <w:gridSpan w:val="2"/>
          </w:tcPr>
          <w:p w14:paraId="58C2237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véase 1.3</w:t>
            </w:r>
          </w:p>
        </w:tc>
      </w:tr>
      <w:tr w:rsidR="007F365D" w:rsidRPr="00B83C92" w14:paraId="3C61BCD3" w14:textId="77777777" w:rsidTr="006931DA">
        <w:trPr>
          <w:gridAfter w:val="2"/>
          <w:wAfter w:w="13" w:type="pct"/>
          <w:cantSplit/>
          <w:trHeight w:val="705"/>
        </w:trPr>
        <w:tc>
          <w:tcPr>
            <w:cnfStyle w:val="001000000000" w:firstRow="0" w:lastRow="0" w:firstColumn="1" w:lastColumn="0" w:oddVBand="0" w:evenVBand="0" w:oddHBand="0" w:evenHBand="0" w:firstRowFirstColumn="0" w:firstRowLastColumn="0" w:lastRowFirstColumn="0" w:lastRowLastColumn="0"/>
            <w:tcW w:w="258" w:type="pct"/>
          </w:tcPr>
          <w:p w14:paraId="415D6532"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1.2</w:t>
            </w:r>
          </w:p>
        </w:tc>
        <w:tc>
          <w:tcPr>
            <w:tcW w:w="1344" w:type="pct"/>
          </w:tcPr>
          <w:p w14:paraId="3700177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n-GB"/>
              </w:rPr>
            </w:pPr>
            <w:r w:rsidRPr="007F365D">
              <w:rPr>
                <w:rFonts w:eastAsia="Times New Roman" w:cs="Arial"/>
                <w:sz w:val="20"/>
                <w:szCs w:val="20"/>
                <w:lang w:val="es-ES"/>
              </w:rPr>
              <w:t xml:space="preserve">Proporcionar coordinación o apoyo financiero para el pago de la coordinación del Grupo de Trabajo Internacional para el Mediterráneo. </w:t>
            </w:r>
          </w:p>
        </w:tc>
        <w:tc>
          <w:tcPr>
            <w:tcW w:w="414" w:type="pct"/>
          </w:tcPr>
          <w:p w14:paraId="19910414" w14:textId="77777777" w:rsidR="007F365D" w:rsidRPr="007F365D" w:rsidRDefault="007F365D" w:rsidP="007F365D">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6B56308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Resultado 3.8</w:t>
            </w:r>
          </w:p>
        </w:tc>
        <w:tc>
          <w:tcPr>
            <w:tcW w:w="568" w:type="pct"/>
          </w:tcPr>
          <w:p w14:paraId="6491A7C0"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Por determinar </w:t>
            </w:r>
          </w:p>
        </w:tc>
        <w:tc>
          <w:tcPr>
            <w:tcW w:w="466" w:type="pct"/>
          </w:tcPr>
          <w:p w14:paraId="42DD6DC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2023-2025</w:t>
            </w:r>
          </w:p>
        </w:tc>
        <w:tc>
          <w:tcPr>
            <w:tcW w:w="576" w:type="pct"/>
            <w:gridSpan w:val="2"/>
          </w:tcPr>
          <w:p w14:paraId="43CA57B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SIG, (SEC: si se proporcionaron fondos a través de la Secretaría)</w:t>
            </w:r>
          </w:p>
        </w:tc>
        <w:tc>
          <w:tcPr>
            <w:tcW w:w="672" w:type="pct"/>
            <w:gridSpan w:val="2"/>
          </w:tcPr>
          <w:p w14:paraId="4495010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rPr>
              <w:t xml:space="preserve">Financiación de un puesto a tiempo parcial (ca. unos 2,5 días al mes) </w:t>
            </w:r>
            <w:r w:rsidRPr="007F365D">
              <w:rPr>
                <w:rFonts w:eastAsia="Times New Roman" w:cs="Arial"/>
                <w:b/>
                <w:bCs/>
                <w:sz w:val="20"/>
                <w:szCs w:val="20"/>
                <w:lang w:val="es-ES"/>
              </w:rPr>
              <w:t>6000 €</w:t>
            </w:r>
            <w:r w:rsidRPr="007F365D">
              <w:rPr>
                <w:rFonts w:eastAsia="Times New Roman" w:cs="Arial"/>
                <w:sz w:val="20"/>
                <w:szCs w:val="20"/>
                <w:lang w:val="es-ES"/>
              </w:rPr>
              <w:t xml:space="preserve"> al año o en especie por el gobierno</w:t>
            </w:r>
          </w:p>
        </w:tc>
        <w:tc>
          <w:tcPr>
            <w:tcW w:w="689" w:type="pct"/>
            <w:gridSpan w:val="2"/>
          </w:tcPr>
          <w:p w14:paraId="2355E7DA" w14:textId="77777777" w:rsidR="007F365D" w:rsidRPr="007F365D" w:rsidRDefault="007F365D" w:rsidP="007F365D">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16</w:t>
            </w:r>
            <w:r w:rsidRPr="007F365D">
              <w:rPr>
                <w:rFonts w:eastAsia="Times New Roman" w:cs="Arial"/>
                <w:b/>
                <w:bCs/>
                <w:sz w:val="20"/>
                <w:szCs w:val="20"/>
                <w:vertAlign w:val="superscript"/>
                <w:lang w:val="es-ES" w:eastAsia="es-ES"/>
              </w:rPr>
              <w:footnoteReference w:id="16"/>
            </w:r>
            <w:r w:rsidRPr="007F365D">
              <w:rPr>
                <w:rFonts w:eastAsia="Times New Roman" w:cs="Arial"/>
                <w:b/>
                <w:bCs/>
                <w:sz w:val="20"/>
                <w:szCs w:val="20"/>
                <w:lang w:val="es-ES" w:eastAsia="es-ES"/>
              </w:rPr>
              <w:br/>
              <w:t>G personal: 6</w:t>
            </w:r>
          </w:p>
          <w:p w14:paraId="31AC5C6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(gestión de acuerdos con donantes y proyectos)</w:t>
            </w:r>
          </w:p>
        </w:tc>
      </w:tr>
      <w:tr w:rsidR="007F365D" w:rsidRPr="007F365D" w14:paraId="560B00CE" w14:textId="77777777" w:rsidTr="006931DA">
        <w:trPr>
          <w:gridAfter w:val="2"/>
          <w:cnfStyle w:val="000000100000" w:firstRow="0" w:lastRow="0" w:firstColumn="0" w:lastColumn="0" w:oddVBand="0" w:evenVBand="0" w:oddHBand="1" w:evenHBand="0" w:firstRowFirstColumn="0" w:firstRowLastColumn="0" w:lastRowFirstColumn="0" w:lastRowLastColumn="0"/>
          <w:wAfter w:w="13" w:type="pct"/>
          <w:cantSplit/>
          <w:trHeight w:val="705"/>
        </w:trPr>
        <w:tc>
          <w:tcPr>
            <w:cnfStyle w:val="001000000000" w:firstRow="0" w:lastRow="0" w:firstColumn="1" w:lastColumn="0" w:oddVBand="0" w:evenVBand="0" w:oddHBand="0" w:evenHBand="0" w:firstRowFirstColumn="0" w:firstRowLastColumn="0" w:lastRowFirstColumn="0" w:lastRowLastColumn="0"/>
            <w:tcW w:w="258" w:type="pct"/>
          </w:tcPr>
          <w:p w14:paraId="0C95C997"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1.3</w:t>
            </w:r>
          </w:p>
        </w:tc>
        <w:tc>
          <w:tcPr>
            <w:tcW w:w="1344" w:type="pct"/>
          </w:tcPr>
          <w:p w14:paraId="69635EA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n-GB"/>
              </w:rPr>
            </w:pPr>
            <w:r w:rsidRPr="007F365D">
              <w:rPr>
                <w:rFonts w:eastAsia="Times New Roman" w:cs="Arial"/>
                <w:sz w:val="20"/>
                <w:szCs w:val="20"/>
                <w:lang w:val="es-ES"/>
              </w:rPr>
              <w:t>Ayudar al Grupo de Trabajo Internacional proporcionándole la plataforma para la comunicación y facilitando reuniones previa petición.</w:t>
            </w:r>
          </w:p>
        </w:tc>
        <w:tc>
          <w:tcPr>
            <w:tcW w:w="414" w:type="pct"/>
          </w:tcPr>
          <w:p w14:paraId="2432FA5F" w14:textId="77777777" w:rsidR="007F365D" w:rsidRPr="007F365D" w:rsidRDefault="007F365D" w:rsidP="007F365D">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p w14:paraId="52BBCFD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Resultado 3.8</w:t>
            </w:r>
          </w:p>
        </w:tc>
        <w:tc>
          <w:tcPr>
            <w:tcW w:w="568" w:type="pct"/>
          </w:tcPr>
          <w:p w14:paraId="0A21A0A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Por determinar</w:t>
            </w:r>
          </w:p>
        </w:tc>
        <w:tc>
          <w:tcPr>
            <w:tcW w:w="466" w:type="pct"/>
          </w:tcPr>
          <w:p w14:paraId="471D2B4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2023-2025</w:t>
            </w:r>
          </w:p>
        </w:tc>
        <w:tc>
          <w:tcPr>
            <w:tcW w:w="576" w:type="pct"/>
            <w:gridSpan w:val="2"/>
          </w:tcPr>
          <w:p w14:paraId="4512A30E"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SEC</w:t>
            </w:r>
          </w:p>
        </w:tc>
        <w:tc>
          <w:tcPr>
            <w:tcW w:w="672" w:type="pct"/>
            <w:gridSpan w:val="2"/>
          </w:tcPr>
          <w:p w14:paraId="77061C8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p>
        </w:tc>
        <w:tc>
          <w:tcPr>
            <w:tcW w:w="689" w:type="pct"/>
            <w:gridSpan w:val="2"/>
          </w:tcPr>
          <w:p w14:paraId="4080B1EB"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30</w:t>
            </w:r>
          </w:p>
          <w:p w14:paraId="2436669B"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9</w:t>
            </w:r>
          </w:p>
        </w:tc>
      </w:tr>
      <w:tr w:rsidR="007F365D" w:rsidRPr="00B83C92" w14:paraId="04ECA6B2" w14:textId="77777777" w:rsidTr="006931DA">
        <w:trPr>
          <w:gridAfter w:val="2"/>
          <w:wAfter w:w="13" w:type="pct"/>
          <w:cantSplit/>
          <w:trHeight w:val="705"/>
        </w:trPr>
        <w:tc>
          <w:tcPr>
            <w:cnfStyle w:val="001000000000" w:firstRow="0" w:lastRow="0" w:firstColumn="1" w:lastColumn="0" w:oddVBand="0" w:evenVBand="0" w:oddHBand="0" w:evenHBand="0" w:firstRowFirstColumn="0" w:firstRowLastColumn="0" w:lastRowFirstColumn="0" w:lastRowLastColumn="0"/>
            <w:tcW w:w="258" w:type="pct"/>
          </w:tcPr>
          <w:p w14:paraId="7F2AB706"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lastRenderedPageBreak/>
              <w:t>1.4</w:t>
            </w:r>
          </w:p>
        </w:tc>
        <w:tc>
          <w:tcPr>
            <w:tcW w:w="1344" w:type="pct"/>
          </w:tcPr>
          <w:p w14:paraId="24BC595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n-GB"/>
              </w:rPr>
            </w:pPr>
            <w:r w:rsidRPr="007F365D">
              <w:rPr>
                <w:rFonts w:eastAsia="Times New Roman" w:cs="Arial"/>
                <w:sz w:val="20"/>
                <w:szCs w:val="20"/>
                <w:lang w:val="es-ES"/>
              </w:rPr>
              <w:t>Apoyo a los Signatarios con asesoramiento de expertos y aplicación de actividades de conservación.</w:t>
            </w:r>
          </w:p>
        </w:tc>
        <w:tc>
          <w:tcPr>
            <w:tcW w:w="414" w:type="pct"/>
          </w:tcPr>
          <w:p w14:paraId="68BD2C1C" w14:textId="77777777" w:rsidR="007F365D" w:rsidRPr="007F365D" w:rsidRDefault="007F365D" w:rsidP="007F365D">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p w14:paraId="3C521A8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Resultado 3.8</w:t>
            </w:r>
          </w:p>
        </w:tc>
        <w:tc>
          <w:tcPr>
            <w:tcW w:w="568" w:type="pct"/>
          </w:tcPr>
          <w:p w14:paraId="34D02CD2"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Por determinar </w:t>
            </w:r>
          </w:p>
        </w:tc>
        <w:tc>
          <w:tcPr>
            <w:tcW w:w="466" w:type="pct"/>
          </w:tcPr>
          <w:p w14:paraId="3154393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2023-2025</w:t>
            </w:r>
          </w:p>
        </w:tc>
        <w:tc>
          <w:tcPr>
            <w:tcW w:w="576" w:type="pct"/>
            <w:gridSpan w:val="2"/>
          </w:tcPr>
          <w:p w14:paraId="07241DB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 xml:space="preserve">CA, </w:t>
            </w:r>
            <w:proofErr w:type="spellStart"/>
            <w:r w:rsidRPr="007F365D">
              <w:rPr>
                <w:rFonts w:eastAsia="Times New Roman" w:cs="Arial"/>
                <w:sz w:val="20"/>
                <w:szCs w:val="20"/>
                <w:lang w:val="es-ES" w:eastAsia="es-ES"/>
              </w:rPr>
              <w:t>CooP</w:t>
            </w:r>
            <w:proofErr w:type="spellEnd"/>
          </w:p>
        </w:tc>
        <w:tc>
          <w:tcPr>
            <w:tcW w:w="672" w:type="pct"/>
            <w:gridSpan w:val="2"/>
          </w:tcPr>
          <w:p w14:paraId="0F95DA4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eastAsia="es-ES"/>
              </w:rPr>
              <w:t>Sujeto a financiación</w:t>
            </w:r>
          </w:p>
        </w:tc>
        <w:tc>
          <w:tcPr>
            <w:tcW w:w="689" w:type="pct"/>
            <w:gridSpan w:val="2"/>
          </w:tcPr>
          <w:p w14:paraId="02E421A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rPr>
              <w:t>No se espera un tiempo de trabajo significativo</w:t>
            </w:r>
          </w:p>
        </w:tc>
      </w:tr>
      <w:tr w:rsidR="007F365D" w:rsidRPr="00B83C92" w14:paraId="5073695E" w14:textId="77777777" w:rsidTr="006931DA">
        <w:trPr>
          <w:gridAfter w:val="2"/>
          <w:cnfStyle w:val="000000100000" w:firstRow="0" w:lastRow="0" w:firstColumn="0" w:lastColumn="0" w:oddVBand="0" w:evenVBand="0" w:oddHBand="1" w:evenHBand="0" w:firstRowFirstColumn="0" w:firstRowLastColumn="0" w:lastRowFirstColumn="0" w:lastRowLastColumn="0"/>
          <w:wAfter w:w="13" w:type="pct"/>
          <w:cantSplit/>
          <w:trHeight w:val="705"/>
        </w:trPr>
        <w:tc>
          <w:tcPr>
            <w:cnfStyle w:val="001000000000" w:firstRow="0" w:lastRow="0" w:firstColumn="1" w:lastColumn="0" w:oddVBand="0" w:evenVBand="0" w:oddHBand="0" w:evenHBand="0" w:firstRowFirstColumn="0" w:firstRowLastColumn="0" w:lastRowFirstColumn="0" w:lastRowLastColumn="0"/>
            <w:tcW w:w="258" w:type="pct"/>
          </w:tcPr>
          <w:p w14:paraId="05C39AAA" w14:textId="77777777" w:rsidR="007F365D" w:rsidRPr="007F365D" w:rsidRDefault="007F365D" w:rsidP="007F365D">
            <w:pPr>
              <w:textAlignment w:val="baseline"/>
              <w:rPr>
                <w:rFonts w:eastAsia="Times New Roman" w:cs="Arial"/>
                <w:sz w:val="20"/>
                <w:szCs w:val="20"/>
                <w:highlight w:val="yellow"/>
                <w:lang w:val="es-ES" w:eastAsia="en-GB"/>
              </w:rPr>
            </w:pPr>
            <w:r w:rsidRPr="007F365D">
              <w:rPr>
                <w:rFonts w:eastAsia="Times New Roman" w:cs="Arial"/>
                <w:sz w:val="20"/>
                <w:szCs w:val="20"/>
                <w:lang w:val="es-ES" w:eastAsia="es-ES"/>
              </w:rPr>
              <w:t>1.5</w:t>
            </w:r>
          </w:p>
        </w:tc>
        <w:tc>
          <w:tcPr>
            <w:tcW w:w="1344" w:type="pct"/>
          </w:tcPr>
          <w:p w14:paraId="3C11255E"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7F365D">
              <w:rPr>
                <w:rFonts w:eastAsia="Times New Roman" w:cs="Arial"/>
                <w:sz w:val="20"/>
                <w:szCs w:val="20"/>
                <w:lang w:val="es-ES"/>
              </w:rPr>
              <w:t>Emprender proyectos para aplicar los objetivos del Plan de Acción de Especies Individuales para el Angelote en el Mar Mediterráneo.</w:t>
            </w:r>
          </w:p>
        </w:tc>
        <w:tc>
          <w:tcPr>
            <w:tcW w:w="414" w:type="pct"/>
          </w:tcPr>
          <w:p w14:paraId="78D36BE1" w14:textId="77777777" w:rsidR="007F365D" w:rsidRPr="007F365D" w:rsidRDefault="007F365D" w:rsidP="007F365D">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p w14:paraId="61DE7CCA" w14:textId="77777777" w:rsidR="007F365D" w:rsidRPr="007F365D" w:rsidRDefault="007F365D" w:rsidP="007F365D">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Resultado 3.8</w:t>
            </w:r>
          </w:p>
        </w:tc>
        <w:tc>
          <w:tcPr>
            <w:tcW w:w="568" w:type="pct"/>
          </w:tcPr>
          <w:p w14:paraId="2F663A8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alta</w:t>
            </w:r>
          </w:p>
        </w:tc>
        <w:tc>
          <w:tcPr>
            <w:tcW w:w="466" w:type="pct"/>
          </w:tcPr>
          <w:p w14:paraId="7FDF60FE"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2023</w:t>
            </w:r>
          </w:p>
        </w:tc>
        <w:tc>
          <w:tcPr>
            <w:tcW w:w="576" w:type="pct"/>
            <w:gridSpan w:val="2"/>
          </w:tcPr>
          <w:p w14:paraId="3798F35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SEC, </w:t>
            </w:r>
            <w:proofErr w:type="spellStart"/>
            <w:r w:rsidRPr="007F365D">
              <w:rPr>
                <w:rFonts w:eastAsia="Times New Roman" w:cs="Arial"/>
                <w:sz w:val="20"/>
                <w:szCs w:val="20"/>
                <w:lang w:val="es-ES" w:eastAsia="es-ES"/>
              </w:rPr>
              <w:t>CooP</w:t>
            </w:r>
            <w:proofErr w:type="spellEnd"/>
          </w:p>
        </w:tc>
        <w:tc>
          <w:tcPr>
            <w:tcW w:w="672" w:type="pct"/>
            <w:gridSpan w:val="2"/>
          </w:tcPr>
          <w:p w14:paraId="01BB852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60 000 €</w:t>
            </w:r>
          </w:p>
          <w:p w14:paraId="11F0066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(La financiación se ha asegurado)</w:t>
            </w:r>
          </w:p>
        </w:tc>
        <w:tc>
          <w:tcPr>
            <w:tcW w:w="689" w:type="pct"/>
            <w:gridSpan w:val="2"/>
          </w:tcPr>
          <w:p w14:paraId="40318F9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20</w:t>
            </w:r>
          </w:p>
          <w:p w14:paraId="485E178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5</w:t>
            </w:r>
          </w:p>
          <w:p w14:paraId="5CB96C0F"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acuerdos con donantes y proyectos)</w:t>
            </w:r>
          </w:p>
        </w:tc>
      </w:tr>
      <w:tr w:rsidR="007F365D" w:rsidRPr="00B83C92" w14:paraId="2C4700AD" w14:textId="77777777" w:rsidTr="006931DA">
        <w:trPr>
          <w:gridAfter w:val="1"/>
          <w:wAfter w:w="11" w:type="pct"/>
          <w:cantSplit/>
          <w:trHeight w:val="90"/>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hideMark/>
          </w:tcPr>
          <w:p w14:paraId="769E26E4" w14:textId="0E484C9E" w:rsidR="007F365D" w:rsidRPr="007F365D" w:rsidRDefault="007F365D" w:rsidP="007F365D">
            <w:pPr>
              <w:widowControl w:val="0"/>
              <w:autoSpaceDE w:val="0"/>
              <w:autoSpaceDN w:val="0"/>
              <w:adjustRightInd w:val="0"/>
              <w:ind w:right="252"/>
              <w:rPr>
                <w:rFonts w:eastAsia="Times New Roman" w:cs="Arial"/>
                <w:sz w:val="20"/>
                <w:szCs w:val="20"/>
                <w:lang w:val="es-ES"/>
              </w:rPr>
            </w:pPr>
            <w:r w:rsidRPr="007F365D">
              <w:rPr>
                <w:rFonts w:eastAsia="Times New Roman" w:cs="Arial"/>
                <w:sz w:val="20"/>
                <w:szCs w:val="20"/>
                <w:lang w:val="es-ES"/>
              </w:rPr>
              <w:t xml:space="preserve">2. Desarrollo de una Estrategia de Conservación y Planes de Acción Regionales para Tiburones y Rayas pelágicos (véase </w:t>
            </w:r>
            <w:hyperlink r:id="rId27"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/MOS4/Doc.10.2</w:t>
              </w:r>
            </w:hyperlink>
            <w:r w:rsidRPr="007F365D">
              <w:rPr>
                <w:rFonts w:eastAsia="Times New Roman" w:cs="Arial"/>
                <w:sz w:val="20"/>
                <w:szCs w:val="20"/>
                <w:lang w:val="es-ES"/>
              </w:rPr>
              <w:t>)</w:t>
            </w:r>
          </w:p>
        </w:tc>
      </w:tr>
      <w:tr w:rsidR="006931DA" w:rsidRPr="00B83C92" w14:paraId="2933EDBF" w14:textId="77777777" w:rsidTr="006931DA">
        <w:trPr>
          <w:gridAfter w:val="2"/>
          <w:cnfStyle w:val="000000100000" w:firstRow="0" w:lastRow="0" w:firstColumn="0" w:lastColumn="0" w:oddVBand="0" w:evenVBand="0" w:oddHBand="1" w:evenHBand="0" w:firstRowFirstColumn="0" w:firstRowLastColumn="0" w:lastRowFirstColumn="0" w:lastRowLastColumn="0"/>
          <w:wAfter w:w="13"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3AF1AC76"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2.1</w:t>
            </w:r>
          </w:p>
        </w:tc>
        <w:tc>
          <w:tcPr>
            <w:tcW w:w="1344" w:type="pct"/>
          </w:tcPr>
          <w:p w14:paraId="64720CDF"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7F365D">
              <w:rPr>
                <w:rFonts w:eastAsia="Times New Roman" w:cs="Arial"/>
                <w:sz w:val="20"/>
                <w:szCs w:val="20"/>
                <w:lang w:val="es-ES"/>
              </w:rPr>
              <w:t>Proporcionar apoyo técnico al SSG de la CSE de la UICN, lo que incluye compartir información y conocimientos pertinentes y participar en talleres de expertos y/o reuniones y procesos de planificación de la conservación.</w:t>
            </w:r>
          </w:p>
        </w:tc>
        <w:tc>
          <w:tcPr>
            <w:tcW w:w="414" w:type="pct"/>
          </w:tcPr>
          <w:p w14:paraId="0664B75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 1.3 y 3.2</w:t>
            </w:r>
          </w:p>
        </w:tc>
        <w:tc>
          <w:tcPr>
            <w:tcW w:w="568" w:type="pct"/>
          </w:tcPr>
          <w:p w14:paraId="60D9F61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24C1E13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76" w:type="pct"/>
            <w:gridSpan w:val="2"/>
          </w:tcPr>
          <w:p w14:paraId="3CEAACB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 SIG, (SEC: si se proporcionaron fondos a través de la Secretaría)</w:t>
            </w:r>
          </w:p>
        </w:tc>
        <w:tc>
          <w:tcPr>
            <w:tcW w:w="672" w:type="pct"/>
            <w:gridSpan w:val="2"/>
            <w:shd w:val="clear" w:color="auto" w:fill="auto"/>
          </w:tcPr>
          <w:p w14:paraId="11EFB96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10 000 € </w:t>
            </w:r>
          </w:p>
          <w:p w14:paraId="34A75EC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shd w:val="clear" w:color="auto" w:fill="FFFF00"/>
                <w:lang w:val="es-ES" w:eastAsia="en-GB"/>
              </w:rPr>
            </w:pPr>
            <w:r w:rsidRPr="007F365D">
              <w:rPr>
                <w:rFonts w:eastAsia="Times New Roman" w:cs="Arial"/>
                <w:sz w:val="20"/>
                <w:szCs w:val="20"/>
                <w:lang w:val="es-ES" w:eastAsia="es-ES"/>
              </w:rPr>
              <w:t>(por reunión para gastos de viaje del CA)</w:t>
            </w:r>
          </w:p>
        </w:tc>
        <w:tc>
          <w:tcPr>
            <w:tcW w:w="689" w:type="pct"/>
            <w:gridSpan w:val="2"/>
          </w:tcPr>
          <w:p w14:paraId="13EB0BE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0,5</w:t>
            </w:r>
          </w:p>
          <w:p w14:paraId="3B334A3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0,5</w:t>
            </w:r>
          </w:p>
          <w:p w14:paraId="39B328E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viajes)</w:t>
            </w:r>
          </w:p>
        </w:tc>
      </w:tr>
      <w:tr w:rsidR="007F365D" w:rsidRPr="00B83C92" w14:paraId="634C720B" w14:textId="77777777" w:rsidTr="006931DA">
        <w:trPr>
          <w:gridAfter w:val="2"/>
          <w:wAfter w:w="13"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48348018"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2.2</w:t>
            </w:r>
          </w:p>
        </w:tc>
        <w:tc>
          <w:tcPr>
            <w:tcW w:w="1344" w:type="pct"/>
          </w:tcPr>
          <w:p w14:paraId="2122EC0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rPr>
            </w:pPr>
            <w:r w:rsidRPr="007F365D">
              <w:rPr>
                <w:rFonts w:eastAsia="Times New Roman" w:cs="Arial"/>
                <w:color w:val="000000"/>
                <w:sz w:val="20"/>
                <w:szCs w:val="20"/>
                <w:shd w:val="clear" w:color="auto" w:fill="FFFFFF"/>
                <w:lang w:val="es-ES"/>
              </w:rPr>
              <w:t xml:space="preserve">Proporcionar financiación para apoyar el desarrollo de una estrategia mundial y plan de acción regional para la conservación de tiburones y rayas pelágicos, con un enfoque regional inicial en el océano Índico. </w:t>
            </w:r>
          </w:p>
        </w:tc>
        <w:tc>
          <w:tcPr>
            <w:tcW w:w="414" w:type="pct"/>
          </w:tcPr>
          <w:p w14:paraId="53C614D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 1.3 y 3.2</w:t>
            </w:r>
          </w:p>
        </w:tc>
        <w:tc>
          <w:tcPr>
            <w:tcW w:w="568" w:type="pct"/>
          </w:tcPr>
          <w:p w14:paraId="711B95A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4A496EC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76" w:type="pct"/>
            <w:gridSpan w:val="2"/>
          </w:tcPr>
          <w:p w14:paraId="7E2AAD6A"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 SIG, (SEC: si se proporcionaron fondos a través de la Secretaría)</w:t>
            </w:r>
          </w:p>
        </w:tc>
        <w:tc>
          <w:tcPr>
            <w:tcW w:w="672" w:type="pct"/>
            <w:gridSpan w:val="2"/>
          </w:tcPr>
          <w:p w14:paraId="464BAA6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250 000 € </w:t>
            </w:r>
          </w:p>
          <w:p w14:paraId="5FD504A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shd w:val="clear" w:color="auto" w:fill="FFFF00"/>
                <w:lang w:val="es-ES" w:eastAsia="en-GB"/>
              </w:rPr>
            </w:pPr>
            <w:r w:rsidRPr="007F365D">
              <w:rPr>
                <w:rFonts w:eastAsia="Times New Roman" w:cs="Arial"/>
                <w:sz w:val="20"/>
                <w:szCs w:val="20"/>
                <w:lang w:val="es-ES" w:eastAsia="es-ES"/>
              </w:rPr>
              <w:t>(fondos del proyecto para la región del océano Índico)</w:t>
            </w:r>
          </w:p>
        </w:tc>
        <w:tc>
          <w:tcPr>
            <w:tcW w:w="689" w:type="pct"/>
            <w:gridSpan w:val="2"/>
          </w:tcPr>
          <w:p w14:paraId="0A20C00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5</w:t>
            </w:r>
          </w:p>
          <w:p w14:paraId="2573B75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(recaudación de fondos, gestión de los acuerdos con los donantes)</w:t>
            </w:r>
          </w:p>
        </w:tc>
      </w:tr>
      <w:tr w:rsidR="007F365D" w:rsidRPr="007F365D" w14:paraId="5012F633" w14:textId="77777777" w:rsidTr="006931DA">
        <w:trPr>
          <w:gridAfter w:val="2"/>
          <w:cnfStyle w:val="000000100000" w:firstRow="0" w:lastRow="0" w:firstColumn="0" w:lastColumn="0" w:oddVBand="0" w:evenVBand="0" w:oddHBand="1" w:evenHBand="0" w:firstRowFirstColumn="0" w:firstRowLastColumn="0" w:lastRowFirstColumn="0" w:lastRowLastColumn="0"/>
          <w:wAfter w:w="13"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06C0051D"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2.3</w:t>
            </w:r>
          </w:p>
        </w:tc>
        <w:tc>
          <w:tcPr>
            <w:tcW w:w="1344" w:type="pct"/>
          </w:tcPr>
          <w:p w14:paraId="0F90D95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shd w:val="clear" w:color="auto" w:fill="FFFFFF"/>
                <w:lang w:val="es-ES"/>
              </w:rPr>
            </w:pPr>
            <w:r w:rsidRPr="007F365D">
              <w:rPr>
                <w:rFonts w:eastAsia="Times New Roman" w:cs="Arial"/>
                <w:sz w:val="20"/>
                <w:szCs w:val="20"/>
                <w:lang w:val="es-ES"/>
              </w:rPr>
              <w:t>Colaborar con el SSG de la CSE de la UICN en el desarrollo de una estrategia de conservación mundial y de planes de acción regionales para tiburones y rayas pelágicos.</w:t>
            </w:r>
          </w:p>
        </w:tc>
        <w:tc>
          <w:tcPr>
            <w:tcW w:w="414" w:type="pct"/>
          </w:tcPr>
          <w:p w14:paraId="42EEB41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 1.3 y 3.2</w:t>
            </w:r>
          </w:p>
        </w:tc>
        <w:tc>
          <w:tcPr>
            <w:tcW w:w="568" w:type="pct"/>
          </w:tcPr>
          <w:p w14:paraId="5A80069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7C898AB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76" w:type="pct"/>
            <w:gridSpan w:val="2"/>
          </w:tcPr>
          <w:p w14:paraId="439BBA1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SEC</w:t>
            </w:r>
          </w:p>
        </w:tc>
        <w:tc>
          <w:tcPr>
            <w:tcW w:w="672" w:type="pct"/>
            <w:gridSpan w:val="2"/>
          </w:tcPr>
          <w:p w14:paraId="483DF68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shd w:val="clear" w:color="auto" w:fill="FFFF00"/>
                <w:lang w:val="es-ES" w:eastAsia="en-GB"/>
              </w:rPr>
            </w:pPr>
          </w:p>
        </w:tc>
        <w:tc>
          <w:tcPr>
            <w:tcW w:w="689" w:type="pct"/>
            <w:gridSpan w:val="2"/>
          </w:tcPr>
          <w:p w14:paraId="0C2705B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5</w:t>
            </w:r>
          </w:p>
        </w:tc>
      </w:tr>
      <w:tr w:rsidR="007F365D" w:rsidRPr="00B83C92" w14:paraId="3C292B6A" w14:textId="77777777" w:rsidTr="006931DA">
        <w:trPr>
          <w:gridAfter w:val="2"/>
          <w:wAfter w:w="13"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027BEFA1"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lastRenderedPageBreak/>
              <w:t>2.4</w:t>
            </w:r>
          </w:p>
        </w:tc>
        <w:tc>
          <w:tcPr>
            <w:tcW w:w="1344" w:type="pct"/>
          </w:tcPr>
          <w:p w14:paraId="67A4929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rPr>
            </w:pPr>
            <w:r w:rsidRPr="007F365D">
              <w:rPr>
                <w:rFonts w:eastAsia="Times New Roman" w:cs="Arial"/>
                <w:sz w:val="20"/>
                <w:szCs w:val="20"/>
                <w:lang w:val="es-ES"/>
              </w:rPr>
              <w:t>Proporcionar apoyo al SSG de la CSE de la UICN para la aplicación de la iniciativa en el océano Índico (y en otras regiones si se dispone de fondos).</w:t>
            </w:r>
          </w:p>
        </w:tc>
        <w:tc>
          <w:tcPr>
            <w:tcW w:w="414" w:type="pct"/>
          </w:tcPr>
          <w:p w14:paraId="2F98469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 1.3 y 3.2</w:t>
            </w:r>
          </w:p>
        </w:tc>
        <w:tc>
          <w:tcPr>
            <w:tcW w:w="568" w:type="pct"/>
          </w:tcPr>
          <w:p w14:paraId="7FD8948C"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2C7B792"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76" w:type="pct"/>
            <w:gridSpan w:val="2"/>
          </w:tcPr>
          <w:p w14:paraId="32DA277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SEC</w:t>
            </w:r>
          </w:p>
        </w:tc>
        <w:tc>
          <w:tcPr>
            <w:tcW w:w="672" w:type="pct"/>
            <w:gridSpan w:val="2"/>
          </w:tcPr>
          <w:p w14:paraId="7629E33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shd w:val="clear" w:color="auto" w:fill="FFFF00"/>
                <w:lang w:val="es-ES" w:eastAsia="en-GB"/>
              </w:rPr>
            </w:pPr>
            <w:r w:rsidRPr="007F365D">
              <w:rPr>
                <w:rFonts w:eastAsia="Times New Roman" w:cs="Arial"/>
                <w:sz w:val="20"/>
                <w:szCs w:val="20"/>
                <w:lang w:val="es-ES" w:eastAsia="es-ES"/>
              </w:rPr>
              <w:t>(véase 2.2)</w:t>
            </w:r>
          </w:p>
        </w:tc>
        <w:tc>
          <w:tcPr>
            <w:tcW w:w="689" w:type="pct"/>
            <w:gridSpan w:val="2"/>
          </w:tcPr>
          <w:p w14:paraId="3FFF8C8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P personal: 20 </w:t>
            </w:r>
          </w:p>
          <w:p w14:paraId="49BEEA2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b/>
                <w:bCs/>
                <w:sz w:val="20"/>
                <w:szCs w:val="20"/>
                <w:lang w:val="es-ES" w:eastAsia="es-ES"/>
              </w:rPr>
              <w:t>G personal: 5</w:t>
            </w:r>
            <w:r w:rsidRPr="007F365D">
              <w:rPr>
                <w:rFonts w:eastAsia="Times New Roman" w:cs="Arial"/>
                <w:sz w:val="20"/>
                <w:szCs w:val="20"/>
                <w:lang w:val="es-ES" w:eastAsia="es-ES"/>
              </w:rPr>
              <w:br/>
              <w:t>(gestión de proyectos y acuerdos de financiación)</w:t>
            </w:r>
          </w:p>
        </w:tc>
      </w:tr>
      <w:tr w:rsidR="007F365D" w:rsidRPr="00B83C92" w14:paraId="6C8A4DC3" w14:textId="77777777" w:rsidTr="006931DA">
        <w:trPr>
          <w:cnfStyle w:val="000000100000" w:firstRow="0" w:lastRow="0" w:firstColumn="0" w:lastColumn="0" w:oddVBand="0" w:evenVBand="0" w:oddHBand="1" w:evenHBand="0" w:firstRowFirstColumn="0" w:firstRowLastColumn="0" w:lastRowFirstColumn="0" w:lastRowLastColumn="0"/>
          <w:cantSplit/>
          <w:trHeight w:val="42"/>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DEEAF6" w:themeFill="accent5" w:themeFillTint="33"/>
            <w:hideMark/>
          </w:tcPr>
          <w:p w14:paraId="12734E2A" w14:textId="5ADFD155" w:rsidR="007F365D" w:rsidRPr="007F365D" w:rsidRDefault="007F365D" w:rsidP="007F365D">
            <w:pPr>
              <w:textAlignment w:val="baseline"/>
              <w:rPr>
                <w:rFonts w:eastAsia="Times New Roman" w:cs="Arial"/>
                <w:sz w:val="20"/>
                <w:szCs w:val="20"/>
                <w:lang w:val="es-ES" w:eastAsia="en-GB"/>
              </w:rPr>
            </w:pPr>
            <w:bookmarkStart w:id="0" w:name="_Hlk120709475"/>
            <w:r w:rsidRPr="007F365D">
              <w:rPr>
                <w:rFonts w:eastAsia="Times New Roman" w:cs="Arial"/>
                <w:sz w:val="20"/>
                <w:szCs w:val="20"/>
                <w:lang w:val="es-ES"/>
              </w:rPr>
              <w:t xml:space="preserve">3. Desarrollo de una estrategia de conservación y planes de acción para las rayas </w:t>
            </w:r>
            <w:proofErr w:type="spellStart"/>
            <w:r w:rsidRPr="007F365D">
              <w:rPr>
                <w:rFonts w:eastAsia="Times New Roman" w:cs="Arial"/>
                <w:sz w:val="20"/>
                <w:szCs w:val="20"/>
                <w:lang w:val="es-ES"/>
              </w:rPr>
              <w:t>rhino</w:t>
            </w:r>
            <w:proofErr w:type="spellEnd"/>
            <w:r w:rsidRPr="007F365D">
              <w:rPr>
                <w:rFonts w:eastAsia="Times New Roman" w:cs="Arial"/>
                <w:sz w:val="20"/>
                <w:szCs w:val="20"/>
                <w:lang w:val="es-ES"/>
              </w:rPr>
              <w:t xml:space="preserve"> (véase </w:t>
            </w:r>
            <w:hyperlink r:id="rId28"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/MOS4/Doc.10.3</w:t>
              </w:r>
            </w:hyperlink>
            <w:r w:rsidRPr="007F365D">
              <w:rPr>
                <w:rFonts w:eastAsia="Times New Roman" w:cs="Arial"/>
                <w:sz w:val="20"/>
                <w:szCs w:val="20"/>
                <w:lang w:val="es-ES"/>
              </w:rPr>
              <w:t>)</w:t>
            </w:r>
          </w:p>
        </w:tc>
      </w:tr>
      <w:tr w:rsidR="007F365D" w:rsidRPr="00B83C92" w14:paraId="0B166765" w14:textId="77777777" w:rsidTr="006931DA">
        <w:trPr>
          <w:gridAfter w:val="1"/>
          <w:wAfter w:w="11" w:type="pct"/>
          <w:cantSplit/>
          <w:trHeight w:val="1164"/>
        </w:trPr>
        <w:tc>
          <w:tcPr>
            <w:cnfStyle w:val="001000000000" w:firstRow="0" w:lastRow="0" w:firstColumn="1" w:lastColumn="0" w:oddVBand="0" w:evenVBand="0" w:oddHBand="0" w:evenHBand="0" w:firstRowFirstColumn="0" w:firstRowLastColumn="0" w:lastRowFirstColumn="0" w:lastRowLastColumn="0"/>
            <w:tcW w:w="258" w:type="pct"/>
          </w:tcPr>
          <w:p w14:paraId="10D62E00" w14:textId="77777777" w:rsidR="007F365D" w:rsidRPr="007F365D" w:rsidRDefault="007F365D" w:rsidP="007F365D">
            <w:pPr>
              <w:textAlignment w:val="baseline"/>
              <w:rPr>
                <w:rFonts w:eastAsia="Times New Roman" w:cs="Arial"/>
                <w:sz w:val="20"/>
                <w:szCs w:val="20"/>
                <w:lang w:val="es-ES" w:eastAsia="en-GB"/>
              </w:rPr>
            </w:pPr>
            <w:bookmarkStart w:id="1" w:name="_Hlk120709513"/>
            <w:r w:rsidRPr="007F365D">
              <w:rPr>
                <w:rFonts w:eastAsia="Times New Roman" w:cs="Arial"/>
                <w:sz w:val="20"/>
                <w:szCs w:val="20"/>
                <w:lang w:val="es-ES" w:eastAsia="es-ES"/>
              </w:rPr>
              <w:t>3.1</w:t>
            </w:r>
          </w:p>
        </w:tc>
        <w:tc>
          <w:tcPr>
            <w:tcW w:w="1344" w:type="pct"/>
          </w:tcPr>
          <w:p w14:paraId="03AF68B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s-ES"/>
              </w:rPr>
            </w:pPr>
            <w:r w:rsidRPr="007F365D">
              <w:rPr>
                <w:rFonts w:eastAsia="Calibri" w:cs="Arial"/>
                <w:sz w:val="20"/>
                <w:szCs w:val="20"/>
                <w:lang w:val="es-ES"/>
              </w:rPr>
              <w:t>Prestar apoyo técnico al SSG de la CSE de la UICN, lo que incluye compartir información y conocimientos pertinentes y participar en reuniones y procesos de planificación regional de la conservación.</w:t>
            </w:r>
          </w:p>
        </w:tc>
        <w:tc>
          <w:tcPr>
            <w:tcW w:w="414" w:type="pct"/>
          </w:tcPr>
          <w:p w14:paraId="7B51804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Pr>
          <w:p w14:paraId="00B34CC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7994790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4FF3F77B" w14:textId="77777777" w:rsidR="007F365D" w:rsidRPr="007F365D" w:rsidRDefault="007F365D" w:rsidP="007F365D">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7F365D">
              <w:rPr>
                <w:rFonts w:eastAsia="Arial" w:cs="Arial"/>
                <w:sz w:val="20"/>
                <w:szCs w:val="20"/>
                <w:lang w:val="es-ES"/>
              </w:rPr>
              <w:t>CA, SIG</w:t>
            </w:r>
          </w:p>
        </w:tc>
        <w:tc>
          <w:tcPr>
            <w:tcW w:w="672" w:type="pct"/>
            <w:gridSpan w:val="2"/>
          </w:tcPr>
          <w:p w14:paraId="5D6A0B50"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lang w:val="es-ES"/>
              </w:rPr>
            </w:pPr>
            <w:r w:rsidRPr="007F365D">
              <w:rPr>
                <w:rFonts w:eastAsia="Arial" w:cs="Arial"/>
                <w:b/>
                <w:bCs/>
                <w:sz w:val="20"/>
                <w:szCs w:val="20"/>
                <w:lang w:val="es-ES"/>
              </w:rPr>
              <w:t xml:space="preserve">Entre 3000 € y 6000 € </w:t>
            </w:r>
          </w:p>
          <w:p w14:paraId="4840EFE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p>
          <w:p w14:paraId="7E4043B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7F365D">
              <w:rPr>
                <w:rFonts w:eastAsia="Arial" w:cs="Arial"/>
                <w:sz w:val="20"/>
                <w:szCs w:val="20"/>
                <w:lang w:val="es-ES"/>
              </w:rPr>
              <w:t>(por viaje del CA por reunión)</w:t>
            </w:r>
          </w:p>
        </w:tc>
        <w:tc>
          <w:tcPr>
            <w:tcW w:w="700" w:type="pct"/>
            <w:gridSpan w:val="4"/>
          </w:tcPr>
          <w:p w14:paraId="0272924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0,5</w:t>
            </w:r>
          </w:p>
          <w:p w14:paraId="0063977A"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0,5</w:t>
            </w:r>
          </w:p>
          <w:p w14:paraId="07B6CE5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los viajes de los miembros del CA)</w:t>
            </w:r>
          </w:p>
        </w:tc>
      </w:tr>
      <w:tr w:rsidR="007F365D" w:rsidRPr="007F365D" w14:paraId="0CAD7FFF"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1164"/>
        </w:trPr>
        <w:tc>
          <w:tcPr>
            <w:cnfStyle w:val="001000000000" w:firstRow="0" w:lastRow="0" w:firstColumn="1" w:lastColumn="0" w:oddVBand="0" w:evenVBand="0" w:oddHBand="0" w:evenHBand="0" w:firstRowFirstColumn="0" w:firstRowLastColumn="0" w:lastRowFirstColumn="0" w:lastRowLastColumn="0"/>
            <w:tcW w:w="258" w:type="pct"/>
          </w:tcPr>
          <w:p w14:paraId="75895315" w14:textId="77777777" w:rsidR="007F365D" w:rsidRPr="007F365D" w:rsidRDefault="007F365D" w:rsidP="007F365D">
            <w:pPr>
              <w:widowControl w:val="0"/>
              <w:autoSpaceDE w:val="0"/>
              <w:autoSpaceDN w:val="0"/>
              <w:adjustRightInd w:val="0"/>
              <w:rPr>
                <w:rFonts w:eastAsia="Times New Roman" w:cs="Arial"/>
                <w:sz w:val="20"/>
                <w:szCs w:val="20"/>
                <w:lang w:val="es-ES" w:eastAsia="en-GB"/>
              </w:rPr>
            </w:pPr>
            <w:r w:rsidRPr="007F365D">
              <w:rPr>
                <w:rFonts w:eastAsia="Times New Roman" w:cs="Arial"/>
                <w:sz w:val="20"/>
                <w:szCs w:val="20"/>
                <w:lang w:val="es-ES" w:eastAsia="es-ES"/>
              </w:rPr>
              <w:t>3.2</w:t>
            </w:r>
          </w:p>
        </w:tc>
        <w:tc>
          <w:tcPr>
            <w:tcW w:w="1344" w:type="pct"/>
          </w:tcPr>
          <w:p w14:paraId="30453D5F"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7F365D">
              <w:rPr>
                <w:rFonts w:eastAsia="Calibri" w:cs="Arial"/>
                <w:sz w:val="20"/>
                <w:szCs w:val="20"/>
                <w:lang w:val="es-ES"/>
              </w:rPr>
              <w:t xml:space="preserve">Colaborar con el SSG de la CSE de la UICN en la elaboración de una estrategia de conservación global y planes de acción regionales para las rayas </w:t>
            </w:r>
            <w:proofErr w:type="spellStart"/>
            <w:r w:rsidRPr="007F365D">
              <w:rPr>
                <w:rFonts w:eastAsia="Calibri" w:cs="Arial"/>
                <w:sz w:val="20"/>
                <w:szCs w:val="20"/>
                <w:lang w:val="es-ES"/>
              </w:rPr>
              <w:t>rhino</w:t>
            </w:r>
            <w:proofErr w:type="spellEnd"/>
            <w:r w:rsidRPr="007F365D">
              <w:rPr>
                <w:rFonts w:eastAsia="Calibri" w:cs="Arial"/>
                <w:sz w:val="20"/>
                <w:szCs w:val="20"/>
                <w:lang w:val="es-ES"/>
              </w:rPr>
              <w:t>.</w:t>
            </w:r>
          </w:p>
        </w:tc>
        <w:tc>
          <w:tcPr>
            <w:tcW w:w="414" w:type="pct"/>
          </w:tcPr>
          <w:p w14:paraId="6B501FE1"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Pr>
          <w:p w14:paraId="7BE3E7AE"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713C029B"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2023</w:t>
            </w:r>
          </w:p>
        </w:tc>
        <w:tc>
          <w:tcPr>
            <w:tcW w:w="567" w:type="pct"/>
          </w:tcPr>
          <w:p w14:paraId="263CF304"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SEC</w:t>
            </w:r>
          </w:p>
        </w:tc>
        <w:tc>
          <w:tcPr>
            <w:tcW w:w="672" w:type="pct"/>
            <w:gridSpan w:val="2"/>
          </w:tcPr>
          <w:p w14:paraId="0B4399E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700" w:type="pct"/>
            <w:gridSpan w:val="4"/>
          </w:tcPr>
          <w:p w14:paraId="3B74D8CA"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5</w:t>
            </w:r>
          </w:p>
        </w:tc>
      </w:tr>
      <w:tr w:rsidR="007F365D" w:rsidRPr="00B83C92" w14:paraId="5D084708" w14:textId="77777777" w:rsidTr="006931DA">
        <w:trPr>
          <w:gridAfter w:val="1"/>
          <w:wAfter w:w="11" w:type="pct"/>
          <w:cantSplit/>
          <w:trHeight w:val="1164"/>
        </w:trPr>
        <w:tc>
          <w:tcPr>
            <w:cnfStyle w:val="001000000000" w:firstRow="0" w:lastRow="0" w:firstColumn="1" w:lastColumn="0" w:oddVBand="0" w:evenVBand="0" w:oddHBand="0" w:evenHBand="0" w:firstRowFirstColumn="0" w:firstRowLastColumn="0" w:lastRowFirstColumn="0" w:lastRowLastColumn="0"/>
            <w:tcW w:w="258" w:type="pct"/>
          </w:tcPr>
          <w:p w14:paraId="77141F78" w14:textId="77777777" w:rsidR="007F365D" w:rsidRPr="007F365D" w:rsidRDefault="007F365D" w:rsidP="007F365D">
            <w:pPr>
              <w:widowControl w:val="0"/>
              <w:autoSpaceDE w:val="0"/>
              <w:autoSpaceDN w:val="0"/>
              <w:adjustRightInd w:val="0"/>
              <w:rPr>
                <w:rFonts w:eastAsia="Times New Roman" w:cs="Arial"/>
                <w:sz w:val="20"/>
                <w:szCs w:val="20"/>
                <w:lang w:val="es-ES" w:eastAsia="en-GB"/>
              </w:rPr>
            </w:pPr>
            <w:r w:rsidRPr="007F365D">
              <w:rPr>
                <w:rFonts w:eastAsia="Times New Roman" w:cs="Arial"/>
                <w:sz w:val="20"/>
                <w:szCs w:val="20"/>
                <w:lang w:val="es-ES" w:eastAsia="es-ES"/>
              </w:rPr>
              <w:t>3.3</w:t>
            </w:r>
          </w:p>
        </w:tc>
        <w:tc>
          <w:tcPr>
            <w:tcW w:w="1344" w:type="pct"/>
          </w:tcPr>
          <w:p w14:paraId="5A082385"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7F365D">
              <w:rPr>
                <w:rFonts w:eastAsia="Calibri" w:cs="Arial"/>
                <w:sz w:val="20"/>
                <w:szCs w:val="20"/>
                <w:lang w:val="es-ES"/>
              </w:rPr>
              <w:t>Prestar apoyo al SSG de la CSE de la UICN para la aplicación de la iniciativa en la región del Indo-Pacífico Occidental.</w:t>
            </w:r>
          </w:p>
        </w:tc>
        <w:tc>
          <w:tcPr>
            <w:tcW w:w="414" w:type="pct"/>
          </w:tcPr>
          <w:p w14:paraId="054798EF"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w:t>
            </w:r>
          </w:p>
        </w:tc>
        <w:tc>
          <w:tcPr>
            <w:tcW w:w="568" w:type="pct"/>
          </w:tcPr>
          <w:p w14:paraId="26C2C6B8"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194E35AC"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2023</w:t>
            </w:r>
          </w:p>
        </w:tc>
        <w:tc>
          <w:tcPr>
            <w:tcW w:w="567" w:type="pct"/>
          </w:tcPr>
          <w:p w14:paraId="686DBD22"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SEC</w:t>
            </w:r>
          </w:p>
        </w:tc>
        <w:tc>
          <w:tcPr>
            <w:tcW w:w="672" w:type="pct"/>
            <w:gridSpan w:val="2"/>
          </w:tcPr>
          <w:p w14:paraId="54FD9D4A"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Financiación disponible para la región Indo-Pacífico Occidental.</w:t>
            </w:r>
          </w:p>
        </w:tc>
        <w:tc>
          <w:tcPr>
            <w:tcW w:w="700" w:type="pct"/>
            <w:gridSpan w:val="4"/>
          </w:tcPr>
          <w:p w14:paraId="2087F4DB"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25</w:t>
            </w:r>
          </w:p>
          <w:p w14:paraId="1AC9284A"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5</w:t>
            </w:r>
          </w:p>
          <w:p w14:paraId="321B513C" w14:textId="77777777" w:rsidR="007F365D" w:rsidRPr="007F365D" w:rsidRDefault="007F365D" w:rsidP="007F365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acuerdos con donantes y proyectos, organización y celebración de reuniones)</w:t>
            </w:r>
          </w:p>
        </w:tc>
      </w:tr>
      <w:tr w:rsidR="007F365D" w:rsidRPr="00B83C92" w14:paraId="74D92833"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1164"/>
        </w:trPr>
        <w:tc>
          <w:tcPr>
            <w:cnfStyle w:val="001000000000" w:firstRow="0" w:lastRow="0" w:firstColumn="1" w:lastColumn="0" w:oddVBand="0" w:evenVBand="0" w:oddHBand="0" w:evenHBand="0" w:firstRowFirstColumn="0" w:firstRowLastColumn="0" w:lastRowFirstColumn="0" w:lastRowLastColumn="0"/>
            <w:tcW w:w="258" w:type="pct"/>
          </w:tcPr>
          <w:p w14:paraId="2199EEC0" w14:textId="77777777" w:rsidR="007F365D" w:rsidRPr="007F365D" w:rsidRDefault="007F365D" w:rsidP="007F365D">
            <w:pPr>
              <w:widowControl w:val="0"/>
              <w:autoSpaceDE w:val="0"/>
              <w:autoSpaceDN w:val="0"/>
              <w:adjustRightInd w:val="0"/>
              <w:rPr>
                <w:rFonts w:eastAsia="Times New Roman" w:cs="Arial"/>
                <w:sz w:val="20"/>
                <w:szCs w:val="20"/>
                <w:lang w:val="es-ES" w:eastAsia="en-GB"/>
              </w:rPr>
            </w:pPr>
            <w:r w:rsidRPr="007F365D">
              <w:rPr>
                <w:rFonts w:eastAsia="Times New Roman" w:cs="Arial"/>
                <w:sz w:val="20"/>
                <w:szCs w:val="20"/>
                <w:lang w:val="es-ES" w:eastAsia="es-ES"/>
              </w:rPr>
              <w:lastRenderedPageBreak/>
              <w:t>3.4</w:t>
            </w:r>
          </w:p>
        </w:tc>
        <w:tc>
          <w:tcPr>
            <w:tcW w:w="1344" w:type="pct"/>
          </w:tcPr>
          <w:p w14:paraId="2969045B"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bCs/>
                <w:sz w:val="20"/>
                <w:szCs w:val="20"/>
                <w:lang w:val="es-ES"/>
              </w:rPr>
            </w:pPr>
            <w:r w:rsidRPr="007F365D">
              <w:rPr>
                <w:rFonts w:eastAsia="Arial" w:cs="Arial"/>
                <w:bCs/>
                <w:sz w:val="20"/>
                <w:szCs w:val="20"/>
                <w:lang w:val="es-ES"/>
              </w:rPr>
              <w:t>Prestar apoyo financiero a los talleres regionales de los Estados del Área de Distribución y al desarrollo de planes de acción regionales.</w:t>
            </w:r>
          </w:p>
        </w:tc>
        <w:tc>
          <w:tcPr>
            <w:tcW w:w="414" w:type="pct"/>
          </w:tcPr>
          <w:p w14:paraId="3CD8F146"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CP:4.1 </w:t>
            </w:r>
          </w:p>
        </w:tc>
        <w:tc>
          <w:tcPr>
            <w:tcW w:w="568" w:type="pct"/>
          </w:tcPr>
          <w:p w14:paraId="69ACD894"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26FD90EA"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68AD311B"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7F365D">
              <w:rPr>
                <w:rFonts w:eastAsia="Times New Roman" w:cs="Arial"/>
                <w:sz w:val="20"/>
                <w:szCs w:val="20"/>
                <w:lang w:val="es-ES" w:eastAsia="es-ES"/>
              </w:rPr>
              <w:t xml:space="preserve">SIG, (SEC </w:t>
            </w:r>
            <w:r w:rsidRPr="007F365D">
              <w:rPr>
                <w:rFonts w:eastAsia="Times New Roman" w:cs="Arial"/>
                <w:sz w:val="20"/>
                <w:szCs w:val="20"/>
                <w:lang w:val="es-ES" w:eastAsia="es-ES"/>
              </w:rPr>
              <w:br/>
              <w:t>si se proporcionaron fondos a través de la Secretaría)</w:t>
            </w:r>
          </w:p>
        </w:tc>
        <w:tc>
          <w:tcPr>
            <w:tcW w:w="672" w:type="pct"/>
            <w:gridSpan w:val="2"/>
          </w:tcPr>
          <w:p w14:paraId="5741B95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Aprox. 40 000 € </w:t>
            </w:r>
          </w:p>
          <w:p w14:paraId="0F6F307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(se necesitan para desarrollar el plan de acción; aprox. 30 000 € para celebrar el taller regional, </w:t>
            </w:r>
          </w:p>
          <w:p w14:paraId="37A32F7B"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7F365D">
              <w:rPr>
                <w:rFonts w:eastAsia="Times New Roman" w:cs="Arial"/>
                <w:sz w:val="20"/>
                <w:szCs w:val="20"/>
                <w:lang w:val="es-ES" w:eastAsia="es-ES"/>
              </w:rPr>
              <w:t>la financiación ya estaba disponible para la región Indo-Pacífico Occidental)</w:t>
            </w:r>
          </w:p>
        </w:tc>
        <w:tc>
          <w:tcPr>
            <w:tcW w:w="700" w:type="pct"/>
            <w:gridSpan w:val="4"/>
          </w:tcPr>
          <w:p w14:paraId="0A614AE4"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25</w:t>
            </w:r>
          </w:p>
          <w:p w14:paraId="5182D210"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G personal: 5 </w:t>
            </w:r>
          </w:p>
          <w:p w14:paraId="22C1835C" w14:textId="77777777" w:rsidR="007F365D" w:rsidRPr="007F365D" w:rsidRDefault="007F365D" w:rsidP="007F365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taller: recaudación de fondos, gestión de acuerdos con donantes y proyectos, organización y celebración de reuniones)</w:t>
            </w:r>
          </w:p>
        </w:tc>
      </w:tr>
      <w:tr w:rsidR="007F365D" w:rsidRPr="007F365D" w14:paraId="5E0CBDD0" w14:textId="77777777" w:rsidTr="006931DA">
        <w:trPr>
          <w:gridAfter w:val="1"/>
          <w:wAfter w:w="11" w:type="pct"/>
          <w:cantSplit/>
          <w:trHeight w:val="819"/>
        </w:trPr>
        <w:tc>
          <w:tcPr>
            <w:cnfStyle w:val="001000000000" w:firstRow="0" w:lastRow="0" w:firstColumn="1" w:lastColumn="0" w:oddVBand="0" w:evenVBand="0" w:oddHBand="0" w:evenHBand="0" w:firstRowFirstColumn="0" w:firstRowLastColumn="0" w:lastRowFirstColumn="0" w:lastRowLastColumn="0"/>
            <w:tcW w:w="258" w:type="pct"/>
          </w:tcPr>
          <w:p w14:paraId="49E82D2E"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3.5</w:t>
            </w:r>
          </w:p>
        </w:tc>
        <w:tc>
          <w:tcPr>
            <w:tcW w:w="1344" w:type="pct"/>
          </w:tcPr>
          <w:p w14:paraId="6B1A12E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s-ES"/>
              </w:rPr>
            </w:pPr>
            <w:r w:rsidRPr="007F365D">
              <w:rPr>
                <w:rFonts w:eastAsia="Calibri" w:cs="Arial"/>
                <w:sz w:val="20"/>
                <w:szCs w:val="20"/>
                <w:lang w:val="es-ES"/>
              </w:rPr>
              <w:t xml:space="preserve">Ofrecer talleres de capacitación sobre la identificación de la raya </w:t>
            </w:r>
            <w:proofErr w:type="spellStart"/>
            <w:r w:rsidRPr="007F365D">
              <w:rPr>
                <w:rFonts w:eastAsia="Calibri" w:cs="Arial"/>
                <w:sz w:val="20"/>
                <w:szCs w:val="20"/>
                <w:lang w:val="es-ES"/>
              </w:rPr>
              <w:t>rhino</w:t>
            </w:r>
            <w:proofErr w:type="spellEnd"/>
            <w:r w:rsidRPr="007F365D">
              <w:rPr>
                <w:rFonts w:eastAsia="Calibri" w:cs="Arial"/>
                <w:sz w:val="20"/>
                <w:szCs w:val="20"/>
                <w:lang w:val="es-ES"/>
              </w:rPr>
              <w:t xml:space="preserve"> a las partes interesadas clave.</w:t>
            </w:r>
          </w:p>
        </w:tc>
        <w:tc>
          <w:tcPr>
            <w:tcW w:w="414" w:type="pct"/>
          </w:tcPr>
          <w:p w14:paraId="625415E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CP:4.1 </w:t>
            </w:r>
          </w:p>
        </w:tc>
        <w:tc>
          <w:tcPr>
            <w:tcW w:w="568" w:type="pct"/>
          </w:tcPr>
          <w:p w14:paraId="4ED97E5C"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08D16CC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65471AE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SIG (con apoyo del SSG de la CSE de la UICN)</w:t>
            </w:r>
          </w:p>
        </w:tc>
        <w:tc>
          <w:tcPr>
            <w:tcW w:w="672" w:type="pct"/>
            <w:gridSpan w:val="2"/>
          </w:tcPr>
          <w:p w14:paraId="73E11A5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Podrían producirse costes para los Signatarios por organizar talleres</w:t>
            </w:r>
          </w:p>
        </w:tc>
        <w:tc>
          <w:tcPr>
            <w:tcW w:w="700" w:type="pct"/>
            <w:gridSpan w:val="4"/>
          </w:tcPr>
          <w:p w14:paraId="1DBC5B7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Sin participación</w:t>
            </w:r>
          </w:p>
        </w:tc>
      </w:tr>
      <w:bookmarkEnd w:id="0"/>
      <w:bookmarkEnd w:id="1"/>
      <w:tr w:rsidR="007F365D" w:rsidRPr="00B83C92" w14:paraId="48B170F0"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87"/>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hideMark/>
          </w:tcPr>
          <w:p w14:paraId="29DAC482" w14:textId="2019A16B" w:rsidR="007F365D" w:rsidRPr="007F365D" w:rsidRDefault="007F365D" w:rsidP="007F365D">
            <w:pPr>
              <w:widowControl w:val="0"/>
              <w:autoSpaceDE w:val="0"/>
              <w:autoSpaceDN w:val="0"/>
              <w:adjustRightInd w:val="0"/>
              <w:ind w:right="252"/>
              <w:rPr>
                <w:rFonts w:eastAsia="Times New Roman" w:cs="Arial"/>
                <w:sz w:val="20"/>
                <w:szCs w:val="20"/>
                <w:lang w:val="es-ES"/>
              </w:rPr>
            </w:pPr>
            <w:r w:rsidRPr="007F365D">
              <w:rPr>
                <w:rFonts w:eastAsia="Times New Roman" w:cs="Arial"/>
                <w:sz w:val="20"/>
                <w:szCs w:val="20"/>
                <w:lang w:val="es-ES"/>
              </w:rPr>
              <w:t xml:space="preserve">4. </w:t>
            </w:r>
            <w:r w:rsidR="00B83C92" w:rsidRPr="00B83C92">
              <w:rPr>
                <w:rFonts w:eastAsia="Times New Roman" w:cs="Arial"/>
                <w:sz w:val="20"/>
                <w:szCs w:val="20"/>
                <w:lang w:val="es-ES"/>
              </w:rPr>
              <w:t>Áreas importantes de tiburones y rayas (ISRA, por sus siglas en inglés</w:t>
            </w:r>
            <w:r w:rsidRPr="007F365D">
              <w:rPr>
                <w:rFonts w:eastAsia="Times New Roman" w:cs="Arial"/>
                <w:sz w:val="20"/>
                <w:szCs w:val="20"/>
                <w:lang w:val="es-ES"/>
              </w:rPr>
              <w:t xml:space="preserve"> (véase </w:t>
            </w:r>
            <w:hyperlink r:id="rId29"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/MOS4/Doc.10.4</w:t>
              </w:r>
            </w:hyperlink>
            <w:r w:rsidRPr="007F365D">
              <w:rPr>
                <w:rFonts w:eastAsia="Times New Roman" w:cs="Arial"/>
                <w:sz w:val="20"/>
                <w:szCs w:val="20"/>
                <w:lang w:val="es-ES"/>
              </w:rPr>
              <w:t xml:space="preserve">)  </w:t>
            </w:r>
          </w:p>
        </w:tc>
      </w:tr>
      <w:tr w:rsidR="007F365D" w:rsidRPr="00B83C92" w14:paraId="5EA74BCC"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5A468C7D"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4.1</w:t>
            </w:r>
          </w:p>
        </w:tc>
        <w:tc>
          <w:tcPr>
            <w:tcW w:w="1344" w:type="pct"/>
          </w:tcPr>
          <w:p w14:paraId="5F88876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rPr>
            </w:pPr>
            <w:r w:rsidRPr="007F365D">
              <w:rPr>
                <w:rFonts w:eastAsia="Times New Roman" w:cs="Arial"/>
                <w:bCs/>
                <w:iCs/>
                <w:sz w:val="20"/>
                <w:szCs w:val="20"/>
                <w:lang w:val="es-ES"/>
              </w:rPr>
              <w:t>Promover la iniciativa ISRA en foros relevantes, incluyendo, sin limitación, CMS, CBD, FAO, RFMO, RSC y AP.</w:t>
            </w:r>
          </w:p>
        </w:tc>
        <w:tc>
          <w:tcPr>
            <w:tcW w:w="414" w:type="pct"/>
          </w:tcPr>
          <w:p w14:paraId="13C04FA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53BC27C2"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CP 1.5</w:t>
            </w:r>
          </w:p>
        </w:tc>
        <w:tc>
          <w:tcPr>
            <w:tcW w:w="568" w:type="pct"/>
          </w:tcPr>
          <w:p w14:paraId="744E2DD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7642892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719529A2"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SEC, SIG, </w:t>
            </w:r>
            <w:proofErr w:type="spellStart"/>
            <w:r w:rsidRPr="007F365D">
              <w:rPr>
                <w:rFonts w:eastAsia="Times New Roman" w:cs="Arial"/>
                <w:sz w:val="20"/>
                <w:szCs w:val="20"/>
                <w:lang w:val="es-ES" w:eastAsia="es-ES"/>
              </w:rPr>
              <w:t>CooP</w:t>
            </w:r>
            <w:proofErr w:type="spellEnd"/>
          </w:p>
        </w:tc>
        <w:tc>
          <w:tcPr>
            <w:tcW w:w="672" w:type="pct"/>
            <w:gridSpan w:val="2"/>
          </w:tcPr>
          <w:p w14:paraId="026B252A"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shd w:val="clear" w:color="auto" w:fill="FFFF00"/>
                <w:lang w:val="es-ES" w:eastAsia="en-GB"/>
              </w:rPr>
            </w:pPr>
          </w:p>
        </w:tc>
        <w:tc>
          <w:tcPr>
            <w:tcW w:w="689" w:type="pct"/>
            <w:gridSpan w:val="2"/>
          </w:tcPr>
          <w:p w14:paraId="637D72B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b/>
                <w:bCs/>
                <w:sz w:val="20"/>
                <w:szCs w:val="20"/>
                <w:lang w:val="es-ES" w:eastAsia="es-ES"/>
              </w:rPr>
              <w:t>P personal: 3</w:t>
            </w:r>
            <w:r w:rsidRPr="007F365D">
              <w:rPr>
                <w:rFonts w:eastAsia="Times New Roman" w:cs="Arial"/>
                <w:sz w:val="20"/>
                <w:szCs w:val="20"/>
                <w:lang w:val="es-ES" w:eastAsia="es-ES"/>
              </w:rPr>
              <w:t xml:space="preserve"> (p. ej., desarrollando documentos de política)</w:t>
            </w:r>
          </w:p>
        </w:tc>
      </w:tr>
      <w:tr w:rsidR="007F365D" w:rsidRPr="007F365D" w14:paraId="74D81829"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5313B61D"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4.2</w:t>
            </w:r>
          </w:p>
        </w:tc>
        <w:tc>
          <w:tcPr>
            <w:tcW w:w="1344" w:type="pct"/>
          </w:tcPr>
          <w:p w14:paraId="363E4AAE"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7F365D">
              <w:rPr>
                <w:rFonts w:eastAsia="Times New Roman" w:cs="Arial"/>
                <w:bCs/>
                <w:iCs/>
                <w:sz w:val="20"/>
                <w:szCs w:val="20"/>
                <w:lang w:val="es-ES"/>
              </w:rPr>
              <w:t>Colaborar con el SSG de la CSE de la UICN en la implementación de la iniciativa ISRA.</w:t>
            </w:r>
          </w:p>
        </w:tc>
        <w:tc>
          <w:tcPr>
            <w:tcW w:w="414" w:type="pct"/>
          </w:tcPr>
          <w:p w14:paraId="0EC3CE6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08D1189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CP 1.5</w:t>
            </w:r>
          </w:p>
        </w:tc>
        <w:tc>
          <w:tcPr>
            <w:tcW w:w="568" w:type="pct"/>
          </w:tcPr>
          <w:p w14:paraId="58A7FE1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FCA9D0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5AF700F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SEC</w:t>
            </w:r>
          </w:p>
        </w:tc>
        <w:tc>
          <w:tcPr>
            <w:tcW w:w="672" w:type="pct"/>
            <w:gridSpan w:val="2"/>
          </w:tcPr>
          <w:p w14:paraId="50EDD5E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shd w:val="clear" w:color="auto" w:fill="FFFF00"/>
                <w:lang w:val="es-ES" w:eastAsia="en-GB"/>
              </w:rPr>
            </w:pPr>
          </w:p>
        </w:tc>
        <w:tc>
          <w:tcPr>
            <w:tcW w:w="689" w:type="pct"/>
            <w:gridSpan w:val="2"/>
          </w:tcPr>
          <w:p w14:paraId="4F330F2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2</w:t>
            </w:r>
          </w:p>
        </w:tc>
      </w:tr>
      <w:tr w:rsidR="007F365D" w:rsidRPr="00B83C92" w14:paraId="541AF212"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2123DF6C"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4.3</w:t>
            </w:r>
          </w:p>
        </w:tc>
        <w:tc>
          <w:tcPr>
            <w:tcW w:w="1344" w:type="pct"/>
          </w:tcPr>
          <w:p w14:paraId="783EF5E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shd w:val="clear" w:color="auto" w:fill="FFFFFF"/>
                <w:lang w:val="es-ES"/>
              </w:rPr>
            </w:pPr>
            <w:r w:rsidRPr="007F365D">
              <w:rPr>
                <w:rFonts w:eastAsia="Times New Roman" w:cs="Arial"/>
                <w:bCs/>
                <w:iCs/>
                <w:sz w:val="20"/>
                <w:szCs w:val="20"/>
                <w:lang w:val="es-ES"/>
              </w:rPr>
              <w:t xml:space="preserve">Proporcionar apoyo al SSG de la CSE de la UICN </w:t>
            </w:r>
            <w:proofErr w:type="gramStart"/>
            <w:r w:rsidRPr="007F365D">
              <w:rPr>
                <w:rFonts w:eastAsia="Times New Roman" w:cs="Arial"/>
                <w:bCs/>
                <w:iCs/>
                <w:sz w:val="20"/>
                <w:szCs w:val="20"/>
                <w:lang w:val="es-ES"/>
              </w:rPr>
              <w:t>como adecuado y como factible</w:t>
            </w:r>
            <w:proofErr w:type="gramEnd"/>
            <w:r w:rsidRPr="007F365D">
              <w:rPr>
                <w:rFonts w:eastAsia="Times New Roman" w:cs="Arial"/>
                <w:bCs/>
                <w:iCs/>
                <w:sz w:val="20"/>
                <w:szCs w:val="20"/>
                <w:lang w:val="es-ES"/>
              </w:rPr>
              <w:t xml:space="preserve"> con la identificación de las ISRA incluyendo compartir información y experiencia relevantes.</w:t>
            </w:r>
          </w:p>
        </w:tc>
        <w:tc>
          <w:tcPr>
            <w:tcW w:w="414" w:type="pct"/>
          </w:tcPr>
          <w:p w14:paraId="226C2CD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2B019F4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CP 1.5</w:t>
            </w:r>
          </w:p>
        </w:tc>
        <w:tc>
          <w:tcPr>
            <w:tcW w:w="568" w:type="pct"/>
          </w:tcPr>
          <w:p w14:paraId="784953B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01C9DC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54DD5AC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SIG, AC, CWG</w:t>
            </w:r>
          </w:p>
        </w:tc>
        <w:tc>
          <w:tcPr>
            <w:tcW w:w="672" w:type="pct"/>
            <w:gridSpan w:val="2"/>
          </w:tcPr>
          <w:p w14:paraId="4AF006F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21 000 € </w:t>
            </w:r>
          </w:p>
          <w:p w14:paraId="7549066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shd w:val="clear" w:color="auto" w:fill="FFFF00"/>
                <w:lang w:val="es-ES" w:eastAsia="en-GB"/>
              </w:rPr>
            </w:pPr>
            <w:r w:rsidRPr="007F365D">
              <w:rPr>
                <w:rFonts w:eastAsia="Times New Roman" w:cs="Arial"/>
                <w:sz w:val="20"/>
                <w:szCs w:val="20"/>
                <w:lang w:val="es-ES" w:eastAsia="es-ES"/>
              </w:rPr>
              <w:t>(por viajes del CA y CWG a talleres y reuniones (ca. 7 misiones))</w:t>
            </w:r>
          </w:p>
        </w:tc>
        <w:tc>
          <w:tcPr>
            <w:tcW w:w="689" w:type="pct"/>
            <w:gridSpan w:val="2"/>
          </w:tcPr>
          <w:p w14:paraId="0D8880B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2</w:t>
            </w:r>
          </w:p>
          <w:p w14:paraId="48BF469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2</w:t>
            </w:r>
          </w:p>
          <w:p w14:paraId="6D042C0D"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(reunir fondos, gestión de los acuerdos con los donantes, gestionar viajes)</w:t>
            </w:r>
          </w:p>
        </w:tc>
      </w:tr>
      <w:tr w:rsidR="007F365D" w:rsidRPr="00B83C92" w14:paraId="3724F3E9"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28C5866A"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lastRenderedPageBreak/>
              <w:t>4.4</w:t>
            </w:r>
          </w:p>
        </w:tc>
        <w:tc>
          <w:tcPr>
            <w:tcW w:w="1344" w:type="pct"/>
          </w:tcPr>
          <w:p w14:paraId="3CC25D3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7F365D">
              <w:rPr>
                <w:rFonts w:eastAsia="Times New Roman" w:cs="Arial"/>
                <w:bCs/>
                <w:iCs/>
                <w:sz w:val="20"/>
                <w:szCs w:val="20"/>
                <w:lang w:val="es-ES"/>
              </w:rPr>
              <w:t>Proporcionar recursos financieros al SSG de la CSE de la UICN para la implementación de talleres de expertos y hacer seguimiento de misiones.</w:t>
            </w:r>
          </w:p>
        </w:tc>
        <w:tc>
          <w:tcPr>
            <w:tcW w:w="414" w:type="pct"/>
          </w:tcPr>
          <w:p w14:paraId="077FA0A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46425EE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CP 1.5</w:t>
            </w:r>
          </w:p>
        </w:tc>
        <w:tc>
          <w:tcPr>
            <w:tcW w:w="568" w:type="pct"/>
          </w:tcPr>
          <w:p w14:paraId="7B3F03D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B83B6C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470808C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SIG, (SEC </w:t>
            </w:r>
            <w:r w:rsidRPr="007F365D">
              <w:rPr>
                <w:rFonts w:eastAsia="Times New Roman" w:cs="Arial"/>
                <w:sz w:val="20"/>
                <w:szCs w:val="20"/>
                <w:lang w:val="es-ES" w:eastAsia="es-ES"/>
              </w:rPr>
              <w:br/>
              <w:t>si se proporcionaron fondos a través de la Secretaría)</w:t>
            </w:r>
          </w:p>
        </w:tc>
        <w:tc>
          <w:tcPr>
            <w:tcW w:w="672" w:type="pct"/>
            <w:gridSpan w:val="2"/>
          </w:tcPr>
          <w:p w14:paraId="1A455FE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45 000 € </w:t>
            </w:r>
          </w:p>
          <w:p w14:paraId="727D282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shd w:val="clear" w:color="auto" w:fill="FFFF00"/>
                <w:lang w:val="es-ES" w:eastAsia="en-GB"/>
              </w:rPr>
            </w:pPr>
            <w:r w:rsidRPr="007F365D">
              <w:rPr>
                <w:rFonts w:eastAsia="Times New Roman" w:cs="Arial"/>
                <w:sz w:val="20"/>
                <w:szCs w:val="20"/>
                <w:lang w:val="es-ES" w:eastAsia="es-ES"/>
              </w:rPr>
              <w:t>para viajes a talleres y reuniones (ca. 15 misiones)</w:t>
            </w:r>
          </w:p>
        </w:tc>
        <w:tc>
          <w:tcPr>
            <w:tcW w:w="689" w:type="pct"/>
            <w:gridSpan w:val="2"/>
          </w:tcPr>
          <w:p w14:paraId="467AA7C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4</w:t>
            </w:r>
          </w:p>
          <w:p w14:paraId="6A8352EF"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2</w:t>
            </w:r>
          </w:p>
          <w:p w14:paraId="4B118C4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(reunir fondos, gestión de los acuerdos con los donantes, gestionar viajes)</w:t>
            </w:r>
          </w:p>
          <w:p w14:paraId="7B3EE6B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r>
      <w:tr w:rsidR="007F365D" w:rsidRPr="007F365D" w14:paraId="7B5AF334"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1FAE02CB"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4.5</w:t>
            </w:r>
          </w:p>
        </w:tc>
        <w:tc>
          <w:tcPr>
            <w:tcW w:w="1344" w:type="pct"/>
          </w:tcPr>
          <w:p w14:paraId="71ADF4B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Cs/>
                <w:iCs/>
                <w:sz w:val="20"/>
                <w:szCs w:val="20"/>
                <w:lang w:val="es-ES"/>
              </w:rPr>
            </w:pPr>
            <w:r w:rsidRPr="007F365D">
              <w:rPr>
                <w:rFonts w:eastAsia="Times New Roman" w:cs="Arial"/>
                <w:bCs/>
                <w:iCs/>
                <w:sz w:val="20"/>
                <w:szCs w:val="20"/>
                <w:lang w:val="es-ES"/>
              </w:rPr>
              <w:t xml:space="preserve">Considerar las ISRA como áreas de alta prioridad para la implementación de medidas de gestión para conservar tiburones y rayas, listadas en el Anexo 1 del </w:t>
            </w:r>
            <w:proofErr w:type="spellStart"/>
            <w:r w:rsidRPr="007F365D">
              <w:rPr>
                <w:rFonts w:eastAsia="Times New Roman" w:cs="Arial"/>
                <w:bCs/>
                <w:iCs/>
                <w:sz w:val="20"/>
                <w:szCs w:val="20"/>
                <w:lang w:val="es-ES"/>
              </w:rPr>
              <w:t>MdE</w:t>
            </w:r>
            <w:proofErr w:type="spellEnd"/>
            <w:r w:rsidRPr="007F365D">
              <w:rPr>
                <w:rFonts w:eastAsia="Times New Roman" w:cs="Arial"/>
                <w:bCs/>
                <w:iCs/>
                <w:sz w:val="20"/>
                <w:szCs w:val="20"/>
                <w:lang w:val="es-ES"/>
              </w:rPr>
              <w:t>, en sus áreas de jurisdicciones nacionales.</w:t>
            </w:r>
          </w:p>
          <w:p w14:paraId="50ABDC00"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Cs/>
                <w:iCs/>
                <w:sz w:val="20"/>
                <w:szCs w:val="20"/>
                <w:lang w:val="es-ES"/>
              </w:rPr>
            </w:pPr>
          </w:p>
        </w:tc>
        <w:tc>
          <w:tcPr>
            <w:tcW w:w="414" w:type="pct"/>
          </w:tcPr>
          <w:p w14:paraId="6C23BF8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Decisiones MOS4, </w:t>
            </w:r>
          </w:p>
          <w:p w14:paraId="327825A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CP 1.5</w:t>
            </w:r>
          </w:p>
        </w:tc>
        <w:tc>
          <w:tcPr>
            <w:tcW w:w="568" w:type="pct"/>
          </w:tcPr>
          <w:p w14:paraId="4648DF0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74A07F8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4C487D0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SIG</w:t>
            </w:r>
          </w:p>
        </w:tc>
        <w:tc>
          <w:tcPr>
            <w:tcW w:w="672" w:type="pct"/>
            <w:gridSpan w:val="2"/>
          </w:tcPr>
          <w:p w14:paraId="13F0AD6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c>
          <w:tcPr>
            <w:tcW w:w="689" w:type="pct"/>
            <w:gridSpan w:val="2"/>
          </w:tcPr>
          <w:p w14:paraId="13388BE1"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r>
      <w:tr w:rsidR="007F365D" w:rsidRPr="00B83C92" w14:paraId="522BB016"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42"/>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6B310222" w14:textId="7394F9D5"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rPr>
              <w:t xml:space="preserve">5. Priorización regional de especies de tiburones y rayas listadas en el Anexo 1 del </w:t>
            </w:r>
            <w:proofErr w:type="spellStart"/>
            <w:r w:rsidRPr="007F365D">
              <w:rPr>
                <w:rFonts w:eastAsia="Times New Roman" w:cs="Arial"/>
                <w:sz w:val="20"/>
                <w:szCs w:val="20"/>
                <w:lang w:val="es-ES"/>
              </w:rPr>
              <w:t>MdE</w:t>
            </w:r>
            <w:proofErr w:type="spellEnd"/>
            <w:r w:rsidRPr="007F365D">
              <w:rPr>
                <w:rFonts w:eastAsia="Times New Roman" w:cs="Arial"/>
                <w:sz w:val="20"/>
                <w:szCs w:val="20"/>
                <w:lang w:val="es-ES"/>
              </w:rPr>
              <w:t xml:space="preserve"> y Apéndices de la CMS </w:t>
            </w:r>
            <w:r w:rsidRPr="007F365D">
              <w:rPr>
                <w:rFonts w:eastAsia="Times New Roman" w:cs="Arial"/>
                <w:sz w:val="20"/>
                <w:szCs w:val="20"/>
                <w:lang w:val="es-ES" w:eastAsia="es-ES"/>
              </w:rPr>
              <w:t xml:space="preserve">(véase </w:t>
            </w:r>
            <w:hyperlink r:id="rId30"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/MOS4/Doc.10.5</w:t>
              </w:r>
            </w:hyperlink>
            <w:r w:rsidRPr="007F365D">
              <w:rPr>
                <w:rFonts w:eastAsia="Times New Roman" w:cs="Arial"/>
                <w:sz w:val="20"/>
                <w:szCs w:val="20"/>
                <w:u w:val="single"/>
                <w:lang w:val="es-ES"/>
              </w:rPr>
              <w:t>)</w:t>
            </w:r>
          </w:p>
        </w:tc>
      </w:tr>
      <w:tr w:rsidR="007F365D" w:rsidRPr="00B83C92" w14:paraId="22DF9F75"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Borders>
              <w:bottom w:val="single" w:sz="4" w:space="0" w:color="7F7F7F"/>
            </w:tcBorders>
          </w:tcPr>
          <w:p w14:paraId="710F1ED2"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5.1</w:t>
            </w:r>
          </w:p>
        </w:tc>
        <w:tc>
          <w:tcPr>
            <w:tcW w:w="1344" w:type="pct"/>
            <w:tcBorders>
              <w:bottom w:val="single" w:sz="4" w:space="0" w:color="7F7F7F"/>
            </w:tcBorders>
          </w:tcPr>
          <w:p w14:paraId="6C1E4E8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Cs/>
                <w:iCs/>
                <w:sz w:val="20"/>
                <w:szCs w:val="20"/>
                <w:lang w:val="es-ES"/>
              </w:rPr>
            </w:pPr>
            <w:r w:rsidRPr="007F365D">
              <w:rPr>
                <w:rFonts w:eastAsia="Times New Roman" w:cs="Arial"/>
                <w:sz w:val="20"/>
                <w:szCs w:val="20"/>
                <w:lang w:val="es-ES"/>
              </w:rPr>
              <w:t>CA para seguir identificando especies de prioridad regional usando la metodología presentada y aún en desarrollo.</w:t>
            </w:r>
          </w:p>
        </w:tc>
        <w:tc>
          <w:tcPr>
            <w:tcW w:w="414" w:type="pct"/>
            <w:tcBorders>
              <w:bottom w:val="single" w:sz="4" w:space="0" w:color="7F7F7F"/>
            </w:tcBorders>
          </w:tcPr>
          <w:p w14:paraId="61B7952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Borders>
              <w:bottom w:val="single" w:sz="4" w:space="0" w:color="7F7F7F"/>
            </w:tcBorders>
          </w:tcPr>
          <w:p w14:paraId="5AE168E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Borders>
              <w:bottom w:val="single" w:sz="4" w:space="0" w:color="7F7F7F"/>
            </w:tcBorders>
          </w:tcPr>
          <w:p w14:paraId="14827C8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Borders>
              <w:bottom w:val="single" w:sz="4" w:space="0" w:color="7F7F7F"/>
            </w:tcBorders>
          </w:tcPr>
          <w:p w14:paraId="6CEFFE4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CA</w:t>
            </w:r>
          </w:p>
        </w:tc>
        <w:tc>
          <w:tcPr>
            <w:tcW w:w="672" w:type="pct"/>
            <w:gridSpan w:val="2"/>
            <w:tcBorders>
              <w:bottom w:val="single" w:sz="4" w:space="0" w:color="7F7F7F"/>
            </w:tcBorders>
          </w:tcPr>
          <w:p w14:paraId="4DFA4B8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lang w:val="es-ES"/>
              </w:rPr>
            </w:pPr>
            <w:r w:rsidRPr="007F365D">
              <w:rPr>
                <w:rFonts w:eastAsia="Arial" w:cs="Arial"/>
                <w:b/>
                <w:bCs/>
                <w:sz w:val="20"/>
                <w:szCs w:val="20"/>
                <w:lang w:val="es-ES"/>
              </w:rPr>
              <w:t xml:space="preserve">25 000 € </w:t>
            </w:r>
          </w:p>
          <w:p w14:paraId="16301ED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7F365D">
              <w:rPr>
                <w:rFonts w:eastAsia="Arial" w:cs="Arial"/>
                <w:sz w:val="20"/>
                <w:szCs w:val="20"/>
                <w:lang w:val="es-ES"/>
              </w:rPr>
              <w:t>(asesoría para apoyar al CA)</w:t>
            </w:r>
          </w:p>
          <w:p w14:paraId="4F1BB25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c>
          <w:tcPr>
            <w:tcW w:w="689" w:type="pct"/>
            <w:gridSpan w:val="2"/>
            <w:tcBorders>
              <w:bottom w:val="single" w:sz="4" w:space="0" w:color="7F7F7F"/>
            </w:tcBorders>
          </w:tcPr>
          <w:p w14:paraId="749568BA"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r>
      <w:tr w:rsidR="007F365D" w:rsidRPr="00B83C92" w14:paraId="5BEEB4A6"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2359"/>
        </w:trPr>
        <w:tc>
          <w:tcPr>
            <w:cnfStyle w:val="001000000000" w:firstRow="0" w:lastRow="0" w:firstColumn="1" w:lastColumn="0" w:oddVBand="0" w:evenVBand="0" w:oddHBand="0" w:evenHBand="0" w:firstRowFirstColumn="0" w:firstRowLastColumn="0" w:lastRowFirstColumn="0" w:lastRowLastColumn="0"/>
            <w:tcW w:w="258" w:type="pct"/>
            <w:tcBorders>
              <w:bottom w:val="single" w:sz="4" w:space="0" w:color="auto"/>
            </w:tcBorders>
          </w:tcPr>
          <w:p w14:paraId="77F516F4"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5.2</w:t>
            </w:r>
          </w:p>
        </w:tc>
        <w:tc>
          <w:tcPr>
            <w:tcW w:w="1344" w:type="pct"/>
            <w:tcBorders>
              <w:bottom w:val="single" w:sz="4" w:space="0" w:color="auto"/>
            </w:tcBorders>
          </w:tcPr>
          <w:p w14:paraId="107E8B7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Cs/>
                <w:iCs/>
                <w:sz w:val="20"/>
                <w:szCs w:val="20"/>
                <w:lang w:val="es-ES"/>
              </w:rPr>
            </w:pPr>
            <w:r w:rsidRPr="007F365D">
              <w:rPr>
                <w:rFonts w:eastAsia="Calibri" w:cs="Arial"/>
                <w:sz w:val="20"/>
                <w:szCs w:val="20"/>
                <w:lang w:val="es-ES"/>
              </w:rPr>
              <w:t>Prestar apoyo financiero para la de priorización regional para áreas adicionales FAO.</w:t>
            </w:r>
          </w:p>
        </w:tc>
        <w:tc>
          <w:tcPr>
            <w:tcW w:w="414" w:type="pct"/>
            <w:tcBorders>
              <w:bottom w:val="single" w:sz="4" w:space="0" w:color="auto"/>
            </w:tcBorders>
          </w:tcPr>
          <w:p w14:paraId="61B96C1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w:t>
            </w:r>
          </w:p>
        </w:tc>
        <w:tc>
          <w:tcPr>
            <w:tcW w:w="568" w:type="pct"/>
            <w:tcBorders>
              <w:bottom w:val="single" w:sz="4" w:space="0" w:color="auto"/>
            </w:tcBorders>
          </w:tcPr>
          <w:p w14:paraId="21754F2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Borders>
              <w:bottom w:val="single" w:sz="4" w:space="0" w:color="auto"/>
            </w:tcBorders>
          </w:tcPr>
          <w:p w14:paraId="2C69807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Borders>
              <w:bottom w:val="single" w:sz="4" w:space="0" w:color="auto"/>
            </w:tcBorders>
          </w:tcPr>
          <w:p w14:paraId="667299D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SIG, (SEC ya que los fondos se proporcionarían a la Secretaría)</w:t>
            </w:r>
          </w:p>
          <w:p w14:paraId="0ACEA7E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672" w:type="pct"/>
            <w:gridSpan w:val="2"/>
            <w:tcBorders>
              <w:bottom w:val="single" w:sz="4" w:space="0" w:color="auto"/>
            </w:tcBorders>
          </w:tcPr>
          <w:p w14:paraId="350BCF3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Arial" w:cs="Arial"/>
                <w:sz w:val="20"/>
                <w:szCs w:val="20"/>
                <w:lang w:val="es-ES"/>
              </w:rPr>
              <w:t>Véase arriba</w:t>
            </w:r>
          </w:p>
        </w:tc>
        <w:tc>
          <w:tcPr>
            <w:tcW w:w="689" w:type="pct"/>
            <w:gridSpan w:val="2"/>
            <w:tcBorders>
              <w:bottom w:val="single" w:sz="4" w:space="0" w:color="auto"/>
            </w:tcBorders>
          </w:tcPr>
          <w:p w14:paraId="21192E5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5</w:t>
            </w:r>
          </w:p>
          <w:p w14:paraId="5E13DD1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0,5</w:t>
            </w:r>
          </w:p>
          <w:p w14:paraId="3B16274E"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(asesor de reclutamiento y orientación,</w:t>
            </w:r>
          </w:p>
        </w:tc>
      </w:tr>
      <w:tr w:rsidR="007F365D" w:rsidRPr="00B83C92" w14:paraId="49A920F9" w14:textId="77777777" w:rsidTr="006931DA">
        <w:trPr>
          <w:gridAfter w:val="1"/>
          <w:wAfter w:w="11" w:type="pct"/>
          <w:cantSplit/>
          <w:trHeight w:val="262"/>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6F9531EC" w14:textId="2A9F773D"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lastRenderedPageBreak/>
              <w:t xml:space="preserve">6. Recomendaciones a los Signatarios para mejorar los informes de datos de descarga para especies listadas en el Anexo 1 del </w:t>
            </w:r>
            <w:proofErr w:type="spellStart"/>
            <w:r w:rsidRPr="007F365D">
              <w:rPr>
                <w:rFonts w:eastAsia="Times New Roman" w:cs="Arial"/>
                <w:sz w:val="20"/>
                <w:szCs w:val="20"/>
                <w:lang w:val="es-ES" w:eastAsia="es-ES"/>
              </w:rPr>
              <w:t>MdE</w:t>
            </w:r>
            <w:proofErr w:type="spellEnd"/>
            <w:r w:rsidRPr="007F365D">
              <w:rPr>
                <w:rFonts w:eastAsia="Times New Roman" w:cs="Arial"/>
                <w:sz w:val="20"/>
                <w:szCs w:val="20"/>
                <w:lang w:val="es-ES" w:eastAsia="es-ES"/>
              </w:rPr>
              <w:t xml:space="preserve"> sobre tiburones (véase </w:t>
            </w:r>
            <w:hyperlink r:id="rId31"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/MOS4/Doc.10.6</w:t>
              </w:r>
            </w:hyperlink>
            <w:r w:rsidRPr="007F365D">
              <w:rPr>
                <w:rFonts w:eastAsia="Times New Roman" w:cs="Arial"/>
                <w:sz w:val="20"/>
                <w:szCs w:val="20"/>
                <w:u w:val="single"/>
                <w:lang w:val="es-ES"/>
              </w:rPr>
              <w:t>)</w:t>
            </w:r>
          </w:p>
        </w:tc>
      </w:tr>
      <w:tr w:rsidR="007F365D" w:rsidRPr="00B83C92" w14:paraId="30F604EA"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7862BC35"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6.1 </w:t>
            </w:r>
          </w:p>
        </w:tc>
        <w:tc>
          <w:tcPr>
            <w:tcW w:w="1344" w:type="pct"/>
          </w:tcPr>
          <w:p w14:paraId="7EDB2F9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Cs/>
                <w:iCs/>
                <w:sz w:val="20"/>
                <w:szCs w:val="20"/>
                <w:lang w:val="es-ES"/>
              </w:rPr>
            </w:pPr>
            <w:r w:rsidRPr="007F365D">
              <w:rPr>
                <w:rFonts w:eastAsia="Times New Roman" w:cs="Arial"/>
                <w:sz w:val="20"/>
                <w:szCs w:val="20"/>
                <w:lang w:val="es-ES" w:eastAsia="es-ES"/>
              </w:rPr>
              <w:t>Actualizar los análisis presentados aquí para incluir los datos más actualizados y publicar los hallazgos en una revista científica revisada por colegas en colaboración con especialistas de la FAO (y otros especialistas relevantes).</w:t>
            </w:r>
          </w:p>
        </w:tc>
        <w:tc>
          <w:tcPr>
            <w:tcW w:w="414" w:type="pct"/>
          </w:tcPr>
          <w:p w14:paraId="39BDBB4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w:t>
            </w:r>
          </w:p>
        </w:tc>
        <w:tc>
          <w:tcPr>
            <w:tcW w:w="568" w:type="pct"/>
          </w:tcPr>
          <w:p w14:paraId="3EC568C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6519507"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72CEF53F"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w:t>
            </w:r>
          </w:p>
          <w:p w14:paraId="08A36B9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roofErr w:type="spellStart"/>
            <w:r w:rsidRPr="007F365D">
              <w:rPr>
                <w:rFonts w:eastAsia="Times New Roman" w:cs="Arial"/>
                <w:sz w:val="20"/>
                <w:szCs w:val="20"/>
                <w:lang w:val="es-ES" w:eastAsia="es-ES"/>
              </w:rPr>
              <w:t>Coop</w:t>
            </w:r>
            <w:proofErr w:type="spellEnd"/>
          </w:p>
          <w:p w14:paraId="0062994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CWG</w:t>
            </w:r>
          </w:p>
        </w:tc>
        <w:tc>
          <w:tcPr>
            <w:tcW w:w="672" w:type="pct"/>
            <w:gridSpan w:val="2"/>
          </w:tcPr>
          <w:p w14:paraId="619F1F7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16 000 €</w:t>
            </w:r>
          </w:p>
          <w:p w14:paraId="30862C6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(tarifas de asesoría y publicación de acceso abierto)</w:t>
            </w:r>
          </w:p>
        </w:tc>
        <w:tc>
          <w:tcPr>
            <w:tcW w:w="689" w:type="pct"/>
            <w:gridSpan w:val="2"/>
          </w:tcPr>
          <w:p w14:paraId="266291C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5</w:t>
            </w:r>
          </w:p>
          <w:p w14:paraId="2E7EA29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0,5</w:t>
            </w:r>
          </w:p>
          <w:p w14:paraId="4B30FA1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(asesor de reclutamiento y orientación, gestión de los acuerdos con los donantes)</w:t>
            </w:r>
          </w:p>
        </w:tc>
      </w:tr>
      <w:tr w:rsidR="007F365D" w:rsidRPr="00B83C92" w14:paraId="62784245"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69275B53"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6.2 </w:t>
            </w:r>
          </w:p>
        </w:tc>
        <w:tc>
          <w:tcPr>
            <w:tcW w:w="1344" w:type="pct"/>
          </w:tcPr>
          <w:p w14:paraId="25E7629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Cs/>
                <w:iCs/>
                <w:sz w:val="20"/>
                <w:szCs w:val="20"/>
                <w:lang w:val="es-ES"/>
              </w:rPr>
            </w:pPr>
            <w:r w:rsidRPr="007F365D">
              <w:rPr>
                <w:rFonts w:eastAsia="Times New Roman" w:cs="Arial"/>
                <w:sz w:val="20"/>
                <w:szCs w:val="20"/>
                <w:lang w:val="es-ES" w:eastAsia="es-ES"/>
              </w:rPr>
              <w:t>Realizar análisis de esos datos de descarga de los tiburones listados en el Anexo 1, como se informó a las OROP relevantes (p. ej., ICCAT), incluyendo el cotejo con datos comparables que tiene la FAO en colaboración con especialistas.</w:t>
            </w:r>
          </w:p>
        </w:tc>
        <w:tc>
          <w:tcPr>
            <w:tcW w:w="414" w:type="pct"/>
          </w:tcPr>
          <w:p w14:paraId="38BDC96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w:t>
            </w:r>
          </w:p>
        </w:tc>
        <w:tc>
          <w:tcPr>
            <w:tcW w:w="568" w:type="pct"/>
          </w:tcPr>
          <w:p w14:paraId="63E3E44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38BA828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662DD74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w:t>
            </w:r>
          </w:p>
          <w:p w14:paraId="07A9542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roofErr w:type="spellStart"/>
            <w:r w:rsidRPr="007F365D">
              <w:rPr>
                <w:rFonts w:eastAsia="Times New Roman" w:cs="Arial"/>
                <w:sz w:val="20"/>
                <w:szCs w:val="20"/>
                <w:lang w:val="es-ES" w:eastAsia="es-ES"/>
              </w:rPr>
              <w:t>Coop</w:t>
            </w:r>
            <w:proofErr w:type="spellEnd"/>
          </w:p>
          <w:p w14:paraId="060F2CD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CWG</w:t>
            </w:r>
          </w:p>
        </w:tc>
        <w:tc>
          <w:tcPr>
            <w:tcW w:w="672" w:type="pct"/>
            <w:gridSpan w:val="2"/>
          </w:tcPr>
          <w:p w14:paraId="0F37526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10 000 € </w:t>
            </w:r>
          </w:p>
          <w:p w14:paraId="1A3BD58E" w14:textId="747B3559" w:rsidR="007F365D" w:rsidRPr="007F365D" w:rsidRDefault="007F365D" w:rsidP="006931D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(para viajes para presentar documentos de trabajo en reuniones de grupo de trabajo OROP relevantes; 3 misiones)</w:t>
            </w:r>
          </w:p>
        </w:tc>
        <w:tc>
          <w:tcPr>
            <w:tcW w:w="689" w:type="pct"/>
            <w:gridSpan w:val="2"/>
          </w:tcPr>
          <w:p w14:paraId="047C65CE"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0,5</w:t>
            </w:r>
          </w:p>
          <w:p w14:paraId="335A52AC"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1</w:t>
            </w:r>
          </w:p>
          <w:p w14:paraId="2B226B39"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viajes)</w:t>
            </w:r>
          </w:p>
        </w:tc>
      </w:tr>
      <w:tr w:rsidR="007F365D" w:rsidRPr="00B83C92" w14:paraId="01689C25"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2954"/>
        </w:trPr>
        <w:tc>
          <w:tcPr>
            <w:cnfStyle w:val="001000000000" w:firstRow="0" w:lastRow="0" w:firstColumn="1" w:lastColumn="0" w:oddVBand="0" w:evenVBand="0" w:oddHBand="0" w:evenHBand="0" w:firstRowFirstColumn="0" w:firstRowLastColumn="0" w:lastRowFirstColumn="0" w:lastRowLastColumn="0"/>
            <w:tcW w:w="258" w:type="pct"/>
          </w:tcPr>
          <w:p w14:paraId="3A9345BB"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6.3 </w:t>
            </w:r>
          </w:p>
        </w:tc>
        <w:tc>
          <w:tcPr>
            <w:tcW w:w="1344" w:type="pct"/>
          </w:tcPr>
          <w:p w14:paraId="3EE6E9A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Identificar los tipos de error, o error potencial, que se han observado en el análisis de datos de descarga y desarrollar directrices para cómo las naciones podrían mejorar sus datos de descargas nacionales de forma útil para mejorar el control de calidad de los datos que se envían. </w:t>
            </w:r>
          </w:p>
          <w:p w14:paraId="3B9E99E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Cs/>
                <w:iCs/>
                <w:sz w:val="20"/>
                <w:szCs w:val="20"/>
                <w:lang w:val="es-ES"/>
              </w:rPr>
            </w:pPr>
          </w:p>
        </w:tc>
        <w:tc>
          <w:tcPr>
            <w:tcW w:w="414" w:type="pct"/>
          </w:tcPr>
          <w:p w14:paraId="4E827AB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  </w:t>
            </w:r>
          </w:p>
        </w:tc>
        <w:tc>
          <w:tcPr>
            <w:tcW w:w="568" w:type="pct"/>
          </w:tcPr>
          <w:p w14:paraId="7EAADC3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466" w:type="pct"/>
          </w:tcPr>
          <w:p w14:paraId="7BCE9E4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 </w:t>
            </w:r>
          </w:p>
        </w:tc>
        <w:tc>
          <w:tcPr>
            <w:tcW w:w="567" w:type="pct"/>
          </w:tcPr>
          <w:p w14:paraId="409B703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w:t>
            </w:r>
          </w:p>
          <w:p w14:paraId="262C1CF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roofErr w:type="spellStart"/>
            <w:r w:rsidRPr="007F365D">
              <w:rPr>
                <w:rFonts w:eastAsia="Times New Roman" w:cs="Arial"/>
                <w:sz w:val="20"/>
                <w:szCs w:val="20"/>
                <w:lang w:val="es-ES" w:eastAsia="es-ES"/>
              </w:rPr>
              <w:t>Coop</w:t>
            </w:r>
            <w:proofErr w:type="spellEnd"/>
          </w:p>
          <w:p w14:paraId="0560BBD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CWG</w:t>
            </w:r>
          </w:p>
        </w:tc>
        <w:tc>
          <w:tcPr>
            <w:tcW w:w="672" w:type="pct"/>
            <w:gridSpan w:val="2"/>
          </w:tcPr>
          <w:p w14:paraId="6B12640B"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10 000 € </w:t>
            </w:r>
          </w:p>
          <w:p w14:paraId="3B94E46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(para viajes para experto adicional y talleres de 2 días consecutivos con AC4)</w:t>
            </w:r>
          </w:p>
        </w:tc>
        <w:tc>
          <w:tcPr>
            <w:tcW w:w="689" w:type="pct"/>
            <w:gridSpan w:val="2"/>
          </w:tcPr>
          <w:p w14:paraId="5A0ACDD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3</w:t>
            </w:r>
          </w:p>
          <w:p w14:paraId="6B8747BB"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0,5</w:t>
            </w:r>
          </w:p>
          <w:p w14:paraId="1799C6B4" w14:textId="35BA924A" w:rsidR="007F365D" w:rsidRPr="007F365D" w:rsidRDefault="007F365D" w:rsidP="006931D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viajes y logística de reuniones, incluyendo adquisiciones cuando sean pertinentes, participar)</w:t>
            </w:r>
          </w:p>
        </w:tc>
      </w:tr>
      <w:tr w:rsidR="007F365D" w:rsidRPr="00B83C92" w14:paraId="5F9B1352" w14:textId="77777777" w:rsidTr="006931DA">
        <w:trPr>
          <w:gridAfter w:val="1"/>
          <w:wAfter w:w="11" w:type="pct"/>
          <w:cantSplit/>
          <w:trHeight w:val="254"/>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253AE620" w14:textId="759FB86B"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rPr>
              <w:lastRenderedPageBreak/>
              <w:t xml:space="preserve">7. Revisión de la mortalidad a causa de pesquerías de las especies enumeradas en el Anexo 1 del </w:t>
            </w:r>
            <w:proofErr w:type="spellStart"/>
            <w:r w:rsidRPr="007F365D">
              <w:rPr>
                <w:rFonts w:eastAsia="Times New Roman" w:cs="Arial"/>
                <w:sz w:val="20"/>
                <w:szCs w:val="20"/>
                <w:lang w:val="es-ES"/>
              </w:rPr>
              <w:t>MdE</w:t>
            </w:r>
            <w:proofErr w:type="spellEnd"/>
            <w:r w:rsidRPr="007F365D">
              <w:rPr>
                <w:rFonts w:eastAsia="Times New Roman" w:cs="Arial"/>
                <w:sz w:val="20"/>
                <w:szCs w:val="20"/>
                <w:lang w:val="es-ES"/>
              </w:rPr>
              <w:t xml:space="preserve"> sobre los Tiburones y los Apéndices de la CMS </w:t>
            </w:r>
            <w:r w:rsidRPr="007F365D">
              <w:rPr>
                <w:rFonts w:eastAsia="Times New Roman" w:cs="Arial"/>
                <w:sz w:val="20"/>
                <w:szCs w:val="20"/>
                <w:lang w:val="es-ES" w:eastAsia="es-ES"/>
              </w:rPr>
              <w:t xml:space="preserve">(véase </w:t>
            </w:r>
            <w:hyperlink r:id="rId32"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/MOS4/Doc.10.7</w:t>
              </w:r>
            </w:hyperlink>
            <w:r w:rsidRPr="007F365D">
              <w:rPr>
                <w:rFonts w:eastAsia="Times New Roman" w:cs="Arial"/>
                <w:sz w:val="20"/>
                <w:szCs w:val="20"/>
                <w:u w:val="single"/>
                <w:lang w:val="es-ES"/>
              </w:rPr>
              <w:t>)</w:t>
            </w:r>
          </w:p>
        </w:tc>
      </w:tr>
      <w:tr w:rsidR="007F365D" w:rsidRPr="007F365D" w14:paraId="3BB81642"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5B4110E2"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7.1</w:t>
            </w:r>
          </w:p>
        </w:tc>
        <w:tc>
          <w:tcPr>
            <w:tcW w:w="1344" w:type="pct"/>
          </w:tcPr>
          <w:p w14:paraId="6A31996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Proporcionar apoyo técnico a la revisión.</w:t>
            </w:r>
          </w:p>
        </w:tc>
        <w:tc>
          <w:tcPr>
            <w:tcW w:w="414" w:type="pct"/>
          </w:tcPr>
          <w:p w14:paraId="0BD6BC18"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Pr>
          <w:p w14:paraId="47FA969F"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73712A8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577A466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CA</w:t>
            </w:r>
          </w:p>
        </w:tc>
        <w:tc>
          <w:tcPr>
            <w:tcW w:w="672" w:type="pct"/>
            <w:gridSpan w:val="2"/>
          </w:tcPr>
          <w:p w14:paraId="08ECB05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p>
        </w:tc>
        <w:tc>
          <w:tcPr>
            <w:tcW w:w="689" w:type="pct"/>
            <w:gridSpan w:val="2"/>
          </w:tcPr>
          <w:p w14:paraId="7B3502C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p>
        </w:tc>
      </w:tr>
      <w:tr w:rsidR="007F365D" w:rsidRPr="00B83C92" w14:paraId="416E7F58"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203AC1F6"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7.2</w:t>
            </w:r>
          </w:p>
        </w:tc>
        <w:tc>
          <w:tcPr>
            <w:tcW w:w="1344" w:type="pct"/>
          </w:tcPr>
          <w:p w14:paraId="092FC7F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Proporcionar apoyo financiero para la consecución del estudio piloto sobre dos zonas FAO.</w:t>
            </w:r>
          </w:p>
        </w:tc>
        <w:tc>
          <w:tcPr>
            <w:tcW w:w="414" w:type="pct"/>
          </w:tcPr>
          <w:p w14:paraId="09183C02"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Pr>
          <w:p w14:paraId="01C2DF50"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2BFDB79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3F78BFD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SIG, (SEC: si se proporcionaron fondos a través de la Secretaría)</w:t>
            </w:r>
          </w:p>
        </w:tc>
        <w:tc>
          <w:tcPr>
            <w:tcW w:w="672" w:type="pct"/>
            <w:gridSpan w:val="2"/>
          </w:tcPr>
          <w:p w14:paraId="1663D35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 xml:space="preserve">50 000 € </w:t>
            </w:r>
            <w:r w:rsidRPr="007F365D">
              <w:rPr>
                <w:rFonts w:eastAsia="Times New Roman" w:cs="Arial"/>
                <w:sz w:val="20"/>
                <w:szCs w:val="20"/>
                <w:lang w:val="es-ES" w:eastAsia="es-ES"/>
              </w:rPr>
              <w:t>(asesoramiento: la financiación ya se encuentra disponible)</w:t>
            </w:r>
          </w:p>
        </w:tc>
        <w:tc>
          <w:tcPr>
            <w:tcW w:w="689" w:type="pct"/>
            <w:gridSpan w:val="2"/>
          </w:tcPr>
          <w:p w14:paraId="0EAEF08C"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7F365D">
              <w:rPr>
                <w:rFonts w:eastAsia="Times New Roman" w:cs="Arial"/>
                <w:b/>
                <w:bCs/>
                <w:sz w:val="20"/>
                <w:szCs w:val="20"/>
                <w:lang w:val="es-ES"/>
              </w:rPr>
              <w:t>P personal: 10</w:t>
            </w:r>
          </w:p>
          <w:p w14:paraId="684ED2B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7F365D">
              <w:rPr>
                <w:rFonts w:eastAsia="Times New Roman" w:cs="Arial"/>
                <w:b/>
                <w:bCs/>
                <w:sz w:val="20"/>
                <w:szCs w:val="20"/>
                <w:lang w:val="es-ES"/>
              </w:rPr>
              <w:t>G personal: 1</w:t>
            </w:r>
          </w:p>
          <w:p w14:paraId="32F6CEF6"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sz w:val="20"/>
                <w:szCs w:val="20"/>
                <w:lang w:val="es-ES"/>
              </w:rPr>
              <w:t>(gestión de los acuerdos de los donantes, contratación y supervisión del asesor)</w:t>
            </w:r>
          </w:p>
        </w:tc>
      </w:tr>
      <w:tr w:rsidR="007F365D" w:rsidRPr="00B83C92" w14:paraId="068A06B8"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61"/>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471833DA"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8. Aplicación de Acción Concertada para Tiburones Ballena</w:t>
            </w:r>
          </w:p>
        </w:tc>
      </w:tr>
      <w:tr w:rsidR="007F365D" w:rsidRPr="00B83C92" w14:paraId="24B93D8A" w14:textId="77777777" w:rsidTr="006931DA">
        <w:trPr>
          <w:gridAfter w:val="3"/>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7830701F"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8.1</w:t>
            </w:r>
          </w:p>
        </w:tc>
        <w:tc>
          <w:tcPr>
            <w:tcW w:w="1344" w:type="pct"/>
          </w:tcPr>
          <w:p w14:paraId="754A46B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Emprender un estudio sobre focos mundiales de tiburones ballena, sus rutas migratorias y áreas de importancia, y evaluar el riesgo de colisiones de tiburones ballena con el tráfico de barcos. A partir de aquí el proyecto desarrollará directrices y recomendaciones para las Partes de la CMS para su consideración en la CMS COP14.</w:t>
            </w:r>
          </w:p>
          <w:p w14:paraId="3D87418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c>
          <w:tcPr>
            <w:tcW w:w="414" w:type="pct"/>
          </w:tcPr>
          <w:p w14:paraId="08E9C5AB"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p w14:paraId="0B50DAA3"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Resultado 3.8</w:t>
            </w:r>
          </w:p>
        </w:tc>
        <w:tc>
          <w:tcPr>
            <w:tcW w:w="568" w:type="pct"/>
          </w:tcPr>
          <w:p w14:paraId="37E04474"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alta</w:t>
            </w:r>
          </w:p>
        </w:tc>
        <w:tc>
          <w:tcPr>
            <w:tcW w:w="466" w:type="pct"/>
          </w:tcPr>
          <w:p w14:paraId="31AEFA8C"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2023</w:t>
            </w:r>
          </w:p>
        </w:tc>
        <w:tc>
          <w:tcPr>
            <w:tcW w:w="567" w:type="pct"/>
          </w:tcPr>
          <w:p w14:paraId="20CE8F9F"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SEC</w:t>
            </w:r>
          </w:p>
        </w:tc>
        <w:tc>
          <w:tcPr>
            <w:tcW w:w="672" w:type="pct"/>
            <w:gridSpan w:val="2"/>
          </w:tcPr>
          <w:p w14:paraId="2F689A88"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b/>
                <w:bCs/>
                <w:sz w:val="20"/>
                <w:szCs w:val="20"/>
                <w:lang w:val="es-ES" w:eastAsia="es-ES"/>
              </w:rPr>
              <w:t>28 000 €</w:t>
            </w:r>
            <w:r w:rsidRPr="007F365D">
              <w:rPr>
                <w:rFonts w:eastAsia="Times New Roman" w:cs="Arial"/>
                <w:sz w:val="20"/>
                <w:szCs w:val="20"/>
                <w:lang w:val="es-ES" w:eastAsia="es-ES"/>
              </w:rPr>
              <w:t xml:space="preserve"> (asesoramiento, la financiación ya está asegurada)</w:t>
            </w:r>
          </w:p>
        </w:tc>
        <w:tc>
          <w:tcPr>
            <w:tcW w:w="689" w:type="pct"/>
            <w:gridSpan w:val="2"/>
          </w:tcPr>
          <w:p w14:paraId="5AFD3017"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P personal: 7</w:t>
            </w:r>
          </w:p>
          <w:p w14:paraId="3E2AD6A5"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7F365D">
              <w:rPr>
                <w:rFonts w:eastAsia="Times New Roman" w:cs="Arial"/>
                <w:b/>
                <w:bCs/>
                <w:sz w:val="20"/>
                <w:szCs w:val="20"/>
                <w:lang w:val="es-ES" w:eastAsia="es-ES"/>
              </w:rPr>
              <w:t>G personal: 1</w:t>
            </w:r>
          </w:p>
          <w:p w14:paraId="0C794E30" w14:textId="77777777" w:rsidR="007F365D" w:rsidRPr="007F365D" w:rsidRDefault="007F365D" w:rsidP="007F365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(gestión de acuerdos con donantes y asesoramiento)</w:t>
            </w:r>
          </w:p>
        </w:tc>
      </w:tr>
      <w:tr w:rsidR="007F365D" w:rsidRPr="00B83C92" w14:paraId="05F90AC7" w14:textId="77777777" w:rsidTr="006931DA">
        <w:trPr>
          <w:gridAfter w:val="1"/>
          <w:cnfStyle w:val="000000100000" w:firstRow="0" w:lastRow="0" w:firstColumn="0" w:lastColumn="0" w:oddVBand="0" w:evenVBand="0" w:oddHBand="1" w:evenHBand="0" w:firstRowFirstColumn="0" w:firstRowLastColumn="0" w:lastRowFirstColumn="0" w:lastRowLastColumn="0"/>
          <w:wAfter w:w="11" w:type="pct"/>
          <w:cantSplit/>
          <w:trHeight w:val="42"/>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B4C6E7"/>
          </w:tcPr>
          <w:p w14:paraId="717A9027"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Creación de capacidad, aumento de Consciencia y Comunicación</w:t>
            </w:r>
          </w:p>
        </w:tc>
      </w:tr>
      <w:tr w:rsidR="007F365D" w:rsidRPr="007F365D" w14:paraId="4C7EFFA7" w14:textId="77777777" w:rsidTr="006931DA">
        <w:trPr>
          <w:gridAfter w:val="1"/>
          <w:wAfter w:w="11" w:type="pct"/>
          <w:cantSplit/>
          <w:trHeight w:val="52"/>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3E1F2945"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9. Creación de Capacidad</w:t>
            </w:r>
          </w:p>
        </w:tc>
      </w:tr>
      <w:tr w:rsidR="007F365D" w:rsidRPr="007F365D" w14:paraId="41C361A3"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3F227D5D"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9.1</w:t>
            </w:r>
          </w:p>
        </w:tc>
        <w:tc>
          <w:tcPr>
            <w:tcW w:w="1344" w:type="pct"/>
          </w:tcPr>
          <w:p w14:paraId="29302E81"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Procurador para el resultado de las discusiones 11.1</w:t>
            </w:r>
          </w:p>
        </w:tc>
        <w:tc>
          <w:tcPr>
            <w:tcW w:w="414" w:type="pct"/>
          </w:tcPr>
          <w:p w14:paraId="3874DCE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p w14:paraId="764BAC82"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Resultado 3.6</w:t>
            </w:r>
          </w:p>
          <w:p w14:paraId="5025FD9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568" w:type="pct"/>
          </w:tcPr>
          <w:p w14:paraId="5C7DBE1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5EF2D32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249B1B4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672" w:type="pct"/>
            <w:gridSpan w:val="2"/>
          </w:tcPr>
          <w:p w14:paraId="6D71DDF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689" w:type="pct"/>
            <w:gridSpan w:val="2"/>
          </w:tcPr>
          <w:p w14:paraId="445D138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r>
      <w:tr w:rsidR="007F365D" w:rsidRPr="00B83C92" w14:paraId="3D05E2D7" w14:textId="77777777" w:rsidTr="006931DA">
        <w:trPr>
          <w:gridAfter w:val="1"/>
          <w:wAfter w:w="11" w:type="pct"/>
          <w:cantSplit/>
          <w:trHeight w:val="420"/>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7F856F25"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lastRenderedPageBreak/>
              <w:t>10. Aumento de Consciencia y Comunicación</w:t>
            </w:r>
          </w:p>
        </w:tc>
      </w:tr>
      <w:tr w:rsidR="007F365D" w:rsidRPr="007F365D" w14:paraId="24FAD1EA"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25DC2A73"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10.1</w:t>
            </w:r>
          </w:p>
        </w:tc>
        <w:tc>
          <w:tcPr>
            <w:tcW w:w="1344" w:type="pct"/>
          </w:tcPr>
          <w:p w14:paraId="0A55372D" w14:textId="1659DE99"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Procurador para el resultado de las discusiones 11.2 (véase </w:t>
            </w:r>
            <w:hyperlink r:id="rId33" w:history="1">
              <w:r w:rsidRPr="007F365D">
                <w:rPr>
                  <w:rFonts w:eastAsia="Times New Roman" w:cs="Arial"/>
                  <w:color w:val="0000FF"/>
                  <w:sz w:val="20"/>
                  <w:szCs w:val="20"/>
                  <w:u w:val="single"/>
                  <w:lang w:val="es-ES"/>
                </w:rPr>
                <w:t>CMS/</w:t>
              </w:r>
              <w:proofErr w:type="spellStart"/>
              <w:r w:rsidRPr="007F365D">
                <w:rPr>
                  <w:rFonts w:eastAsia="Times New Roman" w:cs="Arial"/>
                  <w:color w:val="0000FF"/>
                  <w:sz w:val="20"/>
                  <w:szCs w:val="20"/>
                  <w:u w:val="single"/>
                  <w:lang w:val="es-ES"/>
                </w:rPr>
                <w:t>Sharks</w:t>
              </w:r>
              <w:proofErr w:type="spellEnd"/>
              <w:r w:rsidRPr="007F365D">
                <w:rPr>
                  <w:rFonts w:eastAsia="Times New Roman" w:cs="Arial"/>
                  <w:color w:val="0000FF"/>
                  <w:sz w:val="20"/>
                  <w:szCs w:val="20"/>
                  <w:u w:val="single"/>
                  <w:lang w:val="es-ES"/>
                </w:rPr>
                <w:t>/MOS4/Doc.11.2</w:t>
              </w:r>
            </w:hyperlink>
            <w:r w:rsidRPr="007F365D">
              <w:rPr>
                <w:rFonts w:eastAsia="Times New Roman" w:cs="Arial"/>
                <w:sz w:val="20"/>
                <w:szCs w:val="20"/>
                <w:lang w:val="es-ES"/>
              </w:rPr>
              <w:t>)</w:t>
            </w:r>
          </w:p>
        </w:tc>
        <w:tc>
          <w:tcPr>
            <w:tcW w:w="414" w:type="pct"/>
          </w:tcPr>
          <w:p w14:paraId="0232721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Decisiones MOS4</w:t>
            </w:r>
          </w:p>
        </w:tc>
        <w:tc>
          <w:tcPr>
            <w:tcW w:w="568" w:type="pct"/>
          </w:tcPr>
          <w:p w14:paraId="644EE345"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466" w:type="pct"/>
          </w:tcPr>
          <w:p w14:paraId="4171B9E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567" w:type="pct"/>
          </w:tcPr>
          <w:p w14:paraId="42F538EB"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672" w:type="pct"/>
            <w:gridSpan w:val="2"/>
          </w:tcPr>
          <w:p w14:paraId="54956816"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c>
          <w:tcPr>
            <w:tcW w:w="689" w:type="pct"/>
            <w:gridSpan w:val="2"/>
          </w:tcPr>
          <w:p w14:paraId="02C6F03C"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Por determinar</w:t>
            </w:r>
          </w:p>
        </w:tc>
      </w:tr>
      <w:tr w:rsidR="007F365D" w:rsidRPr="00B83C92" w14:paraId="39F76641" w14:textId="77777777" w:rsidTr="006931DA">
        <w:trPr>
          <w:gridAfter w:val="1"/>
          <w:wAfter w:w="11" w:type="pct"/>
          <w:cantSplit/>
          <w:trHeight w:val="52"/>
        </w:trPr>
        <w:tc>
          <w:tcPr>
            <w:cnfStyle w:val="001000000000" w:firstRow="0" w:lastRow="0" w:firstColumn="1" w:lastColumn="0" w:oddVBand="0" w:evenVBand="0" w:oddHBand="0" w:evenHBand="0" w:firstRowFirstColumn="0" w:firstRowLastColumn="0" w:lastRowFirstColumn="0" w:lastRowLastColumn="0"/>
            <w:tcW w:w="4989" w:type="pct"/>
            <w:gridSpan w:val="12"/>
            <w:shd w:val="clear" w:color="auto" w:fill="DEEAF6" w:themeFill="accent5" w:themeFillTint="33"/>
          </w:tcPr>
          <w:p w14:paraId="4553C69E" w14:textId="6FFC925C" w:rsidR="007F365D" w:rsidRPr="007F365D" w:rsidRDefault="007F365D" w:rsidP="007F365D">
            <w:pPr>
              <w:widowControl w:val="0"/>
              <w:autoSpaceDE w:val="0"/>
              <w:autoSpaceDN w:val="0"/>
              <w:adjustRightInd w:val="0"/>
              <w:rPr>
                <w:rFonts w:eastAsia="Times New Roman" w:cs="Arial"/>
                <w:sz w:val="20"/>
                <w:szCs w:val="20"/>
                <w:lang w:val="es-ES"/>
              </w:rPr>
            </w:pPr>
            <w:r w:rsidRPr="007F365D">
              <w:rPr>
                <w:rFonts w:eastAsia="Times New Roman" w:cs="Arial"/>
                <w:sz w:val="20"/>
                <w:szCs w:val="20"/>
                <w:lang w:val="es-ES" w:eastAsia="es-ES"/>
              </w:rPr>
              <w:t>11. Otras actividades, en línea con los</w:t>
            </w:r>
            <w:r w:rsidR="0020110A">
              <w:rPr>
                <w:rFonts w:eastAsia="Times New Roman" w:cs="Arial"/>
                <w:sz w:val="20"/>
                <w:szCs w:val="20"/>
                <w:lang w:val="es-ES" w:eastAsia="es-ES"/>
              </w:rPr>
              <w:t xml:space="preserve"> mandatos</w:t>
            </w:r>
            <w:r w:rsidRPr="007F365D">
              <w:rPr>
                <w:rFonts w:eastAsia="Times New Roman" w:cs="Arial"/>
                <w:sz w:val="20"/>
                <w:szCs w:val="20"/>
                <w:lang w:val="es-ES" w:eastAsia="es-ES"/>
              </w:rPr>
              <w:t xml:space="preserve"> del </w:t>
            </w:r>
            <w:proofErr w:type="spellStart"/>
            <w:r w:rsidRPr="007F365D">
              <w:rPr>
                <w:rFonts w:eastAsia="Times New Roman" w:cs="Arial"/>
                <w:sz w:val="20"/>
                <w:szCs w:val="20"/>
                <w:lang w:val="es-ES" w:eastAsia="es-ES"/>
              </w:rPr>
              <w:t>MdE</w:t>
            </w:r>
            <w:proofErr w:type="spellEnd"/>
          </w:p>
        </w:tc>
      </w:tr>
      <w:tr w:rsidR="007F365D" w:rsidRPr="00B83C92" w14:paraId="72360C60" w14:textId="77777777" w:rsidTr="006931DA">
        <w:trPr>
          <w:gridAfter w:val="3"/>
          <w:cnfStyle w:val="000000100000" w:firstRow="0" w:lastRow="0" w:firstColumn="0" w:lastColumn="0" w:oddVBand="0" w:evenVBand="0" w:oddHBand="1" w:evenHBand="0" w:firstRowFirstColumn="0" w:firstRowLastColumn="0" w:lastRowFirstColumn="0" w:lastRowLastColumn="0"/>
          <w:wAfter w:w="22" w:type="pct"/>
          <w:cantSplit/>
          <w:trHeight w:val="420"/>
        </w:trPr>
        <w:tc>
          <w:tcPr>
            <w:cnfStyle w:val="001000000000" w:firstRow="0" w:lastRow="0" w:firstColumn="1" w:lastColumn="0" w:oddVBand="0" w:evenVBand="0" w:oddHBand="0" w:evenHBand="0" w:firstRowFirstColumn="0" w:firstRowLastColumn="0" w:lastRowFirstColumn="0" w:lastRowLastColumn="0"/>
            <w:tcW w:w="258" w:type="pct"/>
          </w:tcPr>
          <w:p w14:paraId="631A90B2" w14:textId="77777777" w:rsidR="007F365D" w:rsidRPr="007F365D" w:rsidRDefault="007F365D" w:rsidP="007F365D">
            <w:pPr>
              <w:textAlignment w:val="baseline"/>
              <w:rPr>
                <w:rFonts w:eastAsia="Times New Roman" w:cs="Arial"/>
                <w:sz w:val="20"/>
                <w:szCs w:val="20"/>
                <w:lang w:val="es-ES" w:eastAsia="en-GB"/>
              </w:rPr>
            </w:pPr>
            <w:r w:rsidRPr="007F365D">
              <w:rPr>
                <w:rFonts w:eastAsia="Times New Roman" w:cs="Arial"/>
                <w:sz w:val="20"/>
                <w:szCs w:val="20"/>
                <w:lang w:val="es-ES" w:eastAsia="es-ES"/>
              </w:rPr>
              <w:t>11.1</w:t>
            </w:r>
          </w:p>
        </w:tc>
        <w:tc>
          <w:tcPr>
            <w:tcW w:w="1344" w:type="pct"/>
          </w:tcPr>
          <w:p w14:paraId="0D2DE8A4"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7F365D">
              <w:rPr>
                <w:rFonts w:eastAsia="Times New Roman" w:cs="Arial"/>
                <w:sz w:val="20"/>
                <w:szCs w:val="20"/>
                <w:lang w:val="es-ES" w:eastAsia="es-ES"/>
              </w:rPr>
              <w:t xml:space="preserve">Actividades que pueden surgir como prioridades de los Signatarios y donantes durante el período de sesiones, y cuya financiación es probable que esté disponible.  Se emprenderían si hubiera disponible capacidad de personal y/o pudieran sustituir actividades aprobadas para las cuales no se encontró financiación.      </w:t>
            </w:r>
          </w:p>
        </w:tc>
        <w:tc>
          <w:tcPr>
            <w:tcW w:w="414" w:type="pct"/>
          </w:tcPr>
          <w:p w14:paraId="3542853D"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568" w:type="pct"/>
          </w:tcPr>
          <w:p w14:paraId="53FE4EB3"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466" w:type="pct"/>
          </w:tcPr>
          <w:p w14:paraId="5E1E053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567" w:type="pct"/>
          </w:tcPr>
          <w:p w14:paraId="40B9EC50"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672" w:type="pct"/>
            <w:gridSpan w:val="2"/>
          </w:tcPr>
          <w:p w14:paraId="37AB85CA"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689" w:type="pct"/>
            <w:gridSpan w:val="2"/>
          </w:tcPr>
          <w:p w14:paraId="4A387039" w14:textId="77777777" w:rsidR="007F365D" w:rsidRPr="007F365D" w:rsidRDefault="007F365D" w:rsidP="007F365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r>
    </w:tbl>
    <w:p w14:paraId="1E85BEA1" w14:textId="77777777" w:rsidR="007F365D" w:rsidRPr="007F365D" w:rsidRDefault="007F365D" w:rsidP="007F365D">
      <w:pPr>
        <w:widowControl w:val="0"/>
        <w:autoSpaceDE w:val="0"/>
        <w:autoSpaceDN w:val="0"/>
        <w:adjustRightInd w:val="0"/>
        <w:spacing w:after="0" w:line="240" w:lineRule="auto"/>
        <w:rPr>
          <w:rFonts w:ascii="Arial" w:eastAsia="Times New Roman" w:hAnsi="Arial" w:cs="Times New Roman"/>
          <w:sz w:val="18"/>
          <w:szCs w:val="24"/>
          <w:lang w:val="es-ES"/>
        </w:rPr>
      </w:pPr>
    </w:p>
    <w:sectPr w:rsidR="007F365D" w:rsidRPr="007F365D" w:rsidSect="007F365D">
      <w:headerReference w:type="even" r:id="rId34"/>
      <w:headerReference w:type="default" r:id="rId35"/>
      <w:headerReference w:type="first" r:id="rId36"/>
      <w:footerReference w:type="first" r:id="rId37"/>
      <w:pgSz w:w="16838" w:h="11906" w:orient="landscape"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21287"/>
      <w:docPartObj>
        <w:docPartGallery w:val="Page Numbers (Bottom of Page)"/>
        <w:docPartUnique/>
      </w:docPartObj>
    </w:sdtPr>
    <w:sdtEndPr>
      <w:rPr>
        <w:rFonts w:ascii="Arial" w:hAnsi="Arial" w:cs="Arial"/>
        <w:noProof/>
        <w:sz w:val="18"/>
        <w:szCs w:val="18"/>
      </w:rPr>
    </w:sdtEndPr>
    <w:sdtContent>
      <w:p w14:paraId="2BB104AB" w14:textId="23ADDA9C" w:rsidR="007A0A94" w:rsidRPr="007A0A94" w:rsidRDefault="007A0A94">
        <w:pPr>
          <w:pStyle w:val="Footer"/>
          <w:jc w:val="center"/>
          <w:rPr>
            <w:rFonts w:ascii="Arial" w:hAnsi="Arial" w:cs="Arial"/>
            <w:sz w:val="18"/>
            <w:szCs w:val="18"/>
          </w:rPr>
        </w:pPr>
        <w:r w:rsidRPr="007A0A94">
          <w:rPr>
            <w:rFonts w:ascii="Arial" w:hAnsi="Arial" w:cs="Arial"/>
            <w:sz w:val="18"/>
            <w:szCs w:val="18"/>
          </w:rPr>
          <w:fldChar w:fldCharType="begin"/>
        </w:r>
        <w:r w:rsidRPr="007A0A94">
          <w:rPr>
            <w:rFonts w:ascii="Arial" w:hAnsi="Arial" w:cs="Arial"/>
            <w:sz w:val="18"/>
            <w:szCs w:val="18"/>
          </w:rPr>
          <w:instrText xml:space="preserve"> PAGE   \* MERGEFORMAT </w:instrText>
        </w:r>
        <w:r w:rsidRPr="007A0A94">
          <w:rPr>
            <w:rFonts w:ascii="Arial" w:hAnsi="Arial" w:cs="Arial"/>
            <w:sz w:val="18"/>
            <w:szCs w:val="18"/>
          </w:rPr>
          <w:fldChar w:fldCharType="separate"/>
        </w:r>
        <w:r w:rsidRPr="007A0A94">
          <w:rPr>
            <w:rFonts w:ascii="Arial" w:hAnsi="Arial" w:cs="Arial"/>
            <w:noProof/>
            <w:sz w:val="18"/>
            <w:szCs w:val="18"/>
          </w:rPr>
          <w:t>2</w:t>
        </w:r>
        <w:r w:rsidRPr="007A0A9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0830A4D6" w14:textId="77777777" w:rsidR="007F365D" w:rsidRPr="007F365D" w:rsidRDefault="007F365D" w:rsidP="007F365D">
      <w:pPr>
        <w:pStyle w:val="FootnoteText"/>
        <w:rPr>
          <w:lang w:val="es-ES"/>
        </w:rPr>
      </w:pPr>
      <w:r w:rsidRPr="002857DB">
        <w:rPr>
          <w:rStyle w:val="FootnoteReference"/>
          <w:rFonts w:ascii="Arial" w:hAnsi="Arial" w:cs="Arial"/>
          <w:sz w:val="18"/>
          <w:szCs w:val="18"/>
        </w:rPr>
        <w:footnoteRef/>
      </w:r>
      <w:r w:rsidRPr="007F365D">
        <w:rPr>
          <w:lang w:val="es-ES"/>
        </w:rPr>
        <w:t xml:space="preserve"> </w:t>
      </w:r>
      <w:r w:rsidRPr="007F365D">
        <w:rPr>
          <w:rFonts w:ascii="Arial" w:hAnsi="Arial" w:cs="Arial"/>
          <w:sz w:val="16"/>
          <w:szCs w:val="16"/>
          <w:lang w:val="es-ES"/>
        </w:rPr>
        <w:t>Asumiendo que el G personal sigue trabajando a tiempo parcial (50 %), lo cual equivale a 4 horas por día laborable.</w:t>
      </w:r>
      <w:r w:rsidRPr="007F365D">
        <w:rPr>
          <w:lang w:val="es-ES"/>
        </w:rPr>
        <w:t xml:space="preserve"> </w:t>
      </w:r>
    </w:p>
  </w:footnote>
  <w:footnote w:id="2">
    <w:p w14:paraId="6931BC1A" w14:textId="77777777" w:rsidR="007F365D" w:rsidRPr="007F365D" w:rsidRDefault="007F365D" w:rsidP="007F365D">
      <w:pPr>
        <w:pStyle w:val="FootnoteText"/>
        <w:jc w:val="both"/>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Plan de Conservación (CP), Términos de Referencia del Comité Asesor (AC TOR), Términos de Referencia de la Secretaría (SEC TOR)</w:t>
      </w:r>
    </w:p>
  </w:footnote>
  <w:footnote w:id="3">
    <w:p w14:paraId="340A1FAA" w14:textId="77777777" w:rsidR="007F365D" w:rsidRPr="007F365D" w:rsidRDefault="007F365D" w:rsidP="007F365D">
      <w:pPr>
        <w:pStyle w:val="FootnoteText"/>
        <w:jc w:val="both"/>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Actividades principales de la Secretaría y prioridades sugeridas (Alta, Media)</w:t>
      </w:r>
    </w:p>
  </w:footnote>
  <w:footnote w:id="4">
    <w:p w14:paraId="036D9E05" w14:textId="77777777" w:rsidR="007F365D" w:rsidRPr="007F365D" w:rsidRDefault="007F365D" w:rsidP="007F365D">
      <w:pPr>
        <w:pStyle w:val="FootnoteText"/>
        <w:ind w:left="6480" w:hanging="6480"/>
        <w:jc w:val="both"/>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Año(s) durante los cuales debería aplicarse la actividad</w:t>
      </w:r>
    </w:p>
  </w:footnote>
  <w:footnote w:id="5">
    <w:p w14:paraId="1F53D074" w14:textId="77777777" w:rsidR="007F365D" w:rsidRPr="007F365D" w:rsidRDefault="007F365D" w:rsidP="007F365D">
      <w:pPr>
        <w:pStyle w:val="FootnoteText"/>
        <w:jc w:val="both"/>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Signatarios (SIG), Comité Asesor (CA), Secretaría (SEC), Grupo de Trabajo de Conservación (CWS), Consultores, Socios Cooperadores (</w:t>
      </w:r>
      <w:proofErr w:type="spellStart"/>
      <w:r w:rsidRPr="007F365D">
        <w:rPr>
          <w:rFonts w:ascii="Arial" w:hAnsi="Arial" w:cs="Arial"/>
          <w:sz w:val="16"/>
          <w:szCs w:val="16"/>
          <w:lang w:val="es-ES"/>
        </w:rPr>
        <w:t>CooP</w:t>
      </w:r>
      <w:proofErr w:type="spellEnd"/>
      <w:r w:rsidRPr="007F365D">
        <w:rPr>
          <w:rFonts w:ascii="Arial" w:hAnsi="Arial" w:cs="Arial"/>
          <w:sz w:val="16"/>
          <w:szCs w:val="16"/>
          <w:lang w:val="es-ES"/>
        </w:rPr>
        <w:t>)</w:t>
      </w:r>
    </w:p>
  </w:footnote>
  <w:footnote w:id="6">
    <w:p w14:paraId="6D70B32D" w14:textId="77777777" w:rsidR="007F365D" w:rsidRPr="007F365D" w:rsidRDefault="007F365D" w:rsidP="007F365D">
      <w:pPr>
        <w:pStyle w:val="FootnoteText"/>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14ª Conferencia de las Partes a la Convención sobre la Conservación de especies Migratorias de Animales Salvajes</w:t>
      </w:r>
    </w:p>
  </w:footnote>
  <w:footnote w:id="7">
    <w:p w14:paraId="1796B8AA" w14:textId="77777777" w:rsidR="007F365D" w:rsidRPr="007F365D" w:rsidRDefault="007F365D" w:rsidP="007F365D">
      <w:pPr>
        <w:pStyle w:val="FootnoteText"/>
        <w:rPr>
          <w:rFonts w:ascii="Arial" w:hAnsi="Arial" w:cs="Arial"/>
          <w:sz w:val="16"/>
          <w:szCs w:val="16"/>
          <w:lang w:val="es-ES"/>
        </w:rPr>
      </w:pPr>
      <w:r w:rsidRPr="002857DB">
        <w:rPr>
          <w:rStyle w:val="FootnoteReference"/>
          <w:rFonts w:ascii="Arial" w:hAnsi="Arial" w:cs="Arial"/>
          <w:sz w:val="16"/>
          <w:szCs w:val="16"/>
        </w:rPr>
        <w:footnoteRef/>
      </w:r>
      <w:r w:rsidRPr="007F365D">
        <w:rPr>
          <w:rFonts w:ascii="Arial" w:hAnsi="Arial" w:cs="Arial"/>
          <w:sz w:val="16"/>
          <w:szCs w:val="16"/>
          <w:lang w:val="es-ES"/>
        </w:rPr>
        <w:t xml:space="preserve"> 6</w:t>
      </w:r>
      <w:r w:rsidRPr="007F365D">
        <w:rPr>
          <w:rFonts w:ascii="Arial" w:hAnsi="Arial" w:cs="Arial"/>
          <w:sz w:val="16"/>
          <w:szCs w:val="16"/>
          <w:vertAlign w:val="superscript"/>
          <w:lang w:val="es-ES"/>
        </w:rPr>
        <w:t>ª</w:t>
      </w:r>
      <w:r w:rsidRPr="007F365D">
        <w:rPr>
          <w:rFonts w:ascii="Arial" w:hAnsi="Arial" w:cs="Arial"/>
          <w:sz w:val="16"/>
          <w:szCs w:val="16"/>
          <w:lang w:val="es-ES"/>
        </w:rPr>
        <w:t xml:space="preserve"> Reunión del Comité del Período de Sesiones del Consejo Científico</w:t>
      </w:r>
    </w:p>
  </w:footnote>
  <w:footnote w:id="8">
    <w:p w14:paraId="0C371A38" w14:textId="77777777" w:rsidR="007F365D" w:rsidRPr="007F365D" w:rsidRDefault="007F365D" w:rsidP="007F365D">
      <w:pPr>
        <w:pStyle w:val="FootnoteText"/>
        <w:rPr>
          <w:lang w:val="es-ES"/>
        </w:rPr>
      </w:pPr>
      <w:r w:rsidRPr="002857DB">
        <w:rPr>
          <w:rStyle w:val="FootnoteReference"/>
          <w:rFonts w:ascii="Arial" w:hAnsi="Arial" w:cs="Arial"/>
          <w:sz w:val="16"/>
          <w:szCs w:val="16"/>
        </w:rPr>
        <w:footnoteRef/>
      </w:r>
      <w:r w:rsidRPr="007F365D">
        <w:rPr>
          <w:rFonts w:ascii="Arial" w:hAnsi="Arial" w:cs="Arial"/>
          <w:sz w:val="16"/>
          <w:szCs w:val="16"/>
          <w:lang w:val="es-ES"/>
        </w:rPr>
        <w:t xml:space="preserve"> 7</w:t>
      </w:r>
      <w:r w:rsidRPr="007F365D">
        <w:rPr>
          <w:rFonts w:ascii="Arial" w:hAnsi="Arial" w:cs="Arial"/>
          <w:sz w:val="16"/>
          <w:szCs w:val="16"/>
          <w:vertAlign w:val="superscript"/>
          <w:lang w:val="es-ES"/>
        </w:rPr>
        <w:t>ª</w:t>
      </w:r>
      <w:r w:rsidRPr="007F365D">
        <w:rPr>
          <w:rFonts w:ascii="Arial" w:hAnsi="Arial" w:cs="Arial"/>
          <w:sz w:val="16"/>
          <w:szCs w:val="16"/>
          <w:lang w:val="es-ES"/>
        </w:rPr>
        <w:t xml:space="preserve"> Reunión del Comité del Período de Sesiones del Consejo Científico</w:t>
      </w:r>
    </w:p>
  </w:footnote>
  <w:footnote w:id="9">
    <w:p w14:paraId="38F57C42" w14:textId="57CBA9E5" w:rsidR="007F365D" w:rsidRPr="007F365D" w:rsidRDefault="007F365D" w:rsidP="007F365D">
      <w:pPr>
        <w:pStyle w:val="FootnoteText"/>
        <w:ind w:left="90" w:hanging="90"/>
        <w:jc w:val="both"/>
        <w:rPr>
          <w:rFonts w:ascii="Arial" w:hAnsi="Arial" w:cs="Arial"/>
          <w:sz w:val="16"/>
          <w:szCs w:val="16"/>
          <w:lang w:val="es-ES"/>
        </w:rPr>
      </w:pPr>
      <w:r w:rsidRPr="002857DB">
        <w:rPr>
          <w:rStyle w:val="FootnoteReference"/>
          <w:rFonts w:ascii="Arial" w:hAnsi="Arial" w:cs="Arial"/>
          <w:sz w:val="16"/>
          <w:szCs w:val="16"/>
        </w:rPr>
        <w:footnoteRef/>
      </w:r>
      <w:r w:rsidRPr="007F365D">
        <w:rPr>
          <w:rFonts w:ascii="Arial" w:hAnsi="Arial" w:cs="Arial"/>
          <w:sz w:val="16"/>
          <w:szCs w:val="16"/>
          <w:lang w:val="es-ES"/>
        </w:rPr>
        <w:t xml:space="preserve"> Esto incluye tiempo de personal de 2-3 miembros adicionales del personal del Equipo de Servicio de la Conferencia, incluyendo los miembros de personal especializados en procesar documentos, traducciones, viajes o participantes, etc.; el G personal financiado del </w:t>
      </w:r>
      <w:proofErr w:type="spellStart"/>
      <w:r w:rsidRPr="007F365D">
        <w:rPr>
          <w:rFonts w:ascii="Arial" w:hAnsi="Arial" w:cs="Arial"/>
          <w:sz w:val="16"/>
          <w:szCs w:val="16"/>
          <w:lang w:val="es-ES"/>
        </w:rPr>
        <w:t>MdE</w:t>
      </w:r>
      <w:proofErr w:type="spellEnd"/>
      <w:r w:rsidRPr="007F365D">
        <w:rPr>
          <w:rFonts w:ascii="Arial" w:hAnsi="Arial" w:cs="Arial"/>
          <w:sz w:val="16"/>
          <w:szCs w:val="16"/>
          <w:lang w:val="es-ES"/>
        </w:rPr>
        <w:t xml:space="preserve"> sobre Tiburones apoyará al equipo con otras tareas para compensar el tiempo proporcionado al </w:t>
      </w:r>
      <w:proofErr w:type="spellStart"/>
      <w:r w:rsidRPr="007F365D">
        <w:rPr>
          <w:rFonts w:ascii="Arial" w:hAnsi="Arial" w:cs="Arial"/>
          <w:sz w:val="16"/>
          <w:szCs w:val="16"/>
          <w:lang w:val="es-ES"/>
        </w:rPr>
        <w:t>MdE</w:t>
      </w:r>
      <w:proofErr w:type="spellEnd"/>
      <w:r w:rsidRPr="007F365D">
        <w:rPr>
          <w:rFonts w:ascii="Arial" w:hAnsi="Arial" w:cs="Arial"/>
          <w:sz w:val="16"/>
          <w:szCs w:val="16"/>
          <w:lang w:val="es-ES"/>
        </w:rPr>
        <w:t xml:space="preserve">.  Véase el documento </w:t>
      </w:r>
      <w:hyperlink r:id="rId1" w:history="1">
        <w:r w:rsidRPr="007F365D">
          <w:rPr>
            <w:rStyle w:val="Hyperlink"/>
            <w:rFonts w:ascii="Arial" w:hAnsi="Arial" w:cs="Arial"/>
            <w:sz w:val="16"/>
            <w:szCs w:val="16"/>
            <w:lang w:val="es-ES"/>
          </w:rPr>
          <w:t>CMS/</w:t>
        </w:r>
        <w:proofErr w:type="spellStart"/>
        <w:r w:rsidRPr="007F365D">
          <w:rPr>
            <w:rStyle w:val="Hyperlink"/>
            <w:rFonts w:ascii="Arial" w:hAnsi="Arial" w:cs="Arial"/>
            <w:sz w:val="16"/>
            <w:szCs w:val="16"/>
            <w:lang w:val="es-ES"/>
          </w:rPr>
          <w:t>Sharks</w:t>
        </w:r>
        <w:proofErr w:type="spellEnd"/>
        <w:r w:rsidRPr="007F365D">
          <w:rPr>
            <w:rStyle w:val="Hyperlink"/>
            <w:rFonts w:ascii="Arial" w:hAnsi="Arial" w:cs="Arial"/>
            <w:sz w:val="16"/>
            <w:szCs w:val="16"/>
            <w:lang w:val="es-ES"/>
          </w:rPr>
          <w:t>/MOS4/Doc.14.2</w:t>
        </w:r>
      </w:hyperlink>
      <w:r w:rsidRPr="007F365D">
        <w:rPr>
          <w:rFonts w:ascii="Arial" w:hAnsi="Arial" w:cs="Arial"/>
          <w:sz w:val="16"/>
          <w:szCs w:val="16"/>
          <w:lang w:val="es-ES"/>
        </w:rPr>
        <w:t xml:space="preserve"> para más explicaciones.</w:t>
      </w:r>
    </w:p>
  </w:footnote>
  <w:footnote w:id="10">
    <w:p w14:paraId="3CACC65F" w14:textId="77777777" w:rsidR="007F365D" w:rsidRPr="007F365D" w:rsidRDefault="007F365D" w:rsidP="007F365D">
      <w:pPr>
        <w:pStyle w:val="FootnoteText"/>
        <w:rPr>
          <w:rFonts w:ascii="Arial" w:hAnsi="Arial" w:cs="Arial"/>
          <w:sz w:val="16"/>
          <w:szCs w:val="16"/>
          <w:lang w:val="es-ES"/>
        </w:rPr>
      </w:pPr>
      <w:r w:rsidRPr="004823AA">
        <w:rPr>
          <w:rStyle w:val="FootnoteReference"/>
          <w:rFonts w:ascii="Arial" w:hAnsi="Arial" w:cs="Arial"/>
          <w:sz w:val="16"/>
          <w:szCs w:val="16"/>
        </w:rPr>
        <w:footnoteRef/>
      </w:r>
      <w:r w:rsidRPr="007F365D">
        <w:rPr>
          <w:rFonts w:ascii="Arial" w:hAnsi="Arial" w:cs="Arial"/>
          <w:sz w:val="16"/>
          <w:szCs w:val="16"/>
          <w:lang w:val="es-ES"/>
        </w:rPr>
        <w:t xml:space="preserve"> Facturación a Signatarios.  </w:t>
      </w:r>
    </w:p>
  </w:footnote>
  <w:footnote w:id="11">
    <w:p w14:paraId="4B42EE8C" w14:textId="77777777" w:rsidR="007F365D" w:rsidRPr="007F365D" w:rsidRDefault="007F365D" w:rsidP="007F365D">
      <w:pPr>
        <w:pStyle w:val="FootnoteText"/>
        <w:rPr>
          <w:rFonts w:ascii="Arial" w:hAnsi="Arial" w:cs="Arial"/>
          <w:sz w:val="16"/>
          <w:szCs w:val="16"/>
          <w:lang w:val="es-ES"/>
        </w:rPr>
      </w:pPr>
      <w:r w:rsidRPr="004823AA">
        <w:rPr>
          <w:rStyle w:val="FootnoteReference"/>
          <w:rFonts w:ascii="Arial" w:hAnsi="Arial" w:cs="Arial"/>
          <w:sz w:val="16"/>
          <w:szCs w:val="16"/>
        </w:rPr>
        <w:footnoteRef/>
      </w:r>
      <w:r w:rsidRPr="007F365D">
        <w:rPr>
          <w:rFonts w:ascii="Arial" w:hAnsi="Arial" w:cs="Arial"/>
          <w:sz w:val="16"/>
          <w:szCs w:val="16"/>
          <w:lang w:val="es-ES"/>
        </w:rPr>
        <w:t xml:space="preserve"> El tiempo necesario para la recaudación de fondos depende de la naturaleza de las oportunidades y puede variar significativamente.</w:t>
      </w:r>
    </w:p>
  </w:footnote>
  <w:footnote w:id="12">
    <w:p w14:paraId="61C64800" w14:textId="77777777" w:rsidR="007F365D" w:rsidRPr="006931DA" w:rsidRDefault="007F365D" w:rsidP="007F365D">
      <w:pPr>
        <w:pStyle w:val="FootnoteText"/>
        <w:jc w:val="both"/>
        <w:rPr>
          <w:rFonts w:ascii="Arial" w:hAnsi="Arial" w:cs="Arial"/>
          <w:sz w:val="16"/>
          <w:szCs w:val="16"/>
          <w:lang w:val="es-ES"/>
        </w:rPr>
      </w:pPr>
      <w:r w:rsidRPr="002857DB">
        <w:rPr>
          <w:rFonts w:ascii="Arial" w:hAnsi="Arial" w:cs="Arial"/>
          <w:sz w:val="16"/>
          <w:szCs w:val="16"/>
          <w:vertAlign w:val="superscript"/>
        </w:rPr>
        <w:footnoteRef/>
      </w:r>
      <w:r w:rsidRPr="007F365D">
        <w:rPr>
          <w:rFonts w:ascii="Arial" w:hAnsi="Arial" w:cs="Arial"/>
          <w:sz w:val="16"/>
          <w:szCs w:val="16"/>
          <w:lang w:val="es-ES"/>
        </w:rPr>
        <w:t xml:space="preserve"> </w:t>
      </w:r>
      <w:r w:rsidRPr="006931DA">
        <w:rPr>
          <w:rFonts w:ascii="Arial" w:hAnsi="Arial" w:cs="Arial"/>
          <w:sz w:val="16"/>
          <w:szCs w:val="16"/>
          <w:lang w:val="es-ES"/>
        </w:rPr>
        <w:t>Plan de Conservación (CP), Términos de Referencia del Comité Asesor (AC TOR), Términos de Referencia de la Secretaría (SEC TOR)</w:t>
      </w:r>
    </w:p>
  </w:footnote>
  <w:footnote w:id="13">
    <w:p w14:paraId="0EC50B5C" w14:textId="77777777" w:rsidR="007F365D" w:rsidRPr="006931DA" w:rsidRDefault="007F365D" w:rsidP="007F365D">
      <w:pPr>
        <w:pStyle w:val="FootnoteText"/>
        <w:jc w:val="both"/>
        <w:rPr>
          <w:rFonts w:ascii="Arial" w:hAnsi="Arial" w:cs="Arial"/>
          <w:sz w:val="16"/>
          <w:szCs w:val="16"/>
          <w:lang w:val="es-ES"/>
        </w:rPr>
      </w:pPr>
      <w:r w:rsidRPr="006931DA">
        <w:rPr>
          <w:rFonts w:ascii="Arial" w:hAnsi="Arial" w:cs="Arial"/>
          <w:sz w:val="16"/>
          <w:szCs w:val="16"/>
          <w:vertAlign w:val="superscript"/>
        </w:rPr>
        <w:footnoteRef/>
      </w:r>
      <w:r w:rsidRPr="006931DA">
        <w:rPr>
          <w:rFonts w:ascii="Arial" w:hAnsi="Arial" w:cs="Arial"/>
          <w:sz w:val="16"/>
          <w:szCs w:val="16"/>
          <w:lang w:val="es-ES"/>
        </w:rPr>
        <w:t xml:space="preserve"> Actividades principales de la Secretaría y prioridades sugeridas (Alta, Media)</w:t>
      </w:r>
    </w:p>
  </w:footnote>
  <w:footnote w:id="14">
    <w:p w14:paraId="3851765B" w14:textId="77777777" w:rsidR="007F365D" w:rsidRPr="006931DA" w:rsidRDefault="007F365D" w:rsidP="007F365D">
      <w:pPr>
        <w:pStyle w:val="FootnoteText"/>
        <w:jc w:val="both"/>
        <w:rPr>
          <w:rFonts w:ascii="Arial" w:hAnsi="Arial" w:cs="Arial"/>
          <w:sz w:val="16"/>
          <w:szCs w:val="16"/>
          <w:lang w:val="es-ES"/>
        </w:rPr>
      </w:pPr>
      <w:r w:rsidRPr="006931DA">
        <w:rPr>
          <w:rFonts w:ascii="Arial" w:hAnsi="Arial" w:cs="Arial"/>
          <w:sz w:val="16"/>
          <w:szCs w:val="16"/>
          <w:vertAlign w:val="superscript"/>
        </w:rPr>
        <w:footnoteRef/>
      </w:r>
      <w:r w:rsidRPr="006931DA">
        <w:rPr>
          <w:rFonts w:ascii="Arial" w:hAnsi="Arial" w:cs="Arial"/>
          <w:sz w:val="16"/>
          <w:szCs w:val="16"/>
          <w:lang w:val="es-ES"/>
        </w:rPr>
        <w:t xml:space="preserve"> Año(s) durante los cuales debería aplicarse la actividad</w:t>
      </w:r>
    </w:p>
  </w:footnote>
  <w:footnote w:id="15">
    <w:p w14:paraId="283641CC" w14:textId="77777777" w:rsidR="007F365D" w:rsidRPr="006931DA" w:rsidRDefault="007F365D" w:rsidP="007F365D">
      <w:pPr>
        <w:pStyle w:val="FootnoteText"/>
        <w:jc w:val="both"/>
        <w:rPr>
          <w:rFonts w:ascii="Arial" w:hAnsi="Arial" w:cs="Arial"/>
          <w:sz w:val="16"/>
          <w:szCs w:val="16"/>
          <w:lang w:val="es-ES"/>
        </w:rPr>
      </w:pPr>
      <w:r w:rsidRPr="006931DA">
        <w:rPr>
          <w:rFonts w:ascii="Arial" w:hAnsi="Arial" w:cs="Arial"/>
          <w:sz w:val="16"/>
          <w:szCs w:val="16"/>
          <w:vertAlign w:val="superscript"/>
        </w:rPr>
        <w:footnoteRef/>
      </w:r>
      <w:r w:rsidRPr="006931DA">
        <w:rPr>
          <w:rFonts w:ascii="Arial" w:hAnsi="Arial" w:cs="Arial"/>
          <w:sz w:val="16"/>
          <w:szCs w:val="16"/>
          <w:lang w:val="es-ES"/>
        </w:rPr>
        <w:t xml:space="preserve"> Signatarios (SIG), Comité Asesor (CA), Secretaría (SEC), Grupo de Trabajo de Conservación (CWS), Consultores, Socios Cooperadores (</w:t>
      </w:r>
      <w:proofErr w:type="spellStart"/>
      <w:r w:rsidRPr="006931DA">
        <w:rPr>
          <w:rFonts w:ascii="Arial" w:hAnsi="Arial" w:cs="Arial"/>
          <w:sz w:val="16"/>
          <w:szCs w:val="16"/>
          <w:lang w:val="es-ES"/>
        </w:rPr>
        <w:t>CooP</w:t>
      </w:r>
      <w:proofErr w:type="spellEnd"/>
      <w:r w:rsidRPr="006931DA">
        <w:rPr>
          <w:rFonts w:ascii="Arial" w:hAnsi="Arial" w:cs="Arial"/>
          <w:sz w:val="16"/>
          <w:szCs w:val="16"/>
          <w:lang w:val="es-ES"/>
        </w:rPr>
        <w:t>)</w:t>
      </w:r>
    </w:p>
  </w:footnote>
  <w:footnote w:id="16">
    <w:p w14:paraId="4487068D" w14:textId="77777777" w:rsidR="007F365D" w:rsidRPr="006931DA" w:rsidRDefault="007F365D" w:rsidP="007F365D">
      <w:pPr>
        <w:rPr>
          <w:rFonts w:ascii="Arial" w:hAnsi="Arial" w:cs="Arial"/>
          <w:szCs w:val="18"/>
          <w:lang w:val="es-ES" w:eastAsia="en-GB"/>
        </w:rPr>
      </w:pPr>
      <w:r w:rsidRPr="006931DA">
        <w:rPr>
          <w:rStyle w:val="FootnoteReference"/>
          <w:rFonts w:ascii="Arial" w:hAnsi="Arial" w:cs="Arial"/>
          <w:sz w:val="16"/>
          <w:szCs w:val="16"/>
        </w:rPr>
        <w:footnoteRef/>
      </w:r>
      <w:r w:rsidRPr="006931DA">
        <w:rPr>
          <w:rFonts w:ascii="Arial" w:hAnsi="Arial" w:cs="Arial"/>
          <w:sz w:val="16"/>
          <w:szCs w:val="16"/>
          <w:lang w:val="es-ES"/>
        </w:rPr>
        <w:t xml:space="preserve"> Si los Estados del Área de Distribución deciden proporcionar financiación a la Secretaría para organizar la coordinación IWG, debe invertirse tiempo de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7C635827" w:rsidR="00093A40" w:rsidRPr="007A0A94" w:rsidRDefault="003E6A17" w:rsidP="002E7625">
    <w:pPr>
      <w:pStyle w:val="Heading1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w:t>
    </w:r>
    <w:r w:rsidRPr="007A0A94">
      <w:rPr>
        <w:rFonts w:ascii="Arial" w:hAnsi="Arial" w:cs="Arial"/>
        <w:i/>
        <w:color w:val="auto"/>
        <w:sz w:val="18"/>
        <w:szCs w:val="18"/>
      </w:rPr>
      <w:t>MOS</w:t>
    </w:r>
    <w:r w:rsidR="002E7625" w:rsidRPr="007A0A94">
      <w:rPr>
        <w:rFonts w:ascii="Arial" w:hAnsi="Arial" w:cs="Arial"/>
        <w:i/>
        <w:color w:val="auto"/>
        <w:sz w:val="18"/>
        <w:szCs w:val="18"/>
      </w:rPr>
      <w:t>4</w:t>
    </w:r>
    <w:r w:rsidRPr="007A0A94">
      <w:rPr>
        <w:rFonts w:ascii="Arial" w:hAnsi="Arial" w:cs="Arial"/>
        <w:i/>
        <w:color w:val="auto"/>
        <w:sz w:val="18"/>
        <w:szCs w:val="18"/>
      </w:rPr>
      <w:t>/Doc.</w:t>
    </w:r>
    <w:r w:rsidR="00461595" w:rsidRPr="007A0A94">
      <w:rPr>
        <w:rFonts w:ascii="Arial" w:hAnsi="Arial" w:cs="Arial"/>
        <w:i/>
        <w:color w:val="auto"/>
        <w:sz w:val="18"/>
        <w:szCs w:val="18"/>
      </w:rPr>
      <w:t>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40FB439F" w:rsidR="002E7625" w:rsidRPr="007A0A94" w:rsidRDefault="002E7625" w:rsidP="002E7625">
    <w:pPr>
      <w:pStyle w:val="Heading11"/>
      <w:keepNext w:val="0"/>
      <w:pBdr>
        <w:bottom w:val="single" w:sz="4" w:space="1" w:color="auto"/>
      </w:pBdr>
      <w:spacing w:before="0"/>
      <w:jc w:val="right"/>
      <w:rPr>
        <w:rFonts w:ascii="Arial" w:hAnsi="Arial" w:cs="Arial"/>
        <w:color w:val="auto"/>
        <w:sz w:val="18"/>
        <w:szCs w:val="18"/>
      </w:rPr>
    </w:pPr>
    <w:r w:rsidRPr="007A0A94">
      <w:rPr>
        <w:rFonts w:ascii="Arial" w:hAnsi="Arial" w:cs="Arial"/>
        <w:i/>
        <w:color w:val="auto"/>
        <w:sz w:val="18"/>
        <w:szCs w:val="18"/>
      </w:rPr>
      <w:t>CMS/Sharks/MOS4/Doc.</w:t>
    </w:r>
    <w:r w:rsidR="00461595" w:rsidRPr="007A0A94">
      <w:rPr>
        <w:rFonts w:ascii="Arial" w:hAnsi="Arial" w:cs="Arial"/>
        <w:i/>
        <w:color w:val="auto"/>
        <w:sz w:val="18"/>
        <w:szCs w:val="18"/>
      </w:rPr>
      <w:t>12.1</w:t>
    </w:r>
  </w:p>
  <w:p w14:paraId="0A4D9E42" w14:textId="77777777" w:rsidR="002E7625" w:rsidRDefault="002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196E" w14:textId="073FAB19" w:rsidR="007A0A94" w:rsidRPr="007A0A94" w:rsidRDefault="007A0A94" w:rsidP="002E7625">
    <w:pPr>
      <w:pStyle w:val="Heading1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w:t>
    </w:r>
    <w:r w:rsidRPr="007A0A94">
      <w:rPr>
        <w:rFonts w:ascii="Arial" w:hAnsi="Arial" w:cs="Arial"/>
        <w:i/>
        <w:color w:val="auto"/>
        <w:sz w:val="18"/>
        <w:szCs w:val="18"/>
      </w:rPr>
      <w:t>MOS4/Doc.12.1</w:t>
    </w:r>
    <w:r>
      <w:rPr>
        <w:rFonts w:ascii="Arial" w:hAnsi="Arial" w:cs="Arial"/>
        <w:i/>
        <w:color w:val="auto"/>
        <w:sz w:val="18"/>
        <w:szCs w:val="18"/>
      </w:rPr>
      <w:t>/Anexo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F30" w14:textId="3D237943" w:rsidR="007A0A94" w:rsidRPr="007A0A94" w:rsidRDefault="007A0A94" w:rsidP="002E7625">
    <w:pPr>
      <w:pStyle w:val="Heading11"/>
      <w:keepNext w:val="0"/>
      <w:pBdr>
        <w:bottom w:val="single" w:sz="4" w:space="1" w:color="auto"/>
      </w:pBdr>
      <w:spacing w:before="0"/>
      <w:jc w:val="right"/>
      <w:rPr>
        <w:rFonts w:ascii="Arial" w:hAnsi="Arial" w:cs="Arial"/>
        <w:color w:val="auto"/>
        <w:sz w:val="18"/>
        <w:szCs w:val="18"/>
      </w:rPr>
    </w:pPr>
    <w:r w:rsidRPr="007A0A94">
      <w:rPr>
        <w:rFonts w:ascii="Arial" w:hAnsi="Arial" w:cs="Arial"/>
        <w:i/>
        <w:color w:val="auto"/>
        <w:sz w:val="18"/>
        <w:szCs w:val="18"/>
      </w:rPr>
      <w:t>CMS/Sharks/MOS4/Doc.12.1</w:t>
    </w:r>
    <w:r>
      <w:rPr>
        <w:rFonts w:ascii="Arial" w:hAnsi="Arial" w:cs="Arial"/>
        <w:i/>
        <w:color w:val="auto"/>
        <w:sz w:val="18"/>
        <w:szCs w:val="18"/>
      </w:rPr>
      <w:t>/Anexo</w:t>
    </w:r>
  </w:p>
  <w:p w14:paraId="00C83A14" w14:textId="77777777" w:rsidR="007A0A94" w:rsidRDefault="007A0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061B" w14:textId="52FAE7FB" w:rsidR="007A0A94" w:rsidRPr="007A0A94" w:rsidRDefault="007A0A94" w:rsidP="007A0A94">
    <w:pPr>
      <w:pStyle w:val="Heading11"/>
      <w:keepNext w:val="0"/>
      <w:pBdr>
        <w:bottom w:val="single" w:sz="4" w:space="1" w:color="auto"/>
      </w:pBdr>
      <w:spacing w:before="0"/>
      <w:jc w:val="right"/>
      <w:rPr>
        <w:rFonts w:ascii="Arial" w:hAnsi="Arial" w:cs="Arial"/>
        <w:color w:val="auto"/>
        <w:sz w:val="18"/>
        <w:szCs w:val="18"/>
      </w:rPr>
    </w:pPr>
    <w:r w:rsidRPr="007A0A94">
      <w:rPr>
        <w:rFonts w:ascii="Arial" w:hAnsi="Arial" w:cs="Arial"/>
        <w:i/>
        <w:color w:val="auto"/>
        <w:sz w:val="18"/>
        <w:szCs w:val="18"/>
      </w:rPr>
      <w:t>CMS/Sharks/MOS4/Doc.12.1</w:t>
    </w:r>
    <w:r>
      <w:rPr>
        <w:rFonts w:ascii="Arial" w:hAnsi="Arial" w:cs="Arial"/>
        <w:i/>
        <w:color w:val="auto"/>
        <w:sz w:val="18"/>
        <w:szCs w:val="18"/>
      </w:rPr>
      <w:t>/Anexo</w:t>
    </w:r>
  </w:p>
  <w:p w14:paraId="42D7D062" w14:textId="77777777" w:rsidR="007A0A94" w:rsidRDefault="007A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08"/>
    <w:multiLevelType w:val="hybridMultilevel"/>
    <w:tmpl w:val="3F68C400"/>
    <w:lvl w:ilvl="0" w:tplc="FA0AE2C2">
      <w:start w:val="1"/>
      <w:numFmt w:val="bullet"/>
      <w:lvlText w:val=""/>
      <w:lvlJc w:val="left"/>
      <w:pPr>
        <w:ind w:left="2814" w:hanging="360"/>
      </w:pPr>
      <w:rPr>
        <w:rFonts w:ascii="Symbol" w:hAnsi="Symbol" w:hint="default"/>
      </w:rPr>
    </w:lvl>
    <w:lvl w:ilvl="1" w:tplc="FFFFFFFF">
      <w:start w:val="1"/>
      <w:numFmt w:val="bullet"/>
      <w:lvlText w:val="o"/>
      <w:lvlJc w:val="left"/>
      <w:pPr>
        <w:ind w:left="3534" w:hanging="360"/>
      </w:pPr>
      <w:rPr>
        <w:rFonts w:ascii="Courier New" w:hAnsi="Courier New" w:cs="Courier New" w:hint="default"/>
      </w:rPr>
    </w:lvl>
    <w:lvl w:ilvl="2" w:tplc="FFFFFFFF" w:tentative="1">
      <w:start w:val="1"/>
      <w:numFmt w:val="bullet"/>
      <w:lvlText w:val=""/>
      <w:lvlJc w:val="left"/>
      <w:pPr>
        <w:ind w:left="4254" w:hanging="360"/>
      </w:pPr>
      <w:rPr>
        <w:rFonts w:ascii="Wingdings" w:hAnsi="Wingdings" w:hint="default"/>
      </w:rPr>
    </w:lvl>
    <w:lvl w:ilvl="3" w:tplc="FFFFFFFF" w:tentative="1">
      <w:start w:val="1"/>
      <w:numFmt w:val="bullet"/>
      <w:lvlText w:val=""/>
      <w:lvlJc w:val="left"/>
      <w:pPr>
        <w:ind w:left="4974" w:hanging="360"/>
      </w:pPr>
      <w:rPr>
        <w:rFonts w:ascii="Symbol" w:hAnsi="Symbol" w:hint="default"/>
      </w:rPr>
    </w:lvl>
    <w:lvl w:ilvl="4" w:tplc="FFFFFFFF" w:tentative="1">
      <w:start w:val="1"/>
      <w:numFmt w:val="bullet"/>
      <w:lvlText w:val="o"/>
      <w:lvlJc w:val="left"/>
      <w:pPr>
        <w:ind w:left="5694" w:hanging="360"/>
      </w:pPr>
      <w:rPr>
        <w:rFonts w:ascii="Courier New" w:hAnsi="Courier New" w:cs="Courier New" w:hint="default"/>
      </w:rPr>
    </w:lvl>
    <w:lvl w:ilvl="5" w:tplc="FFFFFFFF" w:tentative="1">
      <w:start w:val="1"/>
      <w:numFmt w:val="bullet"/>
      <w:lvlText w:val=""/>
      <w:lvlJc w:val="left"/>
      <w:pPr>
        <w:ind w:left="6414" w:hanging="360"/>
      </w:pPr>
      <w:rPr>
        <w:rFonts w:ascii="Wingdings" w:hAnsi="Wingdings" w:hint="default"/>
      </w:rPr>
    </w:lvl>
    <w:lvl w:ilvl="6" w:tplc="FFFFFFFF" w:tentative="1">
      <w:start w:val="1"/>
      <w:numFmt w:val="bullet"/>
      <w:lvlText w:val=""/>
      <w:lvlJc w:val="left"/>
      <w:pPr>
        <w:ind w:left="7134" w:hanging="360"/>
      </w:pPr>
      <w:rPr>
        <w:rFonts w:ascii="Symbol" w:hAnsi="Symbol" w:hint="default"/>
      </w:rPr>
    </w:lvl>
    <w:lvl w:ilvl="7" w:tplc="FFFFFFFF" w:tentative="1">
      <w:start w:val="1"/>
      <w:numFmt w:val="bullet"/>
      <w:lvlText w:val="o"/>
      <w:lvlJc w:val="left"/>
      <w:pPr>
        <w:ind w:left="7854" w:hanging="360"/>
      </w:pPr>
      <w:rPr>
        <w:rFonts w:ascii="Courier New" w:hAnsi="Courier New" w:cs="Courier New" w:hint="default"/>
      </w:rPr>
    </w:lvl>
    <w:lvl w:ilvl="8" w:tplc="FFFFFFFF" w:tentative="1">
      <w:start w:val="1"/>
      <w:numFmt w:val="bullet"/>
      <w:lvlText w:val=""/>
      <w:lvlJc w:val="left"/>
      <w:pPr>
        <w:ind w:left="8574" w:hanging="360"/>
      </w:pPr>
      <w:rPr>
        <w:rFonts w:ascii="Wingdings" w:hAnsi="Wingdings" w:hint="default"/>
      </w:rPr>
    </w:lvl>
  </w:abstractNum>
  <w:abstractNum w:abstractNumId="1" w15:restartNumberingAfterBreak="0">
    <w:nsid w:val="085E4033"/>
    <w:multiLevelType w:val="hybridMultilevel"/>
    <w:tmpl w:val="067E4832"/>
    <w:lvl w:ilvl="0" w:tplc="0FF8D94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29E"/>
    <w:multiLevelType w:val="multilevel"/>
    <w:tmpl w:val="C944DB7E"/>
    <w:numStyleLink w:val="Style1"/>
  </w:abstractNum>
  <w:abstractNum w:abstractNumId="3"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F5467"/>
    <w:multiLevelType w:val="hybridMultilevel"/>
    <w:tmpl w:val="58E0E212"/>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F977463"/>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0C2405"/>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F65FD7"/>
    <w:multiLevelType w:val="hybridMultilevel"/>
    <w:tmpl w:val="2A009E98"/>
    <w:lvl w:ilvl="0" w:tplc="FA0AE2C2">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16cid:durableId="1803838921">
    <w:abstractNumId w:val="7"/>
  </w:num>
  <w:num w:numId="2" w16cid:durableId="1188980143">
    <w:abstractNumId w:val="10"/>
  </w:num>
  <w:num w:numId="3" w16cid:durableId="541869688">
    <w:abstractNumId w:val="5"/>
  </w:num>
  <w:num w:numId="4" w16cid:durableId="1096561260">
    <w:abstractNumId w:val="9"/>
  </w:num>
  <w:num w:numId="5" w16cid:durableId="2102750542">
    <w:abstractNumId w:val="1"/>
  </w:num>
  <w:num w:numId="6" w16cid:durableId="1002778281">
    <w:abstractNumId w:val="2"/>
    <w:lvlOverride w:ilvl="0">
      <w:lvl w:ilvl="0">
        <w:start w:val="1"/>
        <w:numFmt w:val="decimal"/>
        <w:lvlText w:val="%1."/>
        <w:lvlJc w:val="left"/>
        <w:pPr>
          <w:ind w:left="720" w:hanging="360"/>
        </w:pPr>
        <w:rPr>
          <w:rFonts w:ascii="Arial" w:hAnsi="Arial" w:cs="Arial" w:hint="default"/>
          <w:b w:val="0"/>
          <w:i w:val="0"/>
        </w:rPr>
      </w:lvl>
    </w:lvlOverride>
    <w:lvlOverride w:ilvl="1">
      <w:lvl w:ilvl="1">
        <w:start w:val="1"/>
        <w:numFmt w:val="lowerLetter"/>
        <w:lvlText w:val="%2."/>
        <w:lvlJc w:val="left"/>
        <w:pPr>
          <w:ind w:left="1440" w:hanging="360"/>
        </w:pPr>
      </w:lvl>
    </w:lvlOverride>
  </w:num>
  <w:num w:numId="7" w16cid:durableId="351492546">
    <w:abstractNumId w:val="3"/>
  </w:num>
  <w:num w:numId="8" w16cid:durableId="169030239">
    <w:abstractNumId w:val="6"/>
  </w:num>
  <w:num w:numId="9" w16cid:durableId="2095741959">
    <w:abstractNumId w:val="11"/>
  </w:num>
  <w:num w:numId="10" w16cid:durableId="273946144">
    <w:abstractNumId w:val="0"/>
  </w:num>
  <w:num w:numId="11" w16cid:durableId="1407651505">
    <w:abstractNumId w:val="4"/>
  </w:num>
  <w:num w:numId="12" w16cid:durableId="1925796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qgUAawq+RCwAAAA="/>
  </w:docVars>
  <w:rsids>
    <w:rsidRoot w:val="00E966DE"/>
    <w:rsid w:val="001A259F"/>
    <w:rsid w:val="0020110A"/>
    <w:rsid w:val="002E7625"/>
    <w:rsid w:val="003E32B7"/>
    <w:rsid w:val="003E6A17"/>
    <w:rsid w:val="00461595"/>
    <w:rsid w:val="0056535F"/>
    <w:rsid w:val="006931DA"/>
    <w:rsid w:val="006A38CA"/>
    <w:rsid w:val="007A0A94"/>
    <w:rsid w:val="007F365D"/>
    <w:rsid w:val="007F4802"/>
    <w:rsid w:val="008D2E3E"/>
    <w:rsid w:val="00AA41C0"/>
    <w:rsid w:val="00B36D40"/>
    <w:rsid w:val="00B83C92"/>
    <w:rsid w:val="00D12DDE"/>
    <w:rsid w:val="00E03263"/>
    <w:rsid w:val="00E966DE"/>
    <w:rsid w:val="00EB3607"/>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numbering" w:customStyle="1" w:styleId="Style1">
    <w:name w:val="Style1"/>
    <w:uiPriority w:val="99"/>
    <w:rsid w:val="007F365D"/>
    <w:pPr>
      <w:numPr>
        <w:numId w:val="7"/>
      </w:numPr>
    </w:pPr>
  </w:style>
  <w:style w:type="table" w:customStyle="1" w:styleId="PlainTable23">
    <w:name w:val="Plain Table 23"/>
    <w:basedOn w:val="TableNormal"/>
    <w:next w:val="PlainTable2"/>
    <w:uiPriority w:val="42"/>
    <w:rsid w:val="007F365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PlainTable2"/>
    <w:uiPriority w:val="42"/>
    <w:rsid w:val="007F365D"/>
    <w:pPr>
      <w:spacing w:after="0" w:line="240" w:lineRule="auto"/>
    </w:pPr>
    <w:rPr>
      <w:rFonts w:ascii="Arial" w:hAnsi="Arial"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harks/sites/default/files/document/cms_sharks-mos4_doc.10.1_ssap-angelshark_s.pdf" TargetMode="External"/><Relationship Id="rId18" Type="http://schemas.openxmlformats.org/officeDocument/2006/relationships/hyperlink" Target="https://www.cms.int/sharks/sites/default/files/document/cms_sharks-mos4_doc.10.6_landings%20data_s.pdf" TargetMode="External"/><Relationship Id="rId26" Type="http://schemas.openxmlformats.org/officeDocument/2006/relationships/hyperlink" Target="https://www.cms.int/sharks/sites/default/files/document/cms_sharks-mos4_doc.10.1_ssap-angelshark_s.pdf"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cms.int/sharks/sites/default/files/document/cms_sharks-mos4_doc.14.2_budget-2023-2025_s_0.pdf" TargetMode="External"/><Relationship Id="rId17" Type="http://schemas.openxmlformats.org/officeDocument/2006/relationships/hyperlink" Target="https://www.cms.int/sharks/es/node/23724" TargetMode="External"/><Relationship Id="rId25" Type="http://schemas.openxmlformats.org/officeDocument/2006/relationships/footer" Target="footer3.xml"/><Relationship Id="rId33" Type="http://schemas.openxmlformats.org/officeDocument/2006/relationships/hyperlink" Target="https://www.cms.int/sharks/sites/default/files/document/cms_sharks-mos4_doc.11.2_compendium-proposal-eu_s.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int/sharks/sites/default/files/document/cms_sharks-mos4_doc.10.4_isras_s.pdf" TargetMode="External"/><Relationship Id="rId20" Type="http://schemas.openxmlformats.org/officeDocument/2006/relationships/hyperlink" Target="https://www.cms.int/sharks/sites/default/files/document/cms_sharks-mos4_doc.11.2_compendium-proposal-eu_s.pdf" TargetMode="External"/><Relationship Id="rId29" Type="http://schemas.openxmlformats.org/officeDocument/2006/relationships/hyperlink" Target="https://www.cms.int/sharks/sites/default/files/document/cms_sharks-mos4_doc.10.4_isras_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sites/default/files/document/cms_sharks-mos4_doc.14.2_budget-2023-2025_s_0.pdf" TargetMode="External"/><Relationship Id="rId24" Type="http://schemas.openxmlformats.org/officeDocument/2006/relationships/footer" Target="footer2.xml"/><Relationship Id="rId32" Type="http://schemas.openxmlformats.org/officeDocument/2006/relationships/hyperlink" Target="https://www.cms.int/sharks/sites/default/files/document/cms_sharks-mos4_doc.10.7_mortality_s.pdf"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cms.int/sharks/sites/default/files/document/cms_sharks-mos4_doc.10.3_rhino-rays_s.pdf" TargetMode="External"/><Relationship Id="rId23" Type="http://schemas.openxmlformats.org/officeDocument/2006/relationships/footer" Target="footer1.xml"/><Relationship Id="rId28" Type="http://schemas.openxmlformats.org/officeDocument/2006/relationships/hyperlink" Target="https://www.cms.int/sharks/sites/default/files/document/cms_sharks-mos4_doc.10.3_rhino-rays_s.pdf" TargetMode="External"/><Relationship Id="rId36" Type="http://schemas.openxmlformats.org/officeDocument/2006/relationships/header" Target="header5.xml"/><Relationship Id="rId10" Type="http://schemas.openxmlformats.org/officeDocument/2006/relationships/hyperlink" Target="https://www.cms.int/sharks/es/node/23727" TargetMode="External"/><Relationship Id="rId19" Type="http://schemas.openxmlformats.org/officeDocument/2006/relationships/hyperlink" Target="https://www.cms.int/sharks/sites/default/files/document/cms_sharks-mos4_doc.10.7_mortality_s.pdf" TargetMode="External"/><Relationship Id="rId31" Type="http://schemas.openxmlformats.org/officeDocument/2006/relationships/hyperlink" Target="https://www.cms.int/sharks/sites/default/files/document/cms_sharks-mos4_doc.10.6_landings%20data_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ms.int/sharks/sites/default/files/document/cms_sharks-mos4_doc.10.2_tiburones%20y%20rayas%20pelagicos_s_0.pdf" TargetMode="External"/><Relationship Id="rId22" Type="http://schemas.openxmlformats.org/officeDocument/2006/relationships/header" Target="header2.xml"/><Relationship Id="rId27" Type="http://schemas.openxmlformats.org/officeDocument/2006/relationships/hyperlink" Target="https://www.cms.int/sharks/sites/default/files/document/cms_sharks-mos4_doc.10.2_tiburones%20y%20rayas%20pelagicos_s_0.pdf" TargetMode="External"/><Relationship Id="rId30" Type="http://schemas.openxmlformats.org/officeDocument/2006/relationships/hyperlink" Target="https://www.cms.int/sharks/es/node/23724" TargetMode="External"/><Relationship Id="rId35" Type="http://schemas.openxmlformats.org/officeDocument/2006/relationships/header" Target="header4.xml"/><Relationship Id="rId8" Type="http://schemas.openxmlformats.org/officeDocument/2006/relationships/image" Target="media/image2.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harks/sites/default/files/document/cms_sharks-mos4_doc.14.2_budget-2023-2025_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Andrea Pauly</cp:lastModifiedBy>
  <cp:revision>5</cp:revision>
  <dcterms:created xsi:type="dcterms:W3CDTF">2023-01-12T09:04:00Z</dcterms:created>
  <dcterms:modified xsi:type="dcterms:W3CDTF">2023-01-17T10:54:00Z</dcterms:modified>
</cp:coreProperties>
</file>