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5D73" w:rsidRPr="00696407" w:rsidRDefault="00696407">
      <w:pPr>
        <w:spacing w:after="130" w:line="259" w:lineRule="auto"/>
        <w:ind w:left="0" w:right="264" w:firstLine="0"/>
        <w:jc w:val="right"/>
        <w:rPr>
          <w:color w:val="2F5496" w:themeColor="accent1" w:themeShade="BF"/>
        </w:rPr>
      </w:pPr>
      <w:r w:rsidRPr="00696407">
        <w:rPr>
          <w:rFonts w:ascii="Arial" w:eastAsia="Arial" w:hAnsi="Arial" w:cs="Arial"/>
          <w:b/>
          <w:i/>
          <w:color w:val="2F5496" w:themeColor="accent1" w:themeShade="BF"/>
        </w:rPr>
        <w:t>ANEXO 5</w:t>
      </w:r>
    </w:p>
    <w:p w:rsidR="00E15D73" w:rsidRDefault="00180604" w:rsidP="00180604">
      <w:pPr>
        <w:jc w:val="center"/>
      </w:pPr>
      <w:r>
        <w:rPr>
          <w:noProof/>
          <w:lang w:val="fr-FR" w:eastAsia="fr-FR"/>
        </w:rPr>
        <w:drawing>
          <wp:inline distT="0" distB="0" distL="0" distR="0" wp14:anchorId="62602147" wp14:editId="1CE97EAE">
            <wp:extent cx="2046605" cy="1587881"/>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
                    <a:stretch>
                      <a:fillRect/>
                    </a:stretch>
                  </pic:blipFill>
                  <pic:spPr>
                    <a:xfrm>
                      <a:off x="0" y="0"/>
                      <a:ext cx="2046605" cy="1587881"/>
                    </a:xfrm>
                    <a:prstGeom prst="rect">
                      <a:avLst/>
                    </a:prstGeom>
                  </pic:spPr>
                </pic:pic>
              </a:graphicData>
            </a:graphic>
          </wp:inline>
        </w:drawing>
      </w:r>
      <w:r>
        <w:br/>
      </w:r>
      <w:r>
        <w:br/>
      </w:r>
    </w:p>
    <w:p w:rsidR="00E15D73" w:rsidRPr="00180604" w:rsidRDefault="00E60CCE" w:rsidP="00180604">
      <w:pPr>
        <w:spacing w:after="131" w:line="259" w:lineRule="auto"/>
        <w:ind w:left="0" w:right="26" w:firstLine="4"/>
        <w:jc w:val="center"/>
        <w:rPr>
          <w:lang w:val="es-PE"/>
        </w:rPr>
      </w:pPr>
      <w:r w:rsidRPr="00180604">
        <w:rPr>
          <w:color w:val="2F5496"/>
          <w:sz w:val="56"/>
          <w:lang w:val="es-PE"/>
        </w:rPr>
        <w:t>El índice de planeta vivo (IPV) para especies que figuran en los Apéndices de la CMS</w:t>
      </w:r>
      <w:r w:rsidR="00180604">
        <w:rPr>
          <w:color w:val="2F5496"/>
          <w:sz w:val="56"/>
          <w:lang w:val="es-PE"/>
        </w:rPr>
        <w:br/>
      </w:r>
      <w:r w:rsidR="00180604">
        <w:rPr>
          <w:color w:val="2F5496"/>
          <w:sz w:val="56"/>
          <w:lang w:val="es-PE"/>
        </w:rPr>
        <w:br/>
      </w:r>
    </w:p>
    <w:p w:rsidR="00E15D73" w:rsidRPr="00180604" w:rsidRDefault="00E60CCE" w:rsidP="00180604">
      <w:pPr>
        <w:spacing w:after="2446" w:line="359" w:lineRule="auto"/>
        <w:ind w:left="0" w:right="26" w:firstLine="4"/>
        <w:jc w:val="center"/>
        <w:rPr>
          <w:lang w:val="es-PE"/>
        </w:rPr>
      </w:pPr>
      <w:r w:rsidRPr="00180604">
        <w:rPr>
          <w:color w:val="2F5496"/>
          <w:sz w:val="32"/>
          <w:lang w:val="es-PE"/>
        </w:rPr>
        <w:t>Resumen técnico enviado al WCMC</w:t>
      </w:r>
      <w:r w:rsidR="00696407">
        <w:rPr>
          <w:color w:val="2F5496"/>
          <w:sz w:val="32"/>
          <w:lang w:val="es-PE"/>
        </w:rPr>
        <w:t xml:space="preserve"> </w:t>
      </w:r>
      <w:r w:rsidR="00696407">
        <w:rPr>
          <w:color w:val="2F5496"/>
          <w:sz w:val="32"/>
          <w:lang w:val="es-PE"/>
        </w:rPr>
        <w:br/>
        <w:t>y a la Secretaría de la CMS</w:t>
      </w:r>
      <w:r w:rsidR="00180604">
        <w:rPr>
          <w:color w:val="2F5496"/>
          <w:sz w:val="32"/>
          <w:lang w:val="es-PE"/>
        </w:rPr>
        <w:br/>
      </w:r>
      <w:r w:rsidR="00696407">
        <w:rPr>
          <w:lang w:val="es-PE"/>
        </w:rPr>
        <w:br/>
      </w:r>
      <w:r w:rsidR="00696407">
        <w:rPr>
          <w:lang w:val="es-PE"/>
        </w:rPr>
        <w:br/>
      </w:r>
    </w:p>
    <w:p w:rsidR="00E15D73" w:rsidRPr="00180604" w:rsidRDefault="00E60CCE">
      <w:pPr>
        <w:spacing w:after="158" w:line="259" w:lineRule="auto"/>
        <w:ind w:left="3647" w:right="1538"/>
        <w:jc w:val="left"/>
        <w:rPr>
          <w:lang w:val="es-PE"/>
        </w:rPr>
      </w:pPr>
      <w:r w:rsidRPr="00180604">
        <w:rPr>
          <w:color w:val="2F5496"/>
          <w:sz w:val="28"/>
          <w:lang w:val="es-PE"/>
        </w:rPr>
        <w:t xml:space="preserve">Stefanie </w:t>
      </w:r>
      <w:proofErr w:type="spellStart"/>
      <w:r w:rsidRPr="00180604">
        <w:rPr>
          <w:color w:val="2F5496"/>
          <w:sz w:val="28"/>
          <w:lang w:val="es-PE"/>
        </w:rPr>
        <w:t>Deinet</w:t>
      </w:r>
      <w:proofErr w:type="spellEnd"/>
      <w:r w:rsidRPr="00180604">
        <w:rPr>
          <w:color w:val="2F5496"/>
          <w:sz w:val="28"/>
          <w:lang w:val="es-PE"/>
        </w:rPr>
        <w:t xml:space="preserve"> </w:t>
      </w:r>
    </w:p>
    <w:p w:rsidR="00E15D73" w:rsidRPr="00180604" w:rsidRDefault="00E60CCE">
      <w:pPr>
        <w:spacing w:after="6" w:line="371" w:lineRule="auto"/>
        <w:ind w:left="3771" w:right="1538" w:hanging="2072"/>
        <w:jc w:val="left"/>
        <w:rPr>
          <w:lang w:val="es-PE"/>
        </w:rPr>
      </w:pPr>
      <w:r w:rsidRPr="00180604">
        <w:rPr>
          <w:color w:val="2F5496"/>
          <w:sz w:val="28"/>
          <w:lang w:val="es-PE"/>
        </w:rPr>
        <w:t xml:space="preserve">Instituto de zoología, Sociedad Zoológica de Londres, Londres, Reino Unido. </w:t>
      </w:r>
    </w:p>
    <w:p w:rsidR="009D1B49" w:rsidRDefault="00E60CCE">
      <w:pPr>
        <w:spacing w:after="6" w:line="259" w:lineRule="auto"/>
        <w:ind w:left="3563" w:right="1538"/>
        <w:jc w:val="left"/>
        <w:rPr>
          <w:color w:val="2F5496"/>
          <w:sz w:val="28"/>
        </w:rPr>
      </w:pPr>
      <w:r>
        <w:rPr>
          <w:color w:val="2F5496"/>
          <w:sz w:val="28"/>
        </w:rPr>
        <w:t xml:space="preserve">8 de </w:t>
      </w:r>
      <w:proofErr w:type="spellStart"/>
      <w:r>
        <w:rPr>
          <w:color w:val="2F5496"/>
          <w:sz w:val="28"/>
        </w:rPr>
        <w:t>octubre</w:t>
      </w:r>
      <w:proofErr w:type="spellEnd"/>
      <w:r>
        <w:rPr>
          <w:color w:val="2F5496"/>
          <w:sz w:val="28"/>
        </w:rPr>
        <w:t xml:space="preserve"> de 2019</w:t>
      </w:r>
    </w:p>
    <w:p w:rsidR="009D1B49" w:rsidRDefault="009D1B49">
      <w:pPr>
        <w:spacing w:after="160" w:line="259" w:lineRule="auto"/>
        <w:ind w:left="0" w:firstLine="0"/>
        <w:jc w:val="left"/>
        <w:rPr>
          <w:color w:val="2F5496"/>
          <w:sz w:val="28"/>
        </w:rPr>
      </w:pPr>
      <w:r>
        <w:rPr>
          <w:color w:val="2F5496"/>
          <w:sz w:val="28"/>
        </w:rPr>
        <w:br w:type="page"/>
      </w:r>
    </w:p>
    <w:p w:rsidR="00E15D73" w:rsidRDefault="00E15D73">
      <w:pPr>
        <w:spacing w:after="6" w:line="259" w:lineRule="auto"/>
        <w:ind w:left="3563" w:right="1538"/>
        <w:jc w:val="left"/>
      </w:pPr>
    </w:p>
    <w:sdt>
      <w:sdtPr>
        <w:id w:val="1524130157"/>
        <w:docPartObj>
          <w:docPartGallery w:val="Table of Contents"/>
        </w:docPartObj>
      </w:sdtPr>
      <w:sdtEndPr/>
      <w:sdtContent>
        <w:p w:rsidR="00E15D73" w:rsidRDefault="00E60CCE">
          <w:pPr>
            <w:spacing w:after="0" w:line="259" w:lineRule="auto"/>
            <w:ind w:left="-5"/>
            <w:jc w:val="left"/>
          </w:pPr>
          <w:proofErr w:type="spellStart"/>
          <w:r>
            <w:rPr>
              <w:color w:val="2F5496"/>
              <w:sz w:val="32"/>
            </w:rPr>
            <w:t>Índice</w:t>
          </w:r>
          <w:proofErr w:type="spellEnd"/>
          <w:r>
            <w:rPr>
              <w:color w:val="2F5496"/>
              <w:sz w:val="32"/>
            </w:rPr>
            <w:t xml:space="preserve"> </w:t>
          </w:r>
        </w:p>
        <w:p w:rsidR="00696407" w:rsidRDefault="00E60CCE">
          <w:pPr>
            <w:pStyle w:val="TOC1"/>
            <w:tabs>
              <w:tab w:val="right" w:leader="dot" w:pos="9736"/>
            </w:tabs>
            <w:rPr>
              <w:rFonts w:asciiTheme="minorHAnsi" w:eastAsiaTheme="minorEastAsia" w:hAnsiTheme="minorHAnsi" w:cstheme="minorBidi"/>
              <w:noProof/>
              <w:color w:val="auto"/>
              <w:lang w:val="fr-FR" w:eastAsia="fr-FR"/>
            </w:rPr>
          </w:pPr>
          <w:r>
            <w:fldChar w:fldCharType="begin"/>
          </w:r>
          <w:r>
            <w:instrText xml:space="preserve"> TOC \o "1-2" \h \z \u </w:instrText>
          </w:r>
          <w:r>
            <w:fldChar w:fldCharType="separate"/>
          </w:r>
          <w:hyperlink w:anchor="_Toc27618302" w:history="1">
            <w:r w:rsidR="00696407" w:rsidRPr="005043F9">
              <w:rPr>
                <w:rStyle w:val="Hyperlink"/>
                <w:noProof/>
                <w:lang w:val="es-PE"/>
              </w:rPr>
              <w:t>Introducción</w:t>
            </w:r>
            <w:r w:rsidR="00696407">
              <w:rPr>
                <w:noProof/>
                <w:webHidden/>
              </w:rPr>
              <w:tab/>
            </w:r>
            <w:r w:rsidR="00696407">
              <w:rPr>
                <w:noProof/>
                <w:webHidden/>
              </w:rPr>
              <w:fldChar w:fldCharType="begin"/>
            </w:r>
            <w:r w:rsidR="00696407">
              <w:rPr>
                <w:noProof/>
                <w:webHidden/>
              </w:rPr>
              <w:instrText xml:space="preserve"> PAGEREF _Toc27618302 \h </w:instrText>
            </w:r>
            <w:r w:rsidR="00696407">
              <w:rPr>
                <w:noProof/>
                <w:webHidden/>
              </w:rPr>
            </w:r>
            <w:r w:rsidR="00696407">
              <w:rPr>
                <w:noProof/>
                <w:webHidden/>
              </w:rPr>
              <w:fldChar w:fldCharType="separate"/>
            </w:r>
            <w:r w:rsidR="00696407">
              <w:rPr>
                <w:noProof/>
                <w:webHidden/>
              </w:rPr>
              <w:t>3</w:t>
            </w:r>
            <w:r w:rsidR="00696407">
              <w:rPr>
                <w:noProof/>
                <w:webHidden/>
              </w:rPr>
              <w:fldChar w:fldCharType="end"/>
            </w:r>
          </w:hyperlink>
        </w:p>
        <w:p w:rsidR="00696407" w:rsidRDefault="009D1B49">
          <w:pPr>
            <w:pStyle w:val="TOC1"/>
            <w:tabs>
              <w:tab w:val="right" w:leader="dot" w:pos="9736"/>
            </w:tabs>
            <w:rPr>
              <w:rFonts w:asciiTheme="minorHAnsi" w:eastAsiaTheme="minorEastAsia" w:hAnsiTheme="minorHAnsi" w:cstheme="minorBidi"/>
              <w:noProof/>
              <w:color w:val="auto"/>
              <w:lang w:val="fr-FR" w:eastAsia="fr-FR"/>
            </w:rPr>
          </w:pPr>
          <w:hyperlink w:anchor="_Toc27618303" w:history="1">
            <w:r w:rsidR="00696407" w:rsidRPr="005043F9">
              <w:rPr>
                <w:rStyle w:val="Hyperlink"/>
                <w:noProof/>
                <w:lang w:val="es-PE"/>
              </w:rPr>
              <w:t>Resultados</w:t>
            </w:r>
            <w:r w:rsidR="00696407">
              <w:rPr>
                <w:noProof/>
                <w:webHidden/>
              </w:rPr>
              <w:tab/>
            </w:r>
            <w:r w:rsidR="00696407">
              <w:rPr>
                <w:noProof/>
                <w:webHidden/>
              </w:rPr>
              <w:fldChar w:fldCharType="begin"/>
            </w:r>
            <w:r w:rsidR="00696407">
              <w:rPr>
                <w:noProof/>
                <w:webHidden/>
              </w:rPr>
              <w:instrText xml:space="preserve"> PAGEREF _Toc27618303 \h </w:instrText>
            </w:r>
            <w:r w:rsidR="00696407">
              <w:rPr>
                <w:noProof/>
                <w:webHidden/>
              </w:rPr>
            </w:r>
            <w:r w:rsidR="00696407">
              <w:rPr>
                <w:noProof/>
                <w:webHidden/>
              </w:rPr>
              <w:fldChar w:fldCharType="separate"/>
            </w:r>
            <w:r w:rsidR="00696407">
              <w:rPr>
                <w:noProof/>
                <w:webHidden/>
              </w:rPr>
              <w:t>3</w:t>
            </w:r>
            <w:r w:rsidR="00696407">
              <w:rPr>
                <w:noProof/>
                <w:webHidden/>
              </w:rPr>
              <w:fldChar w:fldCharType="end"/>
            </w:r>
          </w:hyperlink>
        </w:p>
        <w:p w:rsidR="00696407" w:rsidRDefault="009D1B49">
          <w:pPr>
            <w:pStyle w:val="TOC2"/>
            <w:tabs>
              <w:tab w:val="right" w:leader="dot" w:pos="9736"/>
            </w:tabs>
            <w:rPr>
              <w:rFonts w:asciiTheme="minorHAnsi" w:eastAsiaTheme="minorEastAsia" w:hAnsiTheme="minorHAnsi" w:cstheme="minorBidi"/>
              <w:noProof/>
              <w:color w:val="auto"/>
              <w:lang w:val="fr-FR" w:eastAsia="fr-FR"/>
            </w:rPr>
          </w:pPr>
          <w:hyperlink w:anchor="_Toc27618304" w:history="1">
            <w:r w:rsidR="00696407" w:rsidRPr="005043F9">
              <w:rPr>
                <w:rStyle w:val="Hyperlink"/>
                <w:noProof/>
                <w:lang w:val="es-PE"/>
              </w:rPr>
              <w:t>Todas las especies que figuran en las listas de la CMS</w:t>
            </w:r>
            <w:r w:rsidR="00696407">
              <w:rPr>
                <w:noProof/>
                <w:webHidden/>
              </w:rPr>
              <w:tab/>
            </w:r>
            <w:r w:rsidR="00696407">
              <w:rPr>
                <w:noProof/>
                <w:webHidden/>
              </w:rPr>
              <w:fldChar w:fldCharType="begin"/>
            </w:r>
            <w:r w:rsidR="00696407">
              <w:rPr>
                <w:noProof/>
                <w:webHidden/>
              </w:rPr>
              <w:instrText xml:space="preserve"> PAGEREF _Toc27618304 \h </w:instrText>
            </w:r>
            <w:r w:rsidR="00696407">
              <w:rPr>
                <w:noProof/>
                <w:webHidden/>
              </w:rPr>
            </w:r>
            <w:r w:rsidR="00696407">
              <w:rPr>
                <w:noProof/>
                <w:webHidden/>
              </w:rPr>
              <w:fldChar w:fldCharType="separate"/>
            </w:r>
            <w:r w:rsidR="00696407">
              <w:rPr>
                <w:noProof/>
                <w:webHidden/>
              </w:rPr>
              <w:t>3</w:t>
            </w:r>
            <w:r w:rsidR="00696407">
              <w:rPr>
                <w:noProof/>
                <w:webHidden/>
              </w:rPr>
              <w:fldChar w:fldCharType="end"/>
            </w:r>
          </w:hyperlink>
        </w:p>
        <w:p w:rsidR="00696407" w:rsidRDefault="009D1B49">
          <w:pPr>
            <w:pStyle w:val="TOC2"/>
            <w:tabs>
              <w:tab w:val="right" w:leader="dot" w:pos="9736"/>
            </w:tabs>
            <w:rPr>
              <w:rFonts w:asciiTheme="minorHAnsi" w:eastAsiaTheme="minorEastAsia" w:hAnsiTheme="minorHAnsi" w:cstheme="minorBidi"/>
              <w:noProof/>
              <w:color w:val="auto"/>
              <w:lang w:val="fr-FR" w:eastAsia="fr-FR"/>
            </w:rPr>
          </w:pPr>
          <w:hyperlink w:anchor="_Toc27618305" w:history="1">
            <w:r w:rsidR="00696407" w:rsidRPr="005043F9">
              <w:rPr>
                <w:rStyle w:val="Hyperlink"/>
                <w:noProof/>
                <w:lang w:val="es-PE"/>
              </w:rPr>
              <w:t>Especies que figuran en el Apéndice I</w:t>
            </w:r>
            <w:r w:rsidR="00696407">
              <w:rPr>
                <w:noProof/>
                <w:webHidden/>
              </w:rPr>
              <w:tab/>
            </w:r>
            <w:r w:rsidR="00696407">
              <w:rPr>
                <w:noProof/>
                <w:webHidden/>
              </w:rPr>
              <w:fldChar w:fldCharType="begin"/>
            </w:r>
            <w:r w:rsidR="00696407">
              <w:rPr>
                <w:noProof/>
                <w:webHidden/>
              </w:rPr>
              <w:instrText xml:space="preserve"> PAGEREF _Toc27618305 \h </w:instrText>
            </w:r>
            <w:r w:rsidR="00696407">
              <w:rPr>
                <w:noProof/>
                <w:webHidden/>
              </w:rPr>
            </w:r>
            <w:r w:rsidR="00696407">
              <w:rPr>
                <w:noProof/>
                <w:webHidden/>
              </w:rPr>
              <w:fldChar w:fldCharType="separate"/>
            </w:r>
            <w:r w:rsidR="00696407">
              <w:rPr>
                <w:noProof/>
                <w:webHidden/>
              </w:rPr>
              <w:t>4</w:t>
            </w:r>
            <w:r w:rsidR="00696407">
              <w:rPr>
                <w:noProof/>
                <w:webHidden/>
              </w:rPr>
              <w:fldChar w:fldCharType="end"/>
            </w:r>
          </w:hyperlink>
        </w:p>
        <w:p w:rsidR="00696407" w:rsidRDefault="009D1B49">
          <w:pPr>
            <w:pStyle w:val="TOC2"/>
            <w:tabs>
              <w:tab w:val="right" w:leader="dot" w:pos="9736"/>
            </w:tabs>
            <w:rPr>
              <w:rFonts w:asciiTheme="minorHAnsi" w:eastAsiaTheme="minorEastAsia" w:hAnsiTheme="minorHAnsi" w:cstheme="minorBidi"/>
              <w:noProof/>
              <w:color w:val="auto"/>
              <w:lang w:val="fr-FR" w:eastAsia="fr-FR"/>
            </w:rPr>
          </w:pPr>
          <w:hyperlink w:anchor="_Toc27618306" w:history="1">
            <w:r w:rsidR="00696407" w:rsidRPr="005043F9">
              <w:rPr>
                <w:rStyle w:val="Hyperlink"/>
                <w:noProof/>
                <w:lang w:val="es-PE"/>
              </w:rPr>
              <w:t>Especies que figuran en las listas de la CMS por clase</w:t>
            </w:r>
            <w:r w:rsidR="00696407">
              <w:rPr>
                <w:noProof/>
                <w:webHidden/>
              </w:rPr>
              <w:tab/>
            </w:r>
            <w:r w:rsidR="00696407">
              <w:rPr>
                <w:noProof/>
                <w:webHidden/>
              </w:rPr>
              <w:fldChar w:fldCharType="begin"/>
            </w:r>
            <w:r w:rsidR="00696407">
              <w:rPr>
                <w:noProof/>
                <w:webHidden/>
              </w:rPr>
              <w:instrText xml:space="preserve"> PAGEREF _Toc27618306 \h </w:instrText>
            </w:r>
            <w:r w:rsidR="00696407">
              <w:rPr>
                <w:noProof/>
                <w:webHidden/>
              </w:rPr>
            </w:r>
            <w:r w:rsidR="00696407">
              <w:rPr>
                <w:noProof/>
                <w:webHidden/>
              </w:rPr>
              <w:fldChar w:fldCharType="separate"/>
            </w:r>
            <w:r w:rsidR="00696407">
              <w:rPr>
                <w:noProof/>
                <w:webHidden/>
              </w:rPr>
              <w:t>6</w:t>
            </w:r>
            <w:r w:rsidR="00696407">
              <w:rPr>
                <w:noProof/>
                <w:webHidden/>
              </w:rPr>
              <w:fldChar w:fldCharType="end"/>
            </w:r>
          </w:hyperlink>
        </w:p>
        <w:p w:rsidR="00696407" w:rsidRDefault="009D1B49">
          <w:pPr>
            <w:pStyle w:val="TOC2"/>
            <w:tabs>
              <w:tab w:val="right" w:leader="dot" w:pos="9736"/>
            </w:tabs>
            <w:rPr>
              <w:rFonts w:asciiTheme="minorHAnsi" w:eastAsiaTheme="minorEastAsia" w:hAnsiTheme="minorHAnsi" w:cstheme="minorBidi"/>
              <w:noProof/>
              <w:color w:val="auto"/>
              <w:lang w:val="fr-FR" w:eastAsia="fr-FR"/>
            </w:rPr>
          </w:pPr>
          <w:hyperlink w:anchor="_Toc27618307" w:history="1">
            <w:r w:rsidR="00696407" w:rsidRPr="005043F9">
              <w:rPr>
                <w:rStyle w:val="Hyperlink"/>
                <w:noProof/>
                <w:lang w:val="es-PE"/>
              </w:rPr>
              <w:t>Cobertura taxonómica</w:t>
            </w:r>
            <w:r w:rsidR="00696407">
              <w:rPr>
                <w:noProof/>
                <w:webHidden/>
              </w:rPr>
              <w:tab/>
            </w:r>
            <w:r w:rsidR="00696407">
              <w:rPr>
                <w:noProof/>
                <w:webHidden/>
              </w:rPr>
              <w:fldChar w:fldCharType="begin"/>
            </w:r>
            <w:r w:rsidR="00696407">
              <w:rPr>
                <w:noProof/>
                <w:webHidden/>
              </w:rPr>
              <w:instrText xml:space="preserve"> PAGEREF _Toc27618307 \h </w:instrText>
            </w:r>
            <w:r w:rsidR="00696407">
              <w:rPr>
                <w:noProof/>
                <w:webHidden/>
              </w:rPr>
            </w:r>
            <w:r w:rsidR="00696407">
              <w:rPr>
                <w:noProof/>
                <w:webHidden/>
              </w:rPr>
              <w:fldChar w:fldCharType="separate"/>
            </w:r>
            <w:r w:rsidR="00696407">
              <w:rPr>
                <w:noProof/>
                <w:webHidden/>
              </w:rPr>
              <w:t>7</w:t>
            </w:r>
            <w:r w:rsidR="00696407">
              <w:rPr>
                <w:noProof/>
                <w:webHidden/>
              </w:rPr>
              <w:fldChar w:fldCharType="end"/>
            </w:r>
          </w:hyperlink>
        </w:p>
        <w:p w:rsidR="00696407" w:rsidRDefault="009D1B49">
          <w:pPr>
            <w:pStyle w:val="TOC1"/>
            <w:tabs>
              <w:tab w:val="right" w:leader="dot" w:pos="9736"/>
            </w:tabs>
            <w:rPr>
              <w:rFonts w:asciiTheme="minorHAnsi" w:eastAsiaTheme="minorEastAsia" w:hAnsiTheme="minorHAnsi" w:cstheme="minorBidi"/>
              <w:noProof/>
              <w:color w:val="auto"/>
              <w:lang w:val="fr-FR" w:eastAsia="fr-FR"/>
            </w:rPr>
          </w:pPr>
          <w:hyperlink w:anchor="_Toc27618308" w:history="1">
            <w:r w:rsidR="00696407" w:rsidRPr="005043F9">
              <w:rPr>
                <w:rStyle w:val="Hyperlink"/>
                <w:noProof/>
              </w:rPr>
              <w:t>Conclusiones y advertencias</w:t>
            </w:r>
            <w:r w:rsidR="00696407">
              <w:rPr>
                <w:noProof/>
                <w:webHidden/>
              </w:rPr>
              <w:tab/>
            </w:r>
            <w:r w:rsidR="00696407">
              <w:rPr>
                <w:noProof/>
                <w:webHidden/>
              </w:rPr>
              <w:fldChar w:fldCharType="begin"/>
            </w:r>
            <w:r w:rsidR="00696407">
              <w:rPr>
                <w:noProof/>
                <w:webHidden/>
              </w:rPr>
              <w:instrText xml:space="preserve"> PAGEREF _Toc27618308 \h </w:instrText>
            </w:r>
            <w:r w:rsidR="00696407">
              <w:rPr>
                <w:noProof/>
                <w:webHidden/>
              </w:rPr>
            </w:r>
            <w:r w:rsidR="00696407">
              <w:rPr>
                <w:noProof/>
                <w:webHidden/>
              </w:rPr>
              <w:fldChar w:fldCharType="separate"/>
            </w:r>
            <w:r w:rsidR="00696407">
              <w:rPr>
                <w:noProof/>
                <w:webHidden/>
              </w:rPr>
              <w:t>8</w:t>
            </w:r>
            <w:r w:rsidR="00696407">
              <w:rPr>
                <w:noProof/>
                <w:webHidden/>
              </w:rPr>
              <w:fldChar w:fldCharType="end"/>
            </w:r>
          </w:hyperlink>
        </w:p>
        <w:p w:rsidR="00696407" w:rsidRDefault="009D1B49">
          <w:pPr>
            <w:pStyle w:val="TOC1"/>
            <w:tabs>
              <w:tab w:val="right" w:leader="dot" w:pos="9736"/>
            </w:tabs>
            <w:rPr>
              <w:rFonts w:asciiTheme="minorHAnsi" w:eastAsiaTheme="minorEastAsia" w:hAnsiTheme="minorHAnsi" w:cstheme="minorBidi"/>
              <w:noProof/>
              <w:color w:val="auto"/>
              <w:lang w:val="fr-FR" w:eastAsia="fr-FR"/>
            </w:rPr>
          </w:pPr>
          <w:hyperlink w:anchor="_Toc27618309" w:history="1">
            <w:r w:rsidR="00696407" w:rsidRPr="005043F9">
              <w:rPr>
                <w:rStyle w:val="Hyperlink"/>
                <w:noProof/>
              </w:rPr>
              <w:t>Archivos adjuntos</w:t>
            </w:r>
            <w:r w:rsidR="00696407">
              <w:rPr>
                <w:noProof/>
                <w:webHidden/>
              </w:rPr>
              <w:tab/>
            </w:r>
            <w:r w:rsidR="00696407">
              <w:rPr>
                <w:noProof/>
                <w:webHidden/>
              </w:rPr>
              <w:fldChar w:fldCharType="begin"/>
            </w:r>
            <w:r w:rsidR="00696407">
              <w:rPr>
                <w:noProof/>
                <w:webHidden/>
              </w:rPr>
              <w:instrText xml:space="preserve"> PAGEREF _Toc27618309 \h </w:instrText>
            </w:r>
            <w:r w:rsidR="00696407">
              <w:rPr>
                <w:noProof/>
                <w:webHidden/>
              </w:rPr>
            </w:r>
            <w:r w:rsidR="00696407">
              <w:rPr>
                <w:noProof/>
                <w:webHidden/>
              </w:rPr>
              <w:fldChar w:fldCharType="separate"/>
            </w:r>
            <w:r w:rsidR="00696407">
              <w:rPr>
                <w:noProof/>
                <w:webHidden/>
              </w:rPr>
              <w:t>9</w:t>
            </w:r>
            <w:r w:rsidR="00696407">
              <w:rPr>
                <w:noProof/>
                <w:webHidden/>
              </w:rPr>
              <w:fldChar w:fldCharType="end"/>
            </w:r>
          </w:hyperlink>
        </w:p>
        <w:p w:rsidR="00696407" w:rsidRDefault="009D1B49">
          <w:pPr>
            <w:pStyle w:val="TOC1"/>
            <w:tabs>
              <w:tab w:val="right" w:leader="dot" w:pos="9736"/>
            </w:tabs>
            <w:rPr>
              <w:rFonts w:asciiTheme="minorHAnsi" w:eastAsiaTheme="minorEastAsia" w:hAnsiTheme="minorHAnsi" w:cstheme="minorBidi"/>
              <w:noProof/>
              <w:color w:val="auto"/>
              <w:lang w:val="fr-FR" w:eastAsia="fr-FR"/>
            </w:rPr>
          </w:pPr>
          <w:hyperlink w:anchor="_Toc27618310" w:history="1">
            <w:r w:rsidR="00696407" w:rsidRPr="005043F9">
              <w:rPr>
                <w:rStyle w:val="Hyperlink"/>
                <w:noProof/>
                <w:lang w:val="es-PE"/>
              </w:rPr>
              <w:t>Método</w:t>
            </w:r>
            <w:r w:rsidR="00696407">
              <w:rPr>
                <w:noProof/>
                <w:webHidden/>
              </w:rPr>
              <w:tab/>
            </w:r>
            <w:r w:rsidR="00696407">
              <w:rPr>
                <w:noProof/>
                <w:webHidden/>
              </w:rPr>
              <w:fldChar w:fldCharType="begin"/>
            </w:r>
            <w:r w:rsidR="00696407">
              <w:rPr>
                <w:noProof/>
                <w:webHidden/>
              </w:rPr>
              <w:instrText xml:space="preserve"> PAGEREF _Toc27618310 \h </w:instrText>
            </w:r>
            <w:r w:rsidR="00696407">
              <w:rPr>
                <w:noProof/>
                <w:webHidden/>
              </w:rPr>
            </w:r>
            <w:r w:rsidR="00696407">
              <w:rPr>
                <w:noProof/>
                <w:webHidden/>
              </w:rPr>
              <w:fldChar w:fldCharType="separate"/>
            </w:r>
            <w:r w:rsidR="00696407">
              <w:rPr>
                <w:noProof/>
                <w:webHidden/>
              </w:rPr>
              <w:t>9</w:t>
            </w:r>
            <w:r w:rsidR="00696407">
              <w:rPr>
                <w:noProof/>
                <w:webHidden/>
              </w:rPr>
              <w:fldChar w:fldCharType="end"/>
            </w:r>
          </w:hyperlink>
        </w:p>
        <w:p w:rsidR="00696407" w:rsidRDefault="009D1B49">
          <w:pPr>
            <w:pStyle w:val="TOC2"/>
            <w:tabs>
              <w:tab w:val="right" w:leader="dot" w:pos="9736"/>
            </w:tabs>
            <w:rPr>
              <w:rFonts w:asciiTheme="minorHAnsi" w:eastAsiaTheme="minorEastAsia" w:hAnsiTheme="minorHAnsi" w:cstheme="minorBidi"/>
              <w:noProof/>
              <w:color w:val="auto"/>
              <w:lang w:val="fr-FR" w:eastAsia="fr-FR"/>
            </w:rPr>
          </w:pPr>
          <w:hyperlink w:anchor="_Toc27618311" w:history="1">
            <w:r w:rsidR="00696407" w:rsidRPr="005043F9">
              <w:rPr>
                <w:rStyle w:val="Hyperlink"/>
                <w:noProof/>
                <w:lang w:val="es-PE"/>
              </w:rPr>
              <w:t>Recopilación de datos</w:t>
            </w:r>
            <w:r w:rsidR="00696407">
              <w:rPr>
                <w:noProof/>
                <w:webHidden/>
              </w:rPr>
              <w:tab/>
            </w:r>
            <w:r w:rsidR="00696407">
              <w:rPr>
                <w:noProof/>
                <w:webHidden/>
              </w:rPr>
              <w:fldChar w:fldCharType="begin"/>
            </w:r>
            <w:r w:rsidR="00696407">
              <w:rPr>
                <w:noProof/>
                <w:webHidden/>
              </w:rPr>
              <w:instrText xml:space="preserve"> PAGEREF _Toc27618311 \h </w:instrText>
            </w:r>
            <w:r w:rsidR="00696407">
              <w:rPr>
                <w:noProof/>
                <w:webHidden/>
              </w:rPr>
            </w:r>
            <w:r w:rsidR="00696407">
              <w:rPr>
                <w:noProof/>
                <w:webHidden/>
              </w:rPr>
              <w:fldChar w:fldCharType="separate"/>
            </w:r>
            <w:r w:rsidR="00696407">
              <w:rPr>
                <w:noProof/>
                <w:webHidden/>
              </w:rPr>
              <w:t>9</w:t>
            </w:r>
            <w:r w:rsidR="00696407">
              <w:rPr>
                <w:noProof/>
                <w:webHidden/>
              </w:rPr>
              <w:fldChar w:fldCharType="end"/>
            </w:r>
          </w:hyperlink>
        </w:p>
        <w:p w:rsidR="00696407" w:rsidRDefault="009D1B49">
          <w:pPr>
            <w:pStyle w:val="TOC2"/>
            <w:tabs>
              <w:tab w:val="right" w:leader="dot" w:pos="9736"/>
            </w:tabs>
            <w:rPr>
              <w:rFonts w:asciiTheme="minorHAnsi" w:eastAsiaTheme="minorEastAsia" w:hAnsiTheme="minorHAnsi" w:cstheme="minorBidi"/>
              <w:noProof/>
              <w:color w:val="auto"/>
              <w:lang w:val="fr-FR" w:eastAsia="fr-FR"/>
            </w:rPr>
          </w:pPr>
          <w:hyperlink w:anchor="_Toc27618312" w:history="1">
            <w:r w:rsidR="00696407" w:rsidRPr="005043F9">
              <w:rPr>
                <w:rStyle w:val="Hyperlink"/>
                <w:noProof/>
                <w:lang w:val="es-PE"/>
              </w:rPr>
              <w:t>Cálculo de los índices</w:t>
            </w:r>
            <w:r w:rsidR="00696407">
              <w:rPr>
                <w:noProof/>
                <w:webHidden/>
              </w:rPr>
              <w:tab/>
            </w:r>
            <w:r w:rsidR="00696407">
              <w:rPr>
                <w:noProof/>
                <w:webHidden/>
              </w:rPr>
              <w:fldChar w:fldCharType="begin"/>
            </w:r>
            <w:r w:rsidR="00696407">
              <w:rPr>
                <w:noProof/>
                <w:webHidden/>
              </w:rPr>
              <w:instrText xml:space="preserve"> PAGEREF _Toc27618312 \h </w:instrText>
            </w:r>
            <w:r w:rsidR="00696407">
              <w:rPr>
                <w:noProof/>
                <w:webHidden/>
              </w:rPr>
            </w:r>
            <w:r w:rsidR="00696407">
              <w:rPr>
                <w:noProof/>
                <w:webHidden/>
              </w:rPr>
              <w:fldChar w:fldCharType="separate"/>
            </w:r>
            <w:r w:rsidR="00696407">
              <w:rPr>
                <w:noProof/>
                <w:webHidden/>
              </w:rPr>
              <w:t>9</w:t>
            </w:r>
            <w:r w:rsidR="00696407">
              <w:rPr>
                <w:noProof/>
                <w:webHidden/>
              </w:rPr>
              <w:fldChar w:fldCharType="end"/>
            </w:r>
          </w:hyperlink>
        </w:p>
        <w:p w:rsidR="00696407" w:rsidRDefault="009D1B49">
          <w:pPr>
            <w:pStyle w:val="TOC2"/>
            <w:tabs>
              <w:tab w:val="right" w:leader="dot" w:pos="9736"/>
            </w:tabs>
            <w:rPr>
              <w:rFonts w:asciiTheme="minorHAnsi" w:eastAsiaTheme="minorEastAsia" w:hAnsiTheme="minorHAnsi" w:cstheme="minorBidi"/>
              <w:noProof/>
              <w:color w:val="auto"/>
              <w:lang w:val="fr-FR" w:eastAsia="fr-FR"/>
            </w:rPr>
          </w:pPr>
          <w:hyperlink w:anchor="_Toc27618313" w:history="1">
            <w:r w:rsidR="00696407" w:rsidRPr="005043F9">
              <w:rPr>
                <w:rStyle w:val="Hyperlink"/>
                <w:noProof/>
                <w:lang w:val="es-PE"/>
              </w:rPr>
              <w:t>Evaluación de la representación de las especies</w:t>
            </w:r>
            <w:r w:rsidR="00696407">
              <w:rPr>
                <w:noProof/>
                <w:webHidden/>
              </w:rPr>
              <w:tab/>
            </w:r>
            <w:r w:rsidR="00696407">
              <w:rPr>
                <w:noProof/>
                <w:webHidden/>
              </w:rPr>
              <w:fldChar w:fldCharType="begin"/>
            </w:r>
            <w:r w:rsidR="00696407">
              <w:rPr>
                <w:noProof/>
                <w:webHidden/>
              </w:rPr>
              <w:instrText xml:space="preserve"> PAGEREF _Toc27618313 \h </w:instrText>
            </w:r>
            <w:r w:rsidR="00696407">
              <w:rPr>
                <w:noProof/>
                <w:webHidden/>
              </w:rPr>
            </w:r>
            <w:r w:rsidR="00696407">
              <w:rPr>
                <w:noProof/>
                <w:webHidden/>
              </w:rPr>
              <w:fldChar w:fldCharType="separate"/>
            </w:r>
            <w:r w:rsidR="00696407">
              <w:rPr>
                <w:noProof/>
                <w:webHidden/>
              </w:rPr>
              <w:t>10</w:t>
            </w:r>
            <w:r w:rsidR="00696407">
              <w:rPr>
                <w:noProof/>
                <w:webHidden/>
              </w:rPr>
              <w:fldChar w:fldCharType="end"/>
            </w:r>
          </w:hyperlink>
        </w:p>
        <w:p w:rsidR="00696407" w:rsidRDefault="009D1B49">
          <w:pPr>
            <w:pStyle w:val="TOC1"/>
            <w:tabs>
              <w:tab w:val="right" w:leader="dot" w:pos="9736"/>
            </w:tabs>
            <w:rPr>
              <w:rFonts w:asciiTheme="minorHAnsi" w:eastAsiaTheme="minorEastAsia" w:hAnsiTheme="minorHAnsi" w:cstheme="minorBidi"/>
              <w:noProof/>
              <w:color w:val="auto"/>
              <w:lang w:val="fr-FR" w:eastAsia="fr-FR"/>
            </w:rPr>
          </w:pPr>
          <w:hyperlink w:anchor="_Toc27618314" w:history="1">
            <w:r w:rsidR="00696407" w:rsidRPr="005043F9">
              <w:rPr>
                <w:rStyle w:val="Hyperlink"/>
                <w:noProof/>
              </w:rPr>
              <w:t>Bibliografía</w:t>
            </w:r>
            <w:r w:rsidR="00696407">
              <w:rPr>
                <w:noProof/>
                <w:webHidden/>
              </w:rPr>
              <w:tab/>
            </w:r>
            <w:r w:rsidR="00696407">
              <w:rPr>
                <w:noProof/>
                <w:webHidden/>
              </w:rPr>
              <w:fldChar w:fldCharType="begin"/>
            </w:r>
            <w:r w:rsidR="00696407">
              <w:rPr>
                <w:noProof/>
                <w:webHidden/>
              </w:rPr>
              <w:instrText xml:space="preserve"> PAGEREF _Toc27618314 \h </w:instrText>
            </w:r>
            <w:r w:rsidR="00696407">
              <w:rPr>
                <w:noProof/>
                <w:webHidden/>
              </w:rPr>
            </w:r>
            <w:r w:rsidR="00696407">
              <w:rPr>
                <w:noProof/>
                <w:webHidden/>
              </w:rPr>
              <w:fldChar w:fldCharType="separate"/>
            </w:r>
            <w:r w:rsidR="00696407">
              <w:rPr>
                <w:noProof/>
                <w:webHidden/>
              </w:rPr>
              <w:t>10</w:t>
            </w:r>
            <w:r w:rsidR="00696407">
              <w:rPr>
                <w:noProof/>
                <w:webHidden/>
              </w:rPr>
              <w:fldChar w:fldCharType="end"/>
            </w:r>
          </w:hyperlink>
        </w:p>
        <w:p w:rsidR="00696407" w:rsidRDefault="009D1B49">
          <w:pPr>
            <w:pStyle w:val="TOC1"/>
            <w:tabs>
              <w:tab w:val="right" w:leader="dot" w:pos="9736"/>
            </w:tabs>
            <w:rPr>
              <w:rFonts w:asciiTheme="minorHAnsi" w:eastAsiaTheme="minorEastAsia" w:hAnsiTheme="minorHAnsi" w:cstheme="minorBidi"/>
              <w:noProof/>
              <w:color w:val="auto"/>
              <w:lang w:val="fr-FR" w:eastAsia="fr-FR"/>
            </w:rPr>
          </w:pPr>
          <w:hyperlink w:anchor="_Toc27618315" w:history="1">
            <w:r w:rsidR="00696407" w:rsidRPr="005043F9">
              <w:rPr>
                <w:rStyle w:val="Hyperlink"/>
                <w:noProof/>
              </w:rPr>
              <w:t>Apéndice</w:t>
            </w:r>
            <w:r w:rsidR="00696407">
              <w:rPr>
                <w:noProof/>
                <w:webHidden/>
              </w:rPr>
              <w:tab/>
            </w:r>
            <w:r w:rsidR="00696407">
              <w:rPr>
                <w:noProof/>
                <w:webHidden/>
              </w:rPr>
              <w:fldChar w:fldCharType="begin"/>
            </w:r>
            <w:r w:rsidR="00696407">
              <w:rPr>
                <w:noProof/>
                <w:webHidden/>
              </w:rPr>
              <w:instrText xml:space="preserve"> PAGEREF _Toc27618315 \h </w:instrText>
            </w:r>
            <w:r w:rsidR="00696407">
              <w:rPr>
                <w:noProof/>
                <w:webHidden/>
              </w:rPr>
            </w:r>
            <w:r w:rsidR="00696407">
              <w:rPr>
                <w:noProof/>
                <w:webHidden/>
              </w:rPr>
              <w:fldChar w:fldCharType="separate"/>
            </w:r>
            <w:r w:rsidR="00696407">
              <w:rPr>
                <w:noProof/>
                <w:webHidden/>
              </w:rPr>
              <w:t>11</w:t>
            </w:r>
            <w:r w:rsidR="00696407">
              <w:rPr>
                <w:noProof/>
                <w:webHidden/>
              </w:rPr>
              <w:fldChar w:fldCharType="end"/>
            </w:r>
          </w:hyperlink>
        </w:p>
        <w:p w:rsidR="00E15D73" w:rsidRDefault="00E60CCE">
          <w:r>
            <w:fldChar w:fldCharType="end"/>
          </w:r>
        </w:p>
      </w:sdtContent>
    </w:sdt>
    <w:p w:rsidR="00E15D73" w:rsidRDefault="00E60CCE">
      <w:pPr>
        <w:ind w:left="-5" w:right="798"/>
      </w:pPr>
      <w:r>
        <w:br w:type="page"/>
      </w:r>
    </w:p>
    <w:p w:rsidR="00E15D73" w:rsidRPr="00180604" w:rsidRDefault="00E60CCE">
      <w:pPr>
        <w:pStyle w:val="Heading1"/>
        <w:ind w:left="-5"/>
        <w:rPr>
          <w:lang w:val="es-PE"/>
        </w:rPr>
      </w:pPr>
      <w:bookmarkStart w:id="0" w:name="_Toc27618302"/>
      <w:r w:rsidRPr="00180604">
        <w:rPr>
          <w:lang w:val="es-PE"/>
        </w:rPr>
        <w:lastRenderedPageBreak/>
        <w:t>Introducción</w:t>
      </w:r>
      <w:bookmarkEnd w:id="0"/>
      <w:r w:rsidRPr="00180604">
        <w:rPr>
          <w:lang w:val="es-PE"/>
        </w:rPr>
        <w:t xml:space="preserve"> </w:t>
      </w:r>
    </w:p>
    <w:p w:rsidR="00E15D73" w:rsidRPr="00180604" w:rsidRDefault="00E60CCE">
      <w:pPr>
        <w:spacing w:after="812"/>
        <w:ind w:left="-5" w:right="798"/>
        <w:rPr>
          <w:lang w:val="es-PE"/>
        </w:rPr>
      </w:pPr>
      <w:r w:rsidRPr="00180604">
        <w:rPr>
          <w:lang w:val="es-PE"/>
        </w:rPr>
        <w:t>El índice de planeta vivo (</w:t>
      </w:r>
      <w:proofErr w:type="spellStart"/>
      <w:r w:rsidRPr="00180604">
        <w:rPr>
          <w:lang w:val="es-PE"/>
        </w:rPr>
        <w:t>Loh</w:t>
      </w:r>
      <w:proofErr w:type="spellEnd"/>
      <w:r w:rsidRPr="00180604">
        <w:rPr>
          <w:lang w:val="es-PE"/>
        </w:rPr>
        <w:t xml:space="preserve"> et al., 2005; Collen et al., 2009; McRae et al., 2017), uno más de los indicadores de especies globales que se usa para hacer un seguimiento del progreso de las Metas de Aichi para la Diversidad Biológica (Secretaría del CDB, 2010) monitoriza el cambio medio en la abundancia de especies vertebradas con el paso del tiempo. La base de datos subyacente, Living </w:t>
      </w:r>
      <w:proofErr w:type="spellStart"/>
      <w:r w:rsidRPr="00180604">
        <w:rPr>
          <w:lang w:val="es-PE"/>
        </w:rPr>
        <w:t>Planet</w:t>
      </w:r>
      <w:proofErr w:type="spellEnd"/>
      <w:r w:rsidRPr="00180604">
        <w:rPr>
          <w:lang w:val="es-PE"/>
        </w:rPr>
        <w:t xml:space="preserve"> </w:t>
      </w:r>
      <w:proofErr w:type="spellStart"/>
      <w:r w:rsidRPr="00180604">
        <w:rPr>
          <w:lang w:val="es-PE"/>
        </w:rPr>
        <w:t>Database</w:t>
      </w:r>
      <w:proofErr w:type="spellEnd"/>
      <w:r w:rsidRPr="00180604">
        <w:rPr>
          <w:lang w:val="es-PE"/>
        </w:rPr>
        <w:t xml:space="preserve"> (LPD, 2019), contiene actualmente datos de más de 25.000 poblaciones con más de 4.400 especies de todo el mundo, recopilados de distintas fuentes. Puesto que la información adicional se registra conforme a la ecología de cada población de especies y a la ubicación geográfica de monitorización, los datos se pueden dividir aún más para mostrar tendencias con respecto a ciertos subconjuntos de datos, por ejemplo, especies que figuran en los Apéndices de la Convención sobre la Conservación de las Especies Migratorias de Animales Silvestres (CMS, 2018). </w:t>
      </w:r>
    </w:p>
    <w:p w:rsidR="00E15D73" w:rsidRPr="00180604" w:rsidRDefault="00E60CCE" w:rsidP="00180604">
      <w:pPr>
        <w:pStyle w:val="Heading1"/>
        <w:ind w:left="0" w:firstLine="0"/>
        <w:rPr>
          <w:lang w:val="es-PE"/>
        </w:rPr>
      </w:pPr>
      <w:bookmarkStart w:id="1" w:name="_Toc27618303"/>
      <w:r w:rsidRPr="00180604">
        <w:rPr>
          <w:lang w:val="es-PE"/>
        </w:rPr>
        <w:t>Resultados</w:t>
      </w:r>
      <w:bookmarkEnd w:id="1"/>
      <w:r w:rsidRPr="00180604">
        <w:rPr>
          <w:lang w:val="es-PE"/>
        </w:rPr>
        <w:t xml:space="preserve"> </w:t>
      </w:r>
    </w:p>
    <w:p w:rsidR="00E15D73" w:rsidRPr="00180604" w:rsidRDefault="00E60CCE">
      <w:pPr>
        <w:pStyle w:val="Heading2"/>
        <w:ind w:left="-5"/>
        <w:rPr>
          <w:lang w:val="es-PE"/>
        </w:rPr>
      </w:pPr>
      <w:bookmarkStart w:id="2" w:name="_Toc27618304"/>
      <w:r w:rsidRPr="00180604">
        <w:rPr>
          <w:lang w:val="es-PE"/>
        </w:rPr>
        <w:t>Todas las especies que figuran en las listas de la CMS</w:t>
      </w:r>
      <w:bookmarkEnd w:id="2"/>
      <w:r w:rsidRPr="00180604">
        <w:rPr>
          <w:lang w:val="es-PE"/>
        </w:rPr>
        <w:t xml:space="preserve"> </w:t>
      </w:r>
    </w:p>
    <w:p w:rsidR="00E15D73" w:rsidRPr="00180604" w:rsidRDefault="00E60CCE">
      <w:pPr>
        <w:spacing w:after="169"/>
        <w:ind w:left="-5" w:right="798"/>
        <w:rPr>
          <w:lang w:val="es-PE"/>
        </w:rPr>
      </w:pPr>
      <w:r w:rsidRPr="00180604">
        <w:rPr>
          <w:lang w:val="es-PE"/>
        </w:rPr>
        <w:t xml:space="preserve">A partir de la LPD, hemos recopilado una cantidad abundante de información relativa a 3.369 poblaciones de 583 especies de peces, aves, mamíferos y reptiles que figuran en las listas de la CMS. Esta mostraba un aumento medio general del 8 % entre 1970 y 2015. Puesto que el índice de planeta vivo describe un cambio de media, esto significa </w:t>
      </w:r>
      <w:proofErr w:type="gramStart"/>
      <w:r w:rsidRPr="00180604">
        <w:rPr>
          <w:lang w:val="es-PE"/>
        </w:rPr>
        <w:t>que</w:t>
      </w:r>
      <w:proofErr w:type="gramEnd"/>
      <w:r w:rsidRPr="00180604">
        <w:rPr>
          <w:lang w:val="es-PE"/>
        </w:rPr>
        <w:t xml:space="preserve"> aunque las poblaciones de las especies monitorizadas eran, de media, un 8 % más abundantes en 2015 en comparación con 1970, algunas especies han aumentado más o incluso disminuido durante el mismo período. El índice representa el 50 % de todas las especies que figuran en las listas de la CMS, con representaciones de las diferentes clases que oscilan entre el 48 % en peces, el 62 % en mamíferos acuáticos y el 100 % en reptiles (Tabla 1). </w:t>
      </w:r>
    </w:p>
    <w:p w:rsidR="00E15D73" w:rsidRPr="00180604" w:rsidRDefault="00E60CCE">
      <w:pPr>
        <w:spacing w:after="169"/>
        <w:ind w:left="-5" w:right="798"/>
        <w:rPr>
          <w:lang w:val="es-PE"/>
        </w:rPr>
      </w:pPr>
      <w:r w:rsidRPr="00180604">
        <w:rPr>
          <w:lang w:val="es-PE"/>
        </w:rPr>
        <w:t xml:space="preserve">Como puede apreciarse en la Figura 1, el índice es bastante estable de principio a fin, ya que muestra varios períodos de cambio oscilante que vuelven al punto de referencia. Este patrón es muy similar a la tendencia de las especies de aves monitorizadas (Figura 4), que domina el conjunto de datos, en especial las que figuran en el Apéndice II (no se muestran). Mientras que las especies de aves suponen el 79 % del conjunto de datos de la CMS del índice de planeta vivo, no se encuentran notablemente sobrerrepresentadas como proporción en comparación con el 82 % esperado que figura en los Apéndices de la CMS (Tabla 1). </w:t>
      </w:r>
    </w:p>
    <w:p w:rsidR="00E15D73" w:rsidRPr="00180604" w:rsidRDefault="00E60CCE">
      <w:pPr>
        <w:ind w:left="-5" w:right="798"/>
        <w:rPr>
          <w:lang w:val="es-PE"/>
        </w:rPr>
      </w:pPr>
      <w:r w:rsidRPr="00180604">
        <w:rPr>
          <w:lang w:val="es-PE"/>
        </w:rPr>
        <w:t xml:space="preserve">La tendencia general de las especies que figuran en las listas de la CMS sugiere que este conjunto de especies ha mejorado a nivel global en comparación con lo que sugerían otros índices de diversidad biológica globales (p. ej., índice de planeta vivo 2018 [WWF, 2018]). No obstante, el índice general oculta diferencias en los distintos subconjuntos de datos subyacentes, como diferentes apéndices y grupos taxonómicos, que se mostrarán a continuación. </w:t>
      </w:r>
    </w:p>
    <w:p w:rsidR="00E15D73" w:rsidRDefault="00180604" w:rsidP="00316C32">
      <w:pPr>
        <w:spacing w:after="100" w:line="259" w:lineRule="auto"/>
        <w:ind w:left="0" w:right="1285" w:firstLine="0"/>
        <w:jc w:val="center"/>
      </w:pPr>
      <w:r>
        <w:rPr>
          <w:noProof/>
          <w:lang w:val="fr-FR" w:eastAsia="fr-FR"/>
        </w:rPr>
        <w:lastRenderedPageBreak/>
        <w:drawing>
          <wp:inline distT="0" distB="0" distL="0" distR="0">
            <wp:extent cx="4351283" cy="3225571"/>
            <wp:effectExtent l="0" t="0" r="0" b="0"/>
            <wp:docPr id="1" name="Picture 1" descr="C:\Users\daniel.mendoza\Downloads\Hnet.com-imag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mendoza\Downloads\Hnet.com-image (16).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2551" t="3063" r="2795" b="47379"/>
                    <a:stretch/>
                  </pic:blipFill>
                  <pic:spPr bwMode="auto">
                    <a:xfrm>
                      <a:off x="0" y="0"/>
                      <a:ext cx="4360484" cy="3232392"/>
                    </a:xfrm>
                    <a:prstGeom prst="rect">
                      <a:avLst/>
                    </a:prstGeom>
                    <a:noFill/>
                    <a:ln>
                      <a:noFill/>
                    </a:ln>
                    <a:extLst>
                      <a:ext uri="{53640926-AAD7-44D8-BBD7-CCE9431645EC}">
                        <a14:shadowObscured xmlns:a14="http://schemas.microsoft.com/office/drawing/2010/main"/>
                      </a:ext>
                    </a:extLst>
                  </pic:spPr>
                </pic:pic>
              </a:graphicData>
            </a:graphic>
          </wp:inline>
        </w:drawing>
      </w:r>
    </w:p>
    <w:p w:rsidR="00E15D73" w:rsidRPr="00180604" w:rsidRDefault="00E60CCE">
      <w:pPr>
        <w:spacing w:after="175" w:line="248" w:lineRule="auto"/>
        <w:ind w:left="-5" w:right="798"/>
        <w:rPr>
          <w:lang w:val="es-PE"/>
        </w:rPr>
      </w:pPr>
      <w:r w:rsidRPr="00180604">
        <w:rPr>
          <w:b/>
          <w:sz w:val="20"/>
          <w:lang w:val="es-PE"/>
        </w:rPr>
        <w:t>Figura 1</w:t>
      </w:r>
      <w:r w:rsidRPr="00180604">
        <w:rPr>
          <w:sz w:val="20"/>
          <w:lang w:val="es-PE"/>
        </w:rPr>
        <w:t xml:space="preserve">. Cambio de la abundancia media del 8 % entre 1970 y 2015 en 3.369 poblaciones monitorizadas de 583 especies de peces, aves, mamíferos y reptiles que figuran en las listas de la CMS monitorizadas de manera global. La línea blanca muestra los valores del índice y las áreas sombreadas representan la incertidumbre estadística que rodea a la tendencia (intervalo: del -5 % al 24 %). Tenga en cuenta que en ningún Apéndice de la CMS figuran especies de anfibios. </w:t>
      </w:r>
    </w:p>
    <w:p w:rsidR="00E15D73" w:rsidRPr="00180604" w:rsidRDefault="00E60CCE" w:rsidP="00316C32">
      <w:pPr>
        <w:pStyle w:val="Heading2"/>
        <w:rPr>
          <w:lang w:val="es-PE"/>
        </w:rPr>
      </w:pPr>
      <w:r w:rsidRPr="00180604">
        <w:rPr>
          <w:lang w:val="es-PE"/>
        </w:rPr>
        <w:t xml:space="preserve"> </w:t>
      </w:r>
      <w:bookmarkStart w:id="3" w:name="_Toc27618305"/>
      <w:r w:rsidRPr="00180604">
        <w:rPr>
          <w:lang w:val="es-PE"/>
        </w:rPr>
        <w:t>Especies que figuran en el Apéndice I</w:t>
      </w:r>
      <w:bookmarkEnd w:id="3"/>
      <w:r w:rsidRPr="00180604">
        <w:rPr>
          <w:lang w:val="es-PE"/>
        </w:rPr>
        <w:t xml:space="preserve"> </w:t>
      </w:r>
    </w:p>
    <w:p w:rsidR="00E15D73" w:rsidRPr="00180604" w:rsidRDefault="00E60CCE">
      <w:pPr>
        <w:spacing w:after="167"/>
        <w:ind w:left="-5" w:right="798"/>
        <w:rPr>
          <w:lang w:val="es-PE"/>
        </w:rPr>
      </w:pPr>
      <w:r w:rsidRPr="00180604">
        <w:rPr>
          <w:lang w:val="es-PE"/>
        </w:rPr>
        <w:t xml:space="preserve">Si se examina la tendencia media de las 111 poblaciones de 30 especies de aves, mamíferos y reptiles que figuran en el Apéndice I de la CMS en exclusiva, se obtiene un aumento inicial constante desde 1970 hasta mediados de los años 2000, seguido de un descenso constante (Figura 2). Este patrón de aumento y descenso se refleja en los mamíferos acuáticos y, en un grado menor, en las aves (no se muestra). En cambio, los mamíferos terrestres muestran un descenso pronunciado y constante de principio a fin (no se muestra). El índice regresa a un valor de 1,05 en 2015, lo que significa que la abundancia es, de media, un 0,5 % mayor que en 1970. La representación es superior al 50 % para los mamíferos y todas las especies combinadas y del 100 % para los reptiles (pero esta solo incluye a una especie). No existen datos en el índice de planeta vivo para especies individuales de peces que figuran en el Apéndice I de la CMS (Tabla 1). </w:t>
      </w:r>
    </w:p>
    <w:p w:rsidR="00E15D73" w:rsidRPr="00180604" w:rsidRDefault="00E60CCE">
      <w:pPr>
        <w:spacing w:after="167"/>
        <w:ind w:left="-5" w:right="798"/>
        <w:rPr>
          <w:lang w:val="es-PE"/>
        </w:rPr>
      </w:pPr>
      <w:r w:rsidRPr="00180604">
        <w:rPr>
          <w:lang w:val="es-PE"/>
        </w:rPr>
        <w:t xml:space="preserve">No obstante, si se centra la atención en las especies que figuran solo en el Apéndice I, esto excluye a especies que también figuran en el Apéndice II. Las especies que figuran en los dos Apéndices (en adelante, «Apéndice I/II») se consideran en peligro de extinción, pero también requieren acuerdos internacionales para su conservación y gestión o se beneficiarían enormemente de la cooperación internacional que se conseguiría mediante un acuerdo internacional. Al añadir esas 634 poblaciones de 71 especies de aves (n = 48), peces (n = 6), mamíferos (n = 11) y reptiles (n = 6) que figuran en el Apéndice I/II se descubre un patrón oscilante, que muestra un aumento inicial menor y una tendencia más negativa en términos generales, con especies que sufren un descenso del 23 % en la abundancia media entre 1970 y 2015 (Figura 3). </w:t>
      </w:r>
    </w:p>
    <w:p w:rsidR="00E15D73" w:rsidRPr="00180604" w:rsidRDefault="00E60CCE">
      <w:pPr>
        <w:ind w:left="-5" w:right="798"/>
        <w:rPr>
          <w:lang w:val="es-PE"/>
        </w:rPr>
      </w:pPr>
      <w:r w:rsidRPr="00180604">
        <w:rPr>
          <w:lang w:val="es-PE"/>
        </w:rPr>
        <w:t xml:space="preserve">En las Figuras S1 y S2 del apéndice del presente documento podrá consultar los gráficos que representan los índices del Apéndice I y del Apéndice I y Apéndice I/II junto con el índice de la CMS en general. </w:t>
      </w:r>
    </w:p>
    <w:p w:rsidR="00E15D73" w:rsidRDefault="00180604" w:rsidP="00CC2860">
      <w:pPr>
        <w:spacing w:after="100" w:line="259" w:lineRule="auto"/>
        <w:ind w:left="0" w:right="1458" w:firstLine="720"/>
        <w:jc w:val="center"/>
      </w:pPr>
      <w:r>
        <w:rPr>
          <w:noProof/>
          <w:lang w:val="fr-FR" w:eastAsia="fr-FR"/>
        </w:rPr>
        <w:lastRenderedPageBreak/>
        <w:drawing>
          <wp:inline distT="0" distB="0" distL="0" distR="0" wp14:anchorId="62F807F3" wp14:editId="6055DB67">
            <wp:extent cx="4619825" cy="3464764"/>
            <wp:effectExtent l="0" t="0" r="0" b="2540"/>
            <wp:docPr id="2" name="Picture 2" descr="C:\Users\daniel.mendoza\Downloads\Hnet.com-imag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mendoza\Downloads\Hnet.com-image (16).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1429" t="52028" r="12103" b="2169"/>
                    <a:stretch/>
                  </pic:blipFill>
                  <pic:spPr bwMode="auto">
                    <a:xfrm>
                      <a:off x="0" y="0"/>
                      <a:ext cx="4649202" cy="3486796"/>
                    </a:xfrm>
                    <a:prstGeom prst="rect">
                      <a:avLst/>
                    </a:prstGeom>
                    <a:noFill/>
                    <a:ln>
                      <a:noFill/>
                    </a:ln>
                    <a:extLst>
                      <a:ext uri="{53640926-AAD7-44D8-BBD7-CCE9431645EC}">
                        <a14:shadowObscured xmlns:a14="http://schemas.microsoft.com/office/drawing/2010/main"/>
                      </a:ext>
                    </a:extLst>
                  </pic:spPr>
                </pic:pic>
              </a:graphicData>
            </a:graphic>
          </wp:inline>
        </w:drawing>
      </w:r>
    </w:p>
    <w:p w:rsidR="00E15D73" w:rsidRPr="00180604" w:rsidRDefault="00E60CCE">
      <w:pPr>
        <w:spacing w:after="130" w:line="248" w:lineRule="auto"/>
        <w:ind w:left="-5" w:right="798"/>
        <w:rPr>
          <w:lang w:val="es-PE"/>
        </w:rPr>
      </w:pPr>
      <w:r w:rsidRPr="00180604">
        <w:rPr>
          <w:b/>
          <w:sz w:val="20"/>
          <w:lang w:val="es-PE"/>
        </w:rPr>
        <w:t>Figura 2</w:t>
      </w:r>
      <w:r w:rsidRPr="00180604">
        <w:rPr>
          <w:sz w:val="20"/>
          <w:lang w:val="es-PE"/>
        </w:rPr>
        <w:t xml:space="preserve">. Cambio de la abundancia media del 0,5 % entre 1970 y 2015 en 111 poblaciones monitorizadas de 30 especies de aves, mamíferos y reptiles que figuran en el Apéndice I de la CMS. La línea blanca muestra los valores del índice y las áreas sombreadas representan la incertidumbre estadística que rodea a la tendencia (intervalo: del -41 % al 83 %). Tenga en cuenta que no existía información en la LPD relativa a especies de peces individuales que figuran en el Apéndice I de la CMS. </w:t>
      </w:r>
    </w:p>
    <w:p w:rsidR="00E15D73" w:rsidRPr="00696407" w:rsidRDefault="00303A2E">
      <w:pPr>
        <w:spacing w:after="57" w:line="259" w:lineRule="auto"/>
        <w:ind w:left="0" w:right="1458" w:firstLine="0"/>
        <w:jc w:val="right"/>
        <w:rPr>
          <w:lang w:val="es-PE"/>
        </w:rPr>
      </w:pPr>
      <w:r>
        <w:rPr>
          <w:noProof/>
          <w:lang w:val="fr-FR" w:eastAsia="fr-FR"/>
        </w:rPr>
        <w:drawing>
          <wp:inline distT="0" distB="0" distL="0" distR="0">
            <wp:extent cx="4692315" cy="3484269"/>
            <wp:effectExtent l="0" t="0" r="0" b="1905"/>
            <wp:docPr id="5" name="Picture 5" descr="C:\Users\daniel.mendoza\Downloads\Hnet.com-image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mendoza\Downloads\Hnet.com-image (17).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5358" t="4325" r="7376" b="49908"/>
                    <a:stretch/>
                  </pic:blipFill>
                  <pic:spPr bwMode="auto">
                    <a:xfrm>
                      <a:off x="0" y="0"/>
                      <a:ext cx="4697024" cy="3487766"/>
                    </a:xfrm>
                    <a:prstGeom prst="rect">
                      <a:avLst/>
                    </a:prstGeom>
                    <a:noFill/>
                    <a:ln>
                      <a:noFill/>
                    </a:ln>
                    <a:extLst>
                      <a:ext uri="{53640926-AAD7-44D8-BBD7-CCE9431645EC}">
                        <a14:shadowObscured xmlns:a14="http://schemas.microsoft.com/office/drawing/2010/main"/>
                      </a:ext>
                    </a:extLst>
                  </pic:spPr>
                </pic:pic>
              </a:graphicData>
            </a:graphic>
          </wp:inline>
        </w:drawing>
      </w:r>
      <w:r w:rsidR="00E60CCE" w:rsidRPr="00696407">
        <w:rPr>
          <w:lang w:val="es-PE"/>
        </w:rPr>
        <w:t xml:space="preserve">   </w:t>
      </w:r>
    </w:p>
    <w:p w:rsidR="00E15D73" w:rsidRPr="00180604" w:rsidRDefault="00E60CCE">
      <w:pPr>
        <w:spacing w:after="9" w:line="248" w:lineRule="auto"/>
        <w:ind w:left="-5" w:right="798"/>
        <w:rPr>
          <w:lang w:val="es-PE"/>
        </w:rPr>
      </w:pPr>
      <w:r w:rsidRPr="00180604">
        <w:rPr>
          <w:b/>
          <w:sz w:val="20"/>
          <w:lang w:val="es-PE"/>
        </w:rPr>
        <w:t>Figura 3</w:t>
      </w:r>
      <w:r w:rsidRPr="00180604">
        <w:rPr>
          <w:sz w:val="20"/>
          <w:lang w:val="es-PE"/>
        </w:rPr>
        <w:t>. Cambio de la abundancia media del -23 % entre 1970 y 2015 en 745 poblaciones monitorizadas de 100 especies de aves, mamíferos, peces y reptiles que figuran en el Apéndice I o en el Apéndice I/II de la CMS. La línea blanca muestra los valores del índice y las áreas sombreadas representan la incertidumbre estadística que rodea a la tendencia (intervalo: del -51 % al 20 %). Tenga en cuenta que no existía información en la LPD relativa a especies de peces que figuran en el Apéndice I de la CMS.</w:t>
      </w:r>
      <w:r w:rsidRPr="00180604">
        <w:rPr>
          <w:lang w:val="es-PE"/>
        </w:rPr>
        <w:t xml:space="preserve"> </w:t>
      </w:r>
    </w:p>
    <w:p w:rsidR="00E15D73" w:rsidRPr="00180604" w:rsidRDefault="00E60CCE">
      <w:pPr>
        <w:spacing w:after="8"/>
        <w:ind w:left="-5" w:right="798"/>
        <w:rPr>
          <w:lang w:val="es-PE"/>
        </w:rPr>
      </w:pPr>
      <w:r w:rsidRPr="00180604">
        <w:rPr>
          <w:lang w:val="es-PE"/>
        </w:rPr>
        <w:lastRenderedPageBreak/>
        <w:t xml:space="preserve">Juntos, estos dos índices sugieren que las especies que figuran en las listas de la CMS monitorizadas y en peligro de extinción que se considera que no necesitan conservación a nivel internacional, de media, se han mantenido estables desde 1970, pero que estas especies que figuran en el Apéndice I han experimentado un descenso desde mediados de los años 2000. A medida que se dispone de más datos, parece evidente que esta tendencia pueda continuar después de 2015. En último lugar, también sugieren que el estado de las especies que figuran en ambos Apéndices está empeorando. Esto podría deberse, posiblemente, a diferentes motivos, como que no se hayan aprobado acuerdos internacionales, que no participen todos los socios necesarios de las regiones que usan estas especies durante sus migraciones o que los acuerdos establecidos no sean lo suficientemente eficaces a la hora de evitar los descensos en la abundancia. Un análisis más detallado puede aclararlo, pero sobrepasa el alcance de este informe. </w:t>
      </w:r>
    </w:p>
    <w:p w:rsidR="00E15D73" w:rsidRPr="00180604" w:rsidRDefault="00E60CCE">
      <w:pPr>
        <w:spacing w:after="98" w:line="259" w:lineRule="auto"/>
        <w:ind w:left="0" w:firstLine="0"/>
        <w:jc w:val="left"/>
        <w:rPr>
          <w:lang w:val="es-PE"/>
        </w:rPr>
      </w:pPr>
      <w:r w:rsidRPr="00180604">
        <w:rPr>
          <w:lang w:val="es-PE"/>
        </w:rPr>
        <w:t xml:space="preserve"> </w:t>
      </w:r>
    </w:p>
    <w:p w:rsidR="00E15D73" w:rsidRPr="00180604" w:rsidRDefault="00E60CCE">
      <w:pPr>
        <w:pStyle w:val="Heading2"/>
        <w:ind w:left="-5"/>
        <w:rPr>
          <w:lang w:val="es-PE"/>
        </w:rPr>
      </w:pPr>
      <w:bookmarkStart w:id="4" w:name="_Toc27618306"/>
      <w:r w:rsidRPr="00180604">
        <w:rPr>
          <w:lang w:val="es-PE"/>
        </w:rPr>
        <w:t>Especies que figuran en las listas de la CMS por clase</w:t>
      </w:r>
      <w:bookmarkEnd w:id="4"/>
      <w:r w:rsidRPr="00180604">
        <w:rPr>
          <w:lang w:val="es-PE"/>
        </w:rPr>
        <w:t xml:space="preserve"> </w:t>
      </w:r>
    </w:p>
    <w:p w:rsidR="00E15D73" w:rsidRPr="00180604" w:rsidRDefault="00E60CCE">
      <w:pPr>
        <w:spacing w:after="151"/>
        <w:ind w:left="-5" w:right="798"/>
        <w:rPr>
          <w:lang w:val="es-PE"/>
        </w:rPr>
      </w:pPr>
      <w:r w:rsidRPr="00180604">
        <w:rPr>
          <w:lang w:val="es-PE"/>
        </w:rPr>
        <w:t xml:space="preserve">Como ya se ha mencionado, el índice general que se muestra en la Figura 1 abarca un gran número de especies de aves, de manera que se asemeja más a la tendencia de este grupo taxonómico (Figura 4). Las especies de aves que figuran en las listas de la CMS han mostrado, de media, un aumento del 19 % (intervalo: del 2 % al 38 %) en la abundancia entre 1970 y 2015. En cambio, existe un marcado descenso de media en peces (-92%; intervalo: del -96 % al -85 %) y mamíferos terrestres (-11%; intervalo: del -49 % al 50 %). El índice de mamíferos acuáticos es el menos consistente, con una tendencia relativamente estable hasta principios de los años 2000, seguida de un aumento muy pronunciado hasta cerca del final del índice, lo que conduce a un aumento del 103 % en la abundancia media (intervalo: del 12 % al 261 %). Este repentino aumento se debe al número de especies —en su mayoría, aunque no exclusivamente, cetáceos— que cambian de una tendencia anteriormente negativa a una positiva. Diferentes especies mantienen la tendencia en aumento y muestran tendencias positivas en distintos puntos hasta el final del período del estudio. Estos datos no proceden de la misma fuente de datos o región y tienden a tener una menor duración. Por tanto, es menos probable que la tendencia sea un reflejo real de tendencias medias relativas a estas especies; en cambio, resulta más probable que sea el resultado de datos de monitorización intermitente. Asimismo, varias de estas series temporales abarcaban años puntuales con valores más bajos, lo que podría explicarse en parte por la dificultad de monitorizar con precisión mamíferos marinos con un área de distribución amplia en mar abierto. </w:t>
      </w:r>
    </w:p>
    <w:p w:rsidR="00E15D73" w:rsidRPr="00180604" w:rsidRDefault="00E60CCE">
      <w:pPr>
        <w:spacing w:after="168"/>
        <w:ind w:left="-5" w:right="798"/>
        <w:rPr>
          <w:lang w:val="es-PE"/>
        </w:rPr>
      </w:pPr>
      <w:r w:rsidRPr="00180604">
        <w:rPr>
          <w:lang w:val="es-PE"/>
        </w:rPr>
        <w:t>En líneas generales, el estado de las especies que figuran en las listas de la CMS parece favorable porque el indicador es bastante estable en el tiempo y se ha experimentado un aumento general de media. No obstante, los resultados taxonómicos sugieren que el estado de los peces y los mamíferos terrestres es peor que el de las aves y los mamíferos acuáti</w:t>
      </w:r>
      <w:r w:rsidR="00696407">
        <w:rPr>
          <w:lang w:val="es-PE"/>
        </w:rPr>
        <w:t>cos (Figura 4), y los reptiles.</w:t>
      </w:r>
      <w:r w:rsidRPr="00180604">
        <w:rPr>
          <w:lang w:val="es-PE"/>
        </w:rPr>
        <w:t xml:space="preserve"> </w:t>
      </w:r>
    </w:p>
    <w:p w:rsidR="00E15D73" w:rsidRPr="00180604" w:rsidRDefault="00E60CCE">
      <w:pPr>
        <w:spacing w:after="0" w:line="259" w:lineRule="auto"/>
        <w:ind w:left="0" w:firstLine="0"/>
        <w:jc w:val="left"/>
        <w:rPr>
          <w:lang w:val="es-PE"/>
        </w:rPr>
      </w:pPr>
      <w:r w:rsidRPr="00180604">
        <w:rPr>
          <w:lang w:val="es-PE"/>
        </w:rPr>
        <w:t xml:space="preserve"> </w:t>
      </w:r>
      <w:r w:rsidRPr="00180604">
        <w:rPr>
          <w:lang w:val="es-PE"/>
        </w:rPr>
        <w:tab/>
        <w:t xml:space="preserve"> </w:t>
      </w:r>
    </w:p>
    <w:p w:rsidR="00E15D73" w:rsidRPr="00696407" w:rsidRDefault="00696407">
      <w:pPr>
        <w:spacing w:after="100" w:line="259" w:lineRule="auto"/>
        <w:ind w:left="0" w:right="1294" w:firstLine="0"/>
        <w:jc w:val="right"/>
        <w:rPr>
          <w:lang w:val="es-PE"/>
        </w:rPr>
      </w:pPr>
      <w:r>
        <w:rPr>
          <w:noProof/>
          <w:lang w:val="fr-FR" w:eastAsia="fr-FR"/>
        </w:rPr>
        <w:lastRenderedPageBreak/>
        <w:drawing>
          <wp:inline distT="0" distB="0" distL="0" distR="0" wp14:anchorId="607904F5" wp14:editId="77FD895D">
            <wp:extent cx="5553345" cy="3563007"/>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68343" cy="3572629"/>
                    </a:xfrm>
                    <a:prstGeom prst="rect">
                      <a:avLst/>
                    </a:prstGeom>
                  </pic:spPr>
                </pic:pic>
              </a:graphicData>
            </a:graphic>
          </wp:inline>
        </w:drawing>
      </w:r>
      <w:r w:rsidR="00E60CCE" w:rsidRPr="00696407">
        <w:rPr>
          <w:lang w:val="es-PE"/>
        </w:rPr>
        <w:t xml:space="preserve"> </w:t>
      </w:r>
    </w:p>
    <w:p w:rsidR="00E15D73" w:rsidRPr="00180604" w:rsidRDefault="00E60CCE">
      <w:pPr>
        <w:spacing w:after="175" w:line="248" w:lineRule="auto"/>
        <w:ind w:left="-5" w:right="798"/>
        <w:rPr>
          <w:lang w:val="es-PE"/>
        </w:rPr>
      </w:pPr>
      <w:r w:rsidRPr="00180604">
        <w:rPr>
          <w:b/>
          <w:sz w:val="20"/>
          <w:lang w:val="es-PE"/>
        </w:rPr>
        <w:t>Figura 4</w:t>
      </w:r>
      <w:r w:rsidRPr="00180604">
        <w:rPr>
          <w:sz w:val="20"/>
          <w:lang w:val="es-PE"/>
        </w:rPr>
        <w:t>. Cambio de la abundancia media entre 1970 y 2015 en diferentes grupos taxonómicos de especies que figuran en los Apéndices de la CMS (Apéndice I, Apéndice II o Apéndice I/II). Las tendencias corresponden a 2.531 poblaciones monitorizadas de 465 especies de aves, 263 poblaciones monitorizadas de 45 especies de ma</w:t>
      </w:r>
      <w:r w:rsidR="00696407">
        <w:rPr>
          <w:sz w:val="20"/>
          <w:lang w:val="es-PE"/>
        </w:rPr>
        <w:t>míferos terrestres</w:t>
      </w:r>
      <w:r w:rsidRPr="00180604">
        <w:rPr>
          <w:sz w:val="20"/>
          <w:lang w:val="es-PE"/>
        </w:rPr>
        <w:t>, 195 poblaciones monitorizadas de 37 especies de mam</w:t>
      </w:r>
      <w:r w:rsidR="00696407">
        <w:rPr>
          <w:sz w:val="20"/>
          <w:lang w:val="es-PE"/>
        </w:rPr>
        <w:t>íferos acuáticos, 232 poblaciones de 10 especies de reptiles</w:t>
      </w:r>
      <w:r w:rsidRPr="00180604">
        <w:rPr>
          <w:sz w:val="20"/>
          <w:lang w:val="es-PE"/>
        </w:rPr>
        <w:t xml:space="preserve"> y 148 poblaciones monitorizadas de </w:t>
      </w:r>
      <w:r w:rsidR="00696407">
        <w:rPr>
          <w:sz w:val="20"/>
          <w:lang w:val="es-PE"/>
        </w:rPr>
        <w:t>26 especies de peces</w:t>
      </w:r>
      <w:r w:rsidRPr="00180604">
        <w:rPr>
          <w:sz w:val="20"/>
          <w:lang w:val="es-PE"/>
        </w:rPr>
        <w:t xml:space="preserve">. Los valores finales del índice se enumeran en el texto principal. </w:t>
      </w:r>
    </w:p>
    <w:p w:rsidR="00E15D73" w:rsidRPr="00180604" w:rsidRDefault="00E60CCE">
      <w:pPr>
        <w:spacing w:after="177" w:line="259" w:lineRule="auto"/>
        <w:ind w:left="0" w:firstLine="0"/>
        <w:jc w:val="left"/>
        <w:rPr>
          <w:lang w:val="es-PE"/>
        </w:rPr>
      </w:pPr>
      <w:r w:rsidRPr="00180604">
        <w:rPr>
          <w:lang w:val="es-PE"/>
        </w:rPr>
        <w:t xml:space="preserve"> </w:t>
      </w:r>
    </w:p>
    <w:p w:rsidR="00E15D73" w:rsidRPr="00180604" w:rsidRDefault="00E60CCE">
      <w:pPr>
        <w:pStyle w:val="Heading2"/>
        <w:ind w:left="-5"/>
        <w:rPr>
          <w:lang w:val="es-PE"/>
        </w:rPr>
      </w:pPr>
      <w:bookmarkStart w:id="5" w:name="_Toc27618307"/>
      <w:r w:rsidRPr="00180604">
        <w:rPr>
          <w:lang w:val="es-PE"/>
        </w:rPr>
        <w:t>Cobertura taxonómica</w:t>
      </w:r>
      <w:bookmarkEnd w:id="5"/>
      <w:r w:rsidRPr="00180604">
        <w:rPr>
          <w:lang w:val="es-PE"/>
        </w:rPr>
        <w:t xml:space="preserve"> </w:t>
      </w:r>
    </w:p>
    <w:p w:rsidR="00E15D73" w:rsidRPr="00180604" w:rsidRDefault="00E60CCE">
      <w:pPr>
        <w:spacing w:after="169"/>
        <w:ind w:left="-5" w:right="798"/>
        <w:rPr>
          <w:lang w:val="es-PE"/>
        </w:rPr>
      </w:pPr>
      <w:r w:rsidRPr="00180604">
        <w:rPr>
          <w:lang w:val="es-PE"/>
        </w:rPr>
        <w:t xml:space="preserve">A menudo, los datos de abundancia no siempre están disponibles para todo el rango de una especie, lo que significa que las tendencias mostradas reflejan los datos que tenemos. Tampoco es posible inferir tendencias relativas a ubicaciones o especies que no se encuentran en el conjunto de datos. </w:t>
      </w:r>
    </w:p>
    <w:p w:rsidR="00E15D73" w:rsidRPr="00180604" w:rsidRDefault="00E60CCE">
      <w:pPr>
        <w:spacing w:after="167"/>
        <w:ind w:left="-5" w:right="798"/>
        <w:rPr>
          <w:lang w:val="es-PE"/>
        </w:rPr>
      </w:pPr>
      <w:r w:rsidRPr="00180604">
        <w:rPr>
          <w:lang w:val="es-PE"/>
        </w:rPr>
        <w:t xml:space="preserve">Aunque la cobertura taxonómica del conjunto de datos del índice de planeta vivo no está completa, puede considerarse buena, pues representa a alrededor del 50 % de las especies que figuran en las listas de la CMS que aparecen representadas en el índice general (Tabla 1). La representación es mejor para mamíferos acuáticos (62 %) y ligeramente inferior al 50 % para las aves (49 %) y los peces (48 %). Para las especies solo del Apéndice I, y del Apéndice I y Apéndice I/II combinadas, más de la mitad de las especies tienen representación en general, hecho que también se aplica a los mamíferos (Tabla 1). La excelente representación de los reptiles (100 % y 88 %) contrasta claramente con la de los peces que, aunque cuentan con una representación del 48 % en el índice general, carece de datos para especies consideradas en peligro de extinción (Tabla 1). A pesar de estas diferencias, ninguno de los cortes de datos cuenta con una representación excesivamente escasa (no se muestra). </w:t>
      </w:r>
    </w:p>
    <w:p w:rsidR="00E15D73" w:rsidRPr="00180604" w:rsidRDefault="00E60CCE">
      <w:pPr>
        <w:ind w:left="-5" w:right="798"/>
        <w:rPr>
          <w:lang w:val="es-PE"/>
        </w:rPr>
      </w:pPr>
      <w:r w:rsidRPr="00180604">
        <w:rPr>
          <w:lang w:val="es-PE"/>
        </w:rPr>
        <w:t xml:space="preserve">En líneas generales, la cobertura para estos índices es muy buena en comparación con otros indicadores globales, con un mínimo del 46 % de especies representadas en cada corte de datos excepto los peces del Apéndice I y del Apéndice I/II. A modo de ejemplo, en el índice de planeta vivo, todos los cortes de datos menos </w:t>
      </w:r>
      <w:proofErr w:type="gramStart"/>
      <w:r w:rsidRPr="00180604">
        <w:rPr>
          <w:lang w:val="es-PE"/>
        </w:rPr>
        <w:t>uno suponen menos</w:t>
      </w:r>
      <w:proofErr w:type="gramEnd"/>
      <w:r w:rsidRPr="00180604">
        <w:rPr>
          <w:lang w:val="es-PE"/>
        </w:rPr>
        <w:t xml:space="preserve"> del 30 % de las especies esperadas y la gran mayoría representa menos del 10 % (WWF, 2018). </w:t>
      </w:r>
    </w:p>
    <w:p w:rsidR="00E15D73" w:rsidRPr="00180604" w:rsidRDefault="00E60CCE">
      <w:pPr>
        <w:spacing w:after="9" w:line="248" w:lineRule="auto"/>
        <w:ind w:left="-5" w:right="798"/>
        <w:rPr>
          <w:lang w:val="es-PE"/>
        </w:rPr>
      </w:pPr>
      <w:r w:rsidRPr="00180604">
        <w:rPr>
          <w:b/>
          <w:sz w:val="20"/>
          <w:lang w:val="es-PE"/>
        </w:rPr>
        <w:lastRenderedPageBreak/>
        <w:t>Tabla 1</w:t>
      </w:r>
      <w:r w:rsidRPr="00180604">
        <w:rPr>
          <w:sz w:val="20"/>
          <w:lang w:val="es-PE"/>
        </w:rPr>
        <w:t xml:space="preserve">. Representación del conjunto de datos del índice de planeta vivo, en comparación con el número de especies que figuran en los diferentes Apéndices de la CMS </w:t>
      </w:r>
    </w:p>
    <w:p w:rsidR="00E15D73" w:rsidRDefault="00E60CCE">
      <w:pPr>
        <w:spacing w:after="9" w:line="248" w:lineRule="auto"/>
        <w:ind w:left="-5" w:right="798"/>
        <w:rPr>
          <w:sz w:val="20"/>
          <w:lang w:val="es-PE"/>
        </w:rPr>
      </w:pPr>
      <w:r w:rsidRPr="00180604">
        <w:rPr>
          <w:sz w:val="20"/>
          <w:lang w:val="es-PE"/>
        </w:rPr>
        <w:t xml:space="preserve">y en diferentes grupos taxonómicos en el índice de planeta vivo con el número esperado de especies de la CMS (extraído del PNUMA, 2019). Los valores rojos de la representación suponen menos del 30 % y los morados menos del 50 %. Tenga en cuenta que el símbolo * junto a los índices denota que incluyen reptiles. </w:t>
      </w:r>
    </w:p>
    <w:p w:rsidR="00316C32" w:rsidRDefault="00316C32">
      <w:pPr>
        <w:spacing w:after="9" w:line="248" w:lineRule="auto"/>
        <w:ind w:left="-5" w:right="798"/>
        <w:rPr>
          <w:sz w:val="20"/>
          <w:lang w:val="es-PE"/>
        </w:rPr>
      </w:pPr>
    </w:p>
    <w:tbl>
      <w:tblPr>
        <w:tblStyle w:val="TableGrid"/>
        <w:tblW w:w="4525" w:type="pct"/>
        <w:tblInd w:w="0" w:type="dxa"/>
        <w:tblCellMar>
          <w:top w:w="38" w:type="dxa"/>
          <w:right w:w="56" w:type="dxa"/>
        </w:tblCellMar>
        <w:tblLook w:val="04A0" w:firstRow="1" w:lastRow="0" w:firstColumn="1" w:lastColumn="0" w:noHBand="0" w:noVBand="1"/>
      </w:tblPr>
      <w:tblGrid>
        <w:gridCol w:w="1395"/>
        <w:gridCol w:w="2224"/>
        <w:gridCol w:w="1271"/>
        <w:gridCol w:w="66"/>
        <w:gridCol w:w="1029"/>
        <w:gridCol w:w="1255"/>
        <w:gridCol w:w="1482"/>
      </w:tblGrid>
      <w:tr w:rsidR="00316C32" w:rsidTr="00316C32">
        <w:trPr>
          <w:trHeight w:val="20"/>
        </w:trPr>
        <w:tc>
          <w:tcPr>
            <w:tcW w:w="791" w:type="pct"/>
            <w:tcBorders>
              <w:top w:val="nil"/>
              <w:left w:val="nil"/>
              <w:bottom w:val="nil"/>
              <w:right w:val="nil"/>
            </w:tcBorders>
            <w:vAlign w:val="bottom"/>
          </w:tcPr>
          <w:p w:rsidR="00316C32" w:rsidRPr="00180604" w:rsidRDefault="00316C32">
            <w:pPr>
              <w:spacing w:after="0" w:line="259" w:lineRule="auto"/>
              <w:ind w:left="108" w:firstLine="0"/>
              <w:jc w:val="left"/>
              <w:rPr>
                <w:lang w:val="es-PE"/>
              </w:rPr>
            </w:pPr>
            <w:r w:rsidRPr="00180604">
              <w:rPr>
                <w:rFonts w:ascii="Times New Roman" w:eastAsia="Times New Roman" w:hAnsi="Times New Roman" w:cs="Times New Roman"/>
                <w:sz w:val="24"/>
                <w:lang w:val="es-PE"/>
              </w:rPr>
              <w:t xml:space="preserve"> </w:t>
            </w:r>
          </w:p>
        </w:tc>
        <w:tc>
          <w:tcPr>
            <w:tcW w:w="1281" w:type="pct"/>
            <w:tcBorders>
              <w:top w:val="nil"/>
              <w:left w:val="nil"/>
              <w:bottom w:val="nil"/>
              <w:right w:val="nil"/>
            </w:tcBorders>
            <w:vAlign w:val="bottom"/>
          </w:tcPr>
          <w:p w:rsidR="00316C32" w:rsidRPr="00180604" w:rsidRDefault="00316C32">
            <w:pPr>
              <w:spacing w:after="0" w:line="259" w:lineRule="auto"/>
              <w:ind w:left="108" w:firstLine="0"/>
              <w:jc w:val="left"/>
              <w:rPr>
                <w:lang w:val="es-PE"/>
              </w:rPr>
            </w:pPr>
            <w:r w:rsidRPr="00180604">
              <w:rPr>
                <w:rFonts w:ascii="Times New Roman" w:eastAsia="Times New Roman" w:hAnsi="Times New Roman" w:cs="Times New Roman"/>
                <w:sz w:val="20"/>
                <w:lang w:val="es-PE"/>
              </w:rPr>
              <w:t xml:space="preserve"> </w:t>
            </w:r>
          </w:p>
        </w:tc>
        <w:tc>
          <w:tcPr>
            <w:tcW w:w="734" w:type="pct"/>
            <w:tcBorders>
              <w:top w:val="nil"/>
              <w:left w:val="nil"/>
              <w:bottom w:val="nil"/>
              <w:right w:val="nil"/>
            </w:tcBorders>
            <w:vAlign w:val="center"/>
          </w:tcPr>
          <w:p w:rsidR="00316C32" w:rsidRDefault="00316C32" w:rsidP="00316C32">
            <w:pPr>
              <w:spacing w:after="0" w:line="259" w:lineRule="auto"/>
              <w:ind w:left="0" w:hanging="26"/>
              <w:jc w:val="center"/>
            </w:pPr>
            <w:proofErr w:type="spellStart"/>
            <w:r>
              <w:rPr>
                <w:b/>
              </w:rPr>
              <w:t>Poblaciones</w:t>
            </w:r>
            <w:proofErr w:type="spellEnd"/>
          </w:p>
          <w:p w:rsidR="00316C32" w:rsidRDefault="00316C32" w:rsidP="00316C32">
            <w:pPr>
              <w:spacing w:after="0" w:line="259" w:lineRule="auto"/>
              <w:ind w:left="0" w:hanging="26"/>
              <w:jc w:val="center"/>
            </w:pPr>
            <w:r>
              <w:rPr>
                <w:b/>
              </w:rPr>
              <w:t>del IPV</w:t>
            </w:r>
          </w:p>
        </w:tc>
        <w:tc>
          <w:tcPr>
            <w:tcW w:w="43" w:type="pct"/>
            <w:tcBorders>
              <w:top w:val="nil"/>
              <w:left w:val="nil"/>
              <w:bottom w:val="nil"/>
              <w:right w:val="nil"/>
            </w:tcBorders>
            <w:vAlign w:val="center"/>
          </w:tcPr>
          <w:p w:rsidR="00316C32" w:rsidRDefault="00316C32" w:rsidP="00316C32">
            <w:pPr>
              <w:spacing w:after="0" w:line="259" w:lineRule="auto"/>
              <w:ind w:left="0" w:firstLine="204"/>
              <w:jc w:val="center"/>
              <w:rPr>
                <w:b/>
              </w:rPr>
            </w:pPr>
          </w:p>
        </w:tc>
        <w:tc>
          <w:tcPr>
            <w:tcW w:w="587" w:type="pct"/>
            <w:tcBorders>
              <w:top w:val="nil"/>
              <w:left w:val="nil"/>
              <w:bottom w:val="nil"/>
              <w:right w:val="double" w:sz="6" w:space="0" w:color="808080"/>
            </w:tcBorders>
            <w:vAlign w:val="center"/>
          </w:tcPr>
          <w:p w:rsidR="00316C32" w:rsidRDefault="00316C32" w:rsidP="00316C32">
            <w:pPr>
              <w:spacing w:after="0" w:line="259" w:lineRule="auto"/>
              <w:ind w:left="0" w:firstLine="204"/>
              <w:jc w:val="center"/>
            </w:pPr>
            <w:proofErr w:type="spellStart"/>
            <w:r>
              <w:rPr>
                <w:b/>
              </w:rPr>
              <w:t>Especies</w:t>
            </w:r>
            <w:proofErr w:type="spellEnd"/>
            <w:r>
              <w:rPr>
                <w:b/>
              </w:rPr>
              <w:t xml:space="preserve"> del IPV</w:t>
            </w:r>
          </w:p>
        </w:tc>
        <w:tc>
          <w:tcPr>
            <w:tcW w:w="724" w:type="pct"/>
            <w:tcBorders>
              <w:top w:val="nil"/>
              <w:left w:val="double" w:sz="6" w:space="0" w:color="808080"/>
              <w:bottom w:val="nil"/>
              <w:right w:val="nil"/>
            </w:tcBorders>
            <w:vAlign w:val="center"/>
          </w:tcPr>
          <w:p w:rsidR="00316C32" w:rsidRDefault="00316C32" w:rsidP="00316C32">
            <w:pPr>
              <w:spacing w:after="0" w:line="259" w:lineRule="auto"/>
              <w:ind w:left="270" w:hanging="86"/>
              <w:jc w:val="center"/>
            </w:pPr>
            <w:proofErr w:type="spellStart"/>
            <w:r>
              <w:rPr>
                <w:b/>
              </w:rPr>
              <w:t>Especies</w:t>
            </w:r>
            <w:proofErr w:type="spellEnd"/>
            <w:r>
              <w:rPr>
                <w:b/>
              </w:rPr>
              <w:t xml:space="preserve"> </w:t>
            </w:r>
            <w:proofErr w:type="spellStart"/>
            <w:r>
              <w:rPr>
                <w:b/>
              </w:rPr>
              <w:t>esperadas</w:t>
            </w:r>
            <w:proofErr w:type="spellEnd"/>
          </w:p>
        </w:tc>
        <w:tc>
          <w:tcPr>
            <w:tcW w:w="840" w:type="pct"/>
            <w:tcBorders>
              <w:top w:val="nil"/>
              <w:left w:val="nil"/>
              <w:bottom w:val="nil"/>
              <w:right w:val="nil"/>
            </w:tcBorders>
            <w:vAlign w:val="center"/>
          </w:tcPr>
          <w:p w:rsidR="00316C32" w:rsidRDefault="00316C32" w:rsidP="00316C32">
            <w:pPr>
              <w:spacing w:after="0" w:line="259" w:lineRule="auto"/>
              <w:ind w:left="187" w:hanging="187"/>
              <w:jc w:val="center"/>
            </w:pPr>
            <w:proofErr w:type="spellStart"/>
            <w:r>
              <w:rPr>
                <w:b/>
              </w:rPr>
              <w:t>Representación</w:t>
            </w:r>
            <w:proofErr w:type="spellEnd"/>
          </w:p>
        </w:tc>
      </w:tr>
      <w:tr w:rsidR="00316C32" w:rsidTr="00316C32">
        <w:trPr>
          <w:trHeight w:val="20"/>
        </w:trPr>
        <w:tc>
          <w:tcPr>
            <w:tcW w:w="791" w:type="pct"/>
            <w:tcBorders>
              <w:top w:val="nil"/>
              <w:left w:val="nil"/>
              <w:bottom w:val="nil"/>
              <w:right w:val="nil"/>
            </w:tcBorders>
            <w:shd w:val="clear" w:color="auto" w:fill="B4C6E7"/>
          </w:tcPr>
          <w:p w:rsidR="00316C32" w:rsidRDefault="00316C32">
            <w:pPr>
              <w:spacing w:after="0" w:line="259" w:lineRule="auto"/>
              <w:ind w:left="55" w:firstLine="0"/>
              <w:jc w:val="center"/>
            </w:pPr>
            <w:proofErr w:type="spellStart"/>
            <w:r>
              <w:rPr>
                <w:b/>
              </w:rPr>
              <w:t>Todas</w:t>
            </w:r>
            <w:proofErr w:type="spellEnd"/>
            <w:r>
              <w:rPr>
                <w:b/>
              </w:rPr>
              <w:t xml:space="preserve"> de la CMS </w:t>
            </w:r>
          </w:p>
        </w:tc>
        <w:tc>
          <w:tcPr>
            <w:tcW w:w="1281" w:type="pct"/>
            <w:tcBorders>
              <w:top w:val="nil"/>
              <w:left w:val="nil"/>
              <w:bottom w:val="nil"/>
              <w:right w:val="single" w:sz="4" w:space="0" w:color="808080"/>
            </w:tcBorders>
            <w:shd w:val="clear" w:color="auto" w:fill="D9E1F2"/>
          </w:tcPr>
          <w:p w:rsidR="00316C32" w:rsidRDefault="00316C32">
            <w:pPr>
              <w:spacing w:after="0" w:line="259" w:lineRule="auto"/>
              <w:ind w:left="108" w:firstLine="0"/>
              <w:jc w:val="left"/>
            </w:pPr>
            <w:proofErr w:type="spellStart"/>
            <w:r>
              <w:rPr>
                <w:b/>
              </w:rPr>
              <w:t>Todas</w:t>
            </w:r>
            <w:proofErr w:type="spellEnd"/>
            <w:r>
              <w:rPr>
                <w:b/>
              </w:rPr>
              <w:t xml:space="preserve"> las </w:t>
            </w:r>
            <w:proofErr w:type="spellStart"/>
            <w:r>
              <w:rPr>
                <w:b/>
              </w:rPr>
              <w:t>especies</w:t>
            </w:r>
            <w:proofErr w:type="spellEnd"/>
            <w:r>
              <w:rPr>
                <w:b/>
              </w:rPr>
              <w:t xml:space="preserve">* </w:t>
            </w:r>
          </w:p>
        </w:tc>
        <w:tc>
          <w:tcPr>
            <w:tcW w:w="734" w:type="pct"/>
            <w:tcBorders>
              <w:top w:val="nil"/>
              <w:left w:val="single" w:sz="4" w:space="0" w:color="808080"/>
              <w:bottom w:val="nil"/>
              <w:right w:val="nil"/>
            </w:tcBorders>
            <w:shd w:val="clear" w:color="auto" w:fill="D9E1F2"/>
          </w:tcPr>
          <w:p w:rsidR="00316C32" w:rsidRDefault="00316C32" w:rsidP="00316C32">
            <w:pPr>
              <w:spacing w:after="0" w:line="259" w:lineRule="auto"/>
              <w:ind w:left="0" w:hanging="26"/>
              <w:jc w:val="center"/>
            </w:pPr>
            <w:r>
              <w:rPr>
                <w:b/>
              </w:rPr>
              <w:t xml:space="preserve">3.369 </w:t>
            </w:r>
          </w:p>
        </w:tc>
        <w:tc>
          <w:tcPr>
            <w:tcW w:w="43" w:type="pct"/>
            <w:tcBorders>
              <w:top w:val="nil"/>
              <w:left w:val="nil"/>
              <w:bottom w:val="nil"/>
              <w:right w:val="nil"/>
            </w:tcBorders>
            <w:shd w:val="clear" w:color="auto" w:fill="D9E1F2"/>
          </w:tcPr>
          <w:p w:rsidR="00316C32" w:rsidRDefault="00316C32">
            <w:pPr>
              <w:spacing w:after="0" w:line="259" w:lineRule="auto"/>
              <w:ind w:left="0" w:right="49" w:firstLine="0"/>
              <w:jc w:val="right"/>
              <w:rPr>
                <w:b/>
              </w:rPr>
            </w:pPr>
          </w:p>
        </w:tc>
        <w:tc>
          <w:tcPr>
            <w:tcW w:w="587" w:type="pct"/>
            <w:tcBorders>
              <w:top w:val="nil"/>
              <w:left w:val="nil"/>
              <w:bottom w:val="nil"/>
              <w:right w:val="double" w:sz="6" w:space="0" w:color="808080"/>
            </w:tcBorders>
            <w:shd w:val="clear" w:color="auto" w:fill="D9E1F2"/>
          </w:tcPr>
          <w:p w:rsidR="00316C32" w:rsidRDefault="00316C32">
            <w:pPr>
              <w:spacing w:after="0" w:line="259" w:lineRule="auto"/>
              <w:ind w:left="0" w:right="49" w:firstLine="0"/>
              <w:jc w:val="right"/>
            </w:pPr>
            <w:r>
              <w:rPr>
                <w:b/>
              </w:rPr>
              <w:t xml:space="preserve">583 </w:t>
            </w:r>
          </w:p>
        </w:tc>
        <w:tc>
          <w:tcPr>
            <w:tcW w:w="724" w:type="pct"/>
            <w:tcBorders>
              <w:top w:val="nil"/>
              <w:left w:val="double" w:sz="6" w:space="0" w:color="808080"/>
              <w:bottom w:val="nil"/>
              <w:right w:val="nil"/>
            </w:tcBorders>
            <w:shd w:val="clear" w:color="auto" w:fill="D9E1F2"/>
          </w:tcPr>
          <w:p w:rsidR="00316C32" w:rsidRDefault="00316C32">
            <w:pPr>
              <w:spacing w:after="0" w:line="259" w:lineRule="auto"/>
              <w:ind w:left="592" w:firstLine="0"/>
              <w:jc w:val="left"/>
            </w:pPr>
            <w:r>
              <w:rPr>
                <w:b/>
              </w:rPr>
              <w:t xml:space="preserve">1.158 </w:t>
            </w:r>
          </w:p>
        </w:tc>
        <w:tc>
          <w:tcPr>
            <w:tcW w:w="840" w:type="pct"/>
            <w:tcBorders>
              <w:top w:val="nil"/>
              <w:left w:val="nil"/>
              <w:bottom w:val="nil"/>
              <w:right w:val="nil"/>
            </w:tcBorders>
            <w:shd w:val="clear" w:color="auto" w:fill="D9E1F2"/>
          </w:tcPr>
          <w:p w:rsidR="00316C32" w:rsidRDefault="00316C32">
            <w:pPr>
              <w:spacing w:after="0" w:line="259" w:lineRule="auto"/>
              <w:ind w:left="0" w:right="49" w:firstLine="0"/>
              <w:jc w:val="right"/>
            </w:pPr>
            <w:r>
              <w:rPr>
                <w:b/>
              </w:rPr>
              <w:t xml:space="preserve">50 % </w:t>
            </w:r>
          </w:p>
        </w:tc>
      </w:tr>
      <w:tr w:rsidR="00316C32" w:rsidTr="00316C32">
        <w:trPr>
          <w:trHeight w:val="20"/>
        </w:trPr>
        <w:tc>
          <w:tcPr>
            <w:tcW w:w="791" w:type="pct"/>
            <w:tcBorders>
              <w:top w:val="nil"/>
              <w:left w:val="nil"/>
              <w:bottom w:val="nil"/>
              <w:right w:val="nil"/>
            </w:tcBorders>
            <w:shd w:val="clear" w:color="auto" w:fill="B4C6E7"/>
          </w:tcPr>
          <w:p w:rsidR="00316C32" w:rsidRDefault="00316C32">
            <w:pPr>
              <w:spacing w:after="0" w:line="259" w:lineRule="auto"/>
              <w:ind w:left="104" w:firstLine="0"/>
              <w:jc w:val="center"/>
            </w:pPr>
            <w:r>
              <w:rPr>
                <w:b/>
              </w:rPr>
              <w:t xml:space="preserve">  </w:t>
            </w:r>
          </w:p>
        </w:tc>
        <w:tc>
          <w:tcPr>
            <w:tcW w:w="1281" w:type="pct"/>
            <w:tcBorders>
              <w:top w:val="nil"/>
              <w:left w:val="nil"/>
              <w:bottom w:val="nil"/>
              <w:right w:val="single" w:sz="4" w:space="0" w:color="808080"/>
            </w:tcBorders>
            <w:shd w:val="clear" w:color="auto" w:fill="D9E1F2"/>
          </w:tcPr>
          <w:p w:rsidR="00316C32" w:rsidRDefault="00316C32">
            <w:pPr>
              <w:spacing w:after="0" w:line="259" w:lineRule="auto"/>
              <w:ind w:left="108" w:firstLine="0"/>
              <w:jc w:val="left"/>
            </w:pPr>
            <w:r>
              <w:t xml:space="preserve">Aves </w:t>
            </w:r>
          </w:p>
        </w:tc>
        <w:tc>
          <w:tcPr>
            <w:tcW w:w="734" w:type="pct"/>
            <w:tcBorders>
              <w:top w:val="nil"/>
              <w:left w:val="single" w:sz="4" w:space="0" w:color="808080"/>
              <w:bottom w:val="nil"/>
              <w:right w:val="nil"/>
            </w:tcBorders>
            <w:shd w:val="clear" w:color="auto" w:fill="D9E1F2"/>
          </w:tcPr>
          <w:p w:rsidR="00316C32" w:rsidRDefault="00316C32" w:rsidP="00316C32">
            <w:pPr>
              <w:spacing w:after="0" w:line="259" w:lineRule="auto"/>
              <w:ind w:left="0" w:hanging="26"/>
              <w:jc w:val="center"/>
            </w:pPr>
            <w:r>
              <w:t xml:space="preserve">2.531 </w:t>
            </w:r>
          </w:p>
        </w:tc>
        <w:tc>
          <w:tcPr>
            <w:tcW w:w="43" w:type="pct"/>
            <w:tcBorders>
              <w:top w:val="nil"/>
              <w:left w:val="nil"/>
              <w:bottom w:val="nil"/>
              <w:right w:val="nil"/>
            </w:tcBorders>
            <w:shd w:val="clear" w:color="auto" w:fill="D9E1F2"/>
          </w:tcPr>
          <w:p w:rsidR="00316C32" w:rsidRDefault="00316C32">
            <w:pPr>
              <w:spacing w:after="0" w:line="259" w:lineRule="auto"/>
              <w:ind w:left="0" w:right="49" w:firstLine="0"/>
              <w:jc w:val="right"/>
            </w:pPr>
          </w:p>
        </w:tc>
        <w:tc>
          <w:tcPr>
            <w:tcW w:w="587" w:type="pct"/>
            <w:tcBorders>
              <w:top w:val="nil"/>
              <w:left w:val="nil"/>
              <w:bottom w:val="nil"/>
              <w:right w:val="double" w:sz="6" w:space="0" w:color="808080"/>
            </w:tcBorders>
            <w:shd w:val="clear" w:color="auto" w:fill="D9E1F2"/>
          </w:tcPr>
          <w:p w:rsidR="00316C32" w:rsidRDefault="00316C32">
            <w:pPr>
              <w:spacing w:after="0" w:line="259" w:lineRule="auto"/>
              <w:ind w:left="0" w:right="49" w:firstLine="0"/>
              <w:jc w:val="right"/>
            </w:pPr>
            <w:r>
              <w:t xml:space="preserve">465 </w:t>
            </w:r>
          </w:p>
        </w:tc>
        <w:tc>
          <w:tcPr>
            <w:tcW w:w="724" w:type="pct"/>
            <w:tcBorders>
              <w:top w:val="nil"/>
              <w:left w:val="double" w:sz="6" w:space="0" w:color="808080"/>
              <w:bottom w:val="nil"/>
              <w:right w:val="nil"/>
            </w:tcBorders>
            <w:shd w:val="clear" w:color="auto" w:fill="D9E1F2"/>
          </w:tcPr>
          <w:p w:rsidR="00316C32" w:rsidRDefault="00316C32">
            <w:pPr>
              <w:spacing w:after="0" w:line="259" w:lineRule="auto"/>
              <w:ind w:left="760" w:firstLine="0"/>
              <w:jc w:val="left"/>
            </w:pPr>
            <w:r>
              <w:t xml:space="preserve">944 </w:t>
            </w:r>
          </w:p>
        </w:tc>
        <w:tc>
          <w:tcPr>
            <w:tcW w:w="840" w:type="pct"/>
            <w:tcBorders>
              <w:top w:val="nil"/>
              <w:left w:val="nil"/>
              <w:bottom w:val="nil"/>
              <w:right w:val="nil"/>
            </w:tcBorders>
            <w:shd w:val="clear" w:color="auto" w:fill="D9E1F2"/>
          </w:tcPr>
          <w:p w:rsidR="00316C32" w:rsidRDefault="00316C32">
            <w:pPr>
              <w:spacing w:after="0" w:line="259" w:lineRule="auto"/>
              <w:ind w:left="0" w:right="50" w:firstLine="0"/>
              <w:jc w:val="right"/>
            </w:pPr>
            <w:r>
              <w:rPr>
                <w:color w:val="9933FF"/>
              </w:rPr>
              <w:t xml:space="preserve">49 % </w:t>
            </w:r>
          </w:p>
        </w:tc>
      </w:tr>
      <w:tr w:rsidR="00316C32" w:rsidTr="00316C32">
        <w:trPr>
          <w:trHeight w:val="20"/>
        </w:trPr>
        <w:tc>
          <w:tcPr>
            <w:tcW w:w="791" w:type="pct"/>
            <w:tcBorders>
              <w:top w:val="nil"/>
              <w:left w:val="nil"/>
              <w:bottom w:val="nil"/>
              <w:right w:val="nil"/>
            </w:tcBorders>
            <w:shd w:val="clear" w:color="auto" w:fill="B4C6E7"/>
          </w:tcPr>
          <w:p w:rsidR="00316C32" w:rsidRDefault="00316C32">
            <w:pPr>
              <w:spacing w:after="0" w:line="259" w:lineRule="auto"/>
              <w:ind w:left="104" w:firstLine="0"/>
              <w:jc w:val="center"/>
            </w:pPr>
            <w:r>
              <w:rPr>
                <w:b/>
              </w:rPr>
              <w:t xml:space="preserve">  </w:t>
            </w:r>
          </w:p>
        </w:tc>
        <w:tc>
          <w:tcPr>
            <w:tcW w:w="1281" w:type="pct"/>
            <w:tcBorders>
              <w:top w:val="nil"/>
              <w:left w:val="nil"/>
              <w:bottom w:val="nil"/>
              <w:right w:val="single" w:sz="4" w:space="0" w:color="808080"/>
            </w:tcBorders>
            <w:shd w:val="clear" w:color="auto" w:fill="D9E1F2"/>
          </w:tcPr>
          <w:p w:rsidR="00316C32" w:rsidRDefault="00316C32">
            <w:pPr>
              <w:spacing w:after="0" w:line="259" w:lineRule="auto"/>
              <w:ind w:left="108" w:firstLine="0"/>
              <w:jc w:val="left"/>
            </w:pPr>
            <w:proofErr w:type="spellStart"/>
            <w:r>
              <w:t>Mamíferos</w:t>
            </w:r>
            <w:proofErr w:type="spellEnd"/>
            <w:r>
              <w:t xml:space="preserve"> (</w:t>
            </w:r>
            <w:proofErr w:type="spellStart"/>
            <w:r>
              <w:t>terrestres</w:t>
            </w:r>
            <w:proofErr w:type="spellEnd"/>
            <w:r>
              <w:t xml:space="preserve">) </w:t>
            </w:r>
          </w:p>
        </w:tc>
        <w:tc>
          <w:tcPr>
            <w:tcW w:w="734" w:type="pct"/>
            <w:tcBorders>
              <w:top w:val="nil"/>
              <w:left w:val="single" w:sz="4" w:space="0" w:color="808080"/>
              <w:bottom w:val="nil"/>
              <w:right w:val="nil"/>
            </w:tcBorders>
            <w:shd w:val="clear" w:color="auto" w:fill="D9E1F2"/>
          </w:tcPr>
          <w:p w:rsidR="00316C32" w:rsidRDefault="00316C32" w:rsidP="00316C32">
            <w:pPr>
              <w:spacing w:after="0" w:line="259" w:lineRule="auto"/>
              <w:ind w:left="0" w:hanging="26"/>
              <w:jc w:val="center"/>
            </w:pPr>
            <w:r>
              <w:t xml:space="preserve">263 </w:t>
            </w:r>
          </w:p>
        </w:tc>
        <w:tc>
          <w:tcPr>
            <w:tcW w:w="43" w:type="pct"/>
            <w:tcBorders>
              <w:top w:val="nil"/>
              <w:left w:val="nil"/>
              <w:bottom w:val="nil"/>
              <w:right w:val="nil"/>
            </w:tcBorders>
            <w:shd w:val="clear" w:color="auto" w:fill="D9E1F2"/>
          </w:tcPr>
          <w:p w:rsidR="00316C32" w:rsidRDefault="00316C32">
            <w:pPr>
              <w:spacing w:after="0" w:line="259" w:lineRule="auto"/>
              <w:ind w:left="0" w:right="48" w:firstLine="0"/>
              <w:jc w:val="right"/>
            </w:pPr>
          </w:p>
        </w:tc>
        <w:tc>
          <w:tcPr>
            <w:tcW w:w="587" w:type="pct"/>
            <w:tcBorders>
              <w:top w:val="nil"/>
              <w:left w:val="nil"/>
              <w:bottom w:val="nil"/>
              <w:right w:val="double" w:sz="6" w:space="0" w:color="808080"/>
            </w:tcBorders>
            <w:shd w:val="clear" w:color="auto" w:fill="D9E1F2"/>
          </w:tcPr>
          <w:p w:rsidR="00316C32" w:rsidRDefault="00316C32">
            <w:pPr>
              <w:spacing w:after="0" w:line="259" w:lineRule="auto"/>
              <w:ind w:left="0" w:right="48" w:firstLine="0"/>
              <w:jc w:val="right"/>
            </w:pPr>
            <w:r>
              <w:t xml:space="preserve">45 </w:t>
            </w:r>
          </w:p>
        </w:tc>
        <w:tc>
          <w:tcPr>
            <w:tcW w:w="724" w:type="pct"/>
            <w:tcBorders>
              <w:top w:val="nil"/>
              <w:left w:val="double" w:sz="6" w:space="0" w:color="808080"/>
              <w:bottom w:val="nil"/>
              <w:right w:val="nil"/>
            </w:tcBorders>
            <w:shd w:val="clear" w:color="auto" w:fill="D9E1F2"/>
          </w:tcPr>
          <w:p w:rsidR="00316C32" w:rsidRDefault="00316C32">
            <w:pPr>
              <w:spacing w:after="0" w:line="259" w:lineRule="auto"/>
              <w:ind w:left="871" w:firstLine="0"/>
              <w:jc w:val="left"/>
            </w:pPr>
            <w:r>
              <w:t xml:space="preserve">90 </w:t>
            </w:r>
          </w:p>
        </w:tc>
        <w:tc>
          <w:tcPr>
            <w:tcW w:w="840" w:type="pct"/>
            <w:tcBorders>
              <w:top w:val="nil"/>
              <w:left w:val="nil"/>
              <w:bottom w:val="nil"/>
              <w:right w:val="nil"/>
            </w:tcBorders>
            <w:shd w:val="clear" w:color="auto" w:fill="D9E1F2"/>
          </w:tcPr>
          <w:p w:rsidR="00316C32" w:rsidRDefault="00316C32">
            <w:pPr>
              <w:spacing w:after="0" w:line="259" w:lineRule="auto"/>
              <w:ind w:left="0" w:right="50" w:firstLine="0"/>
              <w:jc w:val="right"/>
            </w:pPr>
            <w:r>
              <w:t xml:space="preserve">50 % </w:t>
            </w:r>
          </w:p>
        </w:tc>
      </w:tr>
      <w:tr w:rsidR="00316C32" w:rsidTr="00316C32">
        <w:trPr>
          <w:trHeight w:val="20"/>
        </w:trPr>
        <w:tc>
          <w:tcPr>
            <w:tcW w:w="791" w:type="pct"/>
            <w:tcBorders>
              <w:top w:val="nil"/>
              <w:left w:val="nil"/>
              <w:bottom w:val="nil"/>
              <w:right w:val="nil"/>
            </w:tcBorders>
            <w:shd w:val="clear" w:color="auto" w:fill="B4C6E7"/>
          </w:tcPr>
          <w:p w:rsidR="00316C32" w:rsidRDefault="00316C32">
            <w:pPr>
              <w:spacing w:after="0" w:line="259" w:lineRule="auto"/>
              <w:ind w:left="104" w:firstLine="0"/>
              <w:jc w:val="center"/>
            </w:pPr>
            <w:r>
              <w:rPr>
                <w:b/>
              </w:rPr>
              <w:t xml:space="preserve">  </w:t>
            </w:r>
          </w:p>
        </w:tc>
        <w:tc>
          <w:tcPr>
            <w:tcW w:w="1281" w:type="pct"/>
            <w:tcBorders>
              <w:top w:val="nil"/>
              <w:left w:val="nil"/>
              <w:bottom w:val="nil"/>
              <w:right w:val="single" w:sz="4" w:space="0" w:color="808080"/>
            </w:tcBorders>
            <w:shd w:val="clear" w:color="auto" w:fill="D9E1F2"/>
          </w:tcPr>
          <w:p w:rsidR="00316C32" w:rsidRDefault="00316C32">
            <w:pPr>
              <w:spacing w:after="0" w:line="259" w:lineRule="auto"/>
              <w:ind w:left="108" w:firstLine="0"/>
              <w:jc w:val="left"/>
            </w:pPr>
            <w:proofErr w:type="spellStart"/>
            <w:r>
              <w:t>Mamíferos</w:t>
            </w:r>
            <w:proofErr w:type="spellEnd"/>
            <w:r>
              <w:t xml:space="preserve"> (</w:t>
            </w:r>
            <w:proofErr w:type="spellStart"/>
            <w:r>
              <w:t>acuáticos</w:t>
            </w:r>
            <w:proofErr w:type="spellEnd"/>
            <w:r>
              <w:t xml:space="preserve">) </w:t>
            </w:r>
          </w:p>
        </w:tc>
        <w:tc>
          <w:tcPr>
            <w:tcW w:w="734" w:type="pct"/>
            <w:tcBorders>
              <w:top w:val="nil"/>
              <w:left w:val="single" w:sz="4" w:space="0" w:color="808080"/>
              <w:bottom w:val="nil"/>
              <w:right w:val="nil"/>
            </w:tcBorders>
            <w:shd w:val="clear" w:color="auto" w:fill="D9E1F2"/>
          </w:tcPr>
          <w:p w:rsidR="00316C32" w:rsidRDefault="00316C32" w:rsidP="00316C32">
            <w:pPr>
              <w:spacing w:after="0" w:line="259" w:lineRule="auto"/>
              <w:ind w:left="0" w:firstLine="0"/>
              <w:jc w:val="center"/>
            </w:pPr>
            <w:r>
              <w:t xml:space="preserve">195 </w:t>
            </w:r>
          </w:p>
        </w:tc>
        <w:tc>
          <w:tcPr>
            <w:tcW w:w="43" w:type="pct"/>
            <w:tcBorders>
              <w:top w:val="nil"/>
              <w:left w:val="nil"/>
              <w:bottom w:val="nil"/>
              <w:right w:val="nil"/>
            </w:tcBorders>
            <w:shd w:val="clear" w:color="auto" w:fill="D9E1F2"/>
          </w:tcPr>
          <w:p w:rsidR="00316C32" w:rsidRDefault="00316C32">
            <w:pPr>
              <w:spacing w:after="0" w:line="259" w:lineRule="auto"/>
              <w:ind w:left="0" w:right="48" w:firstLine="0"/>
              <w:jc w:val="right"/>
            </w:pPr>
          </w:p>
        </w:tc>
        <w:tc>
          <w:tcPr>
            <w:tcW w:w="587" w:type="pct"/>
            <w:tcBorders>
              <w:top w:val="nil"/>
              <w:left w:val="nil"/>
              <w:bottom w:val="nil"/>
              <w:right w:val="double" w:sz="6" w:space="0" w:color="808080"/>
            </w:tcBorders>
            <w:shd w:val="clear" w:color="auto" w:fill="D9E1F2"/>
          </w:tcPr>
          <w:p w:rsidR="00316C32" w:rsidRDefault="00316C32">
            <w:pPr>
              <w:spacing w:after="0" w:line="259" w:lineRule="auto"/>
              <w:ind w:left="0" w:right="48" w:firstLine="0"/>
              <w:jc w:val="right"/>
            </w:pPr>
            <w:r>
              <w:t xml:space="preserve">37 </w:t>
            </w:r>
          </w:p>
        </w:tc>
        <w:tc>
          <w:tcPr>
            <w:tcW w:w="724" w:type="pct"/>
            <w:tcBorders>
              <w:top w:val="nil"/>
              <w:left w:val="double" w:sz="6" w:space="0" w:color="808080"/>
              <w:bottom w:val="nil"/>
              <w:right w:val="nil"/>
            </w:tcBorders>
            <w:shd w:val="clear" w:color="auto" w:fill="D9E1F2"/>
          </w:tcPr>
          <w:p w:rsidR="00316C32" w:rsidRDefault="00316C32">
            <w:pPr>
              <w:spacing w:after="0" w:line="259" w:lineRule="auto"/>
              <w:ind w:left="871" w:firstLine="0"/>
              <w:jc w:val="left"/>
            </w:pPr>
            <w:r>
              <w:t xml:space="preserve">60 </w:t>
            </w:r>
          </w:p>
        </w:tc>
        <w:tc>
          <w:tcPr>
            <w:tcW w:w="840" w:type="pct"/>
            <w:tcBorders>
              <w:top w:val="nil"/>
              <w:left w:val="nil"/>
              <w:bottom w:val="nil"/>
              <w:right w:val="nil"/>
            </w:tcBorders>
            <w:shd w:val="clear" w:color="auto" w:fill="D9E1F2"/>
          </w:tcPr>
          <w:p w:rsidR="00316C32" w:rsidRDefault="00316C32">
            <w:pPr>
              <w:spacing w:after="0" w:line="259" w:lineRule="auto"/>
              <w:ind w:left="0" w:right="50" w:firstLine="0"/>
              <w:jc w:val="right"/>
            </w:pPr>
            <w:r>
              <w:t xml:space="preserve">62 % </w:t>
            </w:r>
          </w:p>
        </w:tc>
      </w:tr>
      <w:tr w:rsidR="00316C32" w:rsidTr="00316C32">
        <w:trPr>
          <w:trHeight w:val="20"/>
        </w:trPr>
        <w:tc>
          <w:tcPr>
            <w:tcW w:w="791" w:type="pct"/>
            <w:tcBorders>
              <w:top w:val="nil"/>
              <w:left w:val="nil"/>
              <w:bottom w:val="nil"/>
              <w:right w:val="nil"/>
            </w:tcBorders>
            <w:shd w:val="clear" w:color="auto" w:fill="B4C6E7"/>
          </w:tcPr>
          <w:p w:rsidR="00316C32" w:rsidRDefault="00316C32">
            <w:pPr>
              <w:spacing w:after="0" w:line="259" w:lineRule="auto"/>
              <w:ind w:left="104" w:firstLine="0"/>
              <w:jc w:val="center"/>
            </w:pPr>
            <w:r>
              <w:rPr>
                <w:b/>
              </w:rPr>
              <w:t xml:space="preserve">  </w:t>
            </w:r>
          </w:p>
        </w:tc>
        <w:tc>
          <w:tcPr>
            <w:tcW w:w="1281" w:type="pct"/>
            <w:tcBorders>
              <w:top w:val="nil"/>
              <w:left w:val="nil"/>
              <w:bottom w:val="nil"/>
              <w:right w:val="single" w:sz="4" w:space="0" w:color="808080"/>
            </w:tcBorders>
            <w:shd w:val="clear" w:color="auto" w:fill="D9E1F2"/>
          </w:tcPr>
          <w:p w:rsidR="00316C32" w:rsidRDefault="00316C32">
            <w:pPr>
              <w:spacing w:after="0" w:line="259" w:lineRule="auto"/>
              <w:ind w:left="108" w:firstLine="0"/>
              <w:jc w:val="left"/>
            </w:pPr>
            <w:r>
              <w:rPr>
                <w:i/>
              </w:rPr>
              <w:t xml:space="preserve"> </w:t>
            </w:r>
            <w:proofErr w:type="spellStart"/>
            <w:r>
              <w:rPr>
                <w:i/>
              </w:rPr>
              <w:t>Mamíferos</w:t>
            </w:r>
            <w:proofErr w:type="spellEnd"/>
            <w:r>
              <w:rPr>
                <w:i/>
              </w:rPr>
              <w:t xml:space="preserve"> (</w:t>
            </w:r>
            <w:proofErr w:type="spellStart"/>
            <w:r>
              <w:rPr>
                <w:i/>
              </w:rPr>
              <w:t>combinados</w:t>
            </w:r>
            <w:proofErr w:type="spellEnd"/>
            <w:r>
              <w:rPr>
                <w:i/>
              </w:rPr>
              <w:t xml:space="preserve">) </w:t>
            </w:r>
          </w:p>
        </w:tc>
        <w:tc>
          <w:tcPr>
            <w:tcW w:w="734" w:type="pct"/>
            <w:tcBorders>
              <w:top w:val="nil"/>
              <w:left w:val="single" w:sz="4" w:space="0" w:color="808080"/>
              <w:bottom w:val="nil"/>
              <w:right w:val="nil"/>
            </w:tcBorders>
            <w:shd w:val="clear" w:color="auto" w:fill="D9E1F2"/>
          </w:tcPr>
          <w:p w:rsidR="00316C32" w:rsidRDefault="00316C32" w:rsidP="00316C32">
            <w:pPr>
              <w:spacing w:after="0" w:line="259" w:lineRule="auto"/>
              <w:ind w:left="0" w:firstLine="0"/>
              <w:jc w:val="center"/>
            </w:pPr>
            <w:r>
              <w:rPr>
                <w:i/>
              </w:rPr>
              <w:t xml:space="preserve">458 </w:t>
            </w:r>
          </w:p>
        </w:tc>
        <w:tc>
          <w:tcPr>
            <w:tcW w:w="43" w:type="pct"/>
            <w:tcBorders>
              <w:top w:val="nil"/>
              <w:left w:val="nil"/>
              <w:bottom w:val="nil"/>
              <w:right w:val="nil"/>
            </w:tcBorders>
            <w:shd w:val="clear" w:color="auto" w:fill="D9E1F2"/>
          </w:tcPr>
          <w:p w:rsidR="00316C32" w:rsidRDefault="00316C32">
            <w:pPr>
              <w:spacing w:after="0" w:line="259" w:lineRule="auto"/>
              <w:ind w:left="0" w:right="48" w:firstLine="0"/>
              <w:jc w:val="right"/>
              <w:rPr>
                <w:i/>
              </w:rPr>
            </w:pPr>
          </w:p>
        </w:tc>
        <w:tc>
          <w:tcPr>
            <w:tcW w:w="587" w:type="pct"/>
            <w:tcBorders>
              <w:top w:val="nil"/>
              <w:left w:val="nil"/>
              <w:bottom w:val="nil"/>
              <w:right w:val="double" w:sz="6" w:space="0" w:color="808080"/>
            </w:tcBorders>
            <w:shd w:val="clear" w:color="auto" w:fill="D9E1F2"/>
          </w:tcPr>
          <w:p w:rsidR="00316C32" w:rsidRDefault="00316C32">
            <w:pPr>
              <w:spacing w:after="0" w:line="259" w:lineRule="auto"/>
              <w:ind w:left="0" w:right="48" w:firstLine="0"/>
              <w:jc w:val="right"/>
            </w:pPr>
            <w:r>
              <w:rPr>
                <w:i/>
              </w:rPr>
              <w:t xml:space="preserve">82 </w:t>
            </w:r>
          </w:p>
        </w:tc>
        <w:tc>
          <w:tcPr>
            <w:tcW w:w="724" w:type="pct"/>
            <w:tcBorders>
              <w:top w:val="nil"/>
              <w:left w:val="double" w:sz="6" w:space="0" w:color="808080"/>
              <w:bottom w:val="nil"/>
              <w:right w:val="nil"/>
            </w:tcBorders>
            <w:shd w:val="clear" w:color="auto" w:fill="D9E1F2"/>
          </w:tcPr>
          <w:p w:rsidR="00316C32" w:rsidRDefault="00316C32">
            <w:pPr>
              <w:spacing w:after="0" w:line="259" w:lineRule="auto"/>
              <w:ind w:left="760" w:firstLine="0"/>
              <w:jc w:val="left"/>
            </w:pPr>
            <w:r>
              <w:rPr>
                <w:i/>
              </w:rPr>
              <w:t xml:space="preserve">150 </w:t>
            </w:r>
          </w:p>
        </w:tc>
        <w:tc>
          <w:tcPr>
            <w:tcW w:w="840" w:type="pct"/>
            <w:tcBorders>
              <w:top w:val="nil"/>
              <w:left w:val="nil"/>
              <w:bottom w:val="nil"/>
              <w:right w:val="nil"/>
            </w:tcBorders>
            <w:shd w:val="clear" w:color="auto" w:fill="D9E1F2"/>
          </w:tcPr>
          <w:p w:rsidR="00316C32" w:rsidRDefault="00316C32">
            <w:pPr>
              <w:spacing w:after="0" w:line="259" w:lineRule="auto"/>
              <w:ind w:left="0" w:right="50" w:firstLine="0"/>
              <w:jc w:val="right"/>
            </w:pPr>
            <w:r>
              <w:rPr>
                <w:i/>
              </w:rPr>
              <w:t xml:space="preserve">55 % </w:t>
            </w:r>
          </w:p>
        </w:tc>
      </w:tr>
      <w:tr w:rsidR="00316C32" w:rsidTr="00316C32">
        <w:trPr>
          <w:trHeight w:val="20"/>
        </w:trPr>
        <w:tc>
          <w:tcPr>
            <w:tcW w:w="791" w:type="pct"/>
            <w:tcBorders>
              <w:top w:val="nil"/>
              <w:left w:val="nil"/>
              <w:bottom w:val="nil"/>
              <w:right w:val="nil"/>
            </w:tcBorders>
            <w:shd w:val="clear" w:color="auto" w:fill="B4C6E7"/>
          </w:tcPr>
          <w:p w:rsidR="00316C32" w:rsidRDefault="00316C32">
            <w:pPr>
              <w:spacing w:after="0" w:line="259" w:lineRule="auto"/>
              <w:ind w:left="104" w:firstLine="0"/>
              <w:jc w:val="center"/>
            </w:pPr>
            <w:r>
              <w:rPr>
                <w:b/>
              </w:rPr>
              <w:t xml:space="preserve">  </w:t>
            </w:r>
          </w:p>
        </w:tc>
        <w:tc>
          <w:tcPr>
            <w:tcW w:w="1281" w:type="pct"/>
            <w:tcBorders>
              <w:top w:val="nil"/>
              <w:left w:val="nil"/>
              <w:bottom w:val="nil"/>
              <w:right w:val="single" w:sz="4" w:space="0" w:color="808080"/>
            </w:tcBorders>
            <w:shd w:val="clear" w:color="auto" w:fill="D9E1F2"/>
          </w:tcPr>
          <w:p w:rsidR="00316C32" w:rsidRDefault="00316C32">
            <w:pPr>
              <w:spacing w:after="0" w:line="259" w:lineRule="auto"/>
              <w:ind w:left="108" w:firstLine="0"/>
              <w:jc w:val="left"/>
            </w:pPr>
            <w:proofErr w:type="spellStart"/>
            <w:r>
              <w:t>Peces</w:t>
            </w:r>
            <w:proofErr w:type="spellEnd"/>
            <w:r>
              <w:t xml:space="preserve"> </w:t>
            </w:r>
          </w:p>
        </w:tc>
        <w:tc>
          <w:tcPr>
            <w:tcW w:w="734" w:type="pct"/>
            <w:tcBorders>
              <w:top w:val="nil"/>
              <w:left w:val="single" w:sz="4" w:space="0" w:color="808080"/>
              <w:bottom w:val="nil"/>
              <w:right w:val="nil"/>
            </w:tcBorders>
            <w:shd w:val="clear" w:color="auto" w:fill="D9E1F2"/>
          </w:tcPr>
          <w:p w:rsidR="00316C32" w:rsidRDefault="00316C32" w:rsidP="00316C32">
            <w:pPr>
              <w:spacing w:after="0" w:line="259" w:lineRule="auto"/>
              <w:ind w:left="0" w:firstLine="0"/>
              <w:jc w:val="center"/>
            </w:pPr>
            <w:r>
              <w:t xml:space="preserve">148 </w:t>
            </w:r>
          </w:p>
        </w:tc>
        <w:tc>
          <w:tcPr>
            <w:tcW w:w="43" w:type="pct"/>
            <w:tcBorders>
              <w:top w:val="nil"/>
              <w:left w:val="nil"/>
              <w:bottom w:val="nil"/>
              <w:right w:val="nil"/>
            </w:tcBorders>
            <w:shd w:val="clear" w:color="auto" w:fill="D9E1F2"/>
          </w:tcPr>
          <w:p w:rsidR="00316C32" w:rsidRDefault="00316C32">
            <w:pPr>
              <w:spacing w:after="0" w:line="259" w:lineRule="auto"/>
              <w:ind w:left="0" w:right="48" w:firstLine="0"/>
              <w:jc w:val="right"/>
            </w:pPr>
          </w:p>
        </w:tc>
        <w:tc>
          <w:tcPr>
            <w:tcW w:w="587" w:type="pct"/>
            <w:tcBorders>
              <w:top w:val="nil"/>
              <w:left w:val="nil"/>
              <w:bottom w:val="nil"/>
              <w:right w:val="double" w:sz="6" w:space="0" w:color="808080"/>
            </w:tcBorders>
            <w:shd w:val="clear" w:color="auto" w:fill="D9E1F2"/>
          </w:tcPr>
          <w:p w:rsidR="00316C32" w:rsidRDefault="00316C32">
            <w:pPr>
              <w:spacing w:after="0" w:line="259" w:lineRule="auto"/>
              <w:ind w:left="0" w:right="48" w:firstLine="0"/>
              <w:jc w:val="right"/>
            </w:pPr>
            <w:r>
              <w:t xml:space="preserve">26 </w:t>
            </w:r>
          </w:p>
        </w:tc>
        <w:tc>
          <w:tcPr>
            <w:tcW w:w="724" w:type="pct"/>
            <w:tcBorders>
              <w:top w:val="nil"/>
              <w:left w:val="double" w:sz="6" w:space="0" w:color="808080"/>
              <w:bottom w:val="nil"/>
              <w:right w:val="nil"/>
            </w:tcBorders>
            <w:shd w:val="clear" w:color="auto" w:fill="D9E1F2"/>
          </w:tcPr>
          <w:p w:rsidR="00316C32" w:rsidRDefault="00316C32">
            <w:pPr>
              <w:spacing w:after="0" w:line="259" w:lineRule="auto"/>
              <w:ind w:left="871" w:firstLine="0"/>
              <w:jc w:val="left"/>
            </w:pPr>
            <w:r>
              <w:t xml:space="preserve">54 </w:t>
            </w:r>
          </w:p>
        </w:tc>
        <w:tc>
          <w:tcPr>
            <w:tcW w:w="840" w:type="pct"/>
            <w:tcBorders>
              <w:top w:val="nil"/>
              <w:left w:val="nil"/>
              <w:bottom w:val="nil"/>
              <w:right w:val="nil"/>
            </w:tcBorders>
            <w:shd w:val="clear" w:color="auto" w:fill="D9E1F2"/>
          </w:tcPr>
          <w:p w:rsidR="00316C32" w:rsidRDefault="00316C32">
            <w:pPr>
              <w:spacing w:after="0" w:line="259" w:lineRule="auto"/>
              <w:ind w:left="0" w:right="50" w:firstLine="0"/>
              <w:jc w:val="right"/>
            </w:pPr>
            <w:r>
              <w:rPr>
                <w:color w:val="9933FF"/>
              </w:rPr>
              <w:t xml:space="preserve">48 % </w:t>
            </w:r>
          </w:p>
        </w:tc>
      </w:tr>
      <w:tr w:rsidR="00316C32" w:rsidTr="00316C32">
        <w:trPr>
          <w:trHeight w:val="20"/>
        </w:trPr>
        <w:tc>
          <w:tcPr>
            <w:tcW w:w="791" w:type="pct"/>
            <w:tcBorders>
              <w:top w:val="nil"/>
              <w:left w:val="nil"/>
              <w:bottom w:val="nil"/>
              <w:right w:val="nil"/>
            </w:tcBorders>
            <w:shd w:val="clear" w:color="auto" w:fill="B4C6E7"/>
          </w:tcPr>
          <w:p w:rsidR="00316C32" w:rsidRDefault="00316C32">
            <w:pPr>
              <w:spacing w:after="0" w:line="259" w:lineRule="auto"/>
              <w:ind w:left="104" w:firstLine="0"/>
              <w:jc w:val="center"/>
            </w:pPr>
            <w:r>
              <w:rPr>
                <w:b/>
              </w:rPr>
              <w:t xml:space="preserve">  </w:t>
            </w:r>
          </w:p>
        </w:tc>
        <w:tc>
          <w:tcPr>
            <w:tcW w:w="1281" w:type="pct"/>
            <w:tcBorders>
              <w:top w:val="nil"/>
              <w:left w:val="nil"/>
              <w:bottom w:val="nil"/>
              <w:right w:val="single" w:sz="4" w:space="0" w:color="808080"/>
            </w:tcBorders>
            <w:shd w:val="clear" w:color="auto" w:fill="D9E1F2"/>
          </w:tcPr>
          <w:p w:rsidR="00316C32" w:rsidRDefault="00316C32">
            <w:pPr>
              <w:spacing w:after="0" w:line="259" w:lineRule="auto"/>
              <w:ind w:left="108" w:firstLine="0"/>
              <w:jc w:val="left"/>
            </w:pPr>
            <w:r>
              <w:t xml:space="preserve">Reptiles </w:t>
            </w:r>
          </w:p>
        </w:tc>
        <w:tc>
          <w:tcPr>
            <w:tcW w:w="734" w:type="pct"/>
            <w:tcBorders>
              <w:top w:val="nil"/>
              <w:left w:val="single" w:sz="4" w:space="0" w:color="808080"/>
              <w:bottom w:val="nil"/>
              <w:right w:val="nil"/>
            </w:tcBorders>
            <w:shd w:val="clear" w:color="auto" w:fill="D9E1F2"/>
          </w:tcPr>
          <w:p w:rsidR="00316C32" w:rsidRDefault="00316C32" w:rsidP="00316C32">
            <w:pPr>
              <w:spacing w:after="0" w:line="259" w:lineRule="auto"/>
              <w:ind w:left="0" w:firstLine="0"/>
              <w:jc w:val="center"/>
            </w:pPr>
            <w:r>
              <w:t xml:space="preserve">232 </w:t>
            </w:r>
          </w:p>
        </w:tc>
        <w:tc>
          <w:tcPr>
            <w:tcW w:w="43" w:type="pct"/>
            <w:tcBorders>
              <w:top w:val="nil"/>
              <w:left w:val="nil"/>
              <w:bottom w:val="nil"/>
              <w:right w:val="nil"/>
            </w:tcBorders>
            <w:shd w:val="clear" w:color="auto" w:fill="D9E1F2"/>
          </w:tcPr>
          <w:p w:rsidR="00316C32" w:rsidRDefault="00316C32">
            <w:pPr>
              <w:spacing w:after="0" w:line="259" w:lineRule="auto"/>
              <w:ind w:left="0" w:right="48" w:firstLine="0"/>
              <w:jc w:val="right"/>
            </w:pPr>
          </w:p>
        </w:tc>
        <w:tc>
          <w:tcPr>
            <w:tcW w:w="587" w:type="pct"/>
            <w:tcBorders>
              <w:top w:val="nil"/>
              <w:left w:val="nil"/>
              <w:bottom w:val="nil"/>
              <w:right w:val="double" w:sz="6" w:space="0" w:color="808080"/>
            </w:tcBorders>
            <w:shd w:val="clear" w:color="auto" w:fill="D9E1F2"/>
          </w:tcPr>
          <w:p w:rsidR="00316C32" w:rsidRDefault="00316C32">
            <w:pPr>
              <w:spacing w:after="0" w:line="259" w:lineRule="auto"/>
              <w:ind w:left="0" w:right="48" w:firstLine="0"/>
              <w:jc w:val="right"/>
            </w:pPr>
            <w:r>
              <w:t xml:space="preserve">10 </w:t>
            </w:r>
          </w:p>
        </w:tc>
        <w:tc>
          <w:tcPr>
            <w:tcW w:w="724" w:type="pct"/>
            <w:tcBorders>
              <w:top w:val="nil"/>
              <w:left w:val="double" w:sz="6" w:space="0" w:color="808080"/>
              <w:bottom w:val="nil"/>
              <w:right w:val="nil"/>
            </w:tcBorders>
            <w:shd w:val="clear" w:color="auto" w:fill="D9E1F2"/>
          </w:tcPr>
          <w:p w:rsidR="00316C32" w:rsidRDefault="00316C32">
            <w:pPr>
              <w:spacing w:after="0" w:line="259" w:lineRule="auto"/>
              <w:ind w:left="871" w:firstLine="0"/>
              <w:jc w:val="left"/>
            </w:pPr>
            <w:r>
              <w:t xml:space="preserve">10 </w:t>
            </w:r>
          </w:p>
        </w:tc>
        <w:tc>
          <w:tcPr>
            <w:tcW w:w="840" w:type="pct"/>
            <w:tcBorders>
              <w:top w:val="nil"/>
              <w:left w:val="nil"/>
              <w:bottom w:val="nil"/>
              <w:right w:val="nil"/>
            </w:tcBorders>
            <w:shd w:val="clear" w:color="auto" w:fill="D9E1F2"/>
          </w:tcPr>
          <w:p w:rsidR="00316C32" w:rsidRDefault="00316C32">
            <w:pPr>
              <w:spacing w:after="0" w:line="259" w:lineRule="auto"/>
              <w:ind w:left="0" w:right="50" w:firstLine="0"/>
              <w:jc w:val="right"/>
            </w:pPr>
            <w:r>
              <w:t xml:space="preserve">100 % </w:t>
            </w:r>
          </w:p>
        </w:tc>
      </w:tr>
      <w:tr w:rsidR="00316C32" w:rsidTr="00316C32">
        <w:trPr>
          <w:trHeight w:val="20"/>
        </w:trPr>
        <w:tc>
          <w:tcPr>
            <w:tcW w:w="791" w:type="pct"/>
            <w:tcBorders>
              <w:top w:val="nil"/>
              <w:left w:val="nil"/>
              <w:bottom w:val="nil"/>
              <w:right w:val="nil"/>
            </w:tcBorders>
            <w:shd w:val="clear" w:color="auto" w:fill="C6E0B4"/>
          </w:tcPr>
          <w:p w:rsidR="00316C32" w:rsidRDefault="00316C32">
            <w:pPr>
              <w:spacing w:after="0" w:line="259" w:lineRule="auto"/>
              <w:ind w:left="58" w:firstLine="0"/>
              <w:jc w:val="center"/>
            </w:pPr>
            <w:proofErr w:type="spellStart"/>
            <w:r>
              <w:rPr>
                <w:b/>
              </w:rPr>
              <w:t>Apéndice</w:t>
            </w:r>
            <w:proofErr w:type="spellEnd"/>
            <w:r>
              <w:rPr>
                <w:b/>
              </w:rPr>
              <w:t xml:space="preserve"> I </w:t>
            </w:r>
          </w:p>
        </w:tc>
        <w:tc>
          <w:tcPr>
            <w:tcW w:w="1281" w:type="pct"/>
            <w:tcBorders>
              <w:top w:val="nil"/>
              <w:left w:val="nil"/>
              <w:bottom w:val="nil"/>
              <w:right w:val="single" w:sz="4" w:space="0" w:color="808080"/>
            </w:tcBorders>
            <w:shd w:val="clear" w:color="auto" w:fill="E2EFDA"/>
          </w:tcPr>
          <w:p w:rsidR="00316C32" w:rsidRDefault="00316C32">
            <w:pPr>
              <w:spacing w:after="0" w:line="259" w:lineRule="auto"/>
              <w:ind w:left="108" w:firstLine="0"/>
              <w:jc w:val="left"/>
            </w:pPr>
            <w:proofErr w:type="spellStart"/>
            <w:r>
              <w:rPr>
                <w:b/>
              </w:rPr>
              <w:t>Todas</w:t>
            </w:r>
            <w:proofErr w:type="spellEnd"/>
            <w:r>
              <w:rPr>
                <w:b/>
              </w:rPr>
              <w:t xml:space="preserve"> las </w:t>
            </w:r>
            <w:proofErr w:type="spellStart"/>
            <w:r>
              <w:rPr>
                <w:b/>
              </w:rPr>
              <w:t>especies</w:t>
            </w:r>
            <w:proofErr w:type="spellEnd"/>
            <w:r>
              <w:rPr>
                <w:b/>
              </w:rPr>
              <w:t xml:space="preserve">* </w:t>
            </w:r>
          </w:p>
        </w:tc>
        <w:tc>
          <w:tcPr>
            <w:tcW w:w="734" w:type="pct"/>
            <w:tcBorders>
              <w:top w:val="nil"/>
              <w:left w:val="single" w:sz="4" w:space="0" w:color="808080"/>
              <w:bottom w:val="nil"/>
              <w:right w:val="nil"/>
            </w:tcBorders>
            <w:shd w:val="clear" w:color="auto" w:fill="E2EFDA"/>
          </w:tcPr>
          <w:p w:rsidR="00316C32" w:rsidRDefault="00316C32" w:rsidP="00316C32">
            <w:pPr>
              <w:spacing w:after="0" w:line="259" w:lineRule="auto"/>
              <w:ind w:left="0" w:firstLine="0"/>
              <w:jc w:val="center"/>
            </w:pPr>
            <w:r>
              <w:rPr>
                <w:b/>
              </w:rPr>
              <w:t xml:space="preserve">111 </w:t>
            </w:r>
          </w:p>
        </w:tc>
        <w:tc>
          <w:tcPr>
            <w:tcW w:w="43" w:type="pct"/>
            <w:tcBorders>
              <w:top w:val="nil"/>
              <w:left w:val="nil"/>
              <w:bottom w:val="nil"/>
              <w:right w:val="nil"/>
            </w:tcBorders>
            <w:shd w:val="clear" w:color="auto" w:fill="E2EFDA"/>
          </w:tcPr>
          <w:p w:rsidR="00316C32" w:rsidRDefault="00316C32">
            <w:pPr>
              <w:spacing w:after="0" w:line="259" w:lineRule="auto"/>
              <w:ind w:left="0" w:right="48" w:firstLine="0"/>
              <w:jc w:val="right"/>
              <w:rPr>
                <w:b/>
              </w:rPr>
            </w:pPr>
          </w:p>
        </w:tc>
        <w:tc>
          <w:tcPr>
            <w:tcW w:w="587" w:type="pct"/>
            <w:tcBorders>
              <w:top w:val="nil"/>
              <w:left w:val="nil"/>
              <w:bottom w:val="nil"/>
              <w:right w:val="double" w:sz="6" w:space="0" w:color="808080"/>
            </w:tcBorders>
            <w:shd w:val="clear" w:color="auto" w:fill="E2EFDA"/>
          </w:tcPr>
          <w:p w:rsidR="00316C32" w:rsidRDefault="00316C32">
            <w:pPr>
              <w:spacing w:after="0" w:line="259" w:lineRule="auto"/>
              <w:ind w:left="0" w:right="48" w:firstLine="0"/>
              <w:jc w:val="right"/>
            </w:pPr>
            <w:r>
              <w:rPr>
                <w:b/>
              </w:rPr>
              <w:t xml:space="preserve">30 </w:t>
            </w:r>
          </w:p>
        </w:tc>
        <w:tc>
          <w:tcPr>
            <w:tcW w:w="724" w:type="pct"/>
            <w:tcBorders>
              <w:top w:val="nil"/>
              <w:left w:val="double" w:sz="6" w:space="0" w:color="808080"/>
              <w:bottom w:val="nil"/>
              <w:right w:val="nil"/>
            </w:tcBorders>
            <w:shd w:val="clear" w:color="auto" w:fill="E2EFDA"/>
          </w:tcPr>
          <w:p w:rsidR="00316C32" w:rsidRDefault="00316C32">
            <w:pPr>
              <w:spacing w:after="0" w:line="259" w:lineRule="auto"/>
              <w:ind w:left="871" w:firstLine="0"/>
              <w:jc w:val="left"/>
            </w:pPr>
            <w:r>
              <w:rPr>
                <w:b/>
              </w:rPr>
              <w:t xml:space="preserve">54 </w:t>
            </w:r>
          </w:p>
        </w:tc>
        <w:tc>
          <w:tcPr>
            <w:tcW w:w="840" w:type="pct"/>
            <w:tcBorders>
              <w:top w:val="nil"/>
              <w:left w:val="nil"/>
              <w:bottom w:val="nil"/>
              <w:right w:val="nil"/>
            </w:tcBorders>
            <w:shd w:val="clear" w:color="auto" w:fill="E2EFDA"/>
          </w:tcPr>
          <w:p w:rsidR="00316C32" w:rsidRDefault="00316C32">
            <w:pPr>
              <w:spacing w:after="0" w:line="259" w:lineRule="auto"/>
              <w:ind w:left="0" w:right="49" w:firstLine="0"/>
              <w:jc w:val="right"/>
            </w:pPr>
            <w:r>
              <w:rPr>
                <w:b/>
              </w:rPr>
              <w:t xml:space="preserve">56 % </w:t>
            </w:r>
          </w:p>
        </w:tc>
      </w:tr>
      <w:tr w:rsidR="00316C32" w:rsidTr="00316C32">
        <w:trPr>
          <w:trHeight w:val="20"/>
        </w:trPr>
        <w:tc>
          <w:tcPr>
            <w:tcW w:w="791" w:type="pct"/>
            <w:tcBorders>
              <w:top w:val="nil"/>
              <w:left w:val="nil"/>
              <w:bottom w:val="nil"/>
              <w:right w:val="nil"/>
            </w:tcBorders>
            <w:shd w:val="clear" w:color="auto" w:fill="C6E0B4"/>
          </w:tcPr>
          <w:p w:rsidR="00316C32" w:rsidRDefault="00316C32">
            <w:pPr>
              <w:spacing w:after="0" w:line="259" w:lineRule="auto"/>
              <w:ind w:left="104" w:firstLine="0"/>
              <w:jc w:val="center"/>
            </w:pPr>
            <w:r>
              <w:rPr>
                <w:b/>
              </w:rPr>
              <w:t xml:space="preserve">  </w:t>
            </w:r>
          </w:p>
        </w:tc>
        <w:tc>
          <w:tcPr>
            <w:tcW w:w="1281" w:type="pct"/>
            <w:tcBorders>
              <w:top w:val="nil"/>
              <w:left w:val="nil"/>
              <w:bottom w:val="nil"/>
              <w:right w:val="single" w:sz="4" w:space="0" w:color="808080"/>
            </w:tcBorders>
            <w:shd w:val="clear" w:color="auto" w:fill="E2EFDA"/>
          </w:tcPr>
          <w:p w:rsidR="00316C32" w:rsidRDefault="00316C32">
            <w:pPr>
              <w:spacing w:after="0" w:line="259" w:lineRule="auto"/>
              <w:ind w:left="108" w:firstLine="0"/>
              <w:jc w:val="left"/>
            </w:pPr>
            <w:r>
              <w:t xml:space="preserve">Aves </w:t>
            </w:r>
          </w:p>
        </w:tc>
        <w:tc>
          <w:tcPr>
            <w:tcW w:w="734" w:type="pct"/>
            <w:tcBorders>
              <w:top w:val="nil"/>
              <w:left w:val="single" w:sz="4" w:space="0" w:color="808080"/>
              <w:bottom w:val="nil"/>
              <w:right w:val="nil"/>
            </w:tcBorders>
            <w:shd w:val="clear" w:color="auto" w:fill="E2EFDA"/>
          </w:tcPr>
          <w:p w:rsidR="00316C32" w:rsidRDefault="00316C32" w:rsidP="00316C32">
            <w:pPr>
              <w:spacing w:after="0" w:line="259" w:lineRule="auto"/>
              <w:ind w:left="0" w:firstLine="0"/>
              <w:jc w:val="center"/>
            </w:pPr>
            <w:r>
              <w:t xml:space="preserve">27 </w:t>
            </w:r>
          </w:p>
        </w:tc>
        <w:tc>
          <w:tcPr>
            <w:tcW w:w="43" w:type="pct"/>
            <w:tcBorders>
              <w:top w:val="nil"/>
              <w:left w:val="nil"/>
              <w:bottom w:val="nil"/>
              <w:right w:val="nil"/>
            </w:tcBorders>
            <w:shd w:val="clear" w:color="auto" w:fill="E2EFDA"/>
          </w:tcPr>
          <w:p w:rsidR="00316C32" w:rsidRDefault="00316C32">
            <w:pPr>
              <w:spacing w:after="0" w:line="259" w:lineRule="auto"/>
              <w:ind w:left="0" w:right="48" w:firstLine="0"/>
              <w:jc w:val="right"/>
            </w:pPr>
          </w:p>
        </w:tc>
        <w:tc>
          <w:tcPr>
            <w:tcW w:w="587" w:type="pct"/>
            <w:tcBorders>
              <w:top w:val="nil"/>
              <w:left w:val="nil"/>
              <w:bottom w:val="nil"/>
              <w:right w:val="double" w:sz="6" w:space="0" w:color="808080"/>
            </w:tcBorders>
            <w:shd w:val="clear" w:color="auto" w:fill="E2EFDA"/>
          </w:tcPr>
          <w:p w:rsidR="00316C32" w:rsidRDefault="00316C32">
            <w:pPr>
              <w:spacing w:after="0" w:line="259" w:lineRule="auto"/>
              <w:ind w:left="0" w:right="48" w:firstLine="0"/>
              <w:jc w:val="right"/>
            </w:pPr>
            <w:r>
              <w:t xml:space="preserve">12 </w:t>
            </w:r>
          </w:p>
        </w:tc>
        <w:tc>
          <w:tcPr>
            <w:tcW w:w="724" w:type="pct"/>
            <w:tcBorders>
              <w:top w:val="nil"/>
              <w:left w:val="double" w:sz="6" w:space="0" w:color="808080"/>
              <w:bottom w:val="nil"/>
              <w:right w:val="nil"/>
            </w:tcBorders>
            <w:shd w:val="clear" w:color="auto" w:fill="E2EFDA"/>
          </w:tcPr>
          <w:p w:rsidR="00316C32" w:rsidRDefault="00316C32">
            <w:pPr>
              <w:spacing w:after="0" w:line="259" w:lineRule="auto"/>
              <w:ind w:left="871" w:firstLine="0"/>
              <w:jc w:val="left"/>
            </w:pPr>
            <w:r>
              <w:t xml:space="preserve">26 </w:t>
            </w:r>
          </w:p>
        </w:tc>
        <w:tc>
          <w:tcPr>
            <w:tcW w:w="840" w:type="pct"/>
            <w:tcBorders>
              <w:top w:val="nil"/>
              <w:left w:val="nil"/>
              <w:bottom w:val="nil"/>
              <w:right w:val="nil"/>
            </w:tcBorders>
            <w:shd w:val="clear" w:color="auto" w:fill="E2EFDA"/>
          </w:tcPr>
          <w:p w:rsidR="00316C32" w:rsidRDefault="00316C32">
            <w:pPr>
              <w:spacing w:after="0" w:line="259" w:lineRule="auto"/>
              <w:ind w:left="0" w:right="50" w:firstLine="0"/>
              <w:jc w:val="right"/>
            </w:pPr>
            <w:r>
              <w:rPr>
                <w:color w:val="9933FF"/>
              </w:rPr>
              <w:t xml:space="preserve">46 % </w:t>
            </w:r>
          </w:p>
        </w:tc>
      </w:tr>
      <w:tr w:rsidR="00316C32" w:rsidTr="00316C32">
        <w:trPr>
          <w:trHeight w:val="20"/>
        </w:trPr>
        <w:tc>
          <w:tcPr>
            <w:tcW w:w="791" w:type="pct"/>
            <w:tcBorders>
              <w:top w:val="nil"/>
              <w:left w:val="nil"/>
              <w:bottom w:val="nil"/>
              <w:right w:val="nil"/>
            </w:tcBorders>
            <w:shd w:val="clear" w:color="auto" w:fill="C6E0B4"/>
          </w:tcPr>
          <w:p w:rsidR="00316C32" w:rsidRDefault="00316C32">
            <w:pPr>
              <w:spacing w:after="0" w:line="259" w:lineRule="auto"/>
              <w:ind w:left="104" w:firstLine="0"/>
              <w:jc w:val="center"/>
            </w:pPr>
            <w:r>
              <w:rPr>
                <w:b/>
              </w:rPr>
              <w:t xml:space="preserve">  </w:t>
            </w:r>
          </w:p>
        </w:tc>
        <w:tc>
          <w:tcPr>
            <w:tcW w:w="1281" w:type="pct"/>
            <w:tcBorders>
              <w:top w:val="nil"/>
              <w:left w:val="nil"/>
              <w:bottom w:val="nil"/>
              <w:right w:val="single" w:sz="4" w:space="0" w:color="808080"/>
            </w:tcBorders>
            <w:shd w:val="clear" w:color="auto" w:fill="E2EFDA"/>
          </w:tcPr>
          <w:p w:rsidR="00316C32" w:rsidRDefault="00316C32">
            <w:pPr>
              <w:spacing w:after="0" w:line="259" w:lineRule="auto"/>
              <w:ind w:left="108" w:firstLine="0"/>
              <w:jc w:val="left"/>
            </w:pPr>
            <w:proofErr w:type="spellStart"/>
            <w:r>
              <w:t>Mamíferos</w:t>
            </w:r>
            <w:proofErr w:type="spellEnd"/>
            <w:r>
              <w:t xml:space="preserve"> </w:t>
            </w:r>
          </w:p>
        </w:tc>
        <w:tc>
          <w:tcPr>
            <w:tcW w:w="734" w:type="pct"/>
            <w:tcBorders>
              <w:top w:val="nil"/>
              <w:left w:val="single" w:sz="4" w:space="0" w:color="808080"/>
              <w:bottom w:val="nil"/>
              <w:right w:val="nil"/>
            </w:tcBorders>
            <w:shd w:val="clear" w:color="auto" w:fill="E2EFDA"/>
          </w:tcPr>
          <w:p w:rsidR="00316C32" w:rsidRDefault="00316C32" w:rsidP="00316C32">
            <w:pPr>
              <w:spacing w:after="0" w:line="259" w:lineRule="auto"/>
              <w:ind w:left="0" w:firstLine="0"/>
              <w:jc w:val="center"/>
            </w:pPr>
            <w:r>
              <w:t xml:space="preserve">82 </w:t>
            </w:r>
          </w:p>
        </w:tc>
        <w:tc>
          <w:tcPr>
            <w:tcW w:w="43" w:type="pct"/>
            <w:tcBorders>
              <w:top w:val="nil"/>
              <w:left w:val="nil"/>
              <w:bottom w:val="nil"/>
              <w:right w:val="nil"/>
            </w:tcBorders>
            <w:shd w:val="clear" w:color="auto" w:fill="E2EFDA"/>
          </w:tcPr>
          <w:p w:rsidR="00316C32" w:rsidRDefault="00316C32">
            <w:pPr>
              <w:spacing w:after="0" w:line="259" w:lineRule="auto"/>
              <w:ind w:left="0" w:right="48" w:firstLine="0"/>
              <w:jc w:val="right"/>
            </w:pPr>
          </w:p>
        </w:tc>
        <w:tc>
          <w:tcPr>
            <w:tcW w:w="587" w:type="pct"/>
            <w:tcBorders>
              <w:top w:val="nil"/>
              <w:left w:val="nil"/>
              <w:bottom w:val="nil"/>
              <w:right w:val="double" w:sz="6" w:space="0" w:color="808080"/>
            </w:tcBorders>
            <w:shd w:val="clear" w:color="auto" w:fill="E2EFDA"/>
          </w:tcPr>
          <w:p w:rsidR="00316C32" w:rsidRDefault="00316C32">
            <w:pPr>
              <w:spacing w:after="0" w:line="259" w:lineRule="auto"/>
              <w:ind w:left="0" w:right="48" w:firstLine="0"/>
              <w:jc w:val="right"/>
            </w:pPr>
            <w:r>
              <w:t xml:space="preserve">17 </w:t>
            </w:r>
          </w:p>
        </w:tc>
        <w:tc>
          <w:tcPr>
            <w:tcW w:w="724" w:type="pct"/>
            <w:tcBorders>
              <w:top w:val="nil"/>
              <w:left w:val="double" w:sz="6" w:space="0" w:color="808080"/>
              <w:bottom w:val="nil"/>
              <w:right w:val="nil"/>
            </w:tcBorders>
            <w:shd w:val="clear" w:color="auto" w:fill="E2EFDA"/>
          </w:tcPr>
          <w:p w:rsidR="00316C32" w:rsidRDefault="00316C32">
            <w:pPr>
              <w:spacing w:after="0" w:line="259" w:lineRule="auto"/>
              <w:ind w:left="871" w:firstLine="0"/>
              <w:jc w:val="left"/>
            </w:pPr>
            <w:r>
              <w:t xml:space="preserve">26 </w:t>
            </w:r>
          </w:p>
        </w:tc>
        <w:tc>
          <w:tcPr>
            <w:tcW w:w="840" w:type="pct"/>
            <w:tcBorders>
              <w:top w:val="nil"/>
              <w:left w:val="nil"/>
              <w:bottom w:val="nil"/>
              <w:right w:val="nil"/>
            </w:tcBorders>
            <w:shd w:val="clear" w:color="auto" w:fill="E2EFDA"/>
          </w:tcPr>
          <w:p w:rsidR="00316C32" w:rsidRDefault="00316C32">
            <w:pPr>
              <w:spacing w:after="0" w:line="259" w:lineRule="auto"/>
              <w:ind w:left="0" w:right="50" w:firstLine="0"/>
              <w:jc w:val="right"/>
            </w:pPr>
            <w:r>
              <w:t xml:space="preserve">65 % </w:t>
            </w:r>
          </w:p>
        </w:tc>
      </w:tr>
      <w:tr w:rsidR="00316C32" w:rsidTr="00316C32">
        <w:trPr>
          <w:trHeight w:val="20"/>
        </w:trPr>
        <w:tc>
          <w:tcPr>
            <w:tcW w:w="791" w:type="pct"/>
            <w:tcBorders>
              <w:top w:val="nil"/>
              <w:left w:val="nil"/>
              <w:bottom w:val="nil"/>
              <w:right w:val="nil"/>
            </w:tcBorders>
            <w:shd w:val="clear" w:color="auto" w:fill="C6E0B4"/>
          </w:tcPr>
          <w:p w:rsidR="00316C32" w:rsidRDefault="00316C32">
            <w:pPr>
              <w:spacing w:after="0" w:line="259" w:lineRule="auto"/>
              <w:ind w:left="104" w:firstLine="0"/>
              <w:jc w:val="center"/>
            </w:pPr>
            <w:r>
              <w:rPr>
                <w:b/>
              </w:rPr>
              <w:t xml:space="preserve">  </w:t>
            </w:r>
          </w:p>
        </w:tc>
        <w:tc>
          <w:tcPr>
            <w:tcW w:w="1281" w:type="pct"/>
            <w:tcBorders>
              <w:top w:val="nil"/>
              <w:left w:val="nil"/>
              <w:bottom w:val="nil"/>
              <w:right w:val="single" w:sz="4" w:space="0" w:color="808080"/>
            </w:tcBorders>
            <w:shd w:val="clear" w:color="auto" w:fill="E2EFDA"/>
          </w:tcPr>
          <w:p w:rsidR="00316C32" w:rsidRDefault="00316C32">
            <w:pPr>
              <w:spacing w:after="0" w:line="259" w:lineRule="auto"/>
              <w:ind w:left="108" w:firstLine="0"/>
              <w:jc w:val="left"/>
            </w:pPr>
            <w:proofErr w:type="spellStart"/>
            <w:r>
              <w:t>Peces</w:t>
            </w:r>
            <w:proofErr w:type="spellEnd"/>
            <w:r>
              <w:t xml:space="preserve"> </w:t>
            </w:r>
          </w:p>
        </w:tc>
        <w:tc>
          <w:tcPr>
            <w:tcW w:w="734" w:type="pct"/>
            <w:tcBorders>
              <w:top w:val="nil"/>
              <w:left w:val="single" w:sz="4" w:space="0" w:color="808080"/>
              <w:bottom w:val="nil"/>
              <w:right w:val="nil"/>
            </w:tcBorders>
            <w:shd w:val="clear" w:color="auto" w:fill="E2EFDA"/>
          </w:tcPr>
          <w:p w:rsidR="00316C32" w:rsidRDefault="00316C32" w:rsidP="00316C32">
            <w:pPr>
              <w:spacing w:after="0" w:line="259" w:lineRule="auto"/>
              <w:ind w:left="0" w:firstLine="0"/>
              <w:jc w:val="center"/>
            </w:pPr>
            <w:r>
              <w:t xml:space="preserve">0 </w:t>
            </w:r>
          </w:p>
        </w:tc>
        <w:tc>
          <w:tcPr>
            <w:tcW w:w="43" w:type="pct"/>
            <w:tcBorders>
              <w:top w:val="nil"/>
              <w:left w:val="nil"/>
              <w:bottom w:val="nil"/>
              <w:right w:val="nil"/>
            </w:tcBorders>
            <w:shd w:val="clear" w:color="auto" w:fill="E2EFDA"/>
          </w:tcPr>
          <w:p w:rsidR="00316C32" w:rsidRDefault="00316C32">
            <w:pPr>
              <w:spacing w:after="0" w:line="259" w:lineRule="auto"/>
              <w:ind w:left="0" w:right="48" w:firstLine="0"/>
              <w:jc w:val="right"/>
            </w:pPr>
          </w:p>
        </w:tc>
        <w:tc>
          <w:tcPr>
            <w:tcW w:w="587" w:type="pct"/>
            <w:tcBorders>
              <w:top w:val="nil"/>
              <w:left w:val="nil"/>
              <w:bottom w:val="nil"/>
              <w:right w:val="double" w:sz="6" w:space="0" w:color="808080"/>
            </w:tcBorders>
            <w:shd w:val="clear" w:color="auto" w:fill="E2EFDA"/>
          </w:tcPr>
          <w:p w:rsidR="00316C32" w:rsidRDefault="00316C32">
            <w:pPr>
              <w:spacing w:after="0" w:line="259" w:lineRule="auto"/>
              <w:ind w:left="0" w:right="48" w:firstLine="0"/>
              <w:jc w:val="right"/>
            </w:pPr>
            <w:r>
              <w:t xml:space="preserve">0 </w:t>
            </w:r>
          </w:p>
        </w:tc>
        <w:tc>
          <w:tcPr>
            <w:tcW w:w="724" w:type="pct"/>
            <w:tcBorders>
              <w:top w:val="nil"/>
              <w:left w:val="double" w:sz="6" w:space="0" w:color="808080"/>
              <w:bottom w:val="nil"/>
              <w:right w:val="nil"/>
            </w:tcBorders>
            <w:shd w:val="clear" w:color="auto" w:fill="E2EFDA"/>
          </w:tcPr>
          <w:p w:rsidR="00316C32" w:rsidRDefault="00316C32">
            <w:pPr>
              <w:spacing w:after="0" w:line="259" w:lineRule="auto"/>
              <w:ind w:left="0" w:right="187" w:firstLine="0"/>
              <w:jc w:val="right"/>
            </w:pPr>
            <w:r>
              <w:t xml:space="preserve">1 </w:t>
            </w:r>
          </w:p>
        </w:tc>
        <w:tc>
          <w:tcPr>
            <w:tcW w:w="840" w:type="pct"/>
            <w:tcBorders>
              <w:top w:val="nil"/>
              <w:left w:val="nil"/>
              <w:bottom w:val="nil"/>
              <w:right w:val="nil"/>
            </w:tcBorders>
            <w:shd w:val="clear" w:color="auto" w:fill="E2EFDA"/>
          </w:tcPr>
          <w:p w:rsidR="00316C32" w:rsidRDefault="00316C32">
            <w:pPr>
              <w:spacing w:after="0" w:line="259" w:lineRule="auto"/>
              <w:ind w:left="0" w:right="50" w:firstLine="0"/>
              <w:jc w:val="right"/>
            </w:pPr>
            <w:r>
              <w:rPr>
                <w:color w:val="CC0000"/>
              </w:rPr>
              <w:t xml:space="preserve">0 % </w:t>
            </w:r>
          </w:p>
        </w:tc>
      </w:tr>
      <w:tr w:rsidR="00316C32" w:rsidTr="00316C32">
        <w:trPr>
          <w:trHeight w:val="20"/>
        </w:trPr>
        <w:tc>
          <w:tcPr>
            <w:tcW w:w="791" w:type="pct"/>
            <w:tcBorders>
              <w:top w:val="nil"/>
              <w:left w:val="nil"/>
              <w:bottom w:val="nil"/>
              <w:right w:val="nil"/>
            </w:tcBorders>
            <w:shd w:val="clear" w:color="auto" w:fill="C6E0B4"/>
          </w:tcPr>
          <w:p w:rsidR="00316C32" w:rsidRDefault="00316C32">
            <w:pPr>
              <w:spacing w:after="0" w:line="259" w:lineRule="auto"/>
              <w:ind w:left="104" w:firstLine="0"/>
              <w:jc w:val="center"/>
            </w:pPr>
            <w:r>
              <w:rPr>
                <w:b/>
              </w:rPr>
              <w:t xml:space="preserve">  </w:t>
            </w:r>
          </w:p>
        </w:tc>
        <w:tc>
          <w:tcPr>
            <w:tcW w:w="1281" w:type="pct"/>
            <w:tcBorders>
              <w:top w:val="nil"/>
              <w:left w:val="nil"/>
              <w:bottom w:val="nil"/>
              <w:right w:val="single" w:sz="4" w:space="0" w:color="808080"/>
            </w:tcBorders>
            <w:shd w:val="clear" w:color="auto" w:fill="E2EFDA"/>
          </w:tcPr>
          <w:p w:rsidR="00316C32" w:rsidRDefault="00316C32">
            <w:pPr>
              <w:spacing w:after="0" w:line="259" w:lineRule="auto"/>
              <w:ind w:left="108" w:firstLine="0"/>
              <w:jc w:val="left"/>
            </w:pPr>
            <w:r>
              <w:t xml:space="preserve">Reptiles </w:t>
            </w:r>
          </w:p>
        </w:tc>
        <w:tc>
          <w:tcPr>
            <w:tcW w:w="734" w:type="pct"/>
            <w:tcBorders>
              <w:top w:val="nil"/>
              <w:left w:val="single" w:sz="4" w:space="0" w:color="808080"/>
              <w:bottom w:val="nil"/>
              <w:right w:val="nil"/>
            </w:tcBorders>
            <w:shd w:val="clear" w:color="auto" w:fill="E2EFDA"/>
          </w:tcPr>
          <w:p w:rsidR="00316C32" w:rsidRDefault="00316C32" w:rsidP="00316C32">
            <w:pPr>
              <w:spacing w:after="0" w:line="259" w:lineRule="auto"/>
              <w:ind w:left="0" w:firstLine="0"/>
              <w:jc w:val="center"/>
            </w:pPr>
            <w:r>
              <w:t xml:space="preserve">2 </w:t>
            </w:r>
          </w:p>
        </w:tc>
        <w:tc>
          <w:tcPr>
            <w:tcW w:w="43" w:type="pct"/>
            <w:tcBorders>
              <w:top w:val="nil"/>
              <w:left w:val="nil"/>
              <w:bottom w:val="nil"/>
              <w:right w:val="nil"/>
            </w:tcBorders>
            <w:shd w:val="clear" w:color="auto" w:fill="E2EFDA"/>
          </w:tcPr>
          <w:p w:rsidR="00316C32" w:rsidRDefault="00316C32">
            <w:pPr>
              <w:spacing w:after="0" w:line="259" w:lineRule="auto"/>
              <w:ind w:left="0" w:right="48" w:firstLine="0"/>
              <w:jc w:val="right"/>
            </w:pPr>
          </w:p>
        </w:tc>
        <w:tc>
          <w:tcPr>
            <w:tcW w:w="587" w:type="pct"/>
            <w:tcBorders>
              <w:top w:val="nil"/>
              <w:left w:val="nil"/>
              <w:bottom w:val="nil"/>
              <w:right w:val="double" w:sz="6" w:space="0" w:color="808080"/>
            </w:tcBorders>
            <w:shd w:val="clear" w:color="auto" w:fill="E2EFDA"/>
          </w:tcPr>
          <w:p w:rsidR="00316C32" w:rsidRDefault="00316C32">
            <w:pPr>
              <w:spacing w:after="0" w:line="259" w:lineRule="auto"/>
              <w:ind w:left="0" w:right="48" w:firstLine="0"/>
              <w:jc w:val="right"/>
            </w:pPr>
            <w:r>
              <w:t xml:space="preserve">1 </w:t>
            </w:r>
          </w:p>
        </w:tc>
        <w:tc>
          <w:tcPr>
            <w:tcW w:w="724" w:type="pct"/>
            <w:tcBorders>
              <w:top w:val="nil"/>
              <w:left w:val="double" w:sz="6" w:space="0" w:color="808080"/>
              <w:bottom w:val="nil"/>
              <w:right w:val="nil"/>
            </w:tcBorders>
            <w:shd w:val="clear" w:color="auto" w:fill="E2EFDA"/>
          </w:tcPr>
          <w:p w:rsidR="00316C32" w:rsidRDefault="00316C32">
            <w:pPr>
              <w:spacing w:after="0" w:line="259" w:lineRule="auto"/>
              <w:ind w:left="0" w:right="187" w:firstLine="0"/>
              <w:jc w:val="right"/>
            </w:pPr>
            <w:r>
              <w:t xml:space="preserve">1 </w:t>
            </w:r>
          </w:p>
        </w:tc>
        <w:tc>
          <w:tcPr>
            <w:tcW w:w="840" w:type="pct"/>
            <w:tcBorders>
              <w:top w:val="nil"/>
              <w:left w:val="nil"/>
              <w:bottom w:val="nil"/>
              <w:right w:val="nil"/>
            </w:tcBorders>
            <w:shd w:val="clear" w:color="auto" w:fill="E2EFDA"/>
          </w:tcPr>
          <w:p w:rsidR="00316C32" w:rsidRDefault="00316C32">
            <w:pPr>
              <w:spacing w:after="0" w:line="259" w:lineRule="auto"/>
              <w:ind w:left="0" w:right="50" w:firstLine="0"/>
              <w:jc w:val="right"/>
            </w:pPr>
            <w:r>
              <w:t xml:space="preserve">100 % </w:t>
            </w:r>
          </w:p>
        </w:tc>
      </w:tr>
      <w:tr w:rsidR="00316C32" w:rsidTr="00316C32">
        <w:trPr>
          <w:trHeight w:val="20"/>
        </w:trPr>
        <w:tc>
          <w:tcPr>
            <w:tcW w:w="791" w:type="pct"/>
            <w:tcBorders>
              <w:top w:val="nil"/>
              <w:left w:val="nil"/>
              <w:bottom w:val="nil"/>
              <w:right w:val="nil"/>
            </w:tcBorders>
            <w:shd w:val="clear" w:color="auto" w:fill="FFE699"/>
          </w:tcPr>
          <w:p w:rsidR="00316C32" w:rsidRDefault="00316C32">
            <w:pPr>
              <w:spacing w:after="0" w:line="259" w:lineRule="auto"/>
              <w:ind w:left="163" w:firstLine="0"/>
              <w:jc w:val="left"/>
            </w:pPr>
            <w:proofErr w:type="spellStart"/>
            <w:r>
              <w:rPr>
                <w:b/>
              </w:rPr>
              <w:t>Apéndice</w:t>
            </w:r>
            <w:proofErr w:type="spellEnd"/>
            <w:r>
              <w:rPr>
                <w:b/>
              </w:rPr>
              <w:t xml:space="preserve"> I y </w:t>
            </w:r>
            <w:proofErr w:type="spellStart"/>
            <w:r>
              <w:rPr>
                <w:b/>
              </w:rPr>
              <w:t>Apéndice</w:t>
            </w:r>
            <w:proofErr w:type="spellEnd"/>
            <w:r>
              <w:rPr>
                <w:b/>
              </w:rPr>
              <w:t xml:space="preserve"> I/II </w:t>
            </w:r>
          </w:p>
        </w:tc>
        <w:tc>
          <w:tcPr>
            <w:tcW w:w="1281" w:type="pct"/>
            <w:tcBorders>
              <w:top w:val="nil"/>
              <w:left w:val="nil"/>
              <w:bottom w:val="nil"/>
              <w:right w:val="single" w:sz="4" w:space="0" w:color="808080"/>
            </w:tcBorders>
            <w:shd w:val="clear" w:color="auto" w:fill="FFF2CC"/>
          </w:tcPr>
          <w:p w:rsidR="00316C32" w:rsidRDefault="00316C32">
            <w:pPr>
              <w:spacing w:after="0" w:line="259" w:lineRule="auto"/>
              <w:ind w:left="108" w:firstLine="0"/>
              <w:jc w:val="left"/>
            </w:pPr>
            <w:proofErr w:type="spellStart"/>
            <w:r>
              <w:rPr>
                <w:b/>
              </w:rPr>
              <w:t>Todas</w:t>
            </w:r>
            <w:proofErr w:type="spellEnd"/>
            <w:r>
              <w:rPr>
                <w:b/>
              </w:rPr>
              <w:t xml:space="preserve"> las </w:t>
            </w:r>
            <w:proofErr w:type="spellStart"/>
            <w:r>
              <w:rPr>
                <w:b/>
              </w:rPr>
              <w:t>especies</w:t>
            </w:r>
            <w:proofErr w:type="spellEnd"/>
            <w:r>
              <w:rPr>
                <w:b/>
              </w:rPr>
              <w:t xml:space="preserve">* </w:t>
            </w:r>
          </w:p>
        </w:tc>
        <w:tc>
          <w:tcPr>
            <w:tcW w:w="734" w:type="pct"/>
            <w:tcBorders>
              <w:top w:val="nil"/>
              <w:left w:val="single" w:sz="4" w:space="0" w:color="808080"/>
              <w:bottom w:val="nil"/>
              <w:right w:val="nil"/>
            </w:tcBorders>
            <w:shd w:val="clear" w:color="auto" w:fill="FFF2CC"/>
          </w:tcPr>
          <w:p w:rsidR="00316C32" w:rsidRDefault="00316C32" w:rsidP="00316C32">
            <w:pPr>
              <w:spacing w:after="0" w:line="259" w:lineRule="auto"/>
              <w:ind w:left="0" w:firstLine="0"/>
              <w:jc w:val="center"/>
            </w:pPr>
            <w:r>
              <w:rPr>
                <w:b/>
              </w:rPr>
              <w:t xml:space="preserve">745 </w:t>
            </w:r>
          </w:p>
        </w:tc>
        <w:tc>
          <w:tcPr>
            <w:tcW w:w="43" w:type="pct"/>
            <w:tcBorders>
              <w:top w:val="nil"/>
              <w:left w:val="nil"/>
              <w:bottom w:val="nil"/>
              <w:right w:val="nil"/>
            </w:tcBorders>
            <w:shd w:val="clear" w:color="auto" w:fill="FFF2CC"/>
          </w:tcPr>
          <w:p w:rsidR="00316C32" w:rsidRDefault="00316C32">
            <w:pPr>
              <w:spacing w:after="0" w:line="259" w:lineRule="auto"/>
              <w:ind w:left="0" w:right="49" w:firstLine="0"/>
              <w:jc w:val="right"/>
              <w:rPr>
                <w:b/>
              </w:rPr>
            </w:pPr>
          </w:p>
        </w:tc>
        <w:tc>
          <w:tcPr>
            <w:tcW w:w="587" w:type="pct"/>
            <w:tcBorders>
              <w:top w:val="nil"/>
              <w:left w:val="nil"/>
              <w:bottom w:val="nil"/>
              <w:right w:val="double" w:sz="6" w:space="0" w:color="808080"/>
            </w:tcBorders>
            <w:shd w:val="clear" w:color="auto" w:fill="FFF2CC"/>
          </w:tcPr>
          <w:p w:rsidR="00316C32" w:rsidRDefault="00316C32">
            <w:pPr>
              <w:spacing w:after="0" w:line="259" w:lineRule="auto"/>
              <w:ind w:left="0" w:right="49" w:firstLine="0"/>
              <w:jc w:val="right"/>
            </w:pPr>
            <w:r>
              <w:rPr>
                <w:b/>
              </w:rPr>
              <w:t xml:space="preserve">100 </w:t>
            </w:r>
          </w:p>
        </w:tc>
        <w:tc>
          <w:tcPr>
            <w:tcW w:w="724" w:type="pct"/>
            <w:tcBorders>
              <w:top w:val="nil"/>
              <w:left w:val="double" w:sz="6" w:space="0" w:color="808080"/>
              <w:bottom w:val="nil"/>
              <w:right w:val="nil"/>
            </w:tcBorders>
            <w:shd w:val="clear" w:color="auto" w:fill="FFF2CC"/>
          </w:tcPr>
          <w:p w:rsidR="00316C32" w:rsidRDefault="00316C32">
            <w:pPr>
              <w:spacing w:after="0" w:line="259" w:lineRule="auto"/>
              <w:ind w:left="760" w:firstLine="0"/>
              <w:jc w:val="left"/>
            </w:pPr>
            <w:r>
              <w:rPr>
                <w:b/>
              </w:rPr>
              <w:t xml:space="preserve">166 </w:t>
            </w:r>
          </w:p>
        </w:tc>
        <w:tc>
          <w:tcPr>
            <w:tcW w:w="840" w:type="pct"/>
            <w:tcBorders>
              <w:top w:val="nil"/>
              <w:left w:val="nil"/>
              <w:bottom w:val="nil"/>
              <w:right w:val="nil"/>
            </w:tcBorders>
            <w:shd w:val="clear" w:color="auto" w:fill="FFF2CC"/>
          </w:tcPr>
          <w:p w:rsidR="00316C32" w:rsidRDefault="00316C32">
            <w:pPr>
              <w:spacing w:after="0" w:line="259" w:lineRule="auto"/>
              <w:ind w:left="0" w:right="49" w:firstLine="0"/>
              <w:jc w:val="right"/>
            </w:pPr>
            <w:r>
              <w:rPr>
                <w:b/>
              </w:rPr>
              <w:t xml:space="preserve">60 % </w:t>
            </w:r>
          </w:p>
        </w:tc>
      </w:tr>
      <w:tr w:rsidR="00316C32" w:rsidTr="00316C32">
        <w:trPr>
          <w:trHeight w:val="20"/>
        </w:trPr>
        <w:tc>
          <w:tcPr>
            <w:tcW w:w="791" w:type="pct"/>
            <w:tcBorders>
              <w:top w:val="nil"/>
              <w:left w:val="nil"/>
              <w:bottom w:val="nil"/>
              <w:right w:val="nil"/>
            </w:tcBorders>
            <w:shd w:val="clear" w:color="auto" w:fill="FFE699"/>
          </w:tcPr>
          <w:p w:rsidR="00316C32" w:rsidRDefault="00316C32">
            <w:pPr>
              <w:spacing w:after="0" w:line="259" w:lineRule="auto"/>
              <w:ind w:left="104" w:firstLine="0"/>
              <w:jc w:val="center"/>
            </w:pPr>
            <w:r>
              <w:rPr>
                <w:b/>
              </w:rPr>
              <w:t xml:space="preserve">  </w:t>
            </w:r>
          </w:p>
        </w:tc>
        <w:tc>
          <w:tcPr>
            <w:tcW w:w="1281" w:type="pct"/>
            <w:tcBorders>
              <w:top w:val="nil"/>
              <w:left w:val="nil"/>
              <w:bottom w:val="nil"/>
              <w:right w:val="single" w:sz="4" w:space="0" w:color="808080"/>
            </w:tcBorders>
            <w:shd w:val="clear" w:color="auto" w:fill="FFF2CC"/>
          </w:tcPr>
          <w:p w:rsidR="00316C32" w:rsidRDefault="00316C32">
            <w:pPr>
              <w:spacing w:after="0" w:line="259" w:lineRule="auto"/>
              <w:ind w:left="108" w:firstLine="0"/>
              <w:jc w:val="left"/>
            </w:pPr>
            <w:r>
              <w:t xml:space="preserve">Aves </w:t>
            </w:r>
          </w:p>
        </w:tc>
        <w:tc>
          <w:tcPr>
            <w:tcW w:w="734" w:type="pct"/>
            <w:tcBorders>
              <w:top w:val="nil"/>
              <w:left w:val="single" w:sz="4" w:space="0" w:color="808080"/>
              <w:bottom w:val="nil"/>
              <w:right w:val="nil"/>
            </w:tcBorders>
            <w:shd w:val="clear" w:color="auto" w:fill="FFF2CC"/>
          </w:tcPr>
          <w:p w:rsidR="00316C32" w:rsidRDefault="00316C32" w:rsidP="00316C32">
            <w:pPr>
              <w:spacing w:after="0" w:line="259" w:lineRule="auto"/>
              <w:ind w:left="0" w:firstLine="0"/>
              <w:jc w:val="center"/>
            </w:pPr>
            <w:r>
              <w:t xml:space="preserve">374 </w:t>
            </w:r>
          </w:p>
        </w:tc>
        <w:tc>
          <w:tcPr>
            <w:tcW w:w="43" w:type="pct"/>
            <w:tcBorders>
              <w:top w:val="nil"/>
              <w:left w:val="nil"/>
              <w:bottom w:val="nil"/>
              <w:right w:val="nil"/>
            </w:tcBorders>
            <w:shd w:val="clear" w:color="auto" w:fill="FFF2CC"/>
          </w:tcPr>
          <w:p w:rsidR="00316C32" w:rsidRDefault="00316C32">
            <w:pPr>
              <w:spacing w:after="0" w:line="259" w:lineRule="auto"/>
              <w:ind w:left="0" w:right="48" w:firstLine="0"/>
              <w:jc w:val="right"/>
            </w:pPr>
          </w:p>
        </w:tc>
        <w:tc>
          <w:tcPr>
            <w:tcW w:w="587" w:type="pct"/>
            <w:tcBorders>
              <w:top w:val="nil"/>
              <w:left w:val="nil"/>
              <w:bottom w:val="nil"/>
              <w:right w:val="double" w:sz="6" w:space="0" w:color="808080"/>
            </w:tcBorders>
            <w:shd w:val="clear" w:color="auto" w:fill="FFF2CC"/>
          </w:tcPr>
          <w:p w:rsidR="00316C32" w:rsidRDefault="00316C32">
            <w:pPr>
              <w:spacing w:after="0" w:line="259" w:lineRule="auto"/>
              <w:ind w:left="0" w:right="48" w:firstLine="0"/>
              <w:jc w:val="right"/>
            </w:pPr>
            <w:r>
              <w:t xml:space="preserve">60 </w:t>
            </w:r>
          </w:p>
        </w:tc>
        <w:tc>
          <w:tcPr>
            <w:tcW w:w="724" w:type="pct"/>
            <w:tcBorders>
              <w:top w:val="nil"/>
              <w:left w:val="double" w:sz="6" w:space="0" w:color="808080"/>
              <w:bottom w:val="nil"/>
              <w:right w:val="nil"/>
            </w:tcBorders>
            <w:shd w:val="clear" w:color="auto" w:fill="FFF2CC"/>
          </w:tcPr>
          <w:p w:rsidR="00316C32" w:rsidRDefault="00316C32">
            <w:pPr>
              <w:spacing w:after="0" w:line="259" w:lineRule="auto"/>
              <w:ind w:left="871" w:firstLine="0"/>
              <w:jc w:val="left"/>
            </w:pPr>
            <w:r>
              <w:t xml:space="preserve">95 </w:t>
            </w:r>
          </w:p>
        </w:tc>
        <w:tc>
          <w:tcPr>
            <w:tcW w:w="840" w:type="pct"/>
            <w:tcBorders>
              <w:top w:val="nil"/>
              <w:left w:val="nil"/>
              <w:bottom w:val="nil"/>
              <w:right w:val="nil"/>
            </w:tcBorders>
            <w:shd w:val="clear" w:color="auto" w:fill="FFF2CC"/>
          </w:tcPr>
          <w:p w:rsidR="00316C32" w:rsidRDefault="00316C32">
            <w:pPr>
              <w:spacing w:after="0" w:line="259" w:lineRule="auto"/>
              <w:ind w:left="0" w:right="50" w:firstLine="0"/>
              <w:jc w:val="right"/>
            </w:pPr>
            <w:r>
              <w:t xml:space="preserve">63 % </w:t>
            </w:r>
          </w:p>
        </w:tc>
      </w:tr>
      <w:tr w:rsidR="00316C32" w:rsidTr="00316C32">
        <w:trPr>
          <w:trHeight w:val="20"/>
        </w:trPr>
        <w:tc>
          <w:tcPr>
            <w:tcW w:w="791" w:type="pct"/>
            <w:tcBorders>
              <w:top w:val="nil"/>
              <w:left w:val="nil"/>
              <w:bottom w:val="nil"/>
              <w:right w:val="nil"/>
            </w:tcBorders>
            <w:shd w:val="clear" w:color="auto" w:fill="FFE699"/>
          </w:tcPr>
          <w:p w:rsidR="00316C32" w:rsidRDefault="00316C32">
            <w:pPr>
              <w:spacing w:after="0" w:line="259" w:lineRule="auto"/>
              <w:ind w:left="104" w:firstLine="0"/>
              <w:jc w:val="center"/>
            </w:pPr>
            <w:r>
              <w:rPr>
                <w:b/>
              </w:rPr>
              <w:t xml:space="preserve">  </w:t>
            </w:r>
          </w:p>
        </w:tc>
        <w:tc>
          <w:tcPr>
            <w:tcW w:w="1281" w:type="pct"/>
            <w:tcBorders>
              <w:top w:val="nil"/>
              <w:left w:val="nil"/>
              <w:bottom w:val="nil"/>
              <w:right w:val="single" w:sz="4" w:space="0" w:color="808080"/>
            </w:tcBorders>
            <w:shd w:val="clear" w:color="auto" w:fill="FFF2CC"/>
          </w:tcPr>
          <w:p w:rsidR="00316C32" w:rsidRDefault="00316C32">
            <w:pPr>
              <w:spacing w:after="0" w:line="259" w:lineRule="auto"/>
              <w:ind w:left="108" w:firstLine="0"/>
              <w:jc w:val="left"/>
            </w:pPr>
            <w:proofErr w:type="spellStart"/>
            <w:r>
              <w:t>Mamíferos</w:t>
            </w:r>
            <w:proofErr w:type="spellEnd"/>
            <w:r>
              <w:t xml:space="preserve"> </w:t>
            </w:r>
          </w:p>
        </w:tc>
        <w:tc>
          <w:tcPr>
            <w:tcW w:w="734" w:type="pct"/>
            <w:tcBorders>
              <w:top w:val="nil"/>
              <w:left w:val="single" w:sz="4" w:space="0" w:color="808080"/>
              <w:bottom w:val="nil"/>
              <w:right w:val="nil"/>
            </w:tcBorders>
            <w:shd w:val="clear" w:color="auto" w:fill="FFF2CC"/>
          </w:tcPr>
          <w:p w:rsidR="00316C32" w:rsidRDefault="00316C32" w:rsidP="00316C32">
            <w:pPr>
              <w:spacing w:after="0" w:line="259" w:lineRule="auto"/>
              <w:ind w:left="0" w:firstLine="0"/>
              <w:jc w:val="center"/>
            </w:pPr>
            <w:r>
              <w:t xml:space="preserve">135 </w:t>
            </w:r>
          </w:p>
        </w:tc>
        <w:tc>
          <w:tcPr>
            <w:tcW w:w="43" w:type="pct"/>
            <w:tcBorders>
              <w:top w:val="nil"/>
              <w:left w:val="nil"/>
              <w:bottom w:val="nil"/>
              <w:right w:val="nil"/>
            </w:tcBorders>
            <w:shd w:val="clear" w:color="auto" w:fill="FFF2CC"/>
          </w:tcPr>
          <w:p w:rsidR="00316C32" w:rsidRDefault="00316C32">
            <w:pPr>
              <w:spacing w:after="0" w:line="259" w:lineRule="auto"/>
              <w:ind w:left="0" w:right="48" w:firstLine="0"/>
              <w:jc w:val="right"/>
            </w:pPr>
          </w:p>
        </w:tc>
        <w:tc>
          <w:tcPr>
            <w:tcW w:w="587" w:type="pct"/>
            <w:tcBorders>
              <w:top w:val="nil"/>
              <w:left w:val="nil"/>
              <w:bottom w:val="nil"/>
              <w:right w:val="double" w:sz="6" w:space="0" w:color="808080"/>
            </w:tcBorders>
            <w:shd w:val="clear" w:color="auto" w:fill="FFF2CC"/>
          </w:tcPr>
          <w:p w:rsidR="00316C32" w:rsidRDefault="00316C32">
            <w:pPr>
              <w:spacing w:after="0" w:line="259" w:lineRule="auto"/>
              <w:ind w:left="0" w:right="48" w:firstLine="0"/>
              <w:jc w:val="right"/>
            </w:pPr>
            <w:r>
              <w:t xml:space="preserve">27 </w:t>
            </w:r>
          </w:p>
        </w:tc>
        <w:tc>
          <w:tcPr>
            <w:tcW w:w="724" w:type="pct"/>
            <w:tcBorders>
              <w:top w:val="nil"/>
              <w:left w:val="double" w:sz="6" w:space="0" w:color="808080"/>
              <w:bottom w:val="nil"/>
              <w:right w:val="nil"/>
            </w:tcBorders>
            <w:shd w:val="clear" w:color="auto" w:fill="FFF2CC"/>
          </w:tcPr>
          <w:p w:rsidR="00316C32" w:rsidRDefault="00316C32">
            <w:pPr>
              <w:spacing w:after="0" w:line="259" w:lineRule="auto"/>
              <w:ind w:left="871" w:firstLine="0"/>
              <w:jc w:val="left"/>
            </w:pPr>
            <w:r>
              <w:t xml:space="preserve">40 </w:t>
            </w:r>
          </w:p>
        </w:tc>
        <w:tc>
          <w:tcPr>
            <w:tcW w:w="840" w:type="pct"/>
            <w:tcBorders>
              <w:top w:val="nil"/>
              <w:left w:val="nil"/>
              <w:bottom w:val="nil"/>
              <w:right w:val="nil"/>
            </w:tcBorders>
            <w:shd w:val="clear" w:color="auto" w:fill="FFF2CC"/>
          </w:tcPr>
          <w:p w:rsidR="00316C32" w:rsidRDefault="00316C32">
            <w:pPr>
              <w:spacing w:after="0" w:line="259" w:lineRule="auto"/>
              <w:ind w:left="0" w:right="50" w:firstLine="0"/>
              <w:jc w:val="right"/>
            </w:pPr>
            <w:r>
              <w:t xml:space="preserve">68 % </w:t>
            </w:r>
          </w:p>
        </w:tc>
      </w:tr>
      <w:tr w:rsidR="00316C32" w:rsidTr="00316C32">
        <w:trPr>
          <w:trHeight w:val="20"/>
        </w:trPr>
        <w:tc>
          <w:tcPr>
            <w:tcW w:w="791" w:type="pct"/>
            <w:tcBorders>
              <w:top w:val="nil"/>
              <w:left w:val="nil"/>
              <w:bottom w:val="nil"/>
              <w:right w:val="nil"/>
            </w:tcBorders>
            <w:shd w:val="clear" w:color="auto" w:fill="FFE699"/>
          </w:tcPr>
          <w:p w:rsidR="00316C32" w:rsidRDefault="00316C32">
            <w:pPr>
              <w:spacing w:after="0" w:line="259" w:lineRule="auto"/>
              <w:ind w:left="104" w:firstLine="0"/>
              <w:jc w:val="center"/>
            </w:pPr>
            <w:r>
              <w:rPr>
                <w:b/>
              </w:rPr>
              <w:t xml:space="preserve">  </w:t>
            </w:r>
          </w:p>
        </w:tc>
        <w:tc>
          <w:tcPr>
            <w:tcW w:w="1281" w:type="pct"/>
            <w:tcBorders>
              <w:top w:val="nil"/>
              <w:left w:val="nil"/>
              <w:bottom w:val="nil"/>
              <w:right w:val="single" w:sz="4" w:space="0" w:color="808080"/>
            </w:tcBorders>
            <w:shd w:val="clear" w:color="auto" w:fill="FFF2CC"/>
          </w:tcPr>
          <w:p w:rsidR="00316C32" w:rsidRDefault="00316C32">
            <w:pPr>
              <w:spacing w:after="0" w:line="259" w:lineRule="auto"/>
              <w:ind w:left="108" w:firstLine="0"/>
              <w:jc w:val="left"/>
            </w:pPr>
            <w:proofErr w:type="spellStart"/>
            <w:r>
              <w:t>Peces</w:t>
            </w:r>
            <w:proofErr w:type="spellEnd"/>
            <w:r>
              <w:t xml:space="preserve"> </w:t>
            </w:r>
          </w:p>
        </w:tc>
        <w:tc>
          <w:tcPr>
            <w:tcW w:w="734" w:type="pct"/>
            <w:tcBorders>
              <w:top w:val="nil"/>
              <w:left w:val="single" w:sz="4" w:space="0" w:color="808080"/>
              <w:bottom w:val="nil"/>
              <w:right w:val="nil"/>
            </w:tcBorders>
            <w:shd w:val="clear" w:color="auto" w:fill="FFF2CC"/>
          </w:tcPr>
          <w:p w:rsidR="00316C32" w:rsidRDefault="00316C32" w:rsidP="00316C32">
            <w:pPr>
              <w:spacing w:after="0" w:line="259" w:lineRule="auto"/>
              <w:ind w:left="0" w:firstLine="0"/>
              <w:jc w:val="center"/>
            </w:pPr>
            <w:r>
              <w:t xml:space="preserve">40 </w:t>
            </w:r>
          </w:p>
        </w:tc>
        <w:tc>
          <w:tcPr>
            <w:tcW w:w="43" w:type="pct"/>
            <w:tcBorders>
              <w:top w:val="nil"/>
              <w:left w:val="nil"/>
              <w:bottom w:val="nil"/>
              <w:right w:val="nil"/>
            </w:tcBorders>
            <w:shd w:val="clear" w:color="auto" w:fill="FFF2CC"/>
          </w:tcPr>
          <w:p w:rsidR="00316C32" w:rsidRDefault="00316C32">
            <w:pPr>
              <w:spacing w:after="0" w:line="259" w:lineRule="auto"/>
              <w:ind w:left="0" w:right="48" w:firstLine="0"/>
              <w:jc w:val="right"/>
            </w:pPr>
          </w:p>
        </w:tc>
        <w:tc>
          <w:tcPr>
            <w:tcW w:w="587" w:type="pct"/>
            <w:tcBorders>
              <w:top w:val="nil"/>
              <w:left w:val="nil"/>
              <w:bottom w:val="nil"/>
              <w:right w:val="double" w:sz="6" w:space="0" w:color="808080"/>
            </w:tcBorders>
            <w:shd w:val="clear" w:color="auto" w:fill="FFF2CC"/>
          </w:tcPr>
          <w:p w:rsidR="00316C32" w:rsidRDefault="00316C32">
            <w:pPr>
              <w:spacing w:after="0" w:line="259" w:lineRule="auto"/>
              <w:ind w:left="0" w:right="48" w:firstLine="0"/>
              <w:jc w:val="right"/>
            </w:pPr>
            <w:r>
              <w:t xml:space="preserve">6 </w:t>
            </w:r>
          </w:p>
        </w:tc>
        <w:tc>
          <w:tcPr>
            <w:tcW w:w="724" w:type="pct"/>
            <w:tcBorders>
              <w:top w:val="nil"/>
              <w:left w:val="double" w:sz="6" w:space="0" w:color="808080"/>
              <w:bottom w:val="nil"/>
              <w:right w:val="nil"/>
            </w:tcBorders>
            <w:shd w:val="clear" w:color="auto" w:fill="FFF2CC"/>
          </w:tcPr>
          <w:p w:rsidR="00316C32" w:rsidRDefault="00316C32">
            <w:pPr>
              <w:spacing w:after="0" w:line="259" w:lineRule="auto"/>
              <w:ind w:left="871" w:firstLine="0"/>
              <w:jc w:val="left"/>
            </w:pPr>
            <w:r>
              <w:t xml:space="preserve">23 </w:t>
            </w:r>
          </w:p>
        </w:tc>
        <w:tc>
          <w:tcPr>
            <w:tcW w:w="840" w:type="pct"/>
            <w:tcBorders>
              <w:top w:val="nil"/>
              <w:left w:val="nil"/>
              <w:bottom w:val="nil"/>
              <w:right w:val="nil"/>
            </w:tcBorders>
            <w:shd w:val="clear" w:color="auto" w:fill="FFF2CC"/>
          </w:tcPr>
          <w:p w:rsidR="00316C32" w:rsidRDefault="00316C32">
            <w:pPr>
              <w:spacing w:after="0" w:line="259" w:lineRule="auto"/>
              <w:ind w:left="0" w:right="50" w:firstLine="0"/>
              <w:jc w:val="right"/>
            </w:pPr>
            <w:r>
              <w:rPr>
                <w:color w:val="CC0000"/>
              </w:rPr>
              <w:t xml:space="preserve">26 % </w:t>
            </w:r>
          </w:p>
        </w:tc>
      </w:tr>
      <w:tr w:rsidR="00316C32" w:rsidTr="00316C32">
        <w:trPr>
          <w:trHeight w:val="20"/>
        </w:trPr>
        <w:tc>
          <w:tcPr>
            <w:tcW w:w="791" w:type="pct"/>
            <w:tcBorders>
              <w:top w:val="nil"/>
              <w:left w:val="nil"/>
              <w:bottom w:val="nil"/>
              <w:right w:val="nil"/>
            </w:tcBorders>
            <w:shd w:val="clear" w:color="auto" w:fill="FFE699"/>
          </w:tcPr>
          <w:p w:rsidR="00316C32" w:rsidRDefault="00316C32">
            <w:pPr>
              <w:spacing w:after="0" w:line="259" w:lineRule="auto"/>
              <w:ind w:left="104" w:firstLine="0"/>
              <w:jc w:val="center"/>
            </w:pPr>
            <w:r>
              <w:rPr>
                <w:b/>
              </w:rPr>
              <w:t xml:space="preserve">  </w:t>
            </w:r>
          </w:p>
        </w:tc>
        <w:tc>
          <w:tcPr>
            <w:tcW w:w="1281" w:type="pct"/>
            <w:tcBorders>
              <w:top w:val="nil"/>
              <w:left w:val="nil"/>
              <w:bottom w:val="nil"/>
              <w:right w:val="single" w:sz="4" w:space="0" w:color="808080"/>
            </w:tcBorders>
            <w:shd w:val="clear" w:color="auto" w:fill="FFF2CC"/>
          </w:tcPr>
          <w:p w:rsidR="00316C32" w:rsidRDefault="00316C32">
            <w:pPr>
              <w:spacing w:after="0" w:line="259" w:lineRule="auto"/>
              <w:ind w:left="108" w:firstLine="0"/>
              <w:jc w:val="left"/>
            </w:pPr>
            <w:r>
              <w:t xml:space="preserve">Reptiles </w:t>
            </w:r>
          </w:p>
        </w:tc>
        <w:tc>
          <w:tcPr>
            <w:tcW w:w="734" w:type="pct"/>
            <w:tcBorders>
              <w:top w:val="nil"/>
              <w:left w:val="single" w:sz="4" w:space="0" w:color="808080"/>
              <w:bottom w:val="nil"/>
              <w:right w:val="nil"/>
            </w:tcBorders>
            <w:shd w:val="clear" w:color="auto" w:fill="FFF2CC"/>
          </w:tcPr>
          <w:p w:rsidR="00316C32" w:rsidRDefault="00316C32" w:rsidP="00316C32">
            <w:pPr>
              <w:spacing w:after="0" w:line="259" w:lineRule="auto"/>
              <w:ind w:left="0" w:firstLine="0"/>
              <w:jc w:val="center"/>
            </w:pPr>
            <w:r>
              <w:t xml:space="preserve">196 </w:t>
            </w:r>
          </w:p>
        </w:tc>
        <w:tc>
          <w:tcPr>
            <w:tcW w:w="43" w:type="pct"/>
            <w:tcBorders>
              <w:top w:val="nil"/>
              <w:left w:val="nil"/>
              <w:bottom w:val="nil"/>
              <w:right w:val="nil"/>
            </w:tcBorders>
            <w:shd w:val="clear" w:color="auto" w:fill="FFF2CC"/>
          </w:tcPr>
          <w:p w:rsidR="00316C32" w:rsidRDefault="00316C32">
            <w:pPr>
              <w:spacing w:after="0" w:line="259" w:lineRule="auto"/>
              <w:ind w:left="0" w:right="48" w:firstLine="0"/>
              <w:jc w:val="right"/>
            </w:pPr>
          </w:p>
        </w:tc>
        <w:tc>
          <w:tcPr>
            <w:tcW w:w="587" w:type="pct"/>
            <w:tcBorders>
              <w:top w:val="nil"/>
              <w:left w:val="nil"/>
              <w:bottom w:val="nil"/>
              <w:right w:val="double" w:sz="6" w:space="0" w:color="808080"/>
            </w:tcBorders>
            <w:shd w:val="clear" w:color="auto" w:fill="FFF2CC"/>
          </w:tcPr>
          <w:p w:rsidR="00316C32" w:rsidRDefault="00316C32">
            <w:pPr>
              <w:spacing w:after="0" w:line="259" w:lineRule="auto"/>
              <w:ind w:left="0" w:right="48" w:firstLine="0"/>
              <w:jc w:val="right"/>
            </w:pPr>
            <w:r>
              <w:t xml:space="preserve">7 </w:t>
            </w:r>
          </w:p>
        </w:tc>
        <w:tc>
          <w:tcPr>
            <w:tcW w:w="724" w:type="pct"/>
            <w:tcBorders>
              <w:top w:val="nil"/>
              <w:left w:val="double" w:sz="6" w:space="0" w:color="808080"/>
              <w:bottom w:val="nil"/>
              <w:right w:val="nil"/>
            </w:tcBorders>
            <w:shd w:val="clear" w:color="auto" w:fill="FFF2CC"/>
          </w:tcPr>
          <w:p w:rsidR="00316C32" w:rsidRDefault="00316C32">
            <w:pPr>
              <w:spacing w:after="0" w:line="259" w:lineRule="auto"/>
              <w:ind w:left="0" w:right="187" w:firstLine="0"/>
              <w:jc w:val="right"/>
            </w:pPr>
            <w:r>
              <w:t xml:space="preserve">8 </w:t>
            </w:r>
          </w:p>
        </w:tc>
        <w:tc>
          <w:tcPr>
            <w:tcW w:w="840" w:type="pct"/>
            <w:tcBorders>
              <w:top w:val="nil"/>
              <w:left w:val="nil"/>
              <w:bottom w:val="nil"/>
              <w:right w:val="nil"/>
            </w:tcBorders>
            <w:shd w:val="clear" w:color="auto" w:fill="FFF2CC"/>
          </w:tcPr>
          <w:p w:rsidR="00316C32" w:rsidRDefault="00316C32">
            <w:pPr>
              <w:spacing w:after="0" w:line="259" w:lineRule="auto"/>
              <w:ind w:left="0" w:right="50" w:firstLine="0"/>
              <w:jc w:val="right"/>
            </w:pPr>
            <w:r>
              <w:t xml:space="preserve">88 % </w:t>
            </w:r>
          </w:p>
        </w:tc>
      </w:tr>
    </w:tbl>
    <w:p w:rsidR="00E15D73" w:rsidRDefault="00E60CCE">
      <w:pPr>
        <w:spacing w:after="333" w:line="259" w:lineRule="auto"/>
        <w:ind w:left="0" w:firstLine="0"/>
        <w:jc w:val="left"/>
      </w:pPr>
      <w:r>
        <w:t xml:space="preserve"> </w:t>
      </w:r>
    </w:p>
    <w:p w:rsidR="00E15D73" w:rsidRDefault="00E60CCE">
      <w:pPr>
        <w:pStyle w:val="Heading1"/>
        <w:ind w:left="-5"/>
      </w:pPr>
      <w:bookmarkStart w:id="6" w:name="_Toc27618308"/>
      <w:proofErr w:type="spellStart"/>
      <w:r>
        <w:t>Conclusiones</w:t>
      </w:r>
      <w:proofErr w:type="spellEnd"/>
      <w:r>
        <w:t xml:space="preserve"> y </w:t>
      </w:r>
      <w:proofErr w:type="spellStart"/>
      <w:r>
        <w:t>advertencias</w:t>
      </w:r>
      <w:bookmarkEnd w:id="6"/>
      <w:proofErr w:type="spellEnd"/>
      <w:r>
        <w:t xml:space="preserve"> </w:t>
      </w:r>
    </w:p>
    <w:p w:rsidR="00E15D73" w:rsidRPr="00180604" w:rsidRDefault="00E60CCE">
      <w:pPr>
        <w:spacing w:after="167"/>
        <w:ind w:left="-5" w:right="798"/>
        <w:rPr>
          <w:lang w:val="es-PE"/>
        </w:rPr>
      </w:pPr>
      <w:r w:rsidRPr="00180604">
        <w:rPr>
          <w:lang w:val="es-PE"/>
        </w:rPr>
        <w:t xml:space="preserve">En resumen, las especies monitorizadas que figuran en los Apéndices de la CMS han aumentado ligeramente de media entre 1970 y 2015. Los mamíferos acuáticos y las aves han ganado en abundancia y, por el contrario, los mamíferos terrestres y los peces, en concreto, han disminuido. Las especies que solo figuran en el Apéndice I también se mantienen estables; sin embargo, al combinarlas con las que figuran en el Apéndice I/II, su tendencia media también muestra un descenso. </w:t>
      </w:r>
    </w:p>
    <w:p w:rsidR="00E15D73" w:rsidRPr="00180604" w:rsidRDefault="00E60CCE">
      <w:pPr>
        <w:spacing w:after="167"/>
        <w:ind w:left="-5" w:right="798"/>
        <w:rPr>
          <w:lang w:val="es-PE"/>
        </w:rPr>
      </w:pPr>
      <w:r w:rsidRPr="00180604">
        <w:rPr>
          <w:lang w:val="es-PE"/>
        </w:rPr>
        <w:t xml:space="preserve">Mientras que, por lo general, la cobertura de los indicadores presentados es buena, no existen datos disponibles para todas las especies y todos los años, de modo que las tendencias pueden no ser siempre representativas de todas las especies que figuran en las listas de la CMS. Para alcanzar al menos una representación del 50 % en todos los cortes de datos, se necesita más información sobre aves y peces, en concreto de los peces que figuran en el Apéndice I o Apéndice I/II. Se considera que estas especies corren peligro de extinción de acuerdo con la Convención sobre la Conservación de las Especies Migratorias de Animales Silvestres (CMS, 2018), por lo que hacer un seguimiento del cambio en abundancia es vital para prevenir futuros descensos o extinciones. </w:t>
      </w:r>
    </w:p>
    <w:p w:rsidR="00E15D73" w:rsidRPr="00180604" w:rsidRDefault="00E60CCE">
      <w:pPr>
        <w:spacing w:after="353" w:line="259" w:lineRule="auto"/>
        <w:ind w:left="0" w:firstLine="0"/>
        <w:jc w:val="left"/>
        <w:rPr>
          <w:lang w:val="es-PE"/>
        </w:rPr>
      </w:pPr>
      <w:r w:rsidRPr="00180604">
        <w:rPr>
          <w:lang w:val="es-PE"/>
        </w:rPr>
        <w:lastRenderedPageBreak/>
        <w:t xml:space="preserve"> </w:t>
      </w:r>
    </w:p>
    <w:p w:rsidR="00E15D73" w:rsidRDefault="00E60CCE">
      <w:pPr>
        <w:pStyle w:val="Heading1"/>
        <w:ind w:left="-5"/>
      </w:pPr>
      <w:bookmarkStart w:id="7" w:name="_Toc27618309"/>
      <w:proofErr w:type="spellStart"/>
      <w:r>
        <w:t>Archivos</w:t>
      </w:r>
      <w:proofErr w:type="spellEnd"/>
      <w:r>
        <w:t xml:space="preserve"> </w:t>
      </w:r>
      <w:proofErr w:type="spellStart"/>
      <w:r>
        <w:t>adjuntos</w:t>
      </w:r>
      <w:bookmarkEnd w:id="7"/>
      <w:proofErr w:type="spellEnd"/>
      <w:r>
        <w:t xml:space="preserve"> </w:t>
      </w:r>
    </w:p>
    <w:tbl>
      <w:tblPr>
        <w:tblStyle w:val="TableGrid"/>
        <w:tblW w:w="9078" w:type="dxa"/>
        <w:tblInd w:w="0" w:type="dxa"/>
        <w:tblLook w:val="04A0" w:firstRow="1" w:lastRow="0" w:firstColumn="1" w:lastColumn="0" w:noHBand="0" w:noVBand="1"/>
      </w:tblPr>
      <w:tblGrid>
        <w:gridCol w:w="2881"/>
        <w:gridCol w:w="6197"/>
      </w:tblGrid>
      <w:tr w:rsidR="00E15D73" w:rsidRPr="009D1B49">
        <w:trPr>
          <w:trHeight w:val="628"/>
        </w:trPr>
        <w:tc>
          <w:tcPr>
            <w:tcW w:w="2881" w:type="dxa"/>
            <w:tcBorders>
              <w:top w:val="nil"/>
              <w:left w:val="nil"/>
              <w:bottom w:val="nil"/>
              <w:right w:val="nil"/>
            </w:tcBorders>
          </w:tcPr>
          <w:p w:rsidR="00E15D73" w:rsidRDefault="00E60CCE">
            <w:pPr>
              <w:spacing w:after="0" w:line="259" w:lineRule="auto"/>
              <w:ind w:left="0" w:firstLine="0"/>
              <w:jc w:val="left"/>
            </w:pPr>
            <w:r>
              <w:t xml:space="preserve">CMS_species_list.xlsx </w:t>
            </w:r>
          </w:p>
        </w:tc>
        <w:tc>
          <w:tcPr>
            <w:tcW w:w="6197" w:type="dxa"/>
            <w:tcBorders>
              <w:top w:val="nil"/>
              <w:left w:val="nil"/>
              <w:bottom w:val="nil"/>
              <w:right w:val="nil"/>
            </w:tcBorders>
          </w:tcPr>
          <w:p w:rsidR="00E15D73" w:rsidRPr="00180604" w:rsidRDefault="00E60CCE">
            <w:pPr>
              <w:spacing w:after="0" w:line="259" w:lineRule="auto"/>
              <w:ind w:left="0" w:firstLine="0"/>
              <w:rPr>
                <w:lang w:val="es-PE"/>
              </w:rPr>
            </w:pPr>
            <w:r w:rsidRPr="00180604">
              <w:rPr>
                <w:lang w:val="es-PE"/>
              </w:rPr>
              <w:t xml:space="preserve">Lista de especies incluidas en los índices por grupo taxonómico, su </w:t>
            </w:r>
          </w:p>
          <w:p w:rsidR="00E15D73" w:rsidRPr="00180604" w:rsidRDefault="00E60CCE">
            <w:pPr>
              <w:spacing w:after="0" w:line="259" w:lineRule="auto"/>
              <w:ind w:left="0" w:firstLine="0"/>
              <w:jc w:val="left"/>
              <w:rPr>
                <w:lang w:val="es-PE"/>
              </w:rPr>
            </w:pPr>
            <w:r w:rsidRPr="00180604">
              <w:rPr>
                <w:lang w:val="es-PE"/>
              </w:rPr>
              <w:t xml:space="preserve">listado de la CMS y el número de poblaciones de estas especies </w:t>
            </w:r>
          </w:p>
        </w:tc>
      </w:tr>
      <w:tr w:rsidR="00E15D73" w:rsidRPr="009D1B49">
        <w:trPr>
          <w:trHeight w:val="916"/>
        </w:trPr>
        <w:tc>
          <w:tcPr>
            <w:tcW w:w="2881" w:type="dxa"/>
            <w:tcBorders>
              <w:top w:val="nil"/>
              <w:left w:val="nil"/>
              <w:bottom w:val="nil"/>
              <w:right w:val="nil"/>
            </w:tcBorders>
          </w:tcPr>
          <w:p w:rsidR="00E15D73" w:rsidRDefault="00E60CCE">
            <w:pPr>
              <w:spacing w:after="0" w:line="259" w:lineRule="auto"/>
              <w:ind w:left="0" w:firstLine="0"/>
              <w:jc w:val="left"/>
            </w:pPr>
            <w:r>
              <w:t xml:space="preserve">CMS_results.xlsx </w:t>
            </w:r>
          </w:p>
        </w:tc>
        <w:tc>
          <w:tcPr>
            <w:tcW w:w="6197" w:type="dxa"/>
            <w:tcBorders>
              <w:top w:val="nil"/>
              <w:left w:val="nil"/>
              <w:bottom w:val="nil"/>
              <w:right w:val="nil"/>
            </w:tcBorders>
            <w:vAlign w:val="bottom"/>
          </w:tcPr>
          <w:p w:rsidR="00E15D73" w:rsidRPr="00180604" w:rsidRDefault="00E60CCE">
            <w:pPr>
              <w:spacing w:after="0" w:line="259" w:lineRule="auto"/>
              <w:ind w:left="0" w:right="51" w:firstLine="0"/>
              <w:rPr>
                <w:lang w:val="es-PE"/>
              </w:rPr>
            </w:pPr>
            <w:r w:rsidRPr="00180604">
              <w:rPr>
                <w:lang w:val="es-PE"/>
              </w:rPr>
              <w:t xml:space="preserve">Valores de índices para todos los que se incluyen en el informe: CMS global, Apéndice I, Apéndice I y Apéndice I/II, aves, mamíferos acuáticos, mamíferos terrestres, peces y reptiles </w:t>
            </w:r>
          </w:p>
        </w:tc>
      </w:tr>
    </w:tbl>
    <w:p w:rsidR="00E15D73" w:rsidRPr="00180604" w:rsidRDefault="00E60CCE">
      <w:pPr>
        <w:pStyle w:val="Heading1"/>
        <w:ind w:left="-5"/>
        <w:rPr>
          <w:lang w:val="es-PE"/>
        </w:rPr>
      </w:pPr>
      <w:bookmarkStart w:id="8" w:name="_Toc27618310"/>
      <w:r w:rsidRPr="00180604">
        <w:rPr>
          <w:lang w:val="es-PE"/>
        </w:rPr>
        <w:t>Método</w:t>
      </w:r>
      <w:bookmarkEnd w:id="8"/>
      <w:r w:rsidRPr="00180604">
        <w:rPr>
          <w:lang w:val="es-PE"/>
        </w:rPr>
        <w:t xml:space="preserve"> </w:t>
      </w:r>
    </w:p>
    <w:p w:rsidR="00E15D73" w:rsidRPr="00180604" w:rsidRDefault="00E60CCE">
      <w:pPr>
        <w:pStyle w:val="Heading2"/>
        <w:ind w:left="-5"/>
        <w:rPr>
          <w:lang w:val="es-PE"/>
        </w:rPr>
      </w:pPr>
      <w:bookmarkStart w:id="9" w:name="_Toc27618311"/>
      <w:r w:rsidRPr="00180604">
        <w:rPr>
          <w:lang w:val="es-PE"/>
        </w:rPr>
        <w:t>Recopilación de datos</w:t>
      </w:r>
      <w:bookmarkEnd w:id="9"/>
      <w:r w:rsidRPr="00180604">
        <w:rPr>
          <w:lang w:val="es-PE"/>
        </w:rPr>
        <w:t xml:space="preserve"> </w:t>
      </w:r>
    </w:p>
    <w:p w:rsidR="00E15D73" w:rsidRPr="00180604" w:rsidRDefault="00E60CCE">
      <w:pPr>
        <w:spacing w:after="167"/>
        <w:ind w:left="-5" w:right="798"/>
        <w:rPr>
          <w:lang w:val="es-PE"/>
        </w:rPr>
      </w:pPr>
      <w:r w:rsidRPr="00180604">
        <w:rPr>
          <w:lang w:val="es-PE"/>
        </w:rPr>
        <w:t xml:space="preserve">Para evaluar las tendencias de las especies que figuran en las listas de la CMS, hemos creado índices a partir de datos de la Living </w:t>
      </w:r>
      <w:proofErr w:type="spellStart"/>
      <w:r w:rsidRPr="00180604">
        <w:rPr>
          <w:lang w:val="es-PE"/>
        </w:rPr>
        <w:t>Planet</w:t>
      </w:r>
      <w:proofErr w:type="spellEnd"/>
      <w:r w:rsidRPr="00180604">
        <w:rPr>
          <w:lang w:val="es-PE"/>
        </w:rPr>
        <w:t xml:space="preserve"> </w:t>
      </w:r>
      <w:proofErr w:type="spellStart"/>
      <w:r w:rsidRPr="00180604">
        <w:rPr>
          <w:lang w:val="es-PE"/>
        </w:rPr>
        <w:t>Database</w:t>
      </w:r>
      <w:proofErr w:type="spellEnd"/>
      <w:r w:rsidRPr="00180604">
        <w:rPr>
          <w:lang w:val="es-PE"/>
        </w:rPr>
        <w:t xml:space="preserve"> (LPD, 2019). Actualmente, la LPD contiene más de 25.000 poblaciones de más de 4.000 especies y es uno de los mayores repositorios de datos de series temporales de tamaños de población, densidad, abundancia y representación de abundancia. Estos se han obtenido de una variedad de fuentes entre las que se incluyen la documentación científica publicada, bases de datos en línea y documentación «gris» (no publicada oficialmente). Los datos solo se incluyen si se dispone de la medición del tamaño de una población durante al menos dos años y existe información disponible sobre el modo en que se recopilan los datos, las unidades de medida y la ubicación geográfica de la población. Los datos se deben recopilar mediante el mismo método sobre la misma población a lo largo de toda la serie temporal; además, la fuente de datos debe poder identificarse e incluirse en referencias (para obtener más detalles, consulte la bibliografía) (Collen et al., 2009). Puesto que el índice de planeta vivo se basa en poblaciones de especies como unidad de análisis, una sola especie puede verse representada por varios registros de población. </w:t>
      </w:r>
    </w:p>
    <w:p w:rsidR="00E15D73" w:rsidRPr="00180604" w:rsidRDefault="00E60CCE">
      <w:pPr>
        <w:spacing w:after="167"/>
        <w:ind w:left="-5" w:right="798"/>
        <w:rPr>
          <w:lang w:val="es-PE"/>
        </w:rPr>
      </w:pPr>
      <w:r w:rsidRPr="00180604">
        <w:rPr>
          <w:lang w:val="es-PE"/>
        </w:rPr>
        <w:t xml:space="preserve">Para este análisis, incluimos datos sobre todas las poblaciones de aves, mamíferos, peces y reptiles que contiene la LPD con un listado del Apéndice I, Apéndice II o Apéndice I/II de la CMS, codificadas conforme a los Apéndices de la Convención sobre la Conservación de las Especies Migratorias de Animales Silvestres (CMS, 2018). Hacemos distinción entre mamíferos acuáticos y terrestres tomando como referencia la pertenencia ecológica de cada población a uno de los tres sistemas diferentes, tal y como se codifica en el índice de planeta vivo, que categoriza las poblaciones marinas y de agua dulce como «acuáticas» y las poblaciones terrestres como «terrestres». </w:t>
      </w:r>
    </w:p>
    <w:p w:rsidR="00E15D73" w:rsidRPr="00180604" w:rsidRDefault="00E60CCE">
      <w:pPr>
        <w:spacing w:after="162" w:line="275" w:lineRule="auto"/>
        <w:ind w:left="0" w:right="500" w:firstLine="0"/>
        <w:jc w:val="left"/>
        <w:rPr>
          <w:lang w:val="es-PE"/>
        </w:rPr>
      </w:pPr>
      <w:r w:rsidRPr="00180604">
        <w:rPr>
          <w:lang w:val="es-PE"/>
        </w:rPr>
        <w:t xml:space="preserve">El período que cubre el índice abarca de 1970 a 2015. Se escogió el año 2015 como punto límite para el índice debido a que actualmente no existen datos suficientes para calcular un índice sólido posterior a ese año, como consecuencia de la demora en las publicaciones. </w:t>
      </w:r>
    </w:p>
    <w:p w:rsidR="00E15D73" w:rsidRPr="00180604" w:rsidRDefault="00E60CCE">
      <w:pPr>
        <w:spacing w:after="96" w:line="259" w:lineRule="auto"/>
        <w:ind w:left="0" w:firstLine="0"/>
        <w:jc w:val="left"/>
        <w:rPr>
          <w:lang w:val="es-PE"/>
        </w:rPr>
      </w:pPr>
      <w:r w:rsidRPr="00180604">
        <w:rPr>
          <w:lang w:val="es-PE"/>
        </w:rPr>
        <w:t xml:space="preserve"> </w:t>
      </w:r>
    </w:p>
    <w:p w:rsidR="00E15D73" w:rsidRPr="00180604" w:rsidRDefault="00E60CCE">
      <w:pPr>
        <w:pStyle w:val="Heading2"/>
        <w:ind w:left="-5"/>
        <w:rPr>
          <w:lang w:val="es-PE"/>
        </w:rPr>
      </w:pPr>
      <w:bookmarkStart w:id="10" w:name="_Toc27618312"/>
      <w:r w:rsidRPr="00180604">
        <w:rPr>
          <w:lang w:val="es-PE"/>
        </w:rPr>
        <w:t>Cálculo de los índices</w:t>
      </w:r>
      <w:bookmarkEnd w:id="10"/>
      <w:r w:rsidRPr="00180604">
        <w:rPr>
          <w:lang w:val="es-PE"/>
        </w:rPr>
        <w:t xml:space="preserve"> </w:t>
      </w:r>
    </w:p>
    <w:p w:rsidR="00E15D73" w:rsidRPr="00316C32" w:rsidRDefault="00E60CCE">
      <w:pPr>
        <w:spacing w:after="170"/>
        <w:ind w:left="-5" w:right="798"/>
        <w:rPr>
          <w:lang w:val="es-PE"/>
        </w:rPr>
      </w:pPr>
      <w:r w:rsidRPr="00180604">
        <w:rPr>
          <w:lang w:val="es-PE"/>
        </w:rPr>
        <w:t>Calculamos las tendencias medias para cada especie en el marco de modelos aditivos generalizados (GAM) (Collen et al., 2009), de modo que se modeló una serie temporal para cada población con seis o más puntos de datos mediante un GAM. Las series temporales de población con menos de seis puntos de datos o que no se adaptaban adecuadamente al GAM, se modelaron mediante el método en cadena (</w:t>
      </w:r>
      <w:proofErr w:type="spellStart"/>
      <w:r w:rsidRPr="00180604">
        <w:rPr>
          <w:lang w:val="es-PE"/>
        </w:rPr>
        <w:t>Loh</w:t>
      </w:r>
      <w:proofErr w:type="spellEnd"/>
      <w:r w:rsidRPr="00180604">
        <w:rPr>
          <w:lang w:val="es-PE"/>
        </w:rPr>
        <w:t xml:space="preserve"> et al., 2005). En casos en los que teníamos más de una serie temporal de población para una especie, se calculó la media de las tendencias anuales modeladas para cada población con el fin de proporcionar un conjunto único de tendencias anuales para cada especie. A continuación, se obtuvo un resultado medio con respecto a las especies y se convirtieron en valores </w:t>
      </w:r>
      <w:r w:rsidRPr="00180604">
        <w:rPr>
          <w:lang w:val="es-PE"/>
        </w:rPr>
        <w:lastRenderedPageBreak/>
        <w:t xml:space="preserve">de índices con el año 1970 como referencia. Para cada índice, generamos intervalos de confianza del 95 % mediante una técnica de </w:t>
      </w:r>
      <w:proofErr w:type="spellStart"/>
      <w:r w:rsidRPr="00180604">
        <w:rPr>
          <w:lang w:val="es-PE"/>
        </w:rPr>
        <w:t>remuestreo</w:t>
      </w:r>
      <w:proofErr w:type="spellEnd"/>
      <w:r w:rsidRPr="00180604">
        <w:rPr>
          <w:lang w:val="es-PE"/>
        </w:rPr>
        <w:t xml:space="preserve"> </w:t>
      </w:r>
      <w:proofErr w:type="spellStart"/>
      <w:r w:rsidRPr="00180604">
        <w:rPr>
          <w:lang w:val="es-PE"/>
        </w:rPr>
        <w:t>bootstrap</w:t>
      </w:r>
      <w:proofErr w:type="spellEnd"/>
      <w:r w:rsidRPr="00180604">
        <w:rPr>
          <w:lang w:val="es-PE"/>
        </w:rPr>
        <w:t xml:space="preserve"> para 10.000 iteraciones (Collen et al., 2009). Estos intervalos de confianza demuestran la incertidumbre en los valores de índices heredados de la referencia en 1970 y propagados en las series temporales. Podrá obtener un paquete R o RLPI para calcular estos valores de índices en </w:t>
      </w:r>
      <w:hyperlink r:id="rId15">
        <w:r w:rsidRPr="00180604">
          <w:rPr>
            <w:color w:val="0563C1"/>
            <w:u w:val="single" w:color="0563C1"/>
            <w:lang w:val="es-PE"/>
          </w:rPr>
          <w:t>https://github.com/Zoological</w:t>
        </w:r>
      </w:hyperlink>
      <w:hyperlink r:id="rId16">
        <w:r w:rsidRPr="00180604">
          <w:rPr>
            <w:color w:val="0563C1"/>
            <w:u w:val="single" w:color="0563C1"/>
            <w:lang w:val="es-PE"/>
          </w:rPr>
          <w:t>-</w:t>
        </w:r>
      </w:hyperlink>
      <w:hyperlink r:id="rId17">
        <w:r w:rsidRPr="00180604">
          <w:rPr>
            <w:color w:val="0563C1"/>
            <w:u w:val="single" w:color="0563C1"/>
            <w:lang w:val="es-PE"/>
          </w:rPr>
          <w:t>Society</w:t>
        </w:r>
      </w:hyperlink>
      <w:hyperlink r:id="rId18">
        <w:r w:rsidRPr="00180604">
          <w:rPr>
            <w:color w:val="0563C1"/>
            <w:u w:val="single" w:color="0563C1"/>
            <w:lang w:val="es-PE"/>
          </w:rPr>
          <w:t>-</w:t>
        </w:r>
      </w:hyperlink>
      <w:hyperlink r:id="rId19">
        <w:r w:rsidRPr="00180604">
          <w:rPr>
            <w:color w:val="0563C1"/>
            <w:u w:val="single" w:color="0563C1"/>
            <w:lang w:val="es-PE"/>
          </w:rPr>
          <w:t>of</w:t>
        </w:r>
      </w:hyperlink>
      <w:hyperlink r:id="rId20">
        <w:r w:rsidRPr="00180604">
          <w:rPr>
            <w:color w:val="0563C1"/>
            <w:u w:val="single" w:color="0563C1"/>
            <w:lang w:val="es-PE"/>
          </w:rPr>
          <w:t>-</w:t>
        </w:r>
      </w:hyperlink>
      <w:hyperlink r:id="rId21">
        <w:r w:rsidRPr="00180604">
          <w:rPr>
            <w:color w:val="0563C1"/>
            <w:u w:val="single" w:color="0563C1"/>
            <w:lang w:val="es-PE"/>
          </w:rPr>
          <w:t>London/rlpi</w:t>
        </w:r>
      </w:hyperlink>
      <w:hyperlink r:id="rId22">
        <w:r w:rsidRPr="00180604">
          <w:rPr>
            <w:lang w:val="es-PE"/>
          </w:rPr>
          <w:t>.</w:t>
        </w:r>
      </w:hyperlink>
      <w:r w:rsidRPr="00180604">
        <w:rPr>
          <w:lang w:val="es-PE"/>
        </w:rPr>
        <w:t xml:space="preserve"> </w:t>
      </w:r>
      <w:r w:rsidRPr="00316C32">
        <w:rPr>
          <w:lang w:val="es-PE"/>
        </w:rPr>
        <w:t xml:space="preserve">Ningún índice estaba ponderado. </w:t>
      </w:r>
    </w:p>
    <w:p w:rsidR="00E15D73" w:rsidRPr="00316C32" w:rsidRDefault="00E60CCE">
      <w:pPr>
        <w:spacing w:after="218" w:line="259" w:lineRule="auto"/>
        <w:ind w:left="0" w:firstLine="0"/>
        <w:jc w:val="left"/>
        <w:rPr>
          <w:lang w:val="es-PE"/>
        </w:rPr>
      </w:pPr>
      <w:r w:rsidRPr="00316C32">
        <w:rPr>
          <w:lang w:val="es-PE"/>
        </w:rPr>
        <w:t xml:space="preserve"> </w:t>
      </w:r>
    </w:p>
    <w:p w:rsidR="00E15D73" w:rsidRPr="00180604" w:rsidRDefault="00E60CCE">
      <w:pPr>
        <w:pStyle w:val="Heading2"/>
        <w:ind w:left="-5"/>
        <w:rPr>
          <w:lang w:val="es-PE"/>
        </w:rPr>
      </w:pPr>
      <w:bookmarkStart w:id="11" w:name="_Toc27618313"/>
      <w:r w:rsidRPr="00180604">
        <w:rPr>
          <w:lang w:val="es-PE"/>
        </w:rPr>
        <w:t>Evaluación de la representación de las especies</w:t>
      </w:r>
      <w:bookmarkEnd w:id="11"/>
      <w:r w:rsidRPr="00180604">
        <w:rPr>
          <w:lang w:val="es-PE"/>
        </w:rPr>
        <w:t xml:space="preserve"> </w:t>
      </w:r>
    </w:p>
    <w:p w:rsidR="00E15D73" w:rsidRDefault="00E60CCE">
      <w:pPr>
        <w:ind w:left="-5" w:right="798"/>
        <w:rPr>
          <w:lang w:val="es-PE"/>
        </w:rPr>
      </w:pPr>
      <w:r w:rsidRPr="00180604">
        <w:rPr>
          <w:lang w:val="es-PE"/>
        </w:rPr>
        <w:t xml:space="preserve">El número de especies del conjunto de datos se comparó con los cálculos del número de especies que figuran en los diferentes Apéndices de la CMS y en los diferentes grupos taxonómicos. Estos valores esperados se descargaron de </w:t>
      </w:r>
      <w:proofErr w:type="spellStart"/>
      <w:r w:rsidRPr="00180604">
        <w:rPr>
          <w:lang w:val="es-PE"/>
        </w:rPr>
        <w:t>Species</w:t>
      </w:r>
      <w:proofErr w:type="spellEnd"/>
      <w:r w:rsidRPr="00180604">
        <w:rPr>
          <w:lang w:val="es-PE"/>
        </w:rPr>
        <w:t xml:space="preserve">+ (PNUMA, 2019) a una hoja de cálculo y se aplicaron los filtros correspondientes. </w:t>
      </w:r>
    </w:p>
    <w:p w:rsidR="00316C32" w:rsidRPr="00180604" w:rsidRDefault="00316C32">
      <w:pPr>
        <w:ind w:left="-5" w:right="798"/>
        <w:rPr>
          <w:lang w:val="es-PE"/>
        </w:rPr>
      </w:pPr>
    </w:p>
    <w:p w:rsidR="00E15D73" w:rsidRDefault="00E60CCE">
      <w:pPr>
        <w:pStyle w:val="Heading1"/>
        <w:ind w:left="-5"/>
      </w:pPr>
      <w:bookmarkStart w:id="12" w:name="_Toc27618314"/>
      <w:proofErr w:type="spellStart"/>
      <w:r>
        <w:t>Bibliografía</w:t>
      </w:r>
      <w:bookmarkEnd w:id="12"/>
      <w:proofErr w:type="spellEnd"/>
      <w:r>
        <w:t xml:space="preserve"> </w:t>
      </w:r>
    </w:p>
    <w:p w:rsidR="00E15D73" w:rsidRPr="00180604" w:rsidRDefault="00E60CCE">
      <w:pPr>
        <w:spacing w:after="0"/>
        <w:ind w:left="705" w:right="798" w:hanging="720"/>
        <w:rPr>
          <w:lang w:val="es-PE"/>
        </w:rPr>
      </w:pPr>
      <w:r>
        <w:t xml:space="preserve">Collen, B., </w:t>
      </w:r>
      <w:proofErr w:type="spellStart"/>
      <w:r>
        <w:t>Loh</w:t>
      </w:r>
      <w:proofErr w:type="spellEnd"/>
      <w:r>
        <w:t xml:space="preserve">, L., </w:t>
      </w:r>
      <w:proofErr w:type="spellStart"/>
      <w:r>
        <w:t>Whitmee</w:t>
      </w:r>
      <w:proofErr w:type="spellEnd"/>
      <w:r>
        <w:t xml:space="preserve">, S., McRae, L., Amin, R., y Baillie, J. E., 2009. Monitoring change in vertebrate abundance: the Living Planet Index. </w:t>
      </w:r>
      <w:proofErr w:type="spellStart"/>
      <w:r w:rsidRPr="00180604">
        <w:rPr>
          <w:lang w:val="es-PE"/>
        </w:rPr>
        <w:t>Conservation</w:t>
      </w:r>
      <w:proofErr w:type="spellEnd"/>
      <w:r w:rsidRPr="00180604">
        <w:rPr>
          <w:lang w:val="es-PE"/>
        </w:rPr>
        <w:t xml:space="preserve"> </w:t>
      </w:r>
      <w:proofErr w:type="spellStart"/>
      <w:r w:rsidRPr="00180604">
        <w:rPr>
          <w:lang w:val="es-PE"/>
        </w:rPr>
        <w:t>Biology</w:t>
      </w:r>
      <w:proofErr w:type="spellEnd"/>
      <w:r w:rsidRPr="00180604">
        <w:rPr>
          <w:lang w:val="es-PE"/>
        </w:rPr>
        <w:t xml:space="preserve"> </w:t>
      </w:r>
      <w:r w:rsidRPr="00180604">
        <w:rPr>
          <w:b/>
          <w:lang w:val="es-PE"/>
        </w:rPr>
        <w:t>23</w:t>
      </w:r>
      <w:r w:rsidRPr="00180604">
        <w:rPr>
          <w:lang w:val="es-PE"/>
        </w:rPr>
        <w:t xml:space="preserve">:317-327. </w:t>
      </w:r>
    </w:p>
    <w:p w:rsidR="00E15D73" w:rsidRPr="00696407" w:rsidRDefault="00E60CCE">
      <w:pPr>
        <w:spacing w:after="0"/>
        <w:ind w:left="705" w:right="798" w:hanging="720"/>
        <w:rPr>
          <w:lang w:val="es-PE"/>
        </w:rPr>
      </w:pPr>
      <w:r w:rsidRPr="00B766FE">
        <w:rPr>
          <w:lang w:val="es-ES"/>
        </w:rPr>
        <w:t xml:space="preserve">Convención sobre la Conservación de las Especies Migratorias de Animales Silvestres (CMS). 2018. </w:t>
      </w:r>
      <w:r w:rsidRPr="00180604">
        <w:rPr>
          <w:lang w:val="es-PE"/>
        </w:rPr>
        <w:t xml:space="preserve">Apéndices I y II de la Convención sobre la Conservación de las Especies Migratorias de Animales Silvestres (CMS). </w:t>
      </w:r>
      <w:hyperlink r:id="rId23">
        <w:r w:rsidRPr="00180604">
          <w:rPr>
            <w:color w:val="0563C1"/>
            <w:u w:val="single" w:color="0563C1"/>
            <w:lang w:val="es-PE"/>
          </w:rPr>
          <w:t>https://www.cms.int/es/node/8655</w:t>
        </w:r>
      </w:hyperlink>
      <w:hyperlink r:id="rId24"/>
      <w:hyperlink r:id="rId25"/>
      <w:hyperlink r:id="rId26"/>
      <w:hyperlink r:id="rId27"/>
      <w:hyperlink r:id="rId28"/>
      <w:hyperlink r:id="rId29"/>
      <w:hyperlink r:id="rId30">
        <w:r w:rsidRPr="00180604">
          <w:rPr>
            <w:lang w:val="es-PE"/>
          </w:rPr>
          <w:t>.</w:t>
        </w:r>
      </w:hyperlink>
      <w:r w:rsidRPr="00180604">
        <w:rPr>
          <w:lang w:val="es-PE"/>
        </w:rPr>
        <w:t xml:space="preserve"> </w:t>
      </w:r>
      <w:r w:rsidRPr="00696407">
        <w:rPr>
          <w:lang w:val="es-PE"/>
        </w:rPr>
        <w:t xml:space="preserve">Descargados el 19 de septiembre de 2019. </w:t>
      </w:r>
    </w:p>
    <w:p w:rsidR="00E15D73" w:rsidRPr="00180604" w:rsidRDefault="00E60CCE">
      <w:pPr>
        <w:spacing w:after="0"/>
        <w:ind w:left="705" w:right="798" w:hanging="720"/>
        <w:rPr>
          <w:lang w:val="es-PE"/>
        </w:rPr>
      </w:pPr>
      <w:proofErr w:type="spellStart"/>
      <w:r w:rsidRPr="00696407">
        <w:rPr>
          <w:lang w:val="es-PE"/>
        </w:rPr>
        <w:t>Loh</w:t>
      </w:r>
      <w:proofErr w:type="spellEnd"/>
      <w:r w:rsidRPr="00696407">
        <w:rPr>
          <w:lang w:val="es-PE"/>
        </w:rPr>
        <w:t xml:space="preserve">, J., Green, R. E., Ricketts, T., </w:t>
      </w:r>
      <w:proofErr w:type="spellStart"/>
      <w:r w:rsidRPr="00696407">
        <w:rPr>
          <w:lang w:val="es-PE"/>
        </w:rPr>
        <w:t>Lamoreux</w:t>
      </w:r>
      <w:proofErr w:type="spellEnd"/>
      <w:r w:rsidRPr="00696407">
        <w:rPr>
          <w:lang w:val="es-PE"/>
        </w:rPr>
        <w:t xml:space="preserve">, J., Jenkins, M., </w:t>
      </w:r>
      <w:proofErr w:type="spellStart"/>
      <w:r w:rsidRPr="00696407">
        <w:rPr>
          <w:lang w:val="es-PE"/>
        </w:rPr>
        <w:t>Kapos</w:t>
      </w:r>
      <w:proofErr w:type="spellEnd"/>
      <w:r w:rsidRPr="00696407">
        <w:rPr>
          <w:lang w:val="es-PE"/>
        </w:rPr>
        <w:t xml:space="preserve">, V. y </w:t>
      </w:r>
      <w:proofErr w:type="spellStart"/>
      <w:r w:rsidRPr="00696407">
        <w:rPr>
          <w:lang w:val="es-PE"/>
        </w:rPr>
        <w:t>Randers</w:t>
      </w:r>
      <w:proofErr w:type="spellEnd"/>
      <w:r w:rsidRPr="00696407">
        <w:rPr>
          <w:lang w:val="es-PE"/>
        </w:rPr>
        <w:t xml:space="preserve">, J. 2005. </w:t>
      </w:r>
      <w:r>
        <w:t xml:space="preserve">The Living Planet Index: using species population time series to track trends in biodiversity. </w:t>
      </w:r>
      <w:proofErr w:type="spellStart"/>
      <w:r w:rsidRPr="00180604">
        <w:rPr>
          <w:lang w:val="es-PE"/>
        </w:rPr>
        <w:t>Philosophical</w:t>
      </w:r>
      <w:proofErr w:type="spellEnd"/>
      <w:r w:rsidRPr="00180604">
        <w:rPr>
          <w:lang w:val="es-PE"/>
        </w:rPr>
        <w:t xml:space="preserve"> </w:t>
      </w:r>
      <w:proofErr w:type="spellStart"/>
      <w:r w:rsidRPr="00180604">
        <w:rPr>
          <w:lang w:val="es-PE"/>
        </w:rPr>
        <w:t>Transactions</w:t>
      </w:r>
      <w:proofErr w:type="spellEnd"/>
      <w:r w:rsidRPr="00180604">
        <w:rPr>
          <w:lang w:val="es-PE"/>
        </w:rPr>
        <w:t xml:space="preserve"> B de </w:t>
      </w:r>
      <w:proofErr w:type="spellStart"/>
      <w:r w:rsidRPr="00180604">
        <w:rPr>
          <w:lang w:val="es-PE"/>
        </w:rPr>
        <w:t>The</w:t>
      </w:r>
      <w:proofErr w:type="spellEnd"/>
      <w:r w:rsidRPr="00180604">
        <w:rPr>
          <w:lang w:val="es-PE"/>
        </w:rPr>
        <w:t xml:space="preserve"> Royal </w:t>
      </w:r>
      <w:proofErr w:type="spellStart"/>
      <w:r w:rsidRPr="00180604">
        <w:rPr>
          <w:lang w:val="es-PE"/>
        </w:rPr>
        <w:t>Society</w:t>
      </w:r>
      <w:proofErr w:type="spellEnd"/>
      <w:r w:rsidRPr="00180604">
        <w:rPr>
          <w:lang w:val="es-PE"/>
        </w:rPr>
        <w:t xml:space="preserve"> </w:t>
      </w:r>
      <w:r w:rsidRPr="00180604">
        <w:rPr>
          <w:b/>
          <w:lang w:val="es-PE"/>
        </w:rPr>
        <w:t>360</w:t>
      </w:r>
      <w:r w:rsidRPr="00180604">
        <w:rPr>
          <w:lang w:val="es-PE"/>
        </w:rPr>
        <w:t xml:space="preserve">:289-295. </w:t>
      </w:r>
    </w:p>
    <w:p w:rsidR="00E15D73" w:rsidRPr="00180604" w:rsidRDefault="00E60CCE">
      <w:pPr>
        <w:spacing w:after="0"/>
        <w:ind w:left="705" w:right="798" w:hanging="720"/>
        <w:rPr>
          <w:lang w:val="es-PE"/>
        </w:rPr>
      </w:pPr>
      <w:r w:rsidRPr="00180604">
        <w:rPr>
          <w:lang w:val="es-PE"/>
        </w:rPr>
        <w:t xml:space="preserve">LPD. 2019. Base de datos del índice de planeta vivo. </w:t>
      </w:r>
      <w:hyperlink r:id="rId31">
        <w:r w:rsidRPr="00180604">
          <w:rPr>
            <w:color w:val="0563C1"/>
            <w:u w:val="single" w:color="0563C1"/>
            <w:lang w:val="es-PE"/>
          </w:rPr>
          <w:t>www.livingplanetindex.org</w:t>
        </w:r>
      </w:hyperlink>
      <w:hyperlink r:id="rId32">
        <w:r w:rsidRPr="00180604">
          <w:rPr>
            <w:lang w:val="es-PE"/>
          </w:rPr>
          <w:t>.</w:t>
        </w:r>
      </w:hyperlink>
      <w:r w:rsidRPr="00180604">
        <w:rPr>
          <w:lang w:val="es-PE"/>
        </w:rPr>
        <w:t xml:space="preserve"> Descargada el 19 de septiembre de 2019. </w:t>
      </w:r>
    </w:p>
    <w:p w:rsidR="00E15D73" w:rsidRPr="00180604" w:rsidRDefault="00E60CCE">
      <w:pPr>
        <w:spacing w:after="0"/>
        <w:ind w:left="705" w:right="798" w:hanging="720"/>
        <w:rPr>
          <w:lang w:val="es-PE"/>
        </w:rPr>
      </w:pPr>
      <w:r>
        <w:t xml:space="preserve">McRae, L., </w:t>
      </w:r>
      <w:proofErr w:type="spellStart"/>
      <w:r>
        <w:t>Deinet</w:t>
      </w:r>
      <w:proofErr w:type="spellEnd"/>
      <w:r>
        <w:t xml:space="preserve">, S. y Freeman, R. 2017. The Diversity-Weighted Living Planet Index: Controlling for Taxonomic Bias in a Global Biodiversity Indicator. </w:t>
      </w:r>
      <w:r w:rsidRPr="00180604">
        <w:rPr>
          <w:lang w:val="es-PE"/>
        </w:rPr>
        <w:t xml:space="preserve">PLOS ONE </w:t>
      </w:r>
      <w:proofErr w:type="gramStart"/>
      <w:r w:rsidRPr="00180604">
        <w:rPr>
          <w:b/>
          <w:lang w:val="es-PE"/>
        </w:rPr>
        <w:t>12</w:t>
      </w:r>
      <w:r w:rsidRPr="00180604">
        <w:rPr>
          <w:lang w:val="es-PE"/>
        </w:rPr>
        <w:t>:e</w:t>
      </w:r>
      <w:proofErr w:type="gramEnd"/>
      <w:r w:rsidRPr="00180604">
        <w:rPr>
          <w:lang w:val="es-PE"/>
        </w:rPr>
        <w:t xml:space="preserve">0169156. </w:t>
      </w:r>
    </w:p>
    <w:p w:rsidR="00E15D73" w:rsidRPr="00180604" w:rsidRDefault="00E60CCE">
      <w:pPr>
        <w:spacing w:after="0"/>
        <w:ind w:left="705" w:right="798" w:hanging="720"/>
        <w:rPr>
          <w:lang w:val="es-PE"/>
        </w:rPr>
      </w:pPr>
      <w:r w:rsidRPr="00180604">
        <w:rPr>
          <w:lang w:val="es-PE"/>
        </w:rPr>
        <w:t xml:space="preserve">SCDB. 2010. Decisión X/2 de la COP10 El Plan Estratégico para la Diversidad Biológica 2011-2020 y las Metas de Aichi para la Diversidad Biológica. Secretaría del Convenio sobre la Diversidad Biológica. </w:t>
      </w:r>
    </w:p>
    <w:p w:rsidR="00E15D73" w:rsidRPr="00180604" w:rsidRDefault="00E60CCE">
      <w:pPr>
        <w:spacing w:after="0"/>
        <w:ind w:left="705" w:right="798" w:hanging="720"/>
        <w:rPr>
          <w:lang w:val="es-PE"/>
        </w:rPr>
      </w:pPr>
      <w:r w:rsidRPr="00180604">
        <w:rPr>
          <w:lang w:val="es-PE"/>
        </w:rPr>
        <w:t xml:space="preserve">PNUMA. 2019. </w:t>
      </w:r>
      <w:r w:rsidRPr="00696407">
        <w:rPr>
          <w:lang w:val="es-PE"/>
        </w:rPr>
        <w:t xml:space="preserve">Sitio web </w:t>
      </w:r>
      <w:proofErr w:type="spellStart"/>
      <w:r w:rsidRPr="00696407">
        <w:rPr>
          <w:lang w:val="es-PE"/>
        </w:rPr>
        <w:t>Species</w:t>
      </w:r>
      <w:proofErr w:type="spellEnd"/>
      <w:r w:rsidRPr="00696407">
        <w:rPr>
          <w:lang w:val="es-PE"/>
        </w:rPr>
        <w:t xml:space="preserve">+. </w:t>
      </w:r>
      <w:r w:rsidRPr="00180604">
        <w:rPr>
          <w:lang w:val="es-PE"/>
        </w:rPr>
        <w:t xml:space="preserve">Nairobi, Kenia. Compilado por PNUMA-CMVC, Cambridge, Reino Unido. Disponible en: </w:t>
      </w:r>
      <w:hyperlink r:id="rId33">
        <w:r w:rsidRPr="00180604">
          <w:rPr>
            <w:color w:val="0563C1"/>
            <w:u w:val="single" w:color="0563C1"/>
            <w:lang w:val="es-PE"/>
          </w:rPr>
          <w:t>www.speciesplus.net</w:t>
        </w:r>
      </w:hyperlink>
      <w:hyperlink r:id="rId34">
        <w:r w:rsidRPr="00180604">
          <w:rPr>
            <w:lang w:val="es-PE"/>
          </w:rPr>
          <w:t>.</w:t>
        </w:r>
      </w:hyperlink>
      <w:r w:rsidRPr="00180604">
        <w:rPr>
          <w:lang w:val="es-PE"/>
        </w:rPr>
        <w:t xml:space="preserve"> [Acceso el 25 de septiembre de 2019] </w:t>
      </w:r>
    </w:p>
    <w:p w:rsidR="00E15D73" w:rsidRDefault="00E60CCE">
      <w:pPr>
        <w:spacing w:after="185"/>
        <w:ind w:left="705" w:right="798" w:hanging="720"/>
      </w:pPr>
      <w:r w:rsidRPr="00180604">
        <w:rPr>
          <w:lang w:val="es-PE"/>
        </w:rPr>
        <w:t xml:space="preserve">WWF. 2018. Informe Planeta Vivo, 2018: Apuntando más alto. </w:t>
      </w:r>
      <w:proofErr w:type="spellStart"/>
      <w:r>
        <w:t>Grooten</w:t>
      </w:r>
      <w:proofErr w:type="spellEnd"/>
      <w:r>
        <w:t xml:space="preserve">, M. y Almond, R. E. A. (eds.). WWF, Gland, </w:t>
      </w:r>
      <w:proofErr w:type="spellStart"/>
      <w:r>
        <w:t>Suiza</w:t>
      </w:r>
      <w:proofErr w:type="spellEnd"/>
      <w:r>
        <w:t xml:space="preserve">. </w:t>
      </w:r>
    </w:p>
    <w:p w:rsidR="00E15D73" w:rsidRDefault="00E60CCE">
      <w:pPr>
        <w:spacing w:after="0" w:line="259" w:lineRule="auto"/>
        <w:ind w:left="0" w:firstLine="0"/>
        <w:jc w:val="left"/>
      </w:pPr>
      <w:r>
        <w:t xml:space="preserve"> </w:t>
      </w:r>
      <w:r>
        <w:tab/>
      </w:r>
      <w:r>
        <w:rPr>
          <w:sz w:val="26"/>
        </w:rPr>
        <w:t xml:space="preserve"> </w:t>
      </w:r>
      <w:r>
        <w:br w:type="page"/>
      </w:r>
    </w:p>
    <w:p w:rsidR="00E15D73" w:rsidRDefault="00E60CCE" w:rsidP="00303A2E">
      <w:pPr>
        <w:pStyle w:val="Heading1"/>
        <w:ind w:left="-5"/>
      </w:pPr>
      <w:bookmarkStart w:id="13" w:name="_Toc27618315"/>
      <w:proofErr w:type="spellStart"/>
      <w:r>
        <w:lastRenderedPageBreak/>
        <w:t>Apéndice</w:t>
      </w:r>
      <w:bookmarkEnd w:id="13"/>
      <w:proofErr w:type="spellEnd"/>
      <w:r>
        <w:t xml:space="preserve">  </w:t>
      </w:r>
    </w:p>
    <w:p w:rsidR="00303A2E" w:rsidRDefault="00303A2E" w:rsidP="00303A2E">
      <w:pPr>
        <w:spacing w:after="128" w:line="248" w:lineRule="auto"/>
        <w:ind w:left="-5" w:right="798"/>
        <w:jc w:val="center"/>
        <w:rPr>
          <w:b/>
          <w:sz w:val="20"/>
          <w:lang w:val="es-PE"/>
        </w:rPr>
      </w:pPr>
      <w:r>
        <w:rPr>
          <w:noProof/>
          <w:lang w:val="fr-FR" w:eastAsia="fr-FR"/>
        </w:rPr>
        <w:drawing>
          <wp:inline distT="0" distB="0" distL="0" distR="0" wp14:anchorId="03FEF562" wp14:editId="671866EC">
            <wp:extent cx="4524704" cy="3317018"/>
            <wp:effectExtent l="0" t="0" r="0" b="0"/>
            <wp:docPr id="8" name="Picture 8" descr="C:\Users\daniel.mendoza\Downloads\Hnet.com-image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mendoza\Downloads\Hnet.com-image (18).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l="4338" t="4505" r="4832" b="48466"/>
                    <a:stretch/>
                  </pic:blipFill>
                  <pic:spPr bwMode="auto">
                    <a:xfrm>
                      <a:off x="0" y="0"/>
                      <a:ext cx="4531664" cy="3322121"/>
                    </a:xfrm>
                    <a:prstGeom prst="rect">
                      <a:avLst/>
                    </a:prstGeom>
                    <a:noFill/>
                    <a:ln>
                      <a:noFill/>
                    </a:ln>
                    <a:extLst>
                      <a:ext uri="{53640926-AAD7-44D8-BBD7-CCE9431645EC}">
                        <a14:shadowObscured xmlns:a14="http://schemas.microsoft.com/office/drawing/2010/main"/>
                      </a:ext>
                    </a:extLst>
                  </pic:spPr>
                </pic:pic>
              </a:graphicData>
            </a:graphic>
          </wp:inline>
        </w:drawing>
      </w:r>
    </w:p>
    <w:p w:rsidR="00E15D73" w:rsidRPr="00180604" w:rsidRDefault="00E60CCE">
      <w:pPr>
        <w:spacing w:after="128" w:line="248" w:lineRule="auto"/>
        <w:ind w:left="-5" w:right="798"/>
        <w:rPr>
          <w:lang w:val="es-PE"/>
        </w:rPr>
      </w:pPr>
      <w:r w:rsidRPr="00180604">
        <w:rPr>
          <w:b/>
          <w:sz w:val="20"/>
          <w:lang w:val="es-PE"/>
        </w:rPr>
        <w:t>Figura S1</w:t>
      </w:r>
      <w:r w:rsidRPr="00180604">
        <w:rPr>
          <w:sz w:val="20"/>
          <w:lang w:val="es-PE"/>
        </w:rPr>
        <w:t xml:space="preserve">. Cambio de la abundancia media en 3.369 poblaciones de 583 especies de peces, aves, mamíferos y reptiles que figuran en las listas de la CMS y monitorizados a nivel global (línea gris) y 111 poblaciones de 30 especies de aves, mamíferos y reptiles que figuran en las listas del Apéndice I de la CMS (línea azul). La línea blanca muestra los valores de índice y las zonas sombreadas representan la incertidumbre estadística que rodea a la tendencia. </w:t>
      </w:r>
    </w:p>
    <w:p w:rsidR="00E15D73" w:rsidRDefault="00303A2E" w:rsidP="00EF5621">
      <w:pPr>
        <w:spacing w:after="0" w:line="259" w:lineRule="auto"/>
        <w:ind w:left="0" w:right="1645" w:firstLine="720"/>
        <w:jc w:val="center"/>
      </w:pPr>
      <w:r>
        <w:rPr>
          <w:noProof/>
          <w:lang w:val="fr-FR" w:eastAsia="fr-FR"/>
        </w:rPr>
        <w:drawing>
          <wp:inline distT="0" distB="0" distL="0" distR="0" wp14:anchorId="51A6B7B2" wp14:editId="03E2070D">
            <wp:extent cx="4516167" cy="3310759"/>
            <wp:effectExtent l="0" t="0" r="0" b="4445"/>
            <wp:docPr id="9" name="Picture 9" descr="C:\Users\daniel.mendoza\Downloads\Hnet.com-image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mendoza\Downloads\Hnet.com-image (18).jpg"/>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l="4036" t="52967" r="5135" b="4"/>
                    <a:stretch/>
                  </pic:blipFill>
                  <pic:spPr bwMode="auto">
                    <a:xfrm>
                      <a:off x="0" y="0"/>
                      <a:ext cx="4522697" cy="3315546"/>
                    </a:xfrm>
                    <a:prstGeom prst="rect">
                      <a:avLst/>
                    </a:prstGeom>
                    <a:noFill/>
                    <a:ln>
                      <a:noFill/>
                    </a:ln>
                    <a:extLst>
                      <a:ext uri="{53640926-AAD7-44D8-BBD7-CCE9431645EC}">
                        <a14:shadowObscured xmlns:a14="http://schemas.microsoft.com/office/drawing/2010/main"/>
                      </a:ext>
                    </a:extLst>
                  </pic:spPr>
                </pic:pic>
              </a:graphicData>
            </a:graphic>
          </wp:inline>
        </w:drawing>
      </w:r>
    </w:p>
    <w:p w:rsidR="00E15D73" w:rsidRPr="00B766FE" w:rsidRDefault="00E60CCE">
      <w:pPr>
        <w:spacing w:after="9" w:line="248" w:lineRule="auto"/>
        <w:ind w:left="-5" w:right="798"/>
        <w:rPr>
          <w:lang w:val="es-ES"/>
        </w:rPr>
      </w:pPr>
      <w:r w:rsidRPr="00B766FE">
        <w:rPr>
          <w:b/>
          <w:sz w:val="20"/>
          <w:lang w:val="es-ES"/>
        </w:rPr>
        <w:t>Figura S2</w:t>
      </w:r>
      <w:r w:rsidRPr="00B766FE">
        <w:rPr>
          <w:sz w:val="20"/>
          <w:lang w:val="es-ES"/>
        </w:rPr>
        <w:t>. Cambio de la abundancia media en 3.369 poblaciones de 583 especies de peces, aves, mamíferos y reptiles que figuran en las listas de la CMS y monitorizados a nivel global (línea gris) y 745 poblaciones de 100 especies de aves, mamíferos y reptiles que figuran en las listas del Apéndice I o Apéndice I/II de la CMS (línea azul). La línea blanca muestra los valores de índice y las zonas sombreadas representan la incertidumbre estadística que rodea a la tendencia. Tenga en cuenta que no existía información en la LPD relativa a especies de peces que figuran en el Apéndice I de la CMS.</w:t>
      </w:r>
      <w:r w:rsidRPr="00B766FE">
        <w:rPr>
          <w:lang w:val="es-ES"/>
        </w:rPr>
        <w:t xml:space="preserve"> </w:t>
      </w:r>
    </w:p>
    <w:sectPr w:rsidR="00E15D73" w:rsidRPr="00B766FE" w:rsidSect="009D1B49">
      <w:headerReference w:type="even" r:id="rId39"/>
      <w:headerReference w:type="default" r:id="rId40"/>
      <w:footerReference w:type="even" r:id="rId41"/>
      <w:footerReference w:type="default" r:id="rId42"/>
      <w:headerReference w:type="first" r:id="rId43"/>
      <w:footerReference w:type="first" r:id="rId44"/>
      <w:pgSz w:w="11906" w:h="16838"/>
      <w:pgMar w:top="1134" w:right="1134" w:bottom="1134" w:left="1134"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5A8D" w:rsidRDefault="00DB5A8D">
      <w:pPr>
        <w:spacing w:after="0" w:line="240" w:lineRule="auto"/>
      </w:pPr>
      <w:r>
        <w:separator/>
      </w:r>
    </w:p>
  </w:endnote>
  <w:endnote w:type="continuationSeparator" w:id="0">
    <w:p w:rsidR="00DB5A8D" w:rsidRDefault="00DB5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4" w:name="_GoBack"/>
  <w:p w:rsidR="00E15D73" w:rsidRPr="00180604" w:rsidRDefault="00E60CCE">
    <w:pPr>
      <w:spacing w:after="0" w:line="239" w:lineRule="auto"/>
      <w:ind w:left="0" w:right="4888" w:firstLine="4457"/>
      <w:jc w:val="left"/>
      <w:rPr>
        <w:lang w:val="es-PE"/>
      </w:rPr>
    </w:pPr>
    <w:r w:rsidRPr="009D1B49">
      <w:rPr>
        <w:rFonts w:ascii="Arial" w:hAnsi="Arial" w:cs="Arial"/>
        <w:sz w:val="18"/>
        <w:szCs w:val="18"/>
      </w:rPr>
      <w:fldChar w:fldCharType="begin"/>
    </w:r>
    <w:r w:rsidRPr="009D1B49">
      <w:rPr>
        <w:rFonts w:ascii="Arial" w:hAnsi="Arial" w:cs="Arial"/>
        <w:sz w:val="18"/>
        <w:szCs w:val="18"/>
        <w:lang w:val="es-PE"/>
      </w:rPr>
      <w:instrText xml:space="preserve"> PAGE   \* MERGEFORMAT </w:instrText>
    </w:r>
    <w:r w:rsidRPr="009D1B49">
      <w:rPr>
        <w:rFonts w:ascii="Arial" w:hAnsi="Arial" w:cs="Arial"/>
        <w:sz w:val="18"/>
        <w:szCs w:val="18"/>
      </w:rPr>
      <w:fldChar w:fldCharType="separate"/>
    </w:r>
    <w:r w:rsidRPr="009D1B49">
      <w:rPr>
        <w:rFonts w:ascii="Arial" w:hAnsi="Arial" w:cs="Arial"/>
        <w:sz w:val="18"/>
        <w:szCs w:val="18"/>
        <w:lang w:val="es-PE"/>
      </w:rPr>
      <w:t>2</w:t>
    </w:r>
    <w:r w:rsidRPr="009D1B49">
      <w:rPr>
        <w:rFonts w:ascii="Arial" w:hAnsi="Arial" w:cs="Arial"/>
        <w:sz w:val="18"/>
        <w:szCs w:val="18"/>
      </w:rPr>
      <w:fldChar w:fldCharType="end"/>
    </w:r>
    <w:bookmarkEnd w:id="14"/>
    <w:r w:rsidRPr="00180604">
      <w:rPr>
        <w:lang w:val="es-PE"/>
      </w:rPr>
      <w:t xml:space="preserve"> El índice de planeta vivo para las especies que figuran en las listas de la CMS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5D73" w:rsidRPr="00180604" w:rsidRDefault="00E60CCE" w:rsidP="00180604">
    <w:pPr>
      <w:spacing w:after="0" w:line="239" w:lineRule="auto"/>
      <w:ind w:left="0" w:right="2186" w:firstLine="4457"/>
      <w:jc w:val="left"/>
      <w:rPr>
        <w:lang w:val="es-PE"/>
      </w:rPr>
    </w:pPr>
    <w:r w:rsidRPr="009D1B49">
      <w:rPr>
        <w:rFonts w:ascii="Arial" w:hAnsi="Arial" w:cs="Arial"/>
        <w:sz w:val="18"/>
        <w:szCs w:val="18"/>
      </w:rPr>
      <w:fldChar w:fldCharType="begin"/>
    </w:r>
    <w:r w:rsidRPr="009D1B49">
      <w:rPr>
        <w:rFonts w:ascii="Arial" w:hAnsi="Arial" w:cs="Arial"/>
        <w:sz w:val="18"/>
        <w:szCs w:val="18"/>
        <w:lang w:val="es-PE"/>
      </w:rPr>
      <w:instrText xml:space="preserve"> PAGE   \* MERGEFORMAT </w:instrText>
    </w:r>
    <w:r w:rsidRPr="009D1B49">
      <w:rPr>
        <w:rFonts w:ascii="Arial" w:hAnsi="Arial" w:cs="Arial"/>
        <w:sz w:val="18"/>
        <w:szCs w:val="18"/>
      </w:rPr>
      <w:fldChar w:fldCharType="separate"/>
    </w:r>
    <w:r w:rsidR="00911A86" w:rsidRPr="009D1B49">
      <w:rPr>
        <w:rFonts w:ascii="Arial" w:hAnsi="Arial" w:cs="Arial"/>
        <w:noProof/>
        <w:sz w:val="18"/>
        <w:szCs w:val="18"/>
        <w:lang w:val="es-PE"/>
      </w:rPr>
      <w:t>11</w:t>
    </w:r>
    <w:r w:rsidRPr="009D1B49">
      <w:rPr>
        <w:rFonts w:ascii="Arial" w:hAnsi="Arial" w:cs="Arial"/>
        <w:sz w:val="18"/>
        <w:szCs w:val="18"/>
      </w:rPr>
      <w:fldChar w:fldCharType="end"/>
    </w:r>
    <w:r w:rsidRPr="009D1B49">
      <w:rPr>
        <w:rFonts w:ascii="Arial" w:hAnsi="Arial" w:cs="Arial"/>
        <w:sz w:val="18"/>
        <w:szCs w:val="18"/>
        <w:lang w:val="es-PE"/>
      </w:rPr>
      <w:t xml:space="preserve"> </w:t>
    </w:r>
    <w:r w:rsidR="00180604" w:rsidRPr="009D1B49">
      <w:rPr>
        <w:rFonts w:ascii="Arial" w:hAnsi="Arial" w:cs="Arial"/>
        <w:sz w:val="18"/>
        <w:szCs w:val="18"/>
        <w:lang w:val="es-PE"/>
      </w:rPr>
      <w:br/>
    </w:r>
    <w:r w:rsidRPr="00180604">
      <w:rPr>
        <w:lang w:val="es-PE"/>
      </w:rPr>
      <w:t>El índice de planeta vivo para las especies que figuran</w:t>
    </w:r>
    <w:r w:rsidR="00180604" w:rsidRPr="00180604">
      <w:rPr>
        <w:lang w:val="es-PE"/>
      </w:rPr>
      <w:t xml:space="preserve"> </w:t>
    </w:r>
    <w:r w:rsidRPr="00180604">
      <w:rPr>
        <w:lang w:val="es-PE"/>
      </w:rPr>
      <w:t>en las listas de la CMS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8459128"/>
      <w:docPartObj>
        <w:docPartGallery w:val="Page Numbers (Bottom of Page)"/>
        <w:docPartUnique/>
      </w:docPartObj>
    </w:sdtPr>
    <w:sdtEndPr>
      <w:rPr>
        <w:rFonts w:ascii="Arial" w:hAnsi="Arial" w:cs="Arial"/>
        <w:noProof/>
        <w:sz w:val="18"/>
        <w:szCs w:val="18"/>
      </w:rPr>
    </w:sdtEndPr>
    <w:sdtContent>
      <w:p w:rsidR="009D1B49" w:rsidRPr="009D1B49" w:rsidRDefault="009D1B49">
        <w:pPr>
          <w:pStyle w:val="Footer"/>
          <w:jc w:val="center"/>
          <w:rPr>
            <w:rFonts w:ascii="Arial" w:hAnsi="Arial" w:cs="Arial"/>
            <w:sz w:val="18"/>
            <w:szCs w:val="18"/>
          </w:rPr>
        </w:pPr>
        <w:r w:rsidRPr="009D1B49">
          <w:rPr>
            <w:rFonts w:ascii="Arial" w:hAnsi="Arial" w:cs="Arial"/>
            <w:sz w:val="18"/>
            <w:szCs w:val="18"/>
          </w:rPr>
          <w:fldChar w:fldCharType="begin"/>
        </w:r>
        <w:r w:rsidRPr="009D1B49">
          <w:rPr>
            <w:rFonts w:ascii="Arial" w:hAnsi="Arial" w:cs="Arial"/>
            <w:sz w:val="18"/>
            <w:szCs w:val="18"/>
          </w:rPr>
          <w:instrText xml:space="preserve"> PAGE   \* MERGEFORMAT </w:instrText>
        </w:r>
        <w:r w:rsidRPr="009D1B49">
          <w:rPr>
            <w:rFonts w:ascii="Arial" w:hAnsi="Arial" w:cs="Arial"/>
            <w:sz w:val="18"/>
            <w:szCs w:val="18"/>
          </w:rPr>
          <w:fldChar w:fldCharType="separate"/>
        </w:r>
        <w:r w:rsidRPr="009D1B49">
          <w:rPr>
            <w:rFonts w:ascii="Arial" w:hAnsi="Arial" w:cs="Arial"/>
            <w:noProof/>
            <w:sz w:val="18"/>
            <w:szCs w:val="18"/>
          </w:rPr>
          <w:t>2</w:t>
        </w:r>
        <w:r w:rsidRPr="009D1B49">
          <w:rPr>
            <w:rFonts w:ascii="Arial" w:hAnsi="Arial" w:cs="Arial"/>
            <w:noProof/>
            <w:sz w:val="18"/>
            <w:szCs w:val="18"/>
          </w:rPr>
          <w:fldChar w:fldCharType="end"/>
        </w:r>
      </w:p>
    </w:sdtContent>
  </w:sdt>
  <w:p w:rsidR="00E15D73" w:rsidRPr="009D1B49" w:rsidRDefault="00E15D73">
    <w:pPr>
      <w:spacing w:after="160" w:line="259" w:lineRule="auto"/>
      <w:ind w:left="0" w:firstLine="0"/>
      <w:jc w:val="left"/>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5A8D" w:rsidRDefault="00DB5A8D">
      <w:pPr>
        <w:spacing w:after="0" w:line="240" w:lineRule="auto"/>
      </w:pPr>
      <w:r>
        <w:separator/>
      </w:r>
    </w:p>
  </w:footnote>
  <w:footnote w:type="continuationSeparator" w:id="0">
    <w:p w:rsidR="00DB5A8D" w:rsidRDefault="00DB5A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B49" w:rsidRPr="007C7652" w:rsidRDefault="009D1B49" w:rsidP="009D1B49">
    <w:pPr>
      <w:pBdr>
        <w:bottom w:val="single" w:sz="4" w:space="1" w:color="auto"/>
      </w:pBdr>
      <w:jc w:val="right"/>
      <w:rPr>
        <w:rFonts w:ascii="Arial" w:hAnsi="Arial" w:cs="Arial"/>
        <w:i/>
        <w:sz w:val="18"/>
        <w:szCs w:val="18"/>
      </w:rPr>
    </w:pPr>
    <w:r w:rsidRPr="007C7652">
      <w:rPr>
        <w:rFonts w:ascii="Arial" w:hAnsi="Arial" w:cs="Arial"/>
        <w:i/>
        <w:sz w:val="18"/>
        <w:szCs w:val="18"/>
      </w:rPr>
      <w:t>UNEP/CMS/COP13/Doc.24/Anex</w:t>
    </w:r>
    <w:r>
      <w:rPr>
        <w:rFonts w:ascii="Arial" w:hAnsi="Arial" w:cs="Arial"/>
        <w:i/>
        <w:sz w:val="18"/>
        <w:szCs w:val="18"/>
      </w:rPr>
      <w:t>o</w:t>
    </w:r>
    <w:r w:rsidRPr="007C7652">
      <w:rPr>
        <w:rFonts w:ascii="Arial" w:hAnsi="Arial" w:cs="Arial"/>
        <w:i/>
        <w:sz w:val="18"/>
        <w:szCs w:val="18"/>
      </w:rPr>
      <w:t xml:space="preserve"> </w:t>
    </w:r>
    <w:r>
      <w:rPr>
        <w:rFonts w:ascii="Arial" w:hAnsi="Arial" w:cs="Arial"/>
        <w:i/>
        <w:sz w:val="18"/>
        <w:szCs w:val="18"/>
      </w:rPr>
      <w:t>5</w:t>
    </w:r>
  </w:p>
  <w:p w:rsidR="009D1B49" w:rsidRDefault="009D1B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B49" w:rsidRPr="007C7652" w:rsidRDefault="009D1B49" w:rsidP="009D1B49">
    <w:pPr>
      <w:pBdr>
        <w:bottom w:val="single" w:sz="4" w:space="1" w:color="auto"/>
      </w:pBdr>
      <w:jc w:val="left"/>
      <w:rPr>
        <w:rFonts w:ascii="Arial" w:hAnsi="Arial" w:cs="Arial"/>
        <w:i/>
        <w:sz w:val="18"/>
        <w:szCs w:val="18"/>
      </w:rPr>
    </w:pPr>
    <w:r w:rsidRPr="007C7652">
      <w:rPr>
        <w:rFonts w:ascii="Arial" w:hAnsi="Arial" w:cs="Arial"/>
        <w:i/>
        <w:sz w:val="18"/>
        <w:szCs w:val="18"/>
      </w:rPr>
      <w:t>UNEP/CMS/COP13/Doc.24/Anex</w:t>
    </w:r>
    <w:r>
      <w:rPr>
        <w:rFonts w:ascii="Arial" w:hAnsi="Arial" w:cs="Arial"/>
        <w:i/>
        <w:sz w:val="18"/>
        <w:szCs w:val="18"/>
      </w:rPr>
      <w:t>o</w:t>
    </w:r>
    <w:r w:rsidRPr="007C7652">
      <w:rPr>
        <w:rFonts w:ascii="Arial" w:hAnsi="Arial" w:cs="Arial"/>
        <w:i/>
        <w:sz w:val="18"/>
        <w:szCs w:val="18"/>
      </w:rPr>
      <w:t xml:space="preserve"> </w:t>
    </w:r>
    <w:r>
      <w:rPr>
        <w:rFonts w:ascii="Arial" w:hAnsi="Arial" w:cs="Arial"/>
        <w:i/>
        <w:sz w:val="18"/>
        <w:szCs w:val="18"/>
      </w:rPr>
      <w:t>5</w:t>
    </w:r>
  </w:p>
  <w:p w:rsidR="009D1B49" w:rsidRDefault="009D1B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B49" w:rsidRPr="007C7652" w:rsidRDefault="009D1B49" w:rsidP="009D1B49">
    <w:pPr>
      <w:pBdr>
        <w:bottom w:val="single" w:sz="4" w:space="1" w:color="auto"/>
      </w:pBdr>
      <w:rPr>
        <w:rFonts w:ascii="Arial" w:hAnsi="Arial" w:cs="Arial"/>
        <w:i/>
        <w:sz w:val="18"/>
        <w:szCs w:val="18"/>
      </w:rPr>
    </w:pPr>
    <w:r w:rsidRPr="007C7652">
      <w:rPr>
        <w:rFonts w:ascii="Arial" w:hAnsi="Arial" w:cs="Arial"/>
        <w:i/>
        <w:sz w:val="18"/>
        <w:szCs w:val="18"/>
      </w:rPr>
      <w:t>UNEP/CMS/COP13/Doc.24/An</w:t>
    </w:r>
    <w:r>
      <w:rPr>
        <w:rFonts w:ascii="Arial" w:hAnsi="Arial" w:cs="Arial"/>
        <w:i/>
        <w:sz w:val="18"/>
        <w:szCs w:val="18"/>
      </w:rPr>
      <w:t>exo</w:t>
    </w:r>
    <w:r w:rsidRPr="007C7652">
      <w:rPr>
        <w:rFonts w:ascii="Arial" w:hAnsi="Arial" w:cs="Arial"/>
        <w:i/>
        <w:sz w:val="18"/>
        <w:szCs w:val="18"/>
      </w:rPr>
      <w:t xml:space="preserve"> </w:t>
    </w:r>
    <w:r>
      <w:rPr>
        <w:rFonts w:ascii="Arial" w:hAnsi="Arial" w:cs="Arial"/>
        <w:i/>
        <w:sz w:val="18"/>
        <w:szCs w:val="18"/>
      </w:rPr>
      <w:t>5</w:t>
    </w:r>
  </w:p>
  <w:p w:rsidR="009D1B49" w:rsidRDefault="009D1B4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D73"/>
    <w:rsid w:val="00180604"/>
    <w:rsid w:val="0020323D"/>
    <w:rsid w:val="00303A2E"/>
    <w:rsid w:val="00316C32"/>
    <w:rsid w:val="00431C75"/>
    <w:rsid w:val="00696407"/>
    <w:rsid w:val="008375B1"/>
    <w:rsid w:val="00911A86"/>
    <w:rsid w:val="009D1B49"/>
    <w:rsid w:val="00B766FE"/>
    <w:rsid w:val="00CC2860"/>
    <w:rsid w:val="00DB5A8D"/>
    <w:rsid w:val="00E15D73"/>
    <w:rsid w:val="00E60CCE"/>
    <w:rsid w:val="00EF5621"/>
    <w:rsid w:val="00F81EE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6EF31E"/>
  <w15:docId w15:val="{2C13681E-8725-4232-8468-56381FE6B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92" w:line="267" w:lineRule="auto"/>
      <w:ind w:left="10"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color w:val="2F5496"/>
      <w:sz w:val="32"/>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color w:val="2F5496"/>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2F5496"/>
      <w:sz w:val="26"/>
    </w:rPr>
  </w:style>
  <w:style w:type="character" w:customStyle="1" w:styleId="Heading1Char">
    <w:name w:val="Heading 1 Char"/>
    <w:link w:val="Heading1"/>
    <w:rPr>
      <w:rFonts w:ascii="Calibri" w:eastAsia="Calibri" w:hAnsi="Calibri" w:cs="Calibri"/>
      <w:color w:val="2F5496"/>
      <w:sz w:val="32"/>
    </w:rPr>
  </w:style>
  <w:style w:type="paragraph" w:styleId="TOC1">
    <w:name w:val="toc 1"/>
    <w:hidden/>
    <w:uiPriority w:val="39"/>
    <w:pPr>
      <w:spacing w:after="92" w:line="267" w:lineRule="auto"/>
      <w:ind w:left="25" w:right="819" w:hanging="10"/>
      <w:jc w:val="both"/>
    </w:pPr>
    <w:rPr>
      <w:rFonts w:ascii="Calibri" w:eastAsia="Calibri" w:hAnsi="Calibri" w:cs="Calibri"/>
      <w:color w:val="000000"/>
    </w:rPr>
  </w:style>
  <w:style w:type="paragraph" w:styleId="TOC2">
    <w:name w:val="toc 2"/>
    <w:hidden/>
    <w:uiPriority w:val="39"/>
    <w:pPr>
      <w:spacing w:after="92" w:line="267" w:lineRule="auto"/>
      <w:ind w:left="246" w:right="819" w:hanging="10"/>
      <w:jc w:val="both"/>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60C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0CCE"/>
    <w:rPr>
      <w:rFonts w:ascii="Segoe UI" w:eastAsia="Calibri" w:hAnsi="Segoe UI" w:cs="Segoe UI"/>
      <w:color w:val="000000"/>
      <w:sz w:val="18"/>
      <w:szCs w:val="18"/>
    </w:rPr>
  </w:style>
  <w:style w:type="character" w:styleId="Hyperlink">
    <w:name w:val="Hyperlink"/>
    <w:basedOn w:val="DefaultParagraphFont"/>
    <w:uiPriority w:val="99"/>
    <w:unhideWhenUsed/>
    <w:rsid w:val="00B766FE"/>
    <w:rPr>
      <w:color w:val="0563C1" w:themeColor="hyperlink"/>
      <w:u w:val="single"/>
    </w:rPr>
  </w:style>
  <w:style w:type="paragraph" w:styleId="NoSpacing">
    <w:name w:val="No Spacing"/>
    <w:uiPriority w:val="1"/>
    <w:qFormat/>
    <w:rsid w:val="00180604"/>
    <w:pPr>
      <w:spacing w:after="0" w:line="240" w:lineRule="auto"/>
      <w:ind w:left="10" w:hanging="10"/>
      <w:jc w:val="both"/>
    </w:pPr>
    <w:rPr>
      <w:rFonts w:ascii="Calibri" w:eastAsia="Calibri" w:hAnsi="Calibri" w:cs="Calibri"/>
      <w:color w:val="000000"/>
    </w:rPr>
  </w:style>
  <w:style w:type="paragraph" w:styleId="Header">
    <w:name w:val="header"/>
    <w:basedOn w:val="Normal"/>
    <w:link w:val="HeaderChar"/>
    <w:uiPriority w:val="99"/>
    <w:unhideWhenUsed/>
    <w:rsid w:val="001806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604"/>
    <w:rPr>
      <w:rFonts w:ascii="Calibri" w:eastAsia="Calibri" w:hAnsi="Calibri" w:cs="Calibri"/>
      <w:color w:val="000000"/>
    </w:rPr>
  </w:style>
  <w:style w:type="paragraph" w:styleId="Footer">
    <w:name w:val="footer"/>
    <w:basedOn w:val="Normal"/>
    <w:link w:val="FooterChar"/>
    <w:uiPriority w:val="99"/>
    <w:unhideWhenUsed/>
    <w:rsid w:val="009D1B49"/>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9D1B4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hyperlink" Target="https://github.com/Zoological-Society-of-London/rlpi" TargetMode="External"/><Relationship Id="rId26" Type="http://schemas.openxmlformats.org/officeDocument/2006/relationships/hyperlink" Target="https://www.cms.int/en/page/appendix-i-ii-cms" TargetMode="External"/><Relationship Id="rId39" Type="http://schemas.openxmlformats.org/officeDocument/2006/relationships/header" Target="header1.xml"/><Relationship Id="rId21" Type="http://schemas.openxmlformats.org/officeDocument/2006/relationships/hyperlink" Target="https://github.com/Zoological-Society-of-London/rlpi" TargetMode="External"/><Relationship Id="rId34" Type="http://schemas.openxmlformats.org/officeDocument/2006/relationships/hyperlink" Target="http://www.speciesplus.net/" TargetMode="External"/><Relationship Id="rId42" Type="http://schemas.openxmlformats.org/officeDocument/2006/relationships/footer" Target="footer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github.com/Zoological-Society-of-London/rlpi" TargetMode="External"/><Relationship Id="rId29" Type="http://schemas.openxmlformats.org/officeDocument/2006/relationships/hyperlink" Target="https://www.cms.int/en/page/appendix-i-ii-cms"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hyperlink" Target="https://www.cms.int/en/page/appendix-i-ii-cms" TargetMode="External"/><Relationship Id="rId32" Type="http://schemas.openxmlformats.org/officeDocument/2006/relationships/hyperlink" Target="http://www.livingplanetindex.org/" TargetMode="External"/><Relationship Id="rId37" Type="http://schemas.openxmlformats.org/officeDocument/2006/relationships/image" Target="media/image7.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github.com/Zoological-Society-of-London/rlpi" TargetMode="External"/><Relationship Id="rId23" Type="http://schemas.openxmlformats.org/officeDocument/2006/relationships/hyperlink" Target="https://www.cms.int/en/page/appendix-i-ii-cms" TargetMode="External"/><Relationship Id="rId28" Type="http://schemas.openxmlformats.org/officeDocument/2006/relationships/hyperlink" Target="https://www.cms.int/en/page/appendix-i-ii-cms" TargetMode="External"/><Relationship Id="rId36" Type="http://schemas.microsoft.com/office/2007/relationships/hdphoto" Target="media/hdphoto4.wdp"/><Relationship Id="rId10" Type="http://schemas.openxmlformats.org/officeDocument/2006/relationships/image" Target="media/image3.png"/><Relationship Id="rId19" Type="http://schemas.openxmlformats.org/officeDocument/2006/relationships/hyperlink" Target="https://github.com/Zoological-Society-of-London/rlpi" TargetMode="External"/><Relationship Id="rId31" Type="http://schemas.openxmlformats.org/officeDocument/2006/relationships/hyperlink" Target="http://www.livingplanetindex.org/" TargetMode="External"/><Relationship Id="rId44" Type="http://schemas.openxmlformats.org/officeDocument/2006/relationships/footer" Target="footer3.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hyperlink" Target="https://github.com/Zoological-Society-of-London/rlpi" TargetMode="External"/><Relationship Id="rId27" Type="http://schemas.openxmlformats.org/officeDocument/2006/relationships/hyperlink" Target="https://www.cms.int/en/page/appendix-i-ii-cms" TargetMode="External"/><Relationship Id="rId30" Type="http://schemas.openxmlformats.org/officeDocument/2006/relationships/hyperlink" Target="https://www.cms.int/en/page/appendix-i-ii-cms" TargetMode="External"/><Relationship Id="rId35" Type="http://schemas.openxmlformats.org/officeDocument/2006/relationships/image" Target="media/image6.png"/><Relationship Id="rId43"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github.com/Zoological-Society-of-London/rlpi" TargetMode="External"/><Relationship Id="rId25" Type="http://schemas.openxmlformats.org/officeDocument/2006/relationships/hyperlink" Target="https://www.cms.int/en/page/appendix-i-ii-cms" TargetMode="External"/><Relationship Id="rId33" Type="http://schemas.openxmlformats.org/officeDocument/2006/relationships/hyperlink" Target="http://www.speciesplus.net/" TargetMode="External"/><Relationship Id="rId38" Type="http://schemas.microsoft.com/office/2007/relationships/hdphoto" Target="media/hdphoto5.wdp"/><Relationship Id="rId46" Type="http://schemas.openxmlformats.org/officeDocument/2006/relationships/theme" Target="theme/theme1.xml"/><Relationship Id="rId20" Type="http://schemas.openxmlformats.org/officeDocument/2006/relationships/hyperlink" Target="https://github.com/Zoological-Society-of-London/rlpi"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AB68E-B673-4652-A619-1654839A9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3606</Words>
  <Characters>20555</Characters>
  <Application>Microsoft Office Word</Application>
  <DocSecurity>0</DocSecurity>
  <Lines>171</Lines>
  <Paragraphs>48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Deinet</dc:creator>
  <cp:keywords/>
  <cp:lastModifiedBy>Ximena Cancino</cp:lastModifiedBy>
  <cp:revision>2</cp:revision>
  <dcterms:created xsi:type="dcterms:W3CDTF">2019-12-19T12:18:00Z</dcterms:created>
  <dcterms:modified xsi:type="dcterms:W3CDTF">2019-12-19T12:18:00Z</dcterms:modified>
</cp:coreProperties>
</file>