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73E37F5E" w:rsidR="00D82C56" w:rsidRPr="0058757D" w:rsidRDefault="00C55C6A" w:rsidP="00E829C9">
      <w:pPr>
        <w:jc w:val="center"/>
        <w:rPr>
          <w:rFonts w:ascii="Arial" w:hAnsi="Arial" w:cs="Arial"/>
          <w:b/>
          <w:sz w:val="22"/>
          <w:szCs w:val="22"/>
          <w:lang w:val="es-ES"/>
        </w:rPr>
      </w:pPr>
      <w:r>
        <w:rPr>
          <w:rFonts w:ascii="Arial" w:hAnsi="Arial" w:cs="Arial"/>
          <w:b/>
          <w:sz w:val="22"/>
          <w:szCs w:val="22"/>
          <w:lang w:val="es-ES"/>
        </w:rPr>
        <w:t xml:space="preserve">MEDIDAS DE CONSERVACIÓN PERTINENTES PARA LAS ESPECIES </w:t>
      </w:r>
      <w:r w:rsidR="00175C75">
        <w:rPr>
          <w:rFonts w:ascii="Arial" w:hAnsi="Arial" w:cs="Arial"/>
          <w:b/>
          <w:sz w:val="22"/>
          <w:szCs w:val="22"/>
          <w:lang w:val="es-ES"/>
        </w:rPr>
        <w:t>QUE FIGURAN EN</w:t>
      </w:r>
      <w:r>
        <w:rPr>
          <w:rFonts w:ascii="Arial" w:hAnsi="Arial" w:cs="Arial"/>
          <w:b/>
          <w:sz w:val="22"/>
          <w:szCs w:val="22"/>
          <w:lang w:val="es-ES"/>
        </w:rPr>
        <w:t xml:space="preserve"> LA</w:t>
      </w:r>
      <w:r w:rsidR="00175C75">
        <w:rPr>
          <w:rFonts w:ascii="Arial" w:hAnsi="Arial" w:cs="Arial"/>
          <w:b/>
          <w:sz w:val="22"/>
          <w:szCs w:val="22"/>
          <w:lang w:val="es-ES"/>
        </w:rPr>
        <w:t xml:space="preserve"> LISTA DE LA</w:t>
      </w:r>
      <w:r>
        <w:rPr>
          <w:rFonts w:ascii="Arial" w:hAnsi="Arial" w:cs="Arial"/>
          <w:b/>
          <w:sz w:val="22"/>
          <w:szCs w:val="22"/>
          <w:lang w:val="es-ES"/>
        </w:rPr>
        <w:t xml:space="preserve"> CMS </w:t>
      </w:r>
      <w:r w:rsidR="00175C75">
        <w:rPr>
          <w:rFonts w:ascii="Arial" w:hAnsi="Arial" w:cs="Arial"/>
          <w:b/>
          <w:sz w:val="22"/>
          <w:szCs w:val="22"/>
          <w:lang w:val="es-ES"/>
        </w:rPr>
        <w:t xml:space="preserve">Y EVIDENTES A PARTIR DE LA IDENTIFICACIÓN DE </w:t>
      </w:r>
      <w:bookmarkStart w:id="0" w:name="_Hlk32905026"/>
      <w:r w:rsidR="00DA4481">
        <w:rPr>
          <w:rFonts w:ascii="Arial" w:hAnsi="Arial" w:cs="Arial"/>
          <w:b/>
          <w:sz w:val="22"/>
          <w:szCs w:val="22"/>
          <w:lang w:val="es-ES"/>
        </w:rPr>
        <w:t xml:space="preserve">ÁREAS IMPORTANTES </w:t>
      </w:r>
      <w:r w:rsidR="00175C75">
        <w:rPr>
          <w:rFonts w:ascii="Arial" w:hAnsi="Arial" w:cs="Arial"/>
          <w:b/>
          <w:sz w:val="22"/>
          <w:szCs w:val="22"/>
          <w:lang w:val="es-ES"/>
        </w:rPr>
        <w:t>DE</w:t>
      </w:r>
      <w:r w:rsidR="00DA4481">
        <w:rPr>
          <w:rFonts w:ascii="Arial" w:hAnsi="Arial" w:cs="Arial"/>
          <w:b/>
          <w:sz w:val="22"/>
          <w:szCs w:val="22"/>
          <w:lang w:val="es-ES"/>
        </w:rPr>
        <w:t xml:space="preserve"> MAMÍFEROS MARINOS</w:t>
      </w:r>
      <w:r w:rsidR="00DA4481" w:rsidRPr="004478D7">
        <w:rPr>
          <w:rFonts w:ascii="Arial" w:eastAsiaTheme="minorHAnsi" w:hAnsi="Arial" w:cs="Arial"/>
          <w:b/>
          <w:bCs/>
          <w:noProof/>
          <w:sz w:val="22"/>
          <w:szCs w:val="22"/>
          <w:lang w:val="es-ES"/>
        </w:rPr>
        <w:t xml:space="preserve"> (AIMM)</w:t>
      </w:r>
    </w:p>
    <w:bookmarkEnd w:id="0"/>
    <w:p w14:paraId="77BA811D" w14:textId="6FE7BC15"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EF5693">
        <w:rPr>
          <w:rFonts w:ascii="Arial" w:hAnsi="Arial" w:cs="Arial"/>
          <w:sz w:val="22"/>
          <w:szCs w:val="22"/>
          <w:lang w:val="es-ES"/>
        </w:rPr>
        <w:t>26.2.1</w:t>
      </w:r>
    </w:p>
    <w:p w14:paraId="48F82B79" w14:textId="11EFDD7E" w:rsidR="00D82C56" w:rsidRDefault="00D82C56" w:rsidP="00E829C9">
      <w:pPr>
        <w:jc w:val="center"/>
        <w:rPr>
          <w:rFonts w:ascii="Arial" w:hAnsi="Arial" w:cs="Arial"/>
          <w:sz w:val="22"/>
          <w:szCs w:val="22"/>
          <w:lang w:val="es-ES"/>
        </w:rPr>
      </w:pPr>
    </w:p>
    <w:p w14:paraId="3A10D841" w14:textId="310C3730" w:rsidR="00EF5693" w:rsidRPr="0058757D" w:rsidRDefault="00EF5693" w:rsidP="00E829C9">
      <w:pPr>
        <w:jc w:val="center"/>
        <w:rPr>
          <w:rFonts w:ascii="Arial" w:hAnsi="Arial" w:cs="Arial"/>
          <w:sz w:val="22"/>
          <w:szCs w:val="22"/>
          <w:lang w:val="es-ES"/>
        </w:rPr>
      </w:pPr>
      <w:r>
        <w:rPr>
          <w:rFonts w:ascii="Arial" w:hAnsi="Arial" w:cs="Arial"/>
          <w:sz w:val="22"/>
          <w:szCs w:val="22"/>
          <w:lang w:val="es-ES"/>
        </w:rPr>
        <w:t>(</w:t>
      </w:r>
      <w:r w:rsidRPr="00090BB5">
        <w:rPr>
          <w:rFonts w:ascii="Arial" w:hAnsi="Arial" w:cs="Arial"/>
          <w:i/>
          <w:iCs/>
          <w:sz w:val="22"/>
          <w:szCs w:val="22"/>
          <w:lang w:val="es-ES"/>
        </w:rPr>
        <w:t xml:space="preserve">Preparado por el </w:t>
      </w:r>
      <w:r w:rsidR="008836BA">
        <w:rPr>
          <w:rFonts w:ascii="Arial" w:hAnsi="Arial" w:cs="Arial"/>
          <w:i/>
          <w:iCs/>
          <w:sz w:val="22"/>
          <w:szCs w:val="22"/>
          <w:lang w:val="es-ES"/>
        </w:rPr>
        <w:t>G</w:t>
      </w:r>
      <w:r w:rsidRPr="00090BB5">
        <w:rPr>
          <w:rFonts w:ascii="Arial" w:hAnsi="Arial" w:cs="Arial"/>
          <w:i/>
          <w:iCs/>
          <w:sz w:val="22"/>
          <w:szCs w:val="22"/>
          <w:lang w:val="es-ES"/>
        </w:rPr>
        <w:t xml:space="preserve">rupo de </w:t>
      </w:r>
      <w:r w:rsidR="008836BA">
        <w:rPr>
          <w:rFonts w:ascii="Arial" w:hAnsi="Arial" w:cs="Arial"/>
          <w:i/>
          <w:iCs/>
          <w:sz w:val="22"/>
          <w:szCs w:val="22"/>
          <w:lang w:val="es-ES"/>
        </w:rPr>
        <w:t>T</w:t>
      </w:r>
      <w:r w:rsidRPr="00090BB5">
        <w:rPr>
          <w:rFonts w:ascii="Arial" w:hAnsi="Arial" w:cs="Arial"/>
          <w:i/>
          <w:iCs/>
          <w:sz w:val="22"/>
          <w:szCs w:val="22"/>
          <w:lang w:val="es-ES"/>
        </w:rPr>
        <w:t xml:space="preserve">rabajo </w:t>
      </w:r>
      <w:r w:rsidR="008836BA">
        <w:rPr>
          <w:rFonts w:ascii="Arial" w:hAnsi="Arial" w:cs="Arial"/>
          <w:i/>
          <w:iCs/>
          <w:sz w:val="22"/>
          <w:szCs w:val="22"/>
          <w:lang w:val="es-ES"/>
        </w:rPr>
        <w:t>A</w:t>
      </w:r>
      <w:r w:rsidRPr="00090BB5">
        <w:rPr>
          <w:rFonts w:ascii="Arial" w:hAnsi="Arial" w:cs="Arial"/>
          <w:i/>
          <w:iCs/>
          <w:sz w:val="22"/>
          <w:szCs w:val="22"/>
          <w:lang w:val="es-ES"/>
        </w:rPr>
        <w:t>cuático</w:t>
      </w:r>
      <w:r w:rsidR="00090BB5">
        <w:rPr>
          <w:rFonts w:ascii="Arial" w:hAnsi="Arial" w:cs="Arial"/>
          <w:sz w:val="22"/>
          <w:szCs w:val="22"/>
          <w:lang w:val="es-ES"/>
        </w:rPr>
        <w:t>)</w:t>
      </w:r>
    </w:p>
    <w:p w14:paraId="13E71D89" w14:textId="77777777" w:rsidR="00D82C56" w:rsidRPr="00FD2360" w:rsidRDefault="00D82C56" w:rsidP="00E829C9">
      <w:pPr>
        <w:rPr>
          <w:rFonts w:ascii="Arial" w:hAnsi="Arial" w:cs="Arial"/>
          <w:sz w:val="22"/>
          <w:szCs w:val="22"/>
          <w:lang w:val="es-ES"/>
        </w:rPr>
      </w:pPr>
    </w:p>
    <w:p w14:paraId="47C7E776" w14:textId="77777777" w:rsidR="004478D7" w:rsidRPr="004478D7" w:rsidRDefault="004478D7" w:rsidP="004478D7">
      <w:pPr>
        <w:widowControl/>
        <w:suppressAutoHyphens w:val="0"/>
        <w:autoSpaceDE/>
        <w:autoSpaceDN/>
        <w:spacing w:line="259" w:lineRule="auto"/>
        <w:jc w:val="center"/>
        <w:textAlignment w:val="auto"/>
        <w:rPr>
          <w:rFonts w:ascii="Arial" w:eastAsiaTheme="minorHAnsi" w:hAnsi="Arial" w:cs="Arial"/>
          <w:sz w:val="22"/>
          <w:szCs w:val="22"/>
          <w:lang w:val="es-ES"/>
        </w:rPr>
      </w:pPr>
      <w:r w:rsidRPr="004478D7">
        <w:rPr>
          <w:rFonts w:ascii="Arial" w:eastAsiaTheme="minorHAnsi" w:hAnsi="Arial" w:cs="Arial"/>
          <w:sz w:val="22"/>
          <w:szCs w:val="22"/>
          <w:lang w:val="es-ES"/>
        </w:rPr>
        <w:t xml:space="preserve">PROYECTOS DE DECISIÓN </w:t>
      </w:r>
    </w:p>
    <w:p w14:paraId="5B0767DE" w14:textId="3B4CDE42" w:rsidR="004478D7" w:rsidRDefault="004478D7" w:rsidP="004478D7">
      <w:pPr>
        <w:widowControl/>
        <w:suppressAutoHyphens w:val="0"/>
        <w:autoSpaceDE/>
        <w:autoSpaceDN/>
        <w:spacing w:line="259" w:lineRule="auto"/>
        <w:jc w:val="center"/>
        <w:textAlignment w:val="auto"/>
        <w:rPr>
          <w:rFonts w:ascii="Arial" w:eastAsiaTheme="minorHAnsi" w:hAnsi="Arial" w:cs="Arial"/>
          <w:sz w:val="22"/>
          <w:szCs w:val="22"/>
          <w:lang w:val="es-ES"/>
        </w:rPr>
      </w:pPr>
      <w:bookmarkStart w:id="1" w:name="_GoBack"/>
      <w:bookmarkEnd w:id="1"/>
    </w:p>
    <w:p w14:paraId="1DC858BB" w14:textId="77777777" w:rsidR="00BE44C3" w:rsidRPr="0058757D" w:rsidRDefault="00BE44C3" w:rsidP="00BE44C3">
      <w:pPr>
        <w:jc w:val="center"/>
        <w:rPr>
          <w:rFonts w:ascii="Arial" w:hAnsi="Arial" w:cs="Arial"/>
          <w:b/>
          <w:sz w:val="22"/>
          <w:szCs w:val="22"/>
          <w:lang w:val="es-ES"/>
        </w:rPr>
      </w:pPr>
      <w:r>
        <w:rPr>
          <w:rFonts w:ascii="Arial" w:hAnsi="Arial" w:cs="Arial"/>
          <w:b/>
          <w:sz w:val="22"/>
          <w:szCs w:val="22"/>
          <w:lang w:val="es-ES"/>
        </w:rPr>
        <w:t>ÁREAS IMPORTANTES DE MAMÍFEROS MARINOS</w:t>
      </w:r>
      <w:r w:rsidRPr="004478D7">
        <w:rPr>
          <w:rFonts w:ascii="Arial" w:eastAsiaTheme="minorHAnsi" w:hAnsi="Arial" w:cs="Arial"/>
          <w:b/>
          <w:bCs/>
          <w:noProof/>
          <w:sz w:val="22"/>
          <w:szCs w:val="22"/>
          <w:lang w:val="es-ES"/>
        </w:rPr>
        <w:t xml:space="preserve"> (AIMM)</w:t>
      </w:r>
    </w:p>
    <w:p w14:paraId="0EF76A7D" w14:textId="77777777" w:rsidR="00BE44C3" w:rsidRPr="004478D7" w:rsidRDefault="00BE44C3" w:rsidP="004478D7">
      <w:pPr>
        <w:widowControl/>
        <w:suppressAutoHyphens w:val="0"/>
        <w:autoSpaceDE/>
        <w:autoSpaceDN/>
        <w:spacing w:line="259" w:lineRule="auto"/>
        <w:jc w:val="center"/>
        <w:textAlignment w:val="auto"/>
        <w:rPr>
          <w:rFonts w:ascii="Arial" w:eastAsiaTheme="minorHAnsi" w:hAnsi="Arial" w:cs="Arial"/>
          <w:sz w:val="22"/>
          <w:szCs w:val="22"/>
          <w:lang w:val="es-ES"/>
        </w:rPr>
      </w:pPr>
    </w:p>
    <w:p w14:paraId="1CB0AC44" w14:textId="687EF1A0" w:rsidR="004478D7" w:rsidRPr="004478D7" w:rsidRDefault="00DA4481" w:rsidP="004478D7">
      <w:pPr>
        <w:widowControl/>
        <w:suppressAutoHyphens w:val="0"/>
        <w:autoSpaceDE/>
        <w:autoSpaceDN/>
        <w:spacing w:line="259" w:lineRule="auto"/>
        <w:jc w:val="center"/>
        <w:textAlignment w:val="auto"/>
        <w:rPr>
          <w:rFonts w:ascii="Arial" w:eastAsiaTheme="minorHAnsi" w:hAnsi="Arial" w:cs="Arial"/>
          <w:sz w:val="22"/>
          <w:szCs w:val="22"/>
          <w:lang w:val="es-ES"/>
        </w:rPr>
      </w:pPr>
      <w:r>
        <w:rPr>
          <w:rFonts w:ascii="Arial" w:eastAsiaTheme="minorHAnsi" w:hAnsi="Arial" w:cs="Arial"/>
          <w:b/>
          <w:bCs/>
          <w:noProof/>
          <w:sz w:val="22"/>
          <w:szCs w:val="22"/>
          <w:lang w:val="es-ES"/>
        </w:rPr>
        <w:t xml:space="preserve"> </w:t>
      </w:r>
    </w:p>
    <w:p w14:paraId="40CD6619"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r w:rsidRPr="004478D7">
        <w:rPr>
          <w:rFonts w:ascii="Arial" w:eastAsiaTheme="minorHAnsi" w:hAnsi="Arial" w:cs="Arial"/>
          <w:b/>
          <w:i/>
          <w:sz w:val="22"/>
          <w:szCs w:val="22"/>
          <w:lang w:val="es-ES"/>
        </w:rPr>
        <w:t xml:space="preserve">Dirigido a las Partes </w:t>
      </w:r>
    </w:p>
    <w:p w14:paraId="22D2AC2B"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p>
    <w:p w14:paraId="0723B45B" w14:textId="2B08BB28"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iCs/>
          <w:sz w:val="22"/>
          <w:szCs w:val="22"/>
          <w:lang w:val="es-ES"/>
        </w:rPr>
      </w:pPr>
      <w:r w:rsidRPr="004478D7">
        <w:rPr>
          <w:rFonts w:ascii="Arial" w:eastAsiaTheme="minorHAnsi" w:hAnsi="Arial" w:cs="Arial"/>
          <w:sz w:val="22"/>
          <w:szCs w:val="22"/>
          <w:lang w:val="es-ES"/>
        </w:rPr>
        <w:t>13.AA</w:t>
      </w:r>
      <w:r w:rsidRPr="004478D7">
        <w:rPr>
          <w:rFonts w:ascii="Arial" w:eastAsiaTheme="minorHAnsi" w:hAnsi="Arial" w:cs="Arial"/>
          <w:sz w:val="22"/>
          <w:szCs w:val="22"/>
          <w:lang w:val="es-ES"/>
        </w:rPr>
        <w:tab/>
      </w:r>
      <w:r w:rsidRPr="004478D7">
        <w:rPr>
          <w:rFonts w:ascii="Arial" w:eastAsiaTheme="minorHAnsi" w:hAnsi="Arial" w:cs="Arial"/>
          <w:iCs/>
          <w:sz w:val="22"/>
          <w:szCs w:val="22"/>
          <w:lang w:val="es-ES"/>
        </w:rPr>
        <w:t xml:space="preserve">Se solicita a las Partes que </w:t>
      </w:r>
      <w:r w:rsidRPr="004478D7">
        <w:rPr>
          <w:rFonts w:ascii="Arial" w:eastAsiaTheme="minorHAnsi" w:hAnsi="Arial" w:cs="Arial"/>
          <w:noProof/>
          <w:sz w:val="22"/>
          <w:szCs w:val="22"/>
          <w:lang w:val="es-ES"/>
        </w:rPr>
        <w:t>utilicen</w:t>
      </w:r>
      <w:r w:rsidR="00BE5C90">
        <w:rPr>
          <w:rFonts w:ascii="Arial" w:eastAsiaTheme="minorHAnsi" w:hAnsi="Arial" w:cs="Arial"/>
          <w:noProof/>
          <w:sz w:val="22"/>
          <w:szCs w:val="22"/>
          <w:lang w:val="es-ES"/>
        </w:rPr>
        <w:t>, según proceda,</w:t>
      </w:r>
      <w:r w:rsidRPr="004478D7">
        <w:rPr>
          <w:rFonts w:ascii="Arial" w:eastAsiaTheme="minorHAnsi" w:hAnsi="Arial" w:cs="Arial"/>
          <w:noProof/>
          <w:sz w:val="22"/>
          <w:szCs w:val="22"/>
          <w:lang w:val="es-ES"/>
        </w:rPr>
        <w:t xml:space="preserve"> las áreas importantes para mamíferos marinos (AIMM) identificadas y publicadas en el sitio web del Grupo de Trabajo conjunto de la CSE/CMAP de la UICN sobre áreas protegidas para los mamíferos marinos (</w:t>
      </w:r>
      <w:hyperlink r:id="rId7" w:history="1">
        <w:r w:rsidRPr="004478D7">
          <w:rPr>
            <w:rFonts w:ascii="Arial" w:eastAsiaTheme="minorHAnsi" w:hAnsi="Arial" w:cs="Arial"/>
            <w:noProof/>
            <w:color w:val="0563C1" w:themeColor="hyperlink"/>
            <w:sz w:val="22"/>
            <w:szCs w:val="22"/>
            <w:u w:val="single"/>
            <w:lang w:val="es-ES"/>
          </w:rPr>
          <w:t>www.marinemammalhabitat.org</w:t>
        </w:r>
      </w:hyperlink>
      <w:r w:rsidRPr="004478D7">
        <w:rPr>
          <w:rFonts w:ascii="Arial" w:eastAsiaTheme="minorHAnsi" w:hAnsi="Arial" w:cs="Arial"/>
          <w:noProof/>
          <w:sz w:val="22"/>
          <w:szCs w:val="22"/>
          <w:lang w:val="es-ES"/>
        </w:rPr>
        <w:t xml:space="preserve">) </w:t>
      </w:r>
      <w:r w:rsidR="008836BA">
        <w:rPr>
          <w:rFonts w:ascii="Arial" w:eastAsiaTheme="minorHAnsi" w:hAnsi="Arial" w:cs="Arial"/>
          <w:noProof/>
          <w:sz w:val="22"/>
          <w:szCs w:val="22"/>
          <w:lang w:val="es-ES"/>
        </w:rPr>
        <w:t>cuando se trate</w:t>
      </w:r>
      <w:r w:rsidRPr="004478D7">
        <w:rPr>
          <w:rFonts w:ascii="Arial" w:eastAsiaTheme="minorHAnsi" w:hAnsi="Arial" w:cs="Arial"/>
          <w:noProof/>
          <w:sz w:val="22"/>
          <w:szCs w:val="22"/>
          <w:lang w:val="es-ES"/>
        </w:rPr>
        <w:t xml:space="preserve"> de identificar los hábitats en riesgo o </w:t>
      </w:r>
      <w:r w:rsidR="008836BA">
        <w:rPr>
          <w:rFonts w:ascii="Arial" w:eastAsiaTheme="minorHAnsi" w:hAnsi="Arial" w:cs="Arial"/>
          <w:noProof/>
          <w:sz w:val="22"/>
          <w:szCs w:val="22"/>
          <w:lang w:val="es-ES"/>
        </w:rPr>
        <w:t xml:space="preserve">de </w:t>
      </w:r>
      <w:r w:rsidRPr="004478D7">
        <w:rPr>
          <w:rFonts w:ascii="Arial" w:eastAsiaTheme="minorHAnsi" w:hAnsi="Arial" w:cs="Arial"/>
          <w:noProof/>
          <w:sz w:val="22"/>
          <w:szCs w:val="22"/>
          <w:lang w:val="es-ES"/>
        </w:rPr>
        <w:t>diseñar medidas de mitigación de amenazas</w:t>
      </w:r>
      <w:r w:rsidR="008836BA">
        <w:rPr>
          <w:rFonts w:ascii="Arial" w:eastAsiaTheme="minorHAnsi" w:hAnsi="Arial" w:cs="Arial"/>
          <w:noProof/>
          <w:sz w:val="22"/>
          <w:szCs w:val="22"/>
          <w:lang w:val="es-ES"/>
        </w:rPr>
        <w:t xml:space="preserve"> y al designar áreas marinas protegidas con fines de planificación espacial de las áreas marinas</w:t>
      </w:r>
      <w:r w:rsidRPr="004478D7">
        <w:rPr>
          <w:rFonts w:ascii="Arial" w:eastAsiaTheme="minorHAnsi" w:hAnsi="Arial" w:cs="Arial"/>
          <w:noProof/>
          <w:sz w:val="22"/>
          <w:szCs w:val="22"/>
          <w:lang w:val="es-ES"/>
        </w:rPr>
        <w:t xml:space="preserve"> para los pinnípedos, los sirenios, las nutrias, los osos polares y cetáceos que figuran en las listas de la CMS.</w:t>
      </w:r>
    </w:p>
    <w:p w14:paraId="7FCACC83"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p>
    <w:p w14:paraId="2214CC68"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r w:rsidRPr="004478D7">
        <w:rPr>
          <w:rFonts w:ascii="Arial" w:eastAsiaTheme="minorHAnsi" w:hAnsi="Arial" w:cs="Arial"/>
          <w:b/>
          <w:i/>
          <w:sz w:val="22"/>
          <w:szCs w:val="22"/>
          <w:lang w:val="es-ES"/>
        </w:rPr>
        <w:t>Dirigido a las Partes que constituyen los Estados del área de distribución del dugongo</w:t>
      </w:r>
    </w:p>
    <w:p w14:paraId="12F26D5A"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p>
    <w:p w14:paraId="7959D8AE" w14:textId="77777777"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sz w:val="22"/>
          <w:szCs w:val="22"/>
          <w:lang w:val="es-ES"/>
        </w:rPr>
      </w:pPr>
      <w:r w:rsidRPr="004478D7">
        <w:rPr>
          <w:rFonts w:ascii="Arial" w:eastAsiaTheme="minorHAnsi" w:hAnsi="Arial" w:cs="Arial"/>
          <w:sz w:val="22"/>
          <w:szCs w:val="22"/>
          <w:lang w:val="es-ES"/>
        </w:rPr>
        <w:t>13.BB</w:t>
      </w:r>
      <w:r w:rsidRPr="004478D7">
        <w:rPr>
          <w:rFonts w:ascii="Arial" w:eastAsiaTheme="minorHAnsi" w:hAnsi="Arial" w:cs="Arial"/>
          <w:sz w:val="22"/>
          <w:szCs w:val="22"/>
          <w:lang w:val="es-ES"/>
        </w:rPr>
        <w:tab/>
        <w:t xml:space="preserve">Se solicita a las Partes que constituyen los Estados del área de distribución del dugongo incluyendo al </w:t>
      </w:r>
      <w:proofErr w:type="spellStart"/>
      <w:r w:rsidRPr="004478D7">
        <w:rPr>
          <w:rFonts w:ascii="Arial" w:eastAsiaTheme="minorHAnsi" w:hAnsi="Arial" w:cs="Arial"/>
          <w:sz w:val="22"/>
          <w:szCs w:val="22"/>
          <w:lang w:val="es-ES"/>
        </w:rPr>
        <w:t>MdE</w:t>
      </w:r>
      <w:proofErr w:type="spellEnd"/>
      <w:r w:rsidRPr="004478D7">
        <w:rPr>
          <w:rFonts w:ascii="Arial" w:eastAsiaTheme="minorHAnsi" w:hAnsi="Arial" w:cs="Arial"/>
          <w:sz w:val="22"/>
          <w:szCs w:val="22"/>
          <w:lang w:val="es-ES"/>
        </w:rPr>
        <w:t xml:space="preserve"> sobre los Dugongos a que evalúen si la población regional de la especie merece que se le incluya en el Apéndice I de la CMS. </w:t>
      </w:r>
    </w:p>
    <w:p w14:paraId="06DA73E4" w14:textId="77777777"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sz w:val="22"/>
          <w:szCs w:val="22"/>
          <w:lang w:val="es-ES"/>
        </w:rPr>
      </w:pPr>
    </w:p>
    <w:p w14:paraId="059C9BDE"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r w:rsidRPr="004478D7">
        <w:rPr>
          <w:rFonts w:ascii="Arial" w:eastAsiaTheme="minorHAnsi" w:hAnsi="Arial" w:cs="Arial"/>
          <w:b/>
          <w:i/>
          <w:sz w:val="22"/>
          <w:szCs w:val="22"/>
          <w:lang w:val="es-ES"/>
        </w:rPr>
        <w:t xml:space="preserve">Dirigido al Consejo Científico </w:t>
      </w:r>
    </w:p>
    <w:p w14:paraId="6414434D"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sz w:val="22"/>
          <w:szCs w:val="22"/>
          <w:lang w:val="es-ES"/>
        </w:rPr>
      </w:pPr>
    </w:p>
    <w:p w14:paraId="7866CEE4" w14:textId="77777777"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sz w:val="22"/>
          <w:szCs w:val="22"/>
          <w:lang w:val="es-ES"/>
        </w:rPr>
      </w:pPr>
      <w:r w:rsidRPr="004478D7">
        <w:rPr>
          <w:rFonts w:ascii="Arial" w:eastAsiaTheme="minorHAnsi" w:hAnsi="Arial" w:cs="Arial"/>
          <w:sz w:val="22"/>
          <w:szCs w:val="22"/>
          <w:lang w:val="es-ES"/>
        </w:rPr>
        <w:t>13.CC</w:t>
      </w:r>
      <w:r w:rsidRPr="004478D7">
        <w:rPr>
          <w:rFonts w:ascii="Arial" w:eastAsiaTheme="minorHAnsi" w:hAnsi="Arial" w:cs="Arial"/>
          <w:sz w:val="22"/>
          <w:szCs w:val="22"/>
          <w:lang w:val="es-ES"/>
        </w:rPr>
        <w:tab/>
        <w:t>Se le solicita al Consejo Científico, sujeto a la disponibilidad de recursos:</w:t>
      </w:r>
    </w:p>
    <w:p w14:paraId="1B1BEC94" w14:textId="77777777"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sz w:val="22"/>
          <w:szCs w:val="22"/>
          <w:lang w:val="es-ES"/>
        </w:rPr>
      </w:pPr>
    </w:p>
    <w:p w14:paraId="194FA509" w14:textId="1771E567" w:rsidR="004478D7" w:rsidRPr="004478D7" w:rsidRDefault="004478D7" w:rsidP="004478D7">
      <w:pPr>
        <w:widowControl/>
        <w:numPr>
          <w:ilvl w:val="0"/>
          <w:numId w:val="1"/>
        </w:numPr>
        <w:suppressAutoHyphens w:val="0"/>
        <w:autoSpaceDE/>
        <w:autoSpaceDN/>
        <w:spacing w:after="160" w:line="259" w:lineRule="auto"/>
        <w:contextualSpacing/>
        <w:jc w:val="both"/>
        <w:textAlignment w:val="auto"/>
        <w:rPr>
          <w:rFonts w:ascii="Arial" w:eastAsiaTheme="minorHAnsi" w:hAnsi="Arial" w:cs="Arial"/>
          <w:noProof/>
          <w:sz w:val="22"/>
          <w:szCs w:val="22"/>
          <w:lang w:val="es-ES"/>
        </w:rPr>
      </w:pPr>
      <w:r w:rsidRPr="004478D7">
        <w:rPr>
          <w:rFonts w:ascii="Arial" w:eastAsiaTheme="minorHAnsi" w:hAnsi="Arial" w:cs="Arial"/>
          <w:noProof/>
          <w:sz w:val="22"/>
          <w:szCs w:val="22"/>
          <w:lang w:val="es-ES"/>
        </w:rPr>
        <w:t xml:space="preserve">bajo petición, apoyar a las Partes para que </w:t>
      </w:r>
      <w:r w:rsidR="008836BA">
        <w:rPr>
          <w:rFonts w:ascii="Arial" w:eastAsiaTheme="minorHAnsi" w:hAnsi="Arial" w:cs="Arial"/>
          <w:noProof/>
          <w:sz w:val="22"/>
          <w:szCs w:val="22"/>
          <w:lang w:val="es-ES"/>
        </w:rPr>
        <w:t>utilicen</w:t>
      </w:r>
      <w:r w:rsidRPr="004478D7">
        <w:rPr>
          <w:rFonts w:ascii="Arial" w:eastAsiaTheme="minorHAnsi" w:hAnsi="Arial" w:cs="Arial"/>
          <w:noProof/>
          <w:sz w:val="22"/>
          <w:szCs w:val="22"/>
          <w:lang w:val="es-ES"/>
        </w:rPr>
        <w:t xml:space="preserve"> las áreas importantes para los mamíferos marinos (AIMM) identificadas y publicadas en el sitio web del Grupo de Trabajo conjunto de la CSE/CMAP de la UICN sobre áreas protegidas para los mamíferos marinos (</w:t>
      </w:r>
      <w:hyperlink r:id="rId8" w:history="1">
        <w:r w:rsidRPr="004478D7">
          <w:rPr>
            <w:rFonts w:ascii="Arial" w:eastAsiaTheme="minorHAnsi" w:hAnsi="Arial" w:cs="Arial"/>
            <w:noProof/>
            <w:color w:val="0563C1" w:themeColor="hyperlink"/>
            <w:sz w:val="22"/>
            <w:szCs w:val="22"/>
            <w:u w:val="single"/>
            <w:lang w:val="es-ES"/>
          </w:rPr>
          <w:t>www.marinemammalhabitat.org</w:t>
        </w:r>
      </w:hyperlink>
      <w:r w:rsidRPr="004478D7">
        <w:rPr>
          <w:rFonts w:ascii="Arial" w:eastAsiaTheme="minorHAnsi" w:hAnsi="Arial" w:cs="Arial"/>
          <w:noProof/>
          <w:sz w:val="22"/>
          <w:szCs w:val="22"/>
          <w:lang w:val="es-ES"/>
        </w:rPr>
        <w:t>) a la hora de identificar los hábitats en riesgo o diseñar medidas de mitigación de amenazas para los pinnípedos, los sirenios, las nutrias, los osos polares y cetáceos que figuran en las listas de la CMS;</w:t>
      </w:r>
    </w:p>
    <w:p w14:paraId="1F7B17BF" w14:textId="77777777" w:rsidR="004478D7" w:rsidRPr="004478D7" w:rsidRDefault="004478D7" w:rsidP="004478D7">
      <w:pPr>
        <w:widowControl/>
        <w:suppressAutoHyphens w:val="0"/>
        <w:autoSpaceDE/>
        <w:autoSpaceDN/>
        <w:ind w:left="1554"/>
        <w:contextualSpacing/>
        <w:jc w:val="both"/>
        <w:textAlignment w:val="auto"/>
        <w:rPr>
          <w:rFonts w:ascii="Arial" w:eastAsiaTheme="minorHAnsi" w:hAnsi="Arial" w:cs="Arial"/>
          <w:noProof/>
          <w:sz w:val="22"/>
          <w:szCs w:val="22"/>
          <w:lang w:val="es-ES"/>
        </w:rPr>
      </w:pPr>
    </w:p>
    <w:p w14:paraId="504ACD2F" w14:textId="077A6AFA" w:rsidR="004478D7" w:rsidRPr="004478D7" w:rsidRDefault="004478D7" w:rsidP="008836BA">
      <w:pPr>
        <w:widowControl/>
        <w:suppressAutoHyphens w:val="0"/>
        <w:autoSpaceDE/>
        <w:autoSpaceDN/>
        <w:ind w:left="1560" w:hanging="840"/>
        <w:jc w:val="both"/>
        <w:textAlignment w:val="auto"/>
        <w:rPr>
          <w:rFonts w:ascii="Arial" w:eastAsiaTheme="minorHAnsi" w:hAnsi="Arial" w:cs="Arial"/>
          <w:noProof/>
          <w:sz w:val="22"/>
          <w:szCs w:val="22"/>
          <w:lang w:val="es-ES"/>
        </w:rPr>
      </w:pPr>
      <w:r w:rsidRPr="004478D7">
        <w:rPr>
          <w:rFonts w:ascii="Arial" w:eastAsiaTheme="minorHAnsi" w:hAnsi="Arial" w:cs="Arial"/>
          <w:noProof/>
          <w:sz w:val="22"/>
          <w:szCs w:val="22"/>
          <w:lang w:val="es-ES"/>
        </w:rPr>
        <w:t xml:space="preserve">      b)</w:t>
      </w:r>
      <w:r w:rsidRPr="004478D7">
        <w:rPr>
          <w:rFonts w:ascii="Arial" w:eastAsiaTheme="minorHAnsi" w:hAnsi="Arial" w:cs="Arial"/>
          <w:noProof/>
          <w:sz w:val="22"/>
          <w:szCs w:val="22"/>
          <w:lang w:val="es-ES"/>
        </w:rPr>
        <w:tab/>
        <w:t>colaborar con el Grupo de Trabajo conjunto de la Comisión de Supervivencia de Especies y la Comisión Mundial de Áreas Protegidas de la UICN sobre áreas protegidas para los mamíferos marinos con el fin de incluir datos sobre los pinnípedos, los sirenios, las nutrias, los osos polares y cetáceos que figuran en las listas de la CMS en la identificación de Áreas Importantes para los Mamíferos Marinos (AIMM);</w:t>
      </w:r>
    </w:p>
    <w:p w14:paraId="60AE52E6" w14:textId="77777777" w:rsidR="004478D7" w:rsidRPr="004478D7" w:rsidRDefault="004478D7" w:rsidP="004478D7">
      <w:pPr>
        <w:widowControl/>
        <w:suppressAutoHyphens w:val="0"/>
        <w:autoSpaceDE/>
        <w:autoSpaceDN/>
        <w:ind w:left="1560" w:hanging="1560"/>
        <w:jc w:val="both"/>
        <w:textAlignment w:val="auto"/>
        <w:rPr>
          <w:rFonts w:ascii="Arial" w:hAnsi="Arial" w:cs="Arial"/>
          <w:szCs w:val="20"/>
          <w:lang w:val="es-ES"/>
        </w:rPr>
      </w:pPr>
    </w:p>
    <w:p w14:paraId="1AAF1EB1" w14:textId="0BC83828" w:rsidR="004478D7" w:rsidRPr="004478D7" w:rsidRDefault="004478D7" w:rsidP="004478D7">
      <w:pPr>
        <w:widowControl/>
        <w:numPr>
          <w:ilvl w:val="0"/>
          <w:numId w:val="2"/>
        </w:numPr>
        <w:suppressAutoHyphens w:val="0"/>
        <w:autoSpaceDE/>
        <w:autoSpaceDN/>
        <w:adjustRightInd w:val="0"/>
        <w:spacing w:after="160" w:line="259" w:lineRule="auto"/>
        <w:contextualSpacing/>
        <w:jc w:val="both"/>
        <w:textAlignment w:val="auto"/>
        <w:rPr>
          <w:rFonts w:ascii="Arial" w:eastAsiaTheme="minorHAnsi" w:hAnsi="Arial" w:cs="Arial"/>
          <w:iCs/>
          <w:sz w:val="22"/>
          <w:szCs w:val="22"/>
          <w:lang w:val="es-ES"/>
        </w:rPr>
      </w:pPr>
      <w:r w:rsidRPr="004478D7">
        <w:rPr>
          <w:rFonts w:ascii="Arial" w:eastAsiaTheme="minorHAnsi" w:hAnsi="Arial" w:cs="Arial"/>
          <w:sz w:val="22"/>
          <w:szCs w:val="22"/>
          <w:lang w:val="es-ES"/>
        </w:rPr>
        <w:t>aportar recomendaciones a las Partes bajo petición acerca de los méritos científicos de la inclusión de</w:t>
      </w:r>
      <w:r w:rsidR="008836BA">
        <w:rPr>
          <w:rFonts w:ascii="Arial" w:eastAsiaTheme="minorHAnsi" w:hAnsi="Arial" w:cs="Arial"/>
          <w:sz w:val="22"/>
          <w:szCs w:val="22"/>
          <w:lang w:val="es-ES"/>
        </w:rPr>
        <w:t xml:space="preserve"> las poblaciones regionales de</w:t>
      </w:r>
      <w:r w:rsidRPr="004478D7">
        <w:rPr>
          <w:rFonts w:ascii="Arial" w:eastAsiaTheme="minorHAnsi" w:hAnsi="Arial" w:cs="Arial"/>
          <w:sz w:val="22"/>
          <w:szCs w:val="22"/>
          <w:lang w:val="es-ES"/>
        </w:rPr>
        <w:t xml:space="preserve"> </w:t>
      </w:r>
      <w:proofErr w:type="spellStart"/>
      <w:r w:rsidRPr="004478D7">
        <w:rPr>
          <w:rFonts w:ascii="Arial" w:eastAsiaTheme="minorHAnsi" w:hAnsi="Arial" w:cs="Arial"/>
          <w:i/>
          <w:iCs/>
          <w:sz w:val="22"/>
          <w:szCs w:val="22"/>
          <w:lang w:val="es-ES"/>
        </w:rPr>
        <w:t>Dugong</w:t>
      </w:r>
      <w:proofErr w:type="spellEnd"/>
      <w:r w:rsidRPr="004478D7">
        <w:rPr>
          <w:rFonts w:ascii="Arial" w:eastAsiaTheme="minorHAnsi" w:hAnsi="Arial" w:cs="Arial"/>
          <w:i/>
          <w:iCs/>
          <w:sz w:val="22"/>
          <w:szCs w:val="22"/>
          <w:lang w:val="es-ES"/>
        </w:rPr>
        <w:t xml:space="preserve"> </w:t>
      </w:r>
      <w:proofErr w:type="spellStart"/>
      <w:r w:rsidRPr="004478D7">
        <w:rPr>
          <w:rFonts w:ascii="Arial" w:eastAsiaTheme="minorHAnsi" w:hAnsi="Arial" w:cs="Arial"/>
          <w:i/>
          <w:iCs/>
          <w:sz w:val="22"/>
          <w:szCs w:val="22"/>
          <w:lang w:val="es-ES"/>
        </w:rPr>
        <w:t>dugon</w:t>
      </w:r>
      <w:proofErr w:type="spellEnd"/>
      <w:r w:rsidRPr="004478D7">
        <w:rPr>
          <w:rFonts w:ascii="Arial" w:eastAsiaTheme="minorHAnsi" w:hAnsi="Arial" w:cs="Arial"/>
          <w:iCs/>
          <w:sz w:val="22"/>
          <w:szCs w:val="22"/>
          <w:lang w:val="es-ES"/>
        </w:rPr>
        <w:t xml:space="preserve"> en el Apéndice I de la CMS.</w:t>
      </w:r>
      <w:r w:rsidRPr="004478D7">
        <w:rPr>
          <w:rFonts w:ascii="Arial" w:eastAsiaTheme="minorHAnsi" w:hAnsi="Arial" w:cs="Arial"/>
          <w:sz w:val="22"/>
          <w:szCs w:val="22"/>
          <w:lang w:val="es-ES"/>
        </w:rPr>
        <w:t xml:space="preserve"> </w:t>
      </w:r>
    </w:p>
    <w:p w14:paraId="4B393DAC"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i/>
          <w:sz w:val="22"/>
          <w:szCs w:val="22"/>
          <w:lang w:val="es-ES"/>
        </w:rPr>
      </w:pPr>
    </w:p>
    <w:p w14:paraId="6DFFD35C"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r w:rsidRPr="004478D7">
        <w:rPr>
          <w:rFonts w:ascii="Arial" w:eastAsiaTheme="minorHAnsi" w:hAnsi="Arial" w:cs="Arial"/>
          <w:b/>
          <w:i/>
          <w:sz w:val="22"/>
          <w:szCs w:val="22"/>
          <w:lang w:val="es-ES"/>
        </w:rPr>
        <w:t>Dirigido a la Secretaría</w:t>
      </w:r>
    </w:p>
    <w:p w14:paraId="0A5C7580" w14:textId="77777777" w:rsidR="004478D7" w:rsidRPr="004478D7" w:rsidRDefault="004478D7" w:rsidP="004478D7">
      <w:pPr>
        <w:widowControl/>
        <w:suppressAutoHyphens w:val="0"/>
        <w:autoSpaceDE/>
        <w:autoSpaceDN/>
        <w:spacing w:line="259" w:lineRule="auto"/>
        <w:jc w:val="both"/>
        <w:textAlignment w:val="auto"/>
        <w:rPr>
          <w:rFonts w:ascii="Arial" w:eastAsiaTheme="minorHAnsi" w:hAnsi="Arial" w:cs="Arial"/>
          <w:b/>
          <w:i/>
          <w:sz w:val="22"/>
          <w:szCs w:val="22"/>
          <w:lang w:val="es-ES"/>
        </w:rPr>
      </w:pPr>
    </w:p>
    <w:p w14:paraId="18145365" w14:textId="77777777"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sz w:val="22"/>
          <w:szCs w:val="22"/>
          <w:lang w:val="es-ES"/>
        </w:rPr>
      </w:pPr>
      <w:r w:rsidRPr="004478D7">
        <w:rPr>
          <w:rFonts w:ascii="Arial" w:eastAsiaTheme="minorHAnsi" w:hAnsi="Arial" w:cs="Arial"/>
          <w:sz w:val="22"/>
          <w:szCs w:val="22"/>
          <w:lang w:val="es-ES"/>
        </w:rPr>
        <w:t>13.DD</w:t>
      </w:r>
      <w:r w:rsidRPr="004478D7">
        <w:rPr>
          <w:rFonts w:ascii="Arial" w:eastAsiaTheme="minorHAnsi" w:hAnsi="Arial" w:cs="Arial"/>
          <w:sz w:val="22"/>
          <w:szCs w:val="22"/>
          <w:lang w:val="es-ES"/>
        </w:rPr>
        <w:tab/>
        <w:t>La Secretaría deberá, sujeta a la disponibilidad de recursos externos:</w:t>
      </w:r>
    </w:p>
    <w:p w14:paraId="5ECFFD64" w14:textId="77777777" w:rsidR="004478D7" w:rsidRPr="004478D7" w:rsidRDefault="004478D7" w:rsidP="004478D7">
      <w:pPr>
        <w:widowControl/>
        <w:suppressAutoHyphens w:val="0"/>
        <w:autoSpaceDE/>
        <w:autoSpaceDN/>
        <w:spacing w:line="259" w:lineRule="auto"/>
        <w:ind w:left="1134" w:hanging="1134"/>
        <w:jc w:val="both"/>
        <w:textAlignment w:val="auto"/>
        <w:rPr>
          <w:rFonts w:ascii="Arial" w:eastAsiaTheme="minorHAnsi" w:hAnsi="Arial" w:cs="Arial"/>
          <w:iCs/>
          <w:sz w:val="22"/>
          <w:szCs w:val="22"/>
          <w:lang w:val="es-ES"/>
        </w:rPr>
      </w:pPr>
    </w:p>
    <w:p w14:paraId="6C38CBE7" w14:textId="464AA2A5" w:rsidR="004478D7" w:rsidRPr="004478D7" w:rsidRDefault="004478D7" w:rsidP="008836BA">
      <w:pPr>
        <w:widowControl/>
        <w:suppressAutoHyphens w:val="0"/>
        <w:autoSpaceDE/>
        <w:autoSpaceDN/>
        <w:ind w:left="1560" w:hanging="840"/>
        <w:jc w:val="both"/>
        <w:textAlignment w:val="auto"/>
        <w:rPr>
          <w:rFonts w:ascii="Arial" w:hAnsi="Arial" w:cs="Arial"/>
          <w:sz w:val="22"/>
          <w:szCs w:val="22"/>
          <w:lang w:val="es-ES"/>
        </w:rPr>
      </w:pPr>
      <w:r w:rsidRPr="004478D7">
        <w:rPr>
          <w:rFonts w:ascii="Arial" w:hAnsi="Arial" w:cs="Arial"/>
          <w:sz w:val="22"/>
          <w:szCs w:val="22"/>
          <w:lang w:val="es-ES"/>
        </w:rPr>
        <w:t xml:space="preserve">       a)</w:t>
      </w:r>
      <w:r w:rsidRPr="004478D7">
        <w:rPr>
          <w:rFonts w:ascii="Arial" w:hAnsi="Arial" w:cs="Arial"/>
          <w:sz w:val="22"/>
          <w:szCs w:val="22"/>
          <w:lang w:val="es-ES"/>
        </w:rPr>
        <w:tab/>
        <w:t>transferir la información sobre las AIMM recién identificadas recibida por parte del Grupo de Trabajo conjunto de la CSE/CMAP de la UICN sobre áreas protegidas para los mamíferos marinos para enviársela a las Partes, e invitar a las Partes y a los Estados del área de distribución a formular sus observaciones;</w:t>
      </w:r>
    </w:p>
    <w:p w14:paraId="59F3504E" w14:textId="77777777" w:rsidR="004478D7" w:rsidRPr="004478D7" w:rsidRDefault="004478D7" w:rsidP="004478D7">
      <w:pPr>
        <w:widowControl/>
        <w:suppressAutoHyphens w:val="0"/>
        <w:autoSpaceDE/>
        <w:autoSpaceDN/>
        <w:ind w:left="1560" w:hanging="1560"/>
        <w:textAlignment w:val="auto"/>
        <w:rPr>
          <w:rFonts w:ascii="Arial" w:hAnsi="Arial" w:cs="Arial"/>
          <w:sz w:val="22"/>
          <w:szCs w:val="22"/>
          <w:lang w:val="es-ES"/>
        </w:rPr>
      </w:pPr>
    </w:p>
    <w:p w14:paraId="665CB60C" w14:textId="77777777" w:rsidR="004478D7" w:rsidRPr="004478D7" w:rsidRDefault="004478D7" w:rsidP="004478D7">
      <w:pPr>
        <w:widowControl/>
        <w:numPr>
          <w:ilvl w:val="0"/>
          <w:numId w:val="3"/>
        </w:numPr>
        <w:suppressAutoHyphens w:val="0"/>
        <w:autoSpaceDE/>
        <w:autoSpaceDN/>
        <w:spacing w:after="160" w:line="259" w:lineRule="auto"/>
        <w:ind w:left="1560" w:hanging="426"/>
        <w:contextualSpacing/>
        <w:jc w:val="both"/>
        <w:textAlignment w:val="auto"/>
        <w:rPr>
          <w:rFonts w:ascii="Arial" w:eastAsiaTheme="minorHAnsi" w:hAnsi="Arial" w:cs="Arial"/>
          <w:noProof/>
          <w:sz w:val="22"/>
          <w:szCs w:val="22"/>
          <w:lang w:val="es-ES"/>
        </w:rPr>
      </w:pPr>
      <w:r w:rsidRPr="004478D7">
        <w:rPr>
          <w:rFonts w:ascii="Arial" w:eastAsiaTheme="minorHAnsi" w:hAnsi="Arial" w:cs="Arial"/>
          <w:noProof/>
          <w:sz w:val="22"/>
          <w:szCs w:val="22"/>
          <w:lang w:val="es-ES"/>
        </w:rPr>
        <w:t xml:space="preserve">respaldar el compromiso de apoyo nacional para una nueva década de investigaciones científicas sobre los hábitats de los mamíferos marinos y otras especies migratorias que habitan en alta mar; </w:t>
      </w:r>
    </w:p>
    <w:p w14:paraId="0DC0D1EA" w14:textId="77777777" w:rsidR="004478D7" w:rsidRPr="004478D7" w:rsidRDefault="004478D7" w:rsidP="004478D7">
      <w:pPr>
        <w:widowControl/>
        <w:suppressAutoHyphens w:val="0"/>
        <w:autoSpaceDE/>
        <w:autoSpaceDN/>
        <w:ind w:left="1560"/>
        <w:contextualSpacing/>
        <w:jc w:val="both"/>
        <w:textAlignment w:val="auto"/>
        <w:rPr>
          <w:rFonts w:ascii="Arial" w:eastAsiaTheme="minorHAnsi" w:hAnsi="Arial" w:cs="Arial"/>
          <w:noProof/>
          <w:sz w:val="22"/>
          <w:szCs w:val="22"/>
          <w:lang w:val="es-ES"/>
        </w:rPr>
      </w:pPr>
    </w:p>
    <w:p w14:paraId="3941B289" w14:textId="77777777" w:rsidR="004478D7" w:rsidRPr="004478D7" w:rsidRDefault="004478D7" w:rsidP="004478D7">
      <w:pPr>
        <w:widowControl/>
        <w:numPr>
          <w:ilvl w:val="0"/>
          <w:numId w:val="3"/>
        </w:numPr>
        <w:suppressAutoHyphens w:val="0"/>
        <w:autoSpaceDE/>
        <w:autoSpaceDN/>
        <w:adjustRightInd w:val="0"/>
        <w:spacing w:after="160" w:line="259" w:lineRule="auto"/>
        <w:ind w:left="1560" w:hanging="426"/>
        <w:jc w:val="both"/>
        <w:textAlignment w:val="auto"/>
        <w:rPr>
          <w:rFonts w:ascii="Arial" w:eastAsiaTheme="minorHAnsi" w:hAnsi="Arial" w:cs="Arial"/>
          <w:sz w:val="22"/>
          <w:szCs w:val="22"/>
          <w:lang w:val="es-ES"/>
        </w:rPr>
      </w:pPr>
      <w:r w:rsidRPr="004478D7">
        <w:rPr>
          <w:rFonts w:ascii="Arial" w:eastAsiaTheme="minorHAnsi" w:hAnsi="Arial" w:cs="Arial"/>
          <w:sz w:val="22"/>
          <w:szCs w:val="22"/>
          <w:lang w:val="es-ES"/>
        </w:rPr>
        <w:t xml:space="preserve">continuar comprometiéndose con el proceso de negociación para la puesta en marcha del tratado sobre biodiversidad de las zonas situadas fuera de la jurisdicción nacional, con miras a su pertinencia para los mamíferos marinos, así como para otras especies marinas migratorias. </w:t>
      </w:r>
    </w:p>
    <w:p w14:paraId="55909B0B" w14:textId="77777777" w:rsidR="00D82C56" w:rsidRPr="00FD2360" w:rsidRDefault="00D82C56">
      <w:pPr>
        <w:rPr>
          <w:rFonts w:ascii="Arial" w:hAnsi="Arial" w:cs="Arial"/>
          <w:lang w:val="es-ES"/>
        </w:rPr>
      </w:pPr>
    </w:p>
    <w:p w14:paraId="2798E398" w14:textId="77777777" w:rsidR="00D82C56" w:rsidRPr="00FD2360" w:rsidRDefault="00D82C56">
      <w:pPr>
        <w:rPr>
          <w:rFonts w:ascii="Arial" w:hAnsi="Arial" w:cs="Arial"/>
          <w:lang w:val="es-ES"/>
        </w:rPr>
      </w:pPr>
    </w:p>
    <w:p w14:paraId="2F5FF598" w14:textId="77777777" w:rsidR="00D82C56" w:rsidRPr="00FD2360" w:rsidRDefault="00D82C56">
      <w:pPr>
        <w:rPr>
          <w:rFonts w:ascii="Arial" w:hAnsi="Arial" w:cs="Arial"/>
          <w:lang w:val="es-ES"/>
        </w:rPr>
      </w:pPr>
    </w:p>
    <w:p w14:paraId="0F5D849D" w14:textId="77777777" w:rsidR="00D82C56" w:rsidRPr="00FD2360" w:rsidRDefault="00D82C56">
      <w:pPr>
        <w:rPr>
          <w:rFonts w:ascii="Arial" w:hAnsi="Arial" w:cs="Arial"/>
          <w:lang w:val="es-ES"/>
        </w:rPr>
      </w:pPr>
    </w:p>
    <w:p w14:paraId="11B53DF3" w14:textId="77777777" w:rsidR="00D82C56" w:rsidRPr="00FD2360" w:rsidRDefault="00D82C56">
      <w:pPr>
        <w:rPr>
          <w:rFonts w:ascii="Arial" w:hAnsi="Arial" w:cs="Arial"/>
          <w:lang w:val="es-ES"/>
        </w:rPr>
      </w:pPr>
    </w:p>
    <w:p w14:paraId="71164E9E" w14:textId="77777777" w:rsidR="00D82C56" w:rsidRPr="00FD2360" w:rsidRDefault="00D82C56">
      <w:pPr>
        <w:rPr>
          <w:rFonts w:ascii="Arial" w:hAnsi="Arial" w:cs="Arial"/>
          <w:lang w:val="es-ES"/>
        </w:rPr>
      </w:pPr>
    </w:p>
    <w:p w14:paraId="7FD2FE34" w14:textId="77777777" w:rsidR="00D82C56" w:rsidRPr="00FD2360" w:rsidRDefault="00D82C56">
      <w:pPr>
        <w:rPr>
          <w:rFonts w:ascii="Arial" w:hAnsi="Arial" w:cs="Arial"/>
          <w:lang w:val="es-ES"/>
        </w:rPr>
      </w:pPr>
    </w:p>
    <w:p w14:paraId="5C6F0601" w14:textId="77777777" w:rsidR="00D82C56" w:rsidRPr="00FD2360" w:rsidRDefault="00D82C56">
      <w:pPr>
        <w:rPr>
          <w:rFonts w:ascii="Arial" w:hAnsi="Arial" w:cs="Arial"/>
          <w:lang w:val="es-ES"/>
        </w:rPr>
      </w:pPr>
    </w:p>
    <w:p w14:paraId="2A462A9B" w14:textId="77777777" w:rsidR="00D82C56" w:rsidRPr="00FD2360" w:rsidRDefault="00D82C56">
      <w:pPr>
        <w:rPr>
          <w:rFonts w:ascii="Arial" w:hAnsi="Arial" w:cs="Arial"/>
          <w:lang w:val="es-ES"/>
        </w:rPr>
      </w:pPr>
    </w:p>
    <w:p w14:paraId="60DD58C5" w14:textId="77777777" w:rsidR="00D82C56" w:rsidRPr="00FD2360" w:rsidRDefault="00D82C56">
      <w:pPr>
        <w:rPr>
          <w:rFonts w:ascii="Arial" w:hAnsi="Arial" w:cs="Arial"/>
          <w:lang w:val="es-ES"/>
        </w:rPr>
      </w:pPr>
    </w:p>
    <w:p w14:paraId="26A35CF4" w14:textId="77777777" w:rsidR="00D82C56" w:rsidRPr="00FD2360" w:rsidRDefault="00D82C56">
      <w:pPr>
        <w:rPr>
          <w:rFonts w:ascii="Arial" w:hAnsi="Arial" w:cs="Arial"/>
          <w:lang w:val="es-ES"/>
        </w:rPr>
      </w:pPr>
    </w:p>
    <w:p w14:paraId="6431B8E2" w14:textId="77777777" w:rsidR="00D82C56" w:rsidRPr="00FD2360" w:rsidRDefault="00D82C56">
      <w:pPr>
        <w:rPr>
          <w:rFonts w:ascii="Arial" w:hAnsi="Arial" w:cs="Arial"/>
          <w:lang w:val="es-ES"/>
        </w:rPr>
      </w:pPr>
    </w:p>
    <w:p w14:paraId="628E9170" w14:textId="77777777" w:rsidR="00D82C56" w:rsidRPr="00FD2360" w:rsidRDefault="00D82C56">
      <w:pPr>
        <w:rPr>
          <w:rFonts w:ascii="Arial" w:hAnsi="Arial" w:cs="Arial"/>
          <w:lang w:val="es-ES"/>
        </w:rPr>
      </w:pPr>
    </w:p>
    <w:p w14:paraId="126E5FA4" w14:textId="77777777" w:rsidR="00D82C56" w:rsidRPr="00FD2360" w:rsidRDefault="00D82C56">
      <w:pPr>
        <w:rPr>
          <w:rFonts w:ascii="Arial" w:hAnsi="Arial" w:cs="Arial"/>
          <w:lang w:val="es-ES"/>
        </w:rPr>
      </w:pPr>
    </w:p>
    <w:p w14:paraId="2F57C3E9" w14:textId="77777777" w:rsidR="00D82C56" w:rsidRPr="00FD2360" w:rsidRDefault="00D82C56">
      <w:pPr>
        <w:rPr>
          <w:rFonts w:ascii="Arial" w:hAnsi="Arial" w:cs="Arial"/>
          <w:lang w:val="es-ES"/>
        </w:rPr>
      </w:pPr>
    </w:p>
    <w:sectPr w:rsidR="00D82C56" w:rsidRPr="00FD2360">
      <w:headerReference w:type="even" r:id="rId9"/>
      <w:headerReference w:type="default" r:id="rId10"/>
      <w:footerReference w:type="even" r:id="rId11"/>
      <w:footerReference w:type="default" r:id="rId12"/>
      <w:headerReference w:type="first" r:id="rId13"/>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215EEBB"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DA4481">
      <w:rPr>
        <w:rFonts w:ascii="Arial" w:hAnsi="Arial" w:cs="Arial"/>
        <w:i/>
        <w:szCs w:val="20"/>
        <w:lang w:val="en-GB"/>
      </w:rPr>
      <w:t>26.2.1</w:t>
    </w:r>
  </w:p>
  <w:p w14:paraId="50B9F4CC" w14:textId="77777777" w:rsidR="00A16E93" w:rsidRDefault="000C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0C2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9A200B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4478D7">
      <w:rPr>
        <w:rFonts w:ascii="Arial" w:hAnsi="Arial" w:cs="Arial"/>
        <w:bCs/>
        <w:i/>
        <w:iCs/>
        <w:szCs w:val="20"/>
        <w:lang w:val="en-GB"/>
      </w:rPr>
      <w:t>26.2.1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3957"/>
    <w:multiLevelType w:val="hybridMultilevel"/>
    <w:tmpl w:val="21D445F4"/>
    <w:lvl w:ilvl="0" w:tplc="5FFA5E96">
      <w:start w:val="3"/>
      <w:numFmt w:val="lowerLetter"/>
      <w:lvlText w:val="%1)"/>
      <w:lvlJc w:val="left"/>
      <w:pPr>
        <w:ind w:left="155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596C"/>
    <w:multiLevelType w:val="hybridMultilevel"/>
    <w:tmpl w:val="BC081476"/>
    <w:lvl w:ilvl="0" w:tplc="0F220E4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A0B11"/>
    <w:multiLevelType w:val="hybridMultilevel"/>
    <w:tmpl w:val="4E78B796"/>
    <w:lvl w:ilvl="0" w:tplc="C422D5BC">
      <w:start w:val="1"/>
      <w:numFmt w:val="low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90BB5"/>
    <w:rsid w:val="000B0D60"/>
    <w:rsid w:val="000C2463"/>
    <w:rsid w:val="00175C75"/>
    <w:rsid w:val="003F1AD8"/>
    <w:rsid w:val="0043102F"/>
    <w:rsid w:val="004478D7"/>
    <w:rsid w:val="005645C4"/>
    <w:rsid w:val="0058757D"/>
    <w:rsid w:val="005D43E4"/>
    <w:rsid w:val="005F0639"/>
    <w:rsid w:val="007A1066"/>
    <w:rsid w:val="008836BA"/>
    <w:rsid w:val="00AA138B"/>
    <w:rsid w:val="00BE44C3"/>
    <w:rsid w:val="00BE5C90"/>
    <w:rsid w:val="00C55C6A"/>
    <w:rsid w:val="00D82C56"/>
    <w:rsid w:val="00DA4481"/>
    <w:rsid w:val="00E829C9"/>
    <w:rsid w:val="00EF5693"/>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E5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rinemammalhabita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rinemammalhabita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3</cp:revision>
  <cp:lastPrinted>2020-02-03T15:02:00Z</cp:lastPrinted>
  <dcterms:created xsi:type="dcterms:W3CDTF">2020-02-18T16:18:00Z</dcterms:created>
  <dcterms:modified xsi:type="dcterms:W3CDTF">2020-02-18T16:33:00Z</dcterms:modified>
</cp:coreProperties>
</file>