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2B61" w14:textId="77777777" w:rsidR="00682B31" w:rsidRPr="00114867" w:rsidRDefault="00682B31" w:rsidP="00682B31">
      <w:pPr>
        <w:tabs>
          <w:tab w:val="left" w:pos="-1057"/>
          <w:tab w:val="left" w:pos="-720"/>
        </w:tabs>
        <w:ind w:left="-90"/>
        <w:rPr>
          <w:rFonts w:cs="Arial"/>
          <w:spacing w:val="-8"/>
          <w:sz w:val="12"/>
          <w:szCs w:val="12"/>
        </w:rPr>
      </w:pPr>
    </w:p>
    <w:p w14:paraId="4AEDFCE8" w14:textId="77777777" w:rsidR="0081600F" w:rsidRPr="00114867" w:rsidRDefault="00921D62" w:rsidP="009E72D7">
      <w:pPr>
        <w:tabs>
          <w:tab w:val="left" w:pos="-1057"/>
          <w:tab w:val="left" w:pos="-720"/>
        </w:tabs>
        <w:rPr>
          <w:rFonts w:cs="Arial"/>
          <w:sz w:val="22"/>
          <w:szCs w:val="22"/>
        </w:rPr>
      </w:pPr>
      <w:r w:rsidRPr="00114867">
        <w:rPr>
          <w:sz w:val="22"/>
          <w:szCs w:val="22"/>
        </w:rPr>
        <w:t>12.</w:t>
      </w:r>
      <w:r w:rsidRPr="00114867">
        <w:rPr>
          <w:sz w:val="22"/>
          <w:szCs w:val="22"/>
          <w:vertAlign w:val="superscript"/>
        </w:rPr>
        <w:t>a</w:t>
      </w:r>
      <w:r w:rsidRPr="00114867">
        <w:rPr>
          <w:sz w:val="22"/>
          <w:szCs w:val="22"/>
        </w:rPr>
        <w:t xml:space="preserve"> REUNIÓN DE LA CONFERENCIA DE LAS PARTES</w:t>
      </w:r>
    </w:p>
    <w:p w14:paraId="270C33DD" w14:textId="77777777" w:rsidR="0081600F" w:rsidRPr="00114867" w:rsidRDefault="003909E4" w:rsidP="009E72D7">
      <w:pPr>
        <w:pStyle w:val="Heading2"/>
        <w:keepNext w:val="0"/>
        <w:spacing w:line="228" w:lineRule="auto"/>
        <w:rPr>
          <w:rFonts w:cs="Arial"/>
          <w:b w:val="0"/>
          <w:bCs w:val="0"/>
          <w:sz w:val="22"/>
          <w:szCs w:val="22"/>
        </w:rPr>
      </w:pPr>
      <w:r w:rsidRPr="00114867">
        <w:rPr>
          <w:b w:val="0"/>
          <w:sz w:val="22"/>
          <w:szCs w:val="22"/>
        </w:rPr>
        <w:t>Manila (Filipinas), 23 a 28 de octubre de 2017</w:t>
      </w:r>
    </w:p>
    <w:p w14:paraId="1A2E6820" w14:textId="77777777" w:rsidR="0081600F" w:rsidRPr="00114867" w:rsidRDefault="0081600F" w:rsidP="009E72D7">
      <w:pPr>
        <w:spacing w:line="228" w:lineRule="auto"/>
        <w:rPr>
          <w:rFonts w:cs="Arial"/>
          <w:iCs/>
          <w:sz w:val="22"/>
          <w:szCs w:val="22"/>
        </w:rPr>
      </w:pPr>
      <w:r w:rsidRPr="00114867">
        <w:rPr>
          <w:iCs/>
          <w:sz w:val="22"/>
          <w:szCs w:val="22"/>
        </w:rPr>
        <w:t>Tema 26.2 del programa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14867" w14:paraId="7F4288F9"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015D4801" w14:textId="77777777" w:rsidR="0081600F" w:rsidRPr="00114867"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rPr>
            </w:pPr>
            <w:r w:rsidRPr="00114867">
              <w:rPr>
                <w:b/>
                <w:sz w:val="28"/>
                <w:szCs w:val="28"/>
              </w:rPr>
              <w:tab/>
            </w:r>
            <w:r w:rsidRPr="00114867">
              <w:rPr>
                <w:b/>
                <w:sz w:val="28"/>
                <w:szCs w:val="28"/>
              </w:rPr>
              <w:tab/>
            </w:r>
            <w:r w:rsidRPr="00114867">
              <w:rPr>
                <w:b/>
                <w:sz w:val="28"/>
                <w:szCs w:val="28"/>
              </w:rPr>
              <w:tab/>
            </w:r>
            <w:r w:rsidRPr="00114867">
              <w:rPr>
                <w:b/>
                <w:sz w:val="28"/>
                <w:szCs w:val="28"/>
              </w:rPr>
              <w:tab/>
              <w:t>CMS</w:t>
            </w:r>
          </w:p>
          <w:p w14:paraId="72A00090" w14:textId="77777777" w:rsidR="00FA61AF" w:rsidRPr="00114867"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114867" w14:paraId="5001FAD0"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68DBD28" w14:textId="77777777" w:rsidR="0081600F" w:rsidRPr="00114867" w:rsidRDefault="00745222">
            <w:pPr>
              <w:rPr>
                <w:rFonts w:cs="Arial"/>
                <w:sz w:val="22"/>
                <w:szCs w:val="22"/>
              </w:rPr>
            </w:pPr>
            <w:r w:rsidRPr="00114867">
              <w:rPr>
                <w:rFonts w:cs="Arial"/>
                <w:noProof/>
                <w:sz w:val="22"/>
                <w:szCs w:val="22"/>
                <w:lang w:val="en-US"/>
              </w:rPr>
              <w:drawing>
                <wp:inline distT="0" distB="0" distL="0" distR="0" wp14:anchorId="079BA364" wp14:editId="78D7E68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69E7561" w14:textId="77777777" w:rsidR="0081600F" w:rsidRPr="00114867"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809FFE0" w14:textId="77777777" w:rsidR="00682B31" w:rsidRPr="00114867"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n-GB"/>
              </w:rPr>
            </w:pPr>
          </w:p>
          <w:p w14:paraId="72AA151B" w14:textId="77777777" w:rsidR="0081600F" w:rsidRPr="00114867"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114867">
              <w:rPr>
                <w:bCs w:val="0"/>
                <w:sz w:val="32"/>
                <w:szCs w:val="32"/>
              </w:rPr>
              <w:t>CONVENCIÓN SOBRE</w:t>
            </w:r>
          </w:p>
          <w:p w14:paraId="01F899C2" w14:textId="77777777" w:rsidR="0081600F" w:rsidRPr="00114867"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114867">
              <w:rPr>
                <w:bCs w:val="0"/>
                <w:sz w:val="32"/>
                <w:szCs w:val="32"/>
              </w:rPr>
              <w:t>LAS ESPECIES</w:t>
            </w:r>
          </w:p>
          <w:p w14:paraId="392F5F26" w14:textId="77777777" w:rsidR="0081600F" w:rsidRPr="00114867"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rPr>
            </w:pPr>
            <w:r w:rsidRPr="00114867">
              <w:rPr>
                <w:bCs w:val="0"/>
                <w:sz w:val="32"/>
                <w:szCs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69620D12" w14:textId="77777777" w:rsidR="00682B31" w:rsidRPr="00446C23" w:rsidRDefault="00682B31" w:rsidP="000C21B1">
            <w:pPr>
              <w:tabs>
                <w:tab w:val="left" w:pos="5040"/>
                <w:tab w:val="left" w:pos="5760"/>
                <w:tab w:val="left" w:pos="6008"/>
                <w:tab w:val="left" w:pos="6480"/>
                <w:tab w:val="left" w:pos="7200"/>
                <w:tab w:val="left" w:pos="7920"/>
                <w:tab w:val="left" w:pos="8640"/>
              </w:tabs>
              <w:rPr>
                <w:rFonts w:cs="Arial"/>
                <w:sz w:val="12"/>
                <w:szCs w:val="12"/>
              </w:rPr>
            </w:pPr>
          </w:p>
          <w:p w14:paraId="719C5B54" w14:textId="77777777" w:rsidR="0081600F" w:rsidRPr="00114867" w:rsidRDefault="0081600F" w:rsidP="000C21B1">
            <w:pPr>
              <w:tabs>
                <w:tab w:val="left" w:pos="5040"/>
                <w:tab w:val="left" w:pos="5760"/>
                <w:tab w:val="left" w:pos="6008"/>
                <w:tab w:val="left" w:pos="6480"/>
                <w:tab w:val="left" w:pos="7200"/>
                <w:tab w:val="left" w:pos="7920"/>
                <w:tab w:val="left" w:pos="8640"/>
              </w:tabs>
              <w:rPr>
                <w:rFonts w:cs="Arial"/>
                <w:sz w:val="22"/>
                <w:szCs w:val="22"/>
              </w:rPr>
            </w:pPr>
            <w:r w:rsidRPr="00114867">
              <w:rPr>
                <w:sz w:val="22"/>
                <w:szCs w:val="22"/>
              </w:rPr>
              <w:t>Distribución: general</w:t>
            </w:r>
          </w:p>
          <w:p w14:paraId="1668A605" w14:textId="77777777" w:rsidR="0081600F" w:rsidRPr="00446C23"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14:paraId="47B5D513" w14:textId="77777777" w:rsidR="0081600F" w:rsidRPr="00114867" w:rsidRDefault="00921D62" w:rsidP="000C21B1">
            <w:pPr>
              <w:tabs>
                <w:tab w:val="left" w:pos="5040"/>
                <w:tab w:val="left" w:pos="5760"/>
                <w:tab w:val="left" w:pos="6008"/>
                <w:tab w:val="left" w:pos="6480"/>
                <w:tab w:val="left" w:pos="7200"/>
                <w:tab w:val="left" w:pos="7920"/>
                <w:tab w:val="left" w:pos="8640"/>
              </w:tabs>
              <w:rPr>
                <w:rFonts w:cs="Arial"/>
                <w:sz w:val="22"/>
                <w:szCs w:val="22"/>
              </w:rPr>
            </w:pPr>
            <w:r w:rsidRPr="00114867">
              <w:rPr>
                <w:sz w:val="22"/>
                <w:szCs w:val="22"/>
              </w:rPr>
              <w:t>UNEP/CMS/COP12/Doc.26.2.2</w:t>
            </w:r>
          </w:p>
          <w:p w14:paraId="25BC09C7" w14:textId="77777777" w:rsidR="0081600F" w:rsidRPr="00114867" w:rsidRDefault="00446C23" w:rsidP="000C21B1">
            <w:pPr>
              <w:tabs>
                <w:tab w:val="left" w:pos="5040"/>
                <w:tab w:val="left" w:pos="5760"/>
                <w:tab w:val="left" w:pos="6008"/>
                <w:tab w:val="left" w:pos="6480"/>
                <w:tab w:val="left" w:pos="7200"/>
                <w:tab w:val="left" w:pos="7920"/>
                <w:tab w:val="left" w:pos="8640"/>
              </w:tabs>
              <w:rPr>
                <w:rFonts w:cs="Arial"/>
                <w:sz w:val="22"/>
                <w:szCs w:val="22"/>
              </w:rPr>
            </w:pPr>
            <w:r>
              <w:rPr>
                <w:sz w:val="22"/>
                <w:szCs w:val="22"/>
              </w:rPr>
              <w:t>14 de junio</w:t>
            </w:r>
            <w:r w:rsidR="00043273" w:rsidRPr="00114867">
              <w:rPr>
                <w:sz w:val="22"/>
                <w:szCs w:val="22"/>
              </w:rPr>
              <w:t xml:space="preserve"> de 2017</w:t>
            </w:r>
          </w:p>
          <w:p w14:paraId="39CFE2E5" w14:textId="77777777" w:rsidR="00E8776E" w:rsidRPr="00114867" w:rsidRDefault="00E8776E" w:rsidP="000C21B1">
            <w:pPr>
              <w:rPr>
                <w:rFonts w:cs="Arial"/>
                <w:sz w:val="12"/>
                <w:szCs w:val="12"/>
                <w:lang w:val="en-GB"/>
              </w:rPr>
            </w:pPr>
          </w:p>
          <w:p w14:paraId="77404F98" w14:textId="77777777" w:rsidR="0081600F" w:rsidRPr="00114867" w:rsidRDefault="0081600F" w:rsidP="000C21B1">
            <w:pPr>
              <w:rPr>
                <w:rFonts w:cs="Arial"/>
                <w:sz w:val="22"/>
                <w:szCs w:val="22"/>
              </w:rPr>
            </w:pPr>
            <w:r w:rsidRPr="00114867">
              <w:rPr>
                <w:sz w:val="22"/>
                <w:szCs w:val="22"/>
              </w:rPr>
              <w:t>Original: inglés</w:t>
            </w:r>
          </w:p>
          <w:p w14:paraId="793A6357" w14:textId="77777777" w:rsidR="00682B31" w:rsidRPr="00114867" w:rsidRDefault="00682B31" w:rsidP="000C21B1">
            <w:pPr>
              <w:rPr>
                <w:rFonts w:cs="Arial"/>
                <w:sz w:val="12"/>
                <w:szCs w:val="12"/>
                <w:lang w:val="en-GB"/>
              </w:rPr>
            </w:pPr>
          </w:p>
        </w:tc>
      </w:tr>
    </w:tbl>
    <w:p w14:paraId="76FFE14A" w14:textId="77777777" w:rsidR="00E8776E" w:rsidRPr="00114867" w:rsidRDefault="00E8776E" w:rsidP="00E8776E">
      <w:pPr>
        <w:tabs>
          <w:tab w:val="left" w:pos="7020"/>
        </w:tabs>
        <w:rPr>
          <w:rFonts w:cs="Arial"/>
          <w:sz w:val="22"/>
          <w:szCs w:val="22"/>
          <w:lang w:val="en-GB"/>
        </w:rPr>
      </w:pPr>
    </w:p>
    <w:p w14:paraId="5172CB05" w14:textId="77777777" w:rsidR="00354A9C" w:rsidRPr="00114867" w:rsidRDefault="00354A9C" w:rsidP="00922791">
      <w:pPr>
        <w:tabs>
          <w:tab w:val="left" w:pos="7020"/>
        </w:tabs>
        <w:rPr>
          <w:rFonts w:cs="Arial"/>
          <w:sz w:val="22"/>
          <w:szCs w:val="22"/>
          <w:lang w:val="en-GB"/>
        </w:rPr>
      </w:pPr>
    </w:p>
    <w:p w14:paraId="3BE35176" w14:textId="77777777" w:rsidR="00043273" w:rsidRPr="00114867" w:rsidRDefault="00043273" w:rsidP="00922791">
      <w:pPr>
        <w:tabs>
          <w:tab w:val="left" w:pos="7020"/>
        </w:tabs>
        <w:rPr>
          <w:rFonts w:cs="Arial"/>
          <w:sz w:val="22"/>
          <w:szCs w:val="22"/>
          <w:lang w:val="en-GB"/>
        </w:rPr>
      </w:pPr>
    </w:p>
    <w:p w14:paraId="1AB9031F" w14:textId="77777777" w:rsidR="0052082F" w:rsidRPr="00114867" w:rsidRDefault="0052082F" w:rsidP="00354A9C">
      <w:pPr>
        <w:rPr>
          <w:rFonts w:cs="Arial"/>
          <w:sz w:val="22"/>
          <w:szCs w:val="22"/>
          <w:lang w:val="en-GB"/>
        </w:rPr>
      </w:pPr>
    </w:p>
    <w:p w14:paraId="46B97B47" w14:textId="77777777" w:rsidR="00346DAB" w:rsidRPr="00114867" w:rsidRDefault="004A3AC7" w:rsidP="00346DAB">
      <w:pPr>
        <w:pStyle w:val="Heading2"/>
        <w:keepNext w:val="0"/>
        <w:ind w:left="-90" w:right="-367"/>
        <w:jc w:val="center"/>
        <w:rPr>
          <w:rFonts w:cs="Arial"/>
          <w:sz w:val="22"/>
          <w:szCs w:val="22"/>
        </w:rPr>
      </w:pPr>
      <w:r w:rsidRPr="00114867">
        <w:rPr>
          <w:sz w:val="22"/>
          <w:szCs w:val="22"/>
        </w:rPr>
        <w:t xml:space="preserve">PROPUESTA DE UNA ACCIÓN CONCERTADA PARA </w:t>
      </w:r>
    </w:p>
    <w:p w14:paraId="54BB236A" w14:textId="77777777" w:rsidR="00346DAB" w:rsidRPr="00114867" w:rsidRDefault="00756FC3" w:rsidP="00346DAB">
      <w:pPr>
        <w:pStyle w:val="Heading2"/>
        <w:keepNext w:val="0"/>
        <w:ind w:left="-90" w:right="-367"/>
        <w:jc w:val="center"/>
        <w:rPr>
          <w:rFonts w:cs="Arial"/>
          <w:sz w:val="22"/>
          <w:szCs w:val="22"/>
        </w:rPr>
      </w:pPr>
      <w:r w:rsidRPr="00114867">
        <w:rPr>
          <w:sz w:val="22"/>
          <w:szCs w:val="22"/>
        </w:rPr>
        <w:t xml:space="preserve">LOS CACHALOTES DEL PACÍFICO TROPICAL ORIENTAL </w:t>
      </w:r>
      <w:commentRangeStart w:id="0"/>
      <w:r w:rsidRPr="00114867">
        <w:rPr>
          <w:i/>
          <w:sz w:val="22"/>
          <w:szCs w:val="22"/>
        </w:rPr>
        <w:t>(Physeter macrocephalus)</w:t>
      </w:r>
      <w:r w:rsidRPr="00114867">
        <w:rPr>
          <w:sz w:val="22"/>
          <w:szCs w:val="22"/>
        </w:rPr>
        <w:t xml:space="preserve"> </w:t>
      </w:r>
      <w:commentRangeEnd w:id="0"/>
      <w:r w:rsidRPr="00114867">
        <w:rPr>
          <w:rStyle w:val="CommentReference"/>
        </w:rPr>
        <w:commentReference w:id="0"/>
      </w:r>
      <w:r w:rsidRPr="00114867">
        <w:rPr>
          <w:sz w:val="22"/>
          <w:szCs w:val="22"/>
        </w:rPr>
        <w:t xml:space="preserve">YA SE ENCUENTRAN EN LOS APÉNDICES I Y II DE LA CONVENCIÓN </w:t>
      </w:r>
    </w:p>
    <w:p w14:paraId="2A4A846F" w14:textId="77777777" w:rsidR="00870FB9" w:rsidRPr="00446C23" w:rsidRDefault="00870FB9" w:rsidP="00B64904">
      <w:pPr>
        <w:jc w:val="center"/>
        <w:rPr>
          <w:rFonts w:cs="Arial"/>
          <w:i/>
          <w:sz w:val="22"/>
          <w:szCs w:val="22"/>
        </w:rPr>
      </w:pPr>
    </w:p>
    <w:p w14:paraId="07C75185" w14:textId="77777777" w:rsidR="00043273" w:rsidRPr="00446C23" w:rsidRDefault="00043273" w:rsidP="00B64904">
      <w:pPr>
        <w:jc w:val="center"/>
        <w:rPr>
          <w:rFonts w:cs="Arial"/>
          <w:i/>
          <w:sz w:val="22"/>
          <w:szCs w:val="22"/>
        </w:rPr>
      </w:pPr>
    </w:p>
    <w:p w14:paraId="048F21D4" w14:textId="77777777" w:rsidR="001764E6" w:rsidRPr="00446C23" w:rsidRDefault="001764E6" w:rsidP="001764E6">
      <w:pPr>
        <w:jc w:val="both"/>
        <w:rPr>
          <w:rFonts w:cs="Arial"/>
          <w:sz w:val="21"/>
          <w:szCs w:val="21"/>
        </w:rPr>
      </w:pPr>
    </w:p>
    <w:p w14:paraId="02117293" w14:textId="77777777" w:rsidR="001764E6" w:rsidRPr="00446C23" w:rsidRDefault="001764E6" w:rsidP="00D605A4">
      <w:pPr>
        <w:tabs>
          <w:tab w:val="left" w:pos="8295"/>
        </w:tabs>
        <w:jc w:val="both"/>
        <w:rPr>
          <w:rFonts w:cs="Arial"/>
          <w:sz w:val="21"/>
          <w:szCs w:val="21"/>
        </w:rPr>
      </w:pPr>
    </w:p>
    <w:p w14:paraId="7265197C" w14:textId="77777777" w:rsidR="00D605A4" w:rsidRPr="00114867" w:rsidRDefault="00745222" w:rsidP="00D605A4">
      <w:pPr>
        <w:rPr>
          <w:rFonts w:cs="Arial"/>
          <w:sz w:val="21"/>
          <w:szCs w:val="21"/>
        </w:rPr>
      </w:pPr>
      <w:r w:rsidRPr="00114867">
        <w:rPr>
          <w:rFonts w:cs="Arial"/>
          <w:noProof/>
          <w:sz w:val="21"/>
          <w:szCs w:val="21"/>
          <w:lang w:val="en-US"/>
        </w:rPr>
        <mc:AlternateContent>
          <mc:Choice Requires="wps">
            <w:drawing>
              <wp:anchor distT="0" distB="0" distL="114300" distR="114300" simplePos="0" relativeHeight="251657728" behindDoc="0" locked="0" layoutInCell="1" allowOverlap="1" wp14:anchorId="0DB2BF07" wp14:editId="1D573335">
                <wp:simplePos x="0" y="0"/>
                <wp:positionH relativeFrom="column">
                  <wp:posOffset>780415</wp:posOffset>
                </wp:positionH>
                <wp:positionV relativeFrom="paragraph">
                  <wp:posOffset>145416</wp:posOffset>
                </wp:positionV>
                <wp:extent cx="4305300" cy="1264920"/>
                <wp:effectExtent l="0" t="0" r="1905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64920"/>
                        </a:xfrm>
                        <a:prstGeom prst="rect">
                          <a:avLst/>
                        </a:prstGeom>
                        <a:solidFill>
                          <a:srgbClr val="FFFFFF"/>
                        </a:solidFill>
                        <a:ln w="3175">
                          <a:solidFill>
                            <a:srgbClr val="000000"/>
                          </a:solidFill>
                          <a:miter lim="800000"/>
                          <a:headEnd/>
                          <a:tailEnd/>
                        </a:ln>
                      </wps:spPr>
                      <wps:txbx>
                        <w:txbxContent>
                          <w:p w14:paraId="32D78D7C" w14:textId="77777777" w:rsidR="00E475D4" w:rsidRPr="00420040" w:rsidRDefault="00E475D4" w:rsidP="00E475D4">
                            <w:pPr>
                              <w:rPr>
                                <w:rFonts w:cs="Arial"/>
                                <w:sz w:val="22"/>
                                <w:szCs w:val="22"/>
                              </w:rPr>
                            </w:pPr>
                            <w:r>
                              <w:rPr>
                                <w:sz w:val="22"/>
                                <w:szCs w:val="22"/>
                              </w:rPr>
                              <w:t>Resumen:</w:t>
                            </w:r>
                          </w:p>
                          <w:p w14:paraId="125B92FC" w14:textId="77777777" w:rsidR="00F11793" w:rsidRDefault="00F11793" w:rsidP="00E8776E">
                            <w:pPr>
                              <w:rPr>
                                <w:rFonts w:cs="Arial"/>
                                <w:i/>
                                <w:sz w:val="22"/>
                                <w:szCs w:val="22"/>
                              </w:rPr>
                            </w:pPr>
                          </w:p>
                          <w:p w14:paraId="5E228538" w14:textId="77777777" w:rsidR="00200570" w:rsidRDefault="004A3AC7" w:rsidP="00043273">
                            <w:pPr>
                              <w:jc w:val="both"/>
                              <w:rPr>
                                <w:rFonts w:cs="Arial"/>
                                <w:sz w:val="21"/>
                                <w:szCs w:val="21"/>
                              </w:rPr>
                            </w:pPr>
                            <w:r>
                              <w:rPr>
                                <w:sz w:val="21"/>
                                <w:szCs w:val="21"/>
                              </w:rPr>
                              <w:t xml:space="preserve">El Grupo de Trabajo de Expertos sobre Cultura y Complejidad Social, establecido por el Consejo Científico, ha presentado la propuesta adjunta* de una acción concertada para los cachalotes del Pacífico tropical oriental </w:t>
                            </w:r>
                            <w:r>
                              <w:rPr>
                                <w:i/>
                                <w:sz w:val="21"/>
                                <w:szCs w:val="21"/>
                              </w:rPr>
                              <w:t>(Physeter macrocephalus)</w:t>
                            </w:r>
                            <w:r>
                              <w:rPr>
                                <w:sz w:val="21"/>
                                <w:szCs w:val="21"/>
                              </w:rPr>
                              <w:t xml:space="preserve"> de acuerdo con el proceso elaborado en el párrafo 4 y el anexo 3 de la resolución 11.13.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2BF07" id="_x0000_t202" coordsize="21600,21600" o:spt="202" path="m,l,21600r21600,l21600,xe">
                <v:stroke joinstyle="miter"/>
                <v:path gradientshapeok="t" o:connecttype="rect"/>
              </v:shapetype>
              <v:shape id="Text Box 4" o:spid="_x0000_s1026" type="#_x0000_t202" style="position:absolute;margin-left:61.45pt;margin-top:11.45pt;width:339pt;height:9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" strokeweight=".25pt">
                <v:textbox>
                  <w:txbxContent>
                    <w:p w14:paraId="32D78D7C" w14:textId="77777777" w:rsidR="00E475D4" w:rsidRPr="00420040" w:rsidRDefault="00E475D4" w:rsidP="00E475D4">
                      <w:pPr>
                        <w:rPr>
                          <w:rFonts w:cs="Arial"/>
                          <w:sz w:val="22"/>
                          <w:szCs w:val="22"/>
                        </w:rPr>
                      </w:pPr>
                      <w:r>
                        <w:rPr>
                          <w:sz w:val="22"/>
                          <w:szCs w:val="22"/>
                        </w:rPr>
                        <w:t>Resumen:</w:t>
                      </w:r>
                    </w:p>
                    <w:p w14:paraId="125B92FC" w14:textId="77777777" w:rsidR="00F11793" w:rsidRDefault="00F11793" w:rsidP="00E8776E">
                      <w:pPr>
                        <w:rPr>
                          <w:rFonts w:cs="Arial"/>
                          <w:i/>
                          <w:sz w:val="22"/>
                          <w:szCs w:val="22"/>
                        </w:rPr>
                      </w:pPr>
                    </w:p>
                    <w:p w14:paraId="5E228538" w14:textId="77777777" w:rsidR="00200570" w:rsidRDefault="004A3AC7" w:rsidP="00043273">
                      <w:pPr>
                        <w:jc w:val="both"/>
                        <w:rPr>
                          <w:rFonts w:cs="Arial"/>
                          <w:sz w:val="21"/>
                          <w:szCs w:val="21"/>
                        </w:rPr>
                      </w:pPr>
                      <w:r>
                        <w:rPr>
                          <w:sz w:val="21"/>
                          <w:szCs w:val="21"/>
                        </w:rPr>
                        <w:t xml:space="preserve">El Grupo de Trabajo de Expertos sobre Cultura y Complejidad Social, establecido por el Consejo Científico, ha presentado la propuesta adjunta* de una acción concertada para los cachalotes del Pacífico tropical oriental </w:t>
                      </w:r>
                      <w:r>
                        <w:rPr>
                          <w:i/>
                          <w:sz w:val="21"/>
                          <w:szCs w:val="21"/>
                        </w:rPr>
                        <w:t>(Physeter macrocephalus)</w:t>
                      </w:r>
                      <w:r>
                        <w:rPr>
                          <w:sz w:val="21"/>
                          <w:szCs w:val="21"/>
                        </w:rPr>
                        <w:t xml:space="preserve"> de acuerdo con el proceso elaborado en el párrafo 4 y el anexo 3 de la resolución 11.13.</w:t>
                      </w:r>
                    </w:p>
                  </w:txbxContent>
                </v:textbox>
              </v:shape>
            </w:pict>
          </mc:Fallback>
        </mc:AlternateContent>
      </w:r>
    </w:p>
    <w:p w14:paraId="2B8FB112" w14:textId="77777777" w:rsidR="00D605A4" w:rsidRPr="00446C23" w:rsidRDefault="00D605A4" w:rsidP="00D605A4">
      <w:pPr>
        <w:rPr>
          <w:rFonts w:cs="Arial"/>
          <w:sz w:val="21"/>
          <w:szCs w:val="21"/>
        </w:rPr>
      </w:pPr>
    </w:p>
    <w:p w14:paraId="4288D63B" w14:textId="77777777" w:rsidR="00D605A4" w:rsidRPr="00446C23" w:rsidRDefault="00D605A4" w:rsidP="00D605A4">
      <w:pPr>
        <w:rPr>
          <w:rFonts w:cs="Arial"/>
          <w:sz w:val="21"/>
          <w:szCs w:val="21"/>
        </w:rPr>
      </w:pPr>
    </w:p>
    <w:p w14:paraId="168F7558" w14:textId="77777777" w:rsidR="00D605A4" w:rsidRPr="00446C23" w:rsidRDefault="00D605A4" w:rsidP="00D605A4">
      <w:pPr>
        <w:rPr>
          <w:rFonts w:cs="Arial"/>
          <w:sz w:val="21"/>
          <w:szCs w:val="21"/>
        </w:rPr>
      </w:pPr>
    </w:p>
    <w:p w14:paraId="189577A1" w14:textId="77777777" w:rsidR="00D605A4" w:rsidRPr="00446C23" w:rsidRDefault="00D605A4" w:rsidP="00D605A4">
      <w:pPr>
        <w:rPr>
          <w:rFonts w:cs="Arial"/>
          <w:sz w:val="21"/>
          <w:szCs w:val="21"/>
        </w:rPr>
      </w:pPr>
    </w:p>
    <w:p w14:paraId="391B19FB" w14:textId="77777777" w:rsidR="00D605A4" w:rsidRPr="00446C23" w:rsidRDefault="00D605A4" w:rsidP="00D605A4">
      <w:pPr>
        <w:rPr>
          <w:rFonts w:cs="Arial"/>
          <w:sz w:val="21"/>
          <w:szCs w:val="21"/>
        </w:rPr>
      </w:pPr>
    </w:p>
    <w:p w14:paraId="5FC07864" w14:textId="77777777" w:rsidR="00D605A4" w:rsidRPr="00446C23" w:rsidRDefault="00D605A4" w:rsidP="00D605A4">
      <w:pPr>
        <w:rPr>
          <w:rFonts w:cs="Arial"/>
          <w:sz w:val="21"/>
          <w:szCs w:val="21"/>
        </w:rPr>
      </w:pPr>
    </w:p>
    <w:p w14:paraId="75D775BB" w14:textId="77777777" w:rsidR="00D605A4" w:rsidRPr="00446C23" w:rsidRDefault="00D605A4" w:rsidP="00D605A4">
      <w:pPr>
        <w:rPr>
          <w:rFonts w:cs="Arial"/>
          <w:sz w:val="21"/>
          <w:szCs w:val="21"/>
        </w:rPr>
      </w:pPr>
    </w:p>
    <w:p w14:paraId="65CC8C3B" w14:textId="77777777" w:rsidR="00D605A4" w:rsidRPr="00446C23" w:rsidRDefault="00D605A4" w:rsidP="00D605A4">
      <w:pPr>
        <w:rPr>
          <w:rFonts w:cs="Arial"/>
          <w:sz w:val="21"/>
          <w:szCs w:val="21"/>
        </w:rPr>
      </w:pPr>
    </w:p>
    <w:p w14:paraId="732C92AA" w14:textId="77777777" w:rsidR="00D605A4" w:rsidRPr="00446C23" w:rsidRDefault="00D605A4" w:rsidP="00D605A4">
      <w:pPr>
        <w:rPr>
          <w:rFonts w:cs="Arial"/>
          <w:sz w:val="21"/>
          <w:szCs w:val="21"/>
        </w:rPr>
      </w:pPr>
    </w:p>
    <w:p w14:paraId="10037ECB" w14:textId="77777777" w:rsidR="00D605A4" w:rsidRPr="00446C23" w:rsidRDefault="00D605A4" w:rsidP="00D605A4">
      <w:pPr>
        <w:rPr>
          <w:rFonts w:cs="Arial"/>
          <w:sz w:val="21"/>
          <w:szCs w:val="21"/>
        </w:rPr>
      </w:pPr>
    </w:p>
    <w:p w14:paraId="7123EF1C" w14:textId="77777777" w:rsidR="00D605A4" w:rsidRPr="00446C23" w:rsidRDefault="00D605A4" w:rsidP="00D605A4">
      <w:pPr>
        <w:rPr>
          <w:rFonts w:cs="Arial"/>
          <w:sz w:val="21"/>
          <w:szCs w:val="21"/>
        </w:rPr>
      </w:pPr>
    </w:p>
    <w:p w14:paraId="0A98FC50" w14:textId="77777777" w:rsidR="00D605A4" w:rsidRPr="00446C23" w:rsidRDefault="00D605A4" w:rsidP="00D605A4">
      <w:pPr>
        <w:rPr>
          <w:rFonts w:cs="Arial"/>
          <w:sz w:val="21"/>
          <w:szCs w:val="21"/>
        </w:rPr>
      </w:pPr>
    </w:p>
    <w:p w14:paraId="2A143559" w14:textId="77777777" w:rsidR="00D605A4" w:rsidRPr="00446C23" w:rsidRDefault="00D605A4" w:rsidP="00D605A4">
      <w:pPr>
        <w:rPr>
          <w:rFonts w:cs="Arial"/>
          <w:sz w:val="21"/>
          <w:szCs w:val="21"/>
        </w:rPr>
      </w:pPr>
    </w:p>
    <w:p w14:paraId="644F5838" w14:textId="77777777" w:rsidR="00D605A4" w:rsidRPr="00446C23" w:rsidRDefault="00D605A4" w:rsidP="00D605A4">
      <w:pPr>
        <w:rPr>
          <w:rFonts w:cs="Arial"/>
          <w:sz w:val="21"/>
          <w:szCs w:val="21"/>
        </w:rPr>
      </w:pPr>
    </w:p>
    <w:p w14:paraId="52F841B9" w14:textId="77777777" w:rsidR="00D605A4" w:rsidRPr="00446C23" w:rsidRDefault="00D605A4" w:rsidP="00D605A4">
      <w:pPr>
        <w:rPr>
          <w:rFonts w:cs="Arial"/>
          <w:sz w:val="21"/>
          <w:szCs w:val="21"/>
        </w:rPr>
      </w:pPr>
    </w:p>
    <w:p w14:paraId="18FE26D5" w14:textId="77777777" w:rsidR="00D605A4" w:rsidRPr="00446C23" w:rsidRDefault="00D605A4" w:rsidP="00D605A4">
      <w:pPr>
        <w:rPr>
          <w:rFonts w:cs="Arial"/>
          <w:sz w:val="21"/>
          <w:szCs w:val="21"/>
        </w:rPr>
      </w:pPr>
    </w:p>
    <w:p w14:paraId="69247DF0" w14:textId="77777777" w:rsidR="00D605A4" w:rsidRPr="00446C23" w:rsidRDefault="00D605A4" w:rsidP="00D605A4">
      <w:pPr>
        <w:rPr>
          <w:rFonts w:cs="Arial"/>
          <w:sz w:val="21"/>
          <w:szCs w:val="21"/>
        </w:rPr>
      </w:pPr>
    </w:p>
    <w:p w14:paraId="380041BF" w14:textId="77777777" w:rsidR="00D605A4" w:rsidRPr="00446C23" w:rsidRDefault="00D605A4" w:rsidP="00D605A4">
      <w:pPr>
        <w:rPr>
          <w:rFonts w:cs="Arial"/>
          <w:sz w:val="21"/>
          <w:szCs w:val="21"/>
        </w:rPr>
      </w:pPr>
    </w:p>
    <w:p w14:paraId="7CE702E4" w14:textId="77777777" w:rsidR="00D605A4" w:rsidRPr="00446C23" w:rsidRDefault="00D605A4" w:rsidP="00D605A4">
      <w:pPr>
        <w:rPr>
          <w:rFonts w:cs="Arial"/>
          <w:sz w:val="22"/>
          <w:szCs w:val="22"/>
        </w:rPr>
      </w:pPr>
    </w:p>
    <w:p w14:paraId="4566E21C" w14:textId="77777777" w:rsidR="00031A88" w:rsidRPr="00446C23" w:rsidRDefault="00031A88" w:rsidP="00D605A4">
      <w:pPr>
        <w:rPr>
          <w:rFonts w:cs="Arial"/>
          <w:sz w:val="22"/>
          <w:szCs w:val="22"/>
        </w:rPr>
      </w:pPr>
    </w:p>
    <w:p w14:paraId="16FD1AA0" w14:textId="77777777" w:rsidR="00031A88" w:rsidRPr="00446C23" w:rsidRDefault="00031A88" w:rsidP="00D605A4">
      <w:pPr>
        <w:rPr>
          <w:rFonts w:cs="Arial"/>
          <w:sz w:val="22"/>
          <w:szCs w:val="22"/>
        </w:rPr>
      </w:pPr>
    </w:p>
    <w:p w14:paraId="06F3266C" w14:textId="77777777" w:rsidR="00031A88" w:rsidRPr="00446C23" w:rsidRDefault="00031A88" w:rsidP="00D605A4">
      <w:pPr>
        <w:rPr>
          <w:rFonts w:cs="Arial"/>
          <w:sz w:val="22"/>
          <w:szCs w:val="22"/>
        </w:rPr>
      </w:pPr>
    </w:p>
    <w:p w14:paraId="3915BCD9" w14:textId="77777777" w:rsidR="00031A88" w:rsidRPr="00446C23" w:rsidRDefault="00031A88" w:rsidP="00D605A4">
      <w:pPr>
        <w:rPr>
          <w:rFonts w:cs="Arial"/>
          <w:sz w:val="22"/>
          <w:szCs w:val="22"/>
        </w:rPr>
      </w:pPr>
    </w:p>
    <w:p w14:paraId="11FAB2D7" w14:textId="77777777" w:rsidR="00031A88" w:rsidRPr="00446C23" w:rsidRDefault="00031A88" w:rsidP="00D605A4">
      <w:pPr>
        <w:rPr>
          <w:rFonts w:cs="Arial"/>
          <w:sz w:val="22"/>
          <w:szCs w:val="22"/>
        </w:rPr>
      </w:pPr>
    </w:p>
    <w:p w14:paraId="59ABAC0F" w14:textId="77777777" w:rsidR="00031A88" w:rsidRPr="00446C23" w:rsidRDefault="00031A88" w:rsidP="00D605A4">
      <w:pPr>
        <w:rPr>
          <w:rFonts w:cs="Arial"/>
          <w:sz w:val="22"/>
          <w:szCs w:val="22"/>
        </w:rPr>
      </w:pPr>
    </w:p>
    <w:p w14:paraId="29F4A001" w14:textId="77777777" w:rsidR="00031A88" w:rsidRPr="00446C23" w:rsidRDefault="00031A88" w:rsidP="00D605A4">
      <w:pPr>
        <w:rPr>
          <w:rFonts w:cs="Arial"/>
          <w:sz w:val="22"/>
          <w:szCs w:val="22"/>
        </w:rPr>
      </w:pPr>
    </w:p>
    <w:p w14:paraId="28AB1710" w14:textId="77777777" w:rsidR="00031A88" w:rsidRPr="00446C23" w:rsidRDefault="00031A88" w:rsidP="00D605A4">
      <w:pPr>
        <w:rPr>
          <w:rFonts w:cs="Arial"/>
          <w:sz w:val="22"/>
          <w:szCs w:val="22"/>
        </w:rPr>
      </w:pPr>
    </w:p>
    <w:p w14:paraId="46A08C57" w14:textId="77777777" w:rsidR="00031A88" w:rsidRPr="00446C23" w:rsidRDefault="00031A88" w:rsidP="00D605A4">
      <w:pPr>
        <w:rPr>
          <w:rFonts w:cs="Arial"/>
          <w:sz w:val="22"/>
          <w:szCs w:val="22"/>
        </w:rPr>
      </w:pPr>
    </w:p>
    <w:p w14:paraId="1834C30B" w14:textId="77777777" w:rsidR="00031A88" w:rsidRPr="00446C23" w:rsidRDefault="00031A88" w:rsidP="00D605A4">
      <w:pPr>
        <w:rPr>
          <w:rFonts w:cs="Arial"/>
          <w:sz w:val="22"/>
          <w:szCs w:val="22"/>
        </w:rPr>
      </w:pPr>
    </w:p>
    <w:p w14:paraId="3B2B43E1" w14:textId="77777777" w:rsidR="00D605A4" w:rsidRPr="00446C23" w:rsidRDefault="00D605A4" w:rsidP="00D605A4">
      <w:pPr>
        <w:rPr>
          <w:rFonts w:cs="Arial"/>
          <w:sz w:val="22"/>
          <w:szCs w:val="22"/>
        </w:rPr>
      </w:pPr>
    </w:p>
    <w:p w14:paraId="05D7E223" w14:textId="77777777" w:rsidR="00872D9C" w:rsidRPr="00114867" w:rsidRDefault="00872D9C" w:rsidP="000F6619">
      <w:pPr>
        <w:tabs>
          <w:tab w:val="left" w:pos="1020"/>
        </w:tabs>
        <w:jc w:val="both"/>
        <w:rPr>
          <w:rFonts w:cs="Arial"/>
          <w:szCs w:val="18"/>
        </w:rPr>
      </w:pPr>
      <w:r w:rsidRPr="00114867">
        <w:t>* Las denominaciones geográficas empleadas en este documento no implican —de parte de la Secretaría de la CMS (o del Programa de las Naciones Unidas para el Medio Ambiente)— juicio alguno sobre la condición jurídica de ningún país, territorio o área, ni sobre la delimitación de sus fronteras o límites. La responsabilidad del contenido del documento recae exclusivamente en su autor.</w:t>
      </w:r>
    </w:p>
    <w:p w14:paraId="460B128F" w14:textId="77777777" w:rsidR="00D605A4" w:rsidRPr="00446C23" w:rsidRDefault="00D605A4" w:rsidP="00D605A4">
      <w:pPr>
        <w:tabs>
          <w:tab w:val="left" w:pos="1020"/>
        </w:tabs>
        <w:rPr>
          <w:rFonts w:cs="Arial"/>
          <w:sz w:val="22"/>
          <w:szCs w:val="22"/>
        </w:rPr>
        <w:sectPr w:rsidR="00D605A4" w:rsidRPr="00446C23" w:rsidSect="0052082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14:paraId="31D3DA7B" w14:textId="77777777" w:rsidR="007910DD" w:rsidRPr="00446C23" w:rsidRDefault="007910DD" w:rsidP="00200570">
      <w:pPr>
        <w:widowControl/>
        <w:autoSpaceDE/>
        <w:adjustRightInd/>
        <w:jc w:val="right"/>
        <w:rPr>
          <w:rFonts w:cs="Arial"/>
          <w:iCs/>
          <w:sz w:val="22"/>
          <w:szCs w:val="22"/>
        </w:rPr>
      </w:pPr>
    </w:p>
    <w:p w14:paraId="2771750E" w14:textId="77777777" w:rsidR="00756FC3" w:rsidRPr="00114867" w:rsidRDefault="00756FC3" w:rsidP="00756FC3">
      <w:pPr>
        <w:tabs>
          <w:tab w:val="left" w:pos="1020"/>
        </w:tabs>
        <w:jc w:val="center"/>
        <w:rPr>
          <w:rFonts w:cs="Arial"/>
          <w:b/>
          <w:sz w:val="24"/>
          <w:szCs w:val="22"/>
        </w:rPr>
      </w:pPr>
      <w:r w:rsidRPr="00114867">
        <w:rPr>
          <w:b/>
          <w:sz w:val="24"/>
          <w:szCs w:val="22"/>
        </w:rPr>
        <w:t xml:space="preserve">Propuesta de emprender acciones concertadas para </w:t>
      </w:r>
    </w:p>
    <w:p w14:paraId="46A461CB" w14:textId="77777777" w:rsidR="00756FC3" w:rsidRPr="00114867" w:rsidRDefault="00756FC3" w:rsidP="00756FC3">
      <w:pPr>
        <w:tabs>
          <w:tab w:val="left" w:pos="1020"/>
        </w:tabs>
        <w:jc w:val="center"/>
        <w:rPr>
          <w:rFonts w:cs="Arial"/>
          <w:b/>
          <w:sz w:val="24"/>
          <w:szCs w:val="22"/>
        </w:rPr>
      </w:pPr>
      <w:r w:rsidRPr="00114867">
        <w:rPr>
          <w:b/>
          <w:sz w:val="24"/>
          <w:szCs w:val="22"/>
        </w:rPr>
        <w:t xml:space="preserve">el cachalote del Pacífico tropical oriental </w:t>
      </w:r>
      <w:r w:rsidRPr="00114867">
        <w:rPr>
          <w:b/>
          <w:i/>
          <w:sz w:val="24"/>
          <w:szCs w:val="22"/>
        </w:rPr>
        <w:t>(Physeter macrocephalus)</w:t>
      </w:r>
      <w:r w:rsidRPr="00114867">
        <w:rPr>
          <w:b/>
          <w:sz w:val="24"/>
          <w:szCs w:val="22"/>
        </w:rPr>
        <w:t xml:space="preserve"> </w:t>
      </w:r>
    </w:p>
    <w:p w14:paraId="2B487C11" w14:textId="77777777" w:rsidR="00756FC3" w:rsidRPr="00114867" w:rsidRDefault="00756FC3" w:rsidP="00756FC3">
      <w:pPr>
        <w:tabs>
          <w:tab w:val="left" w:pos="1020"/>
        </w:tabs>
        <w:jc w:val="center"/>
        <w:rPr>
          <w:rFonts w:cs="Arial"/>
          <w:b/>
          <w:sz w:val="24"/>
          <w:szCs w:val="22"/>
        </w:rPr>
      </w:pPr>
      <w:r w:rsidRPr="00114867">
        <w:rPr>
          <w:b/>
          <w:sz w:val="24"/>
          <w:szCs w:val="22"/>
        </w:rPr>
        <w:t>dentro de la acción concertada mundial existente para la especie</w:t>
      </w:r>
    </w:p>
    <w:p w14:paraId="16CC716B" w14:textId="77777777" w:rsidR="00756FC3" w:rsidRPr="00446C23" w:rsidRDefault="00756FC3" w:rsidP="00756FC3">
      <w:pPr>
        <w:tabs>
          <w:tab w:val="left" w:pos="1020"/>
        </w:tabs>
        <w:jc w:val="both"/>
        <w:rPr>
          <w:rFonts w:cs="Arial"/>
          <w:sz w:val="22"/>
          <w:szCs w:val="22"/>
        </w:rPr>
      </w:pPr>
    </w:p>
    <w:p w14:paraId="3C27D629" w14:textId="77777777" w:rsidR="00756FC3" w:rsidRPr="00446C23" w:rsidRDefault="00756FC3" w:rsidP="00756FC3">
      <w:pPr>
        <w:tabs>
          <w:tab w:val="left" w:pos="1020"/>
        </w:tabs>
        <w:jc w:val="both"/>
        <w:rPr>
          <w:rFonts w:cs="Arial"/>
          <w:sz w:val="22"/>
          <w:szCs w:val="22"/>
        </w:rPr>
      </w:pPr>
    </w:p>
    <w:p w14:paraId="5F4FB6E3" w14:textId="77777777" w:rsidR="00756FC3" w:rsidRPr="00114867" w:rsidRDefault="00756FC3" w:rsidP="00756FC3">
      <w:pPr>
        <w:tabs>
          <w:tab w:val="left" w:pos="1020"/>
        </w:tabs>
        <w:jc w:val="both"/>
        <w:rPr>
          <w:rFonts w:cs="Arial"/>
          <w:b/>
          <w:sz w:val="22"/>
          <w:szCs w:val="22"/>
        </w:rPr>
      </w:pPr>
      <w:r w:rsidRPr="00114867">
        <w:rPr>
          <w:b/>
          <w:sz w:val="22"/>
          <w:szCs w:val="22"/>
        </w:rPr>
        <w:t>A. Especies/poblaciones objetivo y su estado en los apéndices de la CMS</w:t>
      </w:r>
    </w:p>
    <w:p w14:paraId="1028140F" w14:textId="77777777" w:rsidR="00756FC3" w:rsidRPr="00446C23" w:rsidRDefault="00756FC3" w:rsidP="00756FC3">
      <w:pPr>
        <w:tabs>
          <w:tab w:val="left" w:pos="1020"/>
        </w:tabs>
        <w:jc w:val="both"/>
        <w:rPr>
          <w:rFonts w:cs="Arial"/>
          <w:sz w:val="22"/>
          <w:szCs w:val="22"/>
        </w:rPr>
      </w:pPr>
    </w:p>
    <w:p w14:paraId="6C964502" w14:textId="77777777" w:rsidR="00756FC3" w:rsidRPr="00114867" w:rsidRDefault="00756FC3" w:rsidP="00756FC3">
      <w:pPr>
        <w:tabs>
          <w:tab w:val="left" w:pos="1020"/>
        </w:tabs>
        <w:jc w:val="both"/>
        <w:rPr>
          <w:rFonts w:cs="Arial"/>
          <w:sz w:val="22"/>
          <w:szCs w:val="22"/>
        </w:rPr>
      </w:pPr>
      <w:r w:rsidRPr="00114867">
        <w:rPr>
          <w:sz w:val="22"/>
          <w:szCs w:val="22"/>
        </w:rPr>
        <w:t>Los cachalotes (</w:t>
      </w:r>
      <w:r w:rsidRPr="00114867">
        <w:rPr>
          <w:i/>
          <w:sz w:val="22"/>
          <w:szCs w:val="22"/>
        </w:rPr>
        <w:t>Physeter macrocephalus</w:t>
      </w:r>
      <w:r w:rsidRPr="00114867">
        <w:rPr>
          <w:sz w:val="22"/>
          <w:szCs w:val="22"/>
        </w:rPr>
        <w:t>) son especies marinas altamente migratorias, enumeradas en los apéndices I y II de la CMS (CMS, 2015), que desde 2002 fueron incluidas en la lista de especies de acción concertada de la CMS. En la lista roja de UICN aparecen globalmente como vulnerables</w:t>
      </w:r>
      <w:r w:rsidRPr="00114867">
        <w:rPr>
          <w:rFonts w:cs="Arial"/>
          <w:sz w:val="22"/>
          <w:szCs w:val="22"/>
          <w:vertAlign w:val="superscript"/>
          <w:lang w:val="en-GB"/>
        </w:rPr>
        <w:footnoteReference w:id="1"/>
      </w:r>
      <w:r w:rsidRPr="00114867">
        <w:rPr>
          <w:sz w:val="22"/>
          <w:szCs w:val="22"/>
        </w:rPr>
        <w:t>, y la subpoblación del Mediterráneo es clasificada como en peligro de extinción</w:t>
      </w:r>
      <w:r w:rsidRPr="00114867">
        <w:rPr>
          <w:rFonts w:cs="Arial"/>
          <w:sz w:val="22"/>
          <w:szCs w:val="22"/>
          <w:vertAlign w:val="superscript"/>
          <w:lang w:val="en-GB"/>
        </w:rPr>
        <w:footnoteReference w:id="2"/>
      </w:r>
      <w:r w:rsidRPr="00114867">
        <w:rPr>
          <w:sz w:val="22"/>
          <w:szCs w:val="22"/>
        </w:rPr>
        <w:t xml:space="preserve">. </w:t>
      </w:r>
    </w:p>
    <w:p w14:paraId="5BE25B74" w14:textId="77777777" w:rsidR="00756FC3" w:rsidRPr="00446C23" w:rsidRDefault="00756FC3" w:rsidP="00756FC3">
      <w:pPr>
        <w:tabs>
          <w:tab w:val="left" w:pos="1020"/>
        </w:tabs>
        <w:jc w:val="both"/>
        <w:rPr>
          <w:rFonts w:cs="Arial"/>
          <w:sz w:val="22"/>
          <w:szCs w:val="22"/>
        </w:rPr>
      </w:pPr>
    </w:p>
    <w:p w14:paraId="15DB698E" w14:textId="77777777" w:rsidR="00756FC3" w:rsidRPr="00114867" w:rsidRDefault="00756FC3" w:rsidP="00756FC3">
      <w:pPr>
        <w:tabs>
          <w:tab w:val="left" w:pos="1020"/>
        </w:tabs>
        <w:jc w:val="both"/>
        <w:rPr>
          <w:rFonts w:cs="Arial"/>
          <w:sz w:val="22"/>
          <w:szCs w:val="22"/>
        </w:rPr>
      </w:pPr>
      <w:r w:rsidRPr="00114867">
        <w:rPr>
          <w:sz w:val="22"/>
          <w:szCs w:val="22"/>
        </w:rPr>
        <w:t xml:space="preserve">Esta propuesta de acción concertada se centra específicamente en cuatro clanes de cachalotes que han sido identificados en el Pacífico tropical oriental (Rendell y Whitehead, 2003; Cantor </w:t>
      </w:r>
      <w:r w:rsidRPr="00114867">
        <w:rPr>
          <w:i/>
          <w:sz w:val="22"/>
          <w:szCs w:val="22"/>
        </w:rPr>
        <w:t>et al.,</w:t>
      </w:r>
      <w:r w:rsidRPr="00114867">
        <w:rPr>
          <w:sz w:val="22"/>
          <w:szCs w:val="22"/>
        </w:rPr>
        <w:t xml:space="preserve"> 2016). Décadas de investigaciones han revelado una compleja estructura social en los cachalotes del Pacífico tropical oriental, donde los clanes pueden ser identificados por sus exclusivos patrones de codas o clics acústicos, pero también difieren en sus patrones de movimiento, su éxito en la alimentación y otros atributos (véase Whitehead y Rendell, 2004). Los clanes de esta región son conocidos como los clanes regular (clics regulares), plus-one (más un clic), short (corto) y four-plus (más cuatro clics).</w:t>
      </w:r>
    </w:p>
    <w:p w14:paraId="1D6D1C18" w14:textId="77777777" w:rsidR="00756FC3" w:rsidRPr="00446C23" w:rsidRDefault="00756FC3" w:rsidP="00756FC3">
      <w:pPr>
        <w:tabs>
          <w:tab w:val="left" w:pos="1020"/>
        </w:tabs>
        <w:jc w:val="both"/>
        <w:rPr>
          <w:rFonts w:cs="Arial"/>
          <w:sz w:val="22"/>
          <w:szCs w:val="22"/>
        </w:rPr>
      </w:pPr>
    </w:p>
    <w:p w14:paraId="7DDB7E56" w14:textId="77777777" w:rsidR="00756FC3" w:rsidRPr="00114867" w:rsidRDefault="00756FC3" w:rsidP="00756FC3">
      <w:pPr>
        <w:tabs>
          <w:tab w:val="left" w:pos="1020"/>
        </w:tabs>
        <w:jc w:val="both"/>
        <w:rPr>
          <w:rFonts w:cs="Arial"/>
          <w:sz w:val="22"/>
          <w:szCs w:val="22"/>
        </w:rPr>
      </w:pPr>
      <w:r w:rsidRPr="00114867">
        <w:rPr>
          <w:sz w:val="22"/>
          <w:szCs w:val="22"/>
        </w:rPr>
        <w:t xml:space="preserve">A menudo estas estructuras del clan son simpátricas, y un área dada es utilizada por dos o tres clanes. Las distribuciones geográficas de los clanes también son dinámicas, de manera que a lo largo de años o décadas los clanes que utilizan una zona marina pueden cambiar (Cantor </w:t>
      </w:r>
      <w:r w:rsidRPr="00114867">
        <w:rPr>
          <w:i/>
          <w:sz w:val="22"/>
          <w:szCs w:val="22"/>
        </w:rPr>
        <w:t>et al.</w:t>
      </w:r>
      <w:r w:rsidRPr="00114867">
        <w:rPr>
          <w:sz w:val="22"/>
          <w:szCs w:val="22"/>
        </w:rPr>
        <w:t>, 2016). Esto representa cambios de población a gran escala que los estudios de avistamiento que solo registran la presencia de ballenas sin considerar su pertenencia a un clan podrían no detectar fácilmente. Sin embargo, estos clanes muestran poca o ninguna diferencia en su ADN nuclear: las principales diferencias entre ellos son aprendidas socialmente y, por tanto, son culturales (Whitehead, 2003).</w:t>
      </w:r>
    </w:p>
    <w:p w14:paraId="688A9D3B" w14:textId="77777777" w:rsidR="00756FC3" w:rsidRPr="00446C23" w:rsidRDefault="00756FC3" w:rsidP="00756FC3">
      <w:pPr>
        <w:tabs>
          <w:tab w:val="left" w:pos="1020"/>
        </w:tabs>
        <w:jc w:val="both"/>
        <w:rPr>
          <w:rFonts w:cs="Arial"/>
          <w:sz w:val="22"/>
          <w:szCs w:val="22"/>
        </w:rPr>
      </w:pPr>
    </w:p>
    <w:p w14:paraId="28BEC12B" w14:textId="77777777" w:rsidR="00756FC3" w:rsidRPr="00114867" w:rsidRDefault="00756FC3" w:rsidP="00756FC3">
      <w:pPr>
        <w:tabs>
          <w:tab w:val="left" w:pos="1020"/>
        </w:tabs>
        <w:jc w:val="both"/>
        <w:rPr>
          <w:rFonts w:cs="Arial"/>
          <w:sz w:val="22"/>
          <w:szCs w:val="22"/>
        </w:rPr>
      </w:pPr>
      <w:r w:rsidRPr="00114867">
        <w:rPr>
          <w:sz w:val="22"/>
          <w:szCs w:val="22"/>
        </w:rPr>
        <w:t>Dado que el aprendizaje social es entendido como el principal motor de la estructura del clan dentro de esta especie, y como existe una importante interacción entre la estructura social y la transmisión del aprendizaje social dentro de estos sistemas sociales (Whitehead y Lusseau, 2012), la estructura del clan presenta desafíos de conservación únicos. Por ejemplo, existen evidencias convincentes de que los diferentes clanes generan respuestas diversas ante la variabilidad ambiental (ya sea natural o antropogénica), lo que puede tener importantes implicaciones en la gestión de las unidades culturales de cachalotes en esta región (ver la sección D).</w:t>
      </w:r>
    </w:p>
    <w:p w14:paraId="39055534" w14:textId="77777777" w:rsidR="00756FC3" w:rsidRPr="00446C23" w:rsidRDefault="00756FC3" w:rsidP="00756FC3">
      <w:pPr>
        <w:tabs>
          <w:tab w:val="left" w:pos="1020"/>
        </w:tabs>
        <w:jc w:val="both"/>
        <w:rPr>
          <w:rFonts w:cs="Arial"/>
          <w:sz w:val="22"/>
          <w:szCs w:val="22"/>
        </w:rPr>
      </w:pPr>
    </w:p>
    <w:p w14:paraId="1CA289C7" w14:textId="77777777" w:rsidR="00756FC3" w:rsidRPr="00114867" w:rsidRDefault="00756FC3" w:rsidP="00756FC3">
      <w:pPr>
        <w:tabs>
          <w:tab w:val="left" w:pos="1020"/>
        </w:tabs>
        <w:jc w:val="both"/>
        <w:rPr>
          <w:rFonts w:cs="Arial"/>
          <w:b/>
          <w:bCs/>
          <w:sz w:val="22"/>
          <w:szCs w:val="22"/>
        </w:rPr>
      </w:pPr>
      <w:r w:rsidRPr="00114867">
        <w:rPr>
          <w:b/>
          <w:bCs/>
          <w:sz w:val="22"/>
          <w:szCs w:val="22"/>
        </w:rPr>
        <w:t>Estados del área de distribución CMS en los que se han identificado individuos de distintos clanes de cachalotes del Pacífico tropical oriental.</w:t>
      </w:r>
    </w:p>
    <w:p w14:paraId="228C61A0" w14:textId="77777777" w:rsidR="00756FC3" w:rsidRPr="00446C23" w:rsidRDefault="00756FC3" w:rsidP="00756FC3">
      <w:pPr>
        <w:tabs>
          <w:tab w:val="left" w:pos="1020"/>
        </w:tabs>
        <w:jc w:val="both"/>
        <w:rPr>
          <w:rFonts w:cs="Arial"/>
          <w:b/>
          <w:bCs/>
          <w:sz w:val="22"/>
          <w:szCs w:val="22"/>
        </w:rPr>
      </w:pPr>
    </w:p>
    <w:tbl>
      <w:tblPr>
        <w:tblStyle w:val="TableGrid1"/>
        <w:tblW w:w="0" w:type="auto"/>
        <w:tblInd w:w="768" w:type="dxa"/>
        <w:tblLook w:val="04A0" w:firstRow="1" w:lastRow="0" w:firstColumn="1" w:lastColumn="0" w:noHBand="0" w:noVBand="1"/>
      </w:tblPr>
      <w:tblGrid>
        <w:gridCol w:w="2059"/>
        <w:gridCol w:w="1646"/>
        <w:gridCol w:w="1645"/>
        <w:gridCol w:w="1176"/>
        <w:gridCol w:w="1174"/>
      </w:tblGrid>
      <w:tr w:rsidR="00756FC3" w:rsidRPr="00114867" w14:paraId="06F0F501" w14:textId="77777777" w:rsidTr="006213D1">
        <w:trPr>
          <w:trHeight w:val="477"/>
        </w:trPr>
        <w:tc>
          <w:tcPr>
            <w:tcW w:w="2059" w:type="dxa"/>
          </w:tcPr>
          <w:p w14:paraId="7E89F1CA" w14:textId="77777777" w:rsidR="00756FC3" w:rsidRPr="00114867" w:rsidRDefault="00756FC3" w:rsidP="00756FC3">
            <w:pPr>
              <w:widowControl/>
              <w:autoSpaceDE/>
              <w:autoSpaceDN/>
              <w:adjustRightInd/>
              <w:spacing w:before="120"/>
              <w:jc w:val="both"/>
              <w:rPr>
                <w:rFonts w:ascii="Arial" w:hAnsi="Arial" w:cs="Arial"/>
                <w:b/>
                <w:i/>
              </w:rPr>
            </w:pPr>
            <w:r w:rsidRPr="00114867">
              <w:rPr>
                <w:rFonts w:ascii="Arial" w:hAnsi="Arial"/>
                <w:b/>
                <w:i/>
              </w:rPr>
              <w:t>Clan</w:t>
            </w:r>
          </w:p>
        </w:tc>
        <w:tc>
          <w:tcPr>
            <w:tcW w:w="1646" w:type="dxa"/>
          </w:tcPr>
          <w:p w14:paraId="0D0DDB35"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Panamá</w:t>
            </w:r>
          </w:p>
        </w:tc>
        <w:tc>
          <w:tcPr>
            <w:tcW w:w="1645" w:type="dxa"/>
          </w:tcPr>
          <w:p w14:paraId="679F2770"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Ecuador</w:t>
            </w:r>
          </w:p>
        </w:tc>
        <w:tc>
          <w:tcPr>
            <w:tcW w:w="1176" w:type="dxa"/>
          </w:tcPr>
          <w:p w14:paraId="5FB8F3D0"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Perú</w:t>
            </w:r>
          </w:p>
        </w:tc>
        <w:tc>
          <w:tcPr>
            <w:tcW w:w="1174" w:type="dxa"/>
          </w:tcPr>
          <w:p w14:paraId="556E63A1"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Chile</w:t>
            </w:r>
          </w:p>
        </w:tc>
      </w:tr>
      <w:tr w:rsidR="00756FC3" w:rsidRPr="00114867" w14:paraId="6B520AE8" w14:textId="77777777" w:rsidTr="006213D1">
        <w:trPr>
          <w:trHeight w:val="477"/>
        </w:trPr>
        <w:tc>
          <w:tcPr>
            <w:tcW w:w="2059" w:type="dxa"/>
          </w:tcPr>
          <w:p w14:paraId="64F3CED9" w14:textId="77777777" w:rsidR="00756FC3" w:rsidRPr="00114867" w:rsidRDefault="00756FC3" w:rsidP="00756FC3">
            <w:pPr>
              <w:widowControl/>
              <w:autoSpaceDE/>
              <w:autoSpaceDN/>
              <w:adjustRightInd/>
              <w:spacing w:before="120"/>
              <w:jc w:val="both"/>
              <w:rPr>
                <w:rFonts w:ascii="Arial" w:hAnsi="Arial" w:cs="Arial"/>
                <w:b/>
                <w:i/>
                <w:lang w:val="en-GB"/>
              </w:rPr>
            </w:pPr>
          </w:p>
        </w:tc>
        <w:tc>
          <w:tcPr>
            <w:tcW w:w="1646" w:type="dxa"/>
          </w:tcPr>
          <w:p w14:paraId="78535077" w14:textId="77777777" w:rsidR="00756FC3" w:rsidRPr="00114867" w:rsidRDefault="00756FC3" w:rsidP="00756FC3">
            <w:pPr>
              <w:widowControl/>
              <w:autoSpaceDE/>
              <w:autoSpaceDN/>
              <w:adjustRightInd/>
              <w:spacing w:before="120"/>
              <w:jc w:val="both"/>
              <w:rPr>
                <w:rFonts w:ascii="Arial" w:hAnsi="Arial" w:cs="Arial"/>
                <w:lang w:val="en-GB"/>
              </w:rPr>
            </w:pPr>
          </w:p>
        </w:tc>
        <w:tc>
          <w:tcPr>
            <w:tcW w:w="1645" w:type="dxa"/>
          </w:tcPr>
          <w:p w14:paraId="2F42EC2D" w14:textId="77777777" w:rsidR="00756FC3" w:rsidRPr="00114867" w:rsidRDefault="00756FC3" w:rsidP="00756FC3">
            <w:pPr>
              <w:widowControl/>
              <w:autoSpaceDE/>
              <w:autoSpaceDN/>
              <w:adjustRightInd/>
              <w:spacing w:before="120"/>
              <w:jc w:val="both"/>
              <w:rPr>
                <w:rFonts w:ascii="Arial" w:hAnsi="Arial" w:cs="Arial"/>
                <w:lang w:val="en-GB"/>
              </w:rPr>
            </w:pPr>
          </w:p>
        </w:tc>
        <w:tc>
          <w:tcPr>
            <w:tcW w:w="1176" w:type="dxa"/>
          </w:tcPr>
          <w:p w14:paraId="356B596F" w14:textId="77777777" w:rsidR="00756FC3" w:rsidRPr="00114867" w:rsidRDefault="00756FC3" w:rsidP="00756FC3">
            <w:pPr>
              <w:widowControl/>
              <w:autoSpaceDE/>
              <w:autoSpaceDN/>
              <w:adjustRightInd/>
              <w:spacing w:before="120"/>
              <w:jc w:val="both"/>
              <w:rPr>
                <w:rFonts w:ascii="Arial" w:hAnsi="Arial" w:cs="Arial"/>
                <w:lang w:val="en-GB"/>
              </w:rPr>
            </w:pPr>
          </w:p>
        </w:tc>
        <w:tc>
          <w:tcPr>
            <w:tcW w:w="1174" w:type="dxa"/>
          </w:tcPr>
          <w:p w14:paraId="7252BE0E" w14:textId="77777777" w:rsidR="00756FC3" w:rsidRPr="00114867" w:rsidRDefault="00756FC3" w:rsidP="00756FC3">
            <w:pPr>
              <w:widowControl/>
              <w:autoSpaceDE/>
              <w:autoSpaceDN/>
              <w:adjustRightInd/>
              <w:spacing w:before="120"/>
              <w:jc w:val="both"/>
              <w:rPr>
                <w:rFonts w:ascii="Arial" w:hAnsi="Arial" w:cs="Arial"/>
                <w:lang w:val="en-GB"/>
              </w:rPr>
            </w:pPr>
          </w:p>
        </w:tc>
      </w:tr>
      <w:tr w:rsidR="00756FC3" w:rsidRPr="00114867" w14:paraId="22B126BD" w14:textId="77777777" w:rsidTr="006213D1">
        <w:trPr>
          <w:trHeight w:val="477"/>
        </w:trPr>
        <w:tc>
          <w:tcPr>
            <w:tcW w:w="2059" w:type="dxa"/>
          </w:tcPr>
          <w:p w14:paraId="45794ECE" w14:textId="77777777" w:rsidR="00756FC3" w:rsidRPr="00114867" w:rsidRDefault="00756FC3" w:rsidP="00756FC3">
            <w:pPr>
              <w:widowControl/>
              <w:autoSpaceDE/>
              <w:autoSpaceDN/>
              <w:adjustRightInd/>
              <w:spacing w:before="120"/>
              <w:jc w:val="both"/>
              <w:rPr>
                <w:rFonts w:ascii="Arial" w:hAnsi="Arial" w:cs="Arial"/>
                <w:b/>
                <w:i/>
              </w:rPr>
            </w:pPr>
            <w:r w:rsidRPr="00114867">
              <w:rPr>
                <w:rFonts w:ascii="Arial" w:hAnsi="Arial"/>
                <w:b/>
                <w:i/>
              </w:rPr>
              <w:t>Regular</w:t>
            </w:r>
          </w:p>
        </w:tc>
        <w:tc>
          <w:tcPr>
            <w:tcW w:w="1646" w:type="dxa"/>
          </w:tcPr>
          <w:p w14:paraId="59D11DA9" w14:textId="77777777" w:rsidR="00756FC3" w:rsidRPr="00114867" w:rsidRDefault="00756FC3" w:rsidP="00756FC3">
            <w:pPr>
              <w:widowControl/>
              <w:autoSpaceDE/>
              <w:autoSpaceDN/>
              <w:adjustRightInd/>
              <w:spacing w:before="120"/>
              <w:jc w:val="both"/>
              <w:rPr>
                <w:rFonts w:ascii="Arial" w:hAnsi="Arial" w:cs="Arial"/>
                <w:b/>
                <w:lang w:val="en-GB"/>
              </w:rPr>
            </w:pPr>
          </w:p>
        </w:tc>
        <w:tc>
          <w:tcPr>
            <w:tcW w:w="1645" w:type="dxa"/>
          </w:tcPr>
          <w:p w14:paraId="466BBAA7"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c>
          <w:tcPr>
            <w:tcW w:w="1176" w:type="dxa"/>
          </w:tcPr>
          <w:p w14:paraId="2DE485D7"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c>
          <w:tcPr>
            <w:tcW w:w="1174" w:type="dxa"/>
          </w:tcPr>
          <w:p w14:paraId="32EF5589"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r>
      <w:tr w:rsidR="00756FC3" w:rsidRPr="00114867" w14:paraId="7C84A30D" w14:textId="77777777" w:rsidTr="006213D1">
        <w:trPr>
          <w:trHeight w:val="477"/>
        </w:trPr>
        <w:tc>
          <w:tcPr>
            <w:tcW w:w="2059" w:type="dxa"/>
          </w:tcPr>
          <w:p w14:paraId="0127DC75" w14:textId="77777777" w:rsidR="00756FC3" w:rsidRPr="00114867" w:rsidRDefault="00756FC3" w:rsidP="00756FC3">
            <w:pPr>
              <w:widowControl/>
              <w:autoSpaceDE/>
              <w:autoSpaceDN/>
              <w:adjustRightInd/>
              <w:spacing w:before="120"/>
              <w:jc w:val="both"/>
              <w:rPr>
                <w:rFonts w:ascii="Arial" w:hAnsi="Arial" w:cs="Arial"/>
                <w:b/>
                <w:i/>
              </w:rPr>
            </w:pPr>
            <w:r w:rsidRPr="00114867">
              <w:rPr>
                <w:rFonts w:ascii="Arial" w:hAnsi="Arial"/>
                <w:b/>
                <w:i/>
              </w:rPr>
              <w:t>Plus-one (clics más uno)</w:t>
            </w:r>
          </w:p>
        </w:tc>
        <w:tc>
          <w:tcPr>
            <w:tcW w:w="1646" w:type="dxa"/>
          </w:tcPr>
          <w:p w14:paraId="71412607"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c>
          <w:tcPr>
            <w:tcW w:w="1645" w:type="dxa"/>
          </w:tcPr>
          <w:p w14:paraId="6B5CDD37"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c>
          <w:tcPr>
            <w:tcW w:w="1176" w:type="dxa"/>
          </w:tcPr>
          <w:p w14:paraId="649F8A54" w14:textId="77777777" w:rsidR="00756FC3" w:rsidRPr="00114867" w:rsidRDefault="00756FC3" w:rsidP="00756FC3">
            <w:pPr>
              <w:widowControl/>
              <w:autoSpaceDE/>
              <w:autoSpaceDN/>
              <w:adjustRightInd/>
              <w:spacing w:before="120"/>
              <w:jc w:val="both"/>
              <w:rPr>
                <w:rFonts w:ascii="Arial" w:hAnsi="Arial" w:cs="Arial"/>
                <w:b/>
                <w:lang w:val="en-GB"/>
              </w:rPr>
            </w:pPr>
          </w:p>
        </w:tc>
        <w:tc>
          <w:tcPr>
            <w:tcW w:w="1174" w:type="dxa"/>
          </w:tcPr>
          <w:p w14:paraId="578AA263" w14:textId="77777777" w:rsidR="00756FC3" w:rsidRPr="00114867" w:rsidRDefault="00756FC3" w:rsidP="00756FC3">
            <w:pPr>
              <w:widowControl/>
              <w:autoSpaceDE/>
              <w:autoSpaceDN/>
              <w:adjustRightInd/>
              <w:spacing w:before="120"/>
              <w:jc w:val="both"/>
              <w:rPr>
                <w:rFonts w:ascii="Arial" w:hAnsi="Arial" w:cs="Arial"/>
                <w:b/>
                <w:lang w:val="en-GB"/>
              </w:rPr>
            </w:pPr>
          </w:p>
        </w:tc>
      </w:tr>
      <w:tr w:rsidR="00756FC3" w:rsidRPr="00114867" w14:paraId="2E407C91" w14:textId="77777777" w:rsidTr="006213D1">
        <w:trPr>
          <w:trHeight w:val="499"/>
        </w:trPr>
        <w:tc>
          <w:tcPr>
            <w:tcW w:w="2059" w:type="dxa"/>
          </w:tcPr>
          <w:p w14:paraId="077029EE" w14:textId="77777777" w:rsidR="00756FC3" w:rsidRPr="00114867" w:rsidRDefault="00756FC3" w:rsidP="00756FC3">
            <w:pPr>
              <w:widowControl/>
              <w:autoSpaceDE/>
              <w:autoSpaceDN/>
              <w:adjustRightInd/>
              <w:spacing w:before="120"/>
              <w:jc w:val="both"/>
              <w:rPr>
                <w:rFonts w:ascii="Arial" w:hAnsi="Arial" w:cs="Arial"/>
                <w:b/>
                <w:i/>
              </w:rPr>
            </w:pPr>
            <w:r w:rsidRPr="00114867">
              <w:rPr>
                <w:rFonts w:ascii="Arial" w:hAnsi="Arial"/>
                <w:b/>
                <w:i/>
              </w:rPr>
              <w:t>Short (clic corto)</w:t>
            </w:r>
          </w:p>
        </w:tc>
        <w:tc>
          <w:tcPr>
            <w:tcW w:w="1646" w:type="dxa"/>
          </w:tcPr>
          <w:p w14:paraId="75053AD7"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c>
          <w:tcPr>
            <w:tcW w:w="1645" w:type="dxa"/>
          </w:tcPr>
          <w:p w14:paraId="64AF50D3"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 Y</w:t>
            </w:r>
          </w:p>
        </w:tc>
        <w:tc>
          <w:tcPr>
            <w:tcW w:w="1176" w:type="dxa"/>
          </w:tcPr>
          <w:p w14:paraId="34BC9F45"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c>
          <w:tcPr>
            <w:tcW w:w="1174" w:type="dxa"/>
          </w:tcPr>
          <w:p w14:paraId="4336F421"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r>
      <w:tr w:rsidR="00756FC3" w:rsidRPr="00114867" w14:paraId="53321E7C" w14:textId="77777777" w:rsidTr="006213D1">
        <w:trPr>
          <w:trHeight w:val="499"/>
        </w:trPr>
        <w:tc>
          <w:tcPr>
            <w:tcW w:w="2059" w:type="dxa"/>
          </w:tcPr>
          <w:p w14:paraId="7AF793B3" w14:textId="77777777" w:rsidR="00756FC3" w:rsidRPr="00114867" w:rsidRDefault="00756FC3" w:rsidP="00756FC3">
            <w:pPr>
              <w:widowControl/>
              <w:autoSpaceDE/>
              <w:autoSpaceDN/>
              <w:adjustRightInd/>
              <w:spacing w:before="120"/>
              <w:jc w:val="both"/>
              <w:rPr>
                <w:rFonts w:ascii="Arial" w:hAnsi="Arial" w:cs="Arial"/>
                <w:b/>
                <w:i/>
              </w:rPr>
            </w:pPr>
            <w:r w:rsidRPr="00114867">
              <w:rPr>
                <w:rFonts w:ascii="Arial" w:hAnsi="Arial"/>
                <w:b/>
                <w:i/>
              </w:rPr>
              <w:lastRenderedPageBreak/>
              <w:t>Four-plus (clics más cuatro)</w:t>
            </w:r>
          </w:p>
        </w:tc>
        <w:tc>
          <w:tcPr>
            <w:tcW w:w="1646" w:type="dxa"/>
          </w:tcPr>
          <w:p w14:paraId="06EA2FBE" w14:textId="77777777" w:rsidR="00756FC3" w:rsidRPr="00114867" w:rsidRDefault="00756FC3" w:rsidP="00756FC3">
            <w:pPr>
              <w:widowControl/>
              <w:autoSpaceDE/>
              <w:autoSpaceDN/>
              <w:adjustRightInd/>
              <w:spacing w:before="120"/>
              <w:jc w:val="both"/>
              <w:rPr>
                <w:rFonts w:ascii="Arial" w:hAnsi="Arial" w:cs="Arial"/>
                <w:b/>
                <w:lang w:val="en-GB"/>
              </w:rPr>
            </w:pPr>
          </w:p>
        </w:tc>
        <w:tc>
          <w:tcPr>
            <w:tcW w:w="1645" w:type="dxa"/>
          </w:tcPr>
          <w:p w14:paraId="61364D49"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Y</w:t>
            </w:r>
          </w:p>
        </w:tc>
        <w:tc>
          <w:tcPr>
            <w:tcW w:w="1176" w:type="dxa"/>
          </w:tcPr>
          <w:p w14:paraId="7B3FCB5F"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c>
          <w:tcPr>
            <w:tcW w:w="1174" w:type="dxa"/>
          </w:tcPr>
          <w:p w14:paraId="596A0441" w14:textId="77777777" w:rsidR="00756FC3" w:rsidRPr="00114867" w:rsidRDefault="00756FC3" w:rsidP="00756FC3">
            <w:pPr>
              <w:widowControl/>
              <w:autoSpaceDE/>
              <w:autoSpaceDN/>
              <w:adjustRightInd/>
              <w:spacing w:before="120"/>
              <w:jc w:val="both"/>
              <w:rPr>
                <w:rFonts w:ascii="Arial" w:hAnsi="Arial" w:cs="Arial"/>
                <w:b/>
              </w:rPr>
            </w:pPr>
            <w:r w:rsidRPr="00114867">
              <w:rPr>
                <w:rFonts w:ascii="Arial" w:hAnsi="Arial"/>
                <w:b/>
              </w:rPr>
              <w:t>X</w:t>
            </w:r>
          </w:p>
        </w:tc>
      </w:tr>
    </w:tbl>
    <w:p w14:paraId="44C851F7" w14:textId="77777777" w:rsidR="00F97717" w:rsidRPr="00114867" w:rsidRDefault="00F97717" w:rsidP="00756FC3">
      <w:pPr>
        <w:tabs>
          <w:tab w:val="left" w:pos="1020"/>
        </w:tabs>
        <w:rPr>
          <w:rFonts w:cs="Arial"/>
          <w:sz w:val="20"/>
          <w:szCs w:val="22"/>
          <w:lang w:val="en-GB"/>
        </w:rPr>
      </w:pPr>
    </w:p>
    <w:p w14:paraId="53FD3F2E" w14:textId="77777777" w:rsidR="00F97717" w:rsidRPr="00114867" w:rsidRDefault="00756FC3" w:rsidP="00756FC3">
      <w:pPr>
        <w:tabs>
          <w:tab w:val="left" w:pos="1020"/>
        </w:tabs>
        <w:rPr>
          <w:rFonts w:cs="Arial"/>
          <w:sz w:val="20"/>
          <w:szCs w:val="22"/>
        </w:rPr>
      </w:pPr>
      <w:r w:rsidRPr="00114867">
        <w:rPr>
          <w:sz w:val="20"/>
          <w:szCs w:val="22"/>
        </w:rPr>
        <w:t xml:space="preserve">Datos de: </w:t>
      </w:r>
      <w:r w:rsidRPr="00114867">
        <w:rPr>
          <w:b/>
          <w:sz w:val="20"/>
          <w:szCs w:val="22"/>
        </w:rPr>
        <w:t>X</w:t>
      </w:r>
      <w:r w:rsidRPr="00114867">
        <w:rPr>
          <w:sz w:val="20"/>
          <w:szCs w:val="22"/>
        </w:rPr>
        <w:t xml:space="preserve"> Rendell, L.; y Whitehead, H. (2003). </w:t>
      </w:r>
      <w:r w:rsidRPr="00114867">
        <w:rPr>
          <w:b/>
          <w:sz w:val="20"/>
          <w:szCs w:val="22"/>
        </w:rPr>
        <w:t>Y</w:t>
      </w:r>
      <w:r w:rsidRPr="00114867">
        <w:rPr>
          <w:sz w:val="20"/>
          <w:szCs w:val="22"/>
        </w:rPr>
        <w:t xml:space="preserve"> Cantor, M. </w:t>
      </w:r>
      <w:r w:rsidRPr="00114867">
        <w:rPr>
          <w:i/>
          <w:sz w:val="20"/>
          <w:szCs w:val="22"/>
        </w:rPr>
        <w:t>et al.</w:t>
      </w:r>
      <w:r w:rsidRPr="00114867">
        <w:rPr>
          <w:sz w:val="20"/>
          <w:szCs w:val="22"/>
        </w:rPr>
        <w:t xml:space="preserve"> (2016).</w:t>
      </w:r>
    </w:p>
    <w:p w14:paraId="356DA85F" w14:textId="77777777" w:rsidR="00756FC3" w:rsidRPr="00114867" w:rsidRDefault="00756FC3" w:rsidP="00756FC3">
      <w:pPr>
        <w:tabs>
          <w:tab w:val="left" w:pos="1020"/>
        </w:tabs>
        <w:rPr>
          <w:rFonts w:cs="Arial"/>
          <w:sz w:val="20"/>
          <w:szCs w:val="22"/>
        </w:rPr>
      </w:pPr>
    </w:p>
    <w:p w14:paraId="4AE10420" w14:textId="77777777" w:rsidR="00756FC3" w:rsidRPr="00114867" w:rsidRDefault="00756FC3" w:rsidP="00756FC3">
      <w:pPr>
        <w:tabs>
          <w:tab w:val="left" w:pos="1020"/>
        </w:tabs>
        <w:rPr>
          <w:rFonts w:cs="Arial"/>
          <w:b/>
          <w:sz w:val="22"/>
          <w:szCs w:val="22"/>
        </w:rPr>
      </w:pPr>
      <w:r w:rsidRPr="00114867">
        <w:rPr>
          <w:b/>
          <w:sz w:val="22"/>
          <w:szCs w:val="22"/>
        </w:rPr>
        <w:t>Movimientos de individuos identificados mediante fotografía entre los Estados del área de distribución CMS</w:t>
      </w:r>
    </w:p>
    <w:p w14:paraId="356821A2" w14:textId="77777777" w:rsidR="00F97717" w:rsidRPr="00446C23" w:rsidRDefault="00F97717" w:rsidP="00756FC3">
      <w:pPr>
        <w:tabs>
          <w:tab w:val="left" w:pos="1020"/>
        </w:tabs>
        <w:rPr>
          <w:rFonts w:cs="Arial"/>
          <w:sz w:val="22"/>
          <w:szCs w:val="22"/>
        </w:rPr>
      </w:pPr>
    </w:p>
    <w:tbl>
      <w:tblPr>
        <w:tblStyle w:val="TableGrid2"/>
        <w:tblW w:w="0" w:type="auto"/>
        <w:tblInd w:w="864" w:type="dxa"/>
        <w:tblLook w:val="04A0" w:firstRow="1" w:lastRow="0" w:firstColumn="1" w:lastColumn="0" w:noHBand="0" w:noVBand="1"/>
      </w:tblPr>
      <w:tblGrid>
        <w:gridCol w:w="1596"/>
        <w:gridCol w:w="1276"/>
        <w:gridCol w:w="1275"/>
        <w:gridCol w:w="911"/>
        <w:gridCol w:w="910"/>
      </w:tblGrid>
      <w:tr w:rsidR="00756FC3" w:rsidRPr="00114867" w14:paraId="74EFA61B" w14:textId="77777777" w:rsidTr="006213D1">
        <w:trPr>
          <w:trHeight w:val="444"/>
        </w:trPr>
        <w:tc>
          <w:tcPr>
            <w:tcW w:w="1596" w:type="dxa"/>
          </w:tcPr>
          <w:p w14:paraId="76DF0DCE" w14:textId="77777777" w:rsidR="00756FC3" w:rsidRPr="00446C23" w:rsidRDefault="00756FC3" w:rsidP="00F97717">
            <w:pPr>
              <w:widowControl/>
              <w:autoSpaceDE/>
              <w:autoSpaceDN/>
              <w:adjustRightInd/>
              <w:spacing w:before="120"/>
              <w:jc w:val="both"/>
              <w:rPr>
                <w:rFonts w:ascii="Arial" w:hAnsi="Arial" w:cs="Arial"/>
              </w:rPr>
            </w:pPr>
          </w:p>
        </w:tc>
        <w:tc>
          <w:tcPr>
            <w:tcW w:w="1276" w:type="dxa"/>
          </w:tcPr>
          <w:p w14:paraId="66217C63" w14:textId="77777777" w:rsidR="00756FC3" w:rsidRPr="00114867" w:rsidRDefault="00756FC3" w:rsidP="00F97717">
            <w:pPr>
              <w:widowControl/>
              <w:autoSpaceDE/>
              <w:autoSpaceDN/>
              <w:adjustRightInd/>
              <w:spacing w:before="120"/>
              <w:jc w:val="both"/>
              <w:rPr>
                <w:rFonts w:ascii="Arial" w:hAnsi="Arial" w:cs="Arial"/>
                <w:b/>
              </w:rPr>
            </w:pPr>
            <w:r w:rsidRPr="00114867">
              <w:rPr>
                <w:rFonts w:ascii="Arial" w:hAnsi="Arial"/>
                <w:b/>
              </w:rPr>
              <w:t>Panamá</w:t>
            </w:r>
          </w:p>
        </w:tc>
        <w:tc>
          <w:tcPr>
            <w:tcW w:w="1275" w:type="dxa"/>
          </w:tcPr>
          <w:p w14:paraId="2DADD92D" w14:textId="77777777" w:rsidR="00756FC3" w:rsidRPr="00114867" w:rsidRDefault="00756FC3" w:rsidP="00F97717">
            <w:pPr>
              <w:widowControl/>
              <w:autoSpaceDE/>
              <w:autoSpaceDN/>
              <w:adjustRightInd/>
              <w:spacing w:before="120"/>
              <w:jc w:val="both"/>
              <w:rPr>
                <w:rFonts w:ascii="Arial" w:hAnsi="Arial" w:cs="Arial"/>
                <w:b/>
              </w:rPr>
            </w:pPr>
            <w:r w:rsidRPr="00114867">
              <w:rPr>
                <w:rFonts w:ascii="Arial" w:hAnsi="Arial"/>
                <w:b/>
              </w:rPr>
              <w:t>Ecuador</w:t>
            </w:r>
          </w:p>
        </w:tc>
        <w:tc>
          <w:tcPr>
            <w:tcW w:w="911" w:type="dxa"/>
          </w:tcPr>
          <w:p w14:paraId="01716CD1" w14:textId="77777777" w:rsidR="00756FC3" w:rsidRPr="00114867" w:rsidRDefault="00756FC3" w:rsidP="00F97717">
            <w:pPr>
              <w:widowControl/>
              <w:autoSpaceDE/>
              <w:autoSpaceDN/>
              <w:adjustRightInd/>
              <w:spacing w:before="120"/>
              <w:jc w:val="both"/>
              <w:rPr>
                <w:rFonts w:ascii="Arial" w:hAnsi="Arial" w:cs="Arial"/>
                <w:b/>
              </w:rPr>
            </w:pPr>
            <w:r w:rsidRPr="00114867">
              <w:rPr>
                <w:rFonts w:ascii="Arial" w:hAnsi="Arial"/>
                <w:b/>
              </w:rPr>
              <w:t>Perú</w:t>
            </w:r>
          </w:p>
        </w:tc>
        <w:tc>
          <w:tcPr>
            <w:tcW w:w="910" w:type="dxa"/>
          </w:tcPr>
          <w:p w14:paraId="77683CC1" w14:textId="77777777" w:rsidR="00756FC3" w:rsidRPr="00114867" w:rsidRDefault="00756FC3" w:rsidP="00F97717">
            <w:pPr>
              <w:widowControl/>
              <w:autoSpaceDE/>
              <w:autoSpaceDN/>
              <w:adjustRightInd/>
              <w:spacing w:before="120"/>
              <w:jc w:val="both"/>
              <w:rPr>
                <w:rFonts w:ascii="Arial" w:hAnsi="Arial" w:cs="Arial"/>
                <w:b/>
              </w:rPr>
            </w:pPr>
            <w:r w:rsidRPr="00114867">
              <w:rPr>
                <w:rFonts w:ascii="Arial" w:hAnsi="Arial"/>
                <w:b/>
              </w:rPr>
              <w:t>Chile</w:t>
            </w:r>
          </w:p>
        </w:tc>
      </w:tr>
      <w:tr w:rsidR="00756FC3" w:rsidRPr="00114867" w14:paraId="6A8589BB" w14:textId="77777777" w:rsidTr="006213D1">
        <w:trPr>
          <w:trHeight w:val="444"/>
        </w:trPr>
        <w:tc>
          <w:tcPr>
            <w:tcW w:w="1596" w:type="dxa"/>
          </w:tcPr>
          <w:p w14:paraId="28C45811" w14:textId="77777777" w:rsidR="00756FC3" w:rsidRPr="00114867" w:rsidRDefault="00756FC3" w:rsidP="00F97717">
            <w:pPr>
              <w:widowControl/>
              <w:autoSpaceDE/>
              <w:autoSpaceDN/>
              <w:adjustRightInd/>
              <w:spacing w:before="120"/>
              <w:jc w:val="both"/>
              <w:rPr>
                <w:rFonts w:ascii="Arial" w:hAnsi="Arial" w:cs="Arial"/>
                <w:b/>
              </w:rPr>
            </w:pPr>
            <w:r w:rsidRPr="00114867">
              <w:rPr>
                <w:rFonts w:ascii="Arial" w:hAnsi="Arial"/>
                <w:b/>
              </w:rPr>
              <w:t>Panamá</w:t>
            </w:r>
          </w:p>
        </w:tc>
        <w:tc>
          <w:tcPr>
            <w:tcW w:w="1276" w:type="dxa"/>
            <w:shd w:val="clear" w:color="auto" w:fill="BFBFBF" w:themeFill="background1" w:themeFillShade="BF"/>
          </w:tcPr>
          <w:p w14:paraId="0F733A34" w14:textId="77777777" w:rsidR="00756FC3" w:rsidRPr="00114867" w:rsidRDefault="00756FC3" w:rsidP="00F97717">
            <w:pPr>
              <w:widowControl/>
              <w:autoSpaceDE/>
              <w:autoSpaceDN/>
              <w:adjustRightInd/>
              <w:spacing w:before="120"/>
              <w:jc w:val="both"/>
              <w:rPr>
                <w:rFonts w:ascii="Arial" w:hAnsi="Arial" w:cs="Arial"/>
                <w:lang w:val="en-GB"/>
              </w:rPr>
            </w:pPr>
          </w:p>
        </w:tc>
        <w:tc>
          <w:tcPr>
            <w:tcW w:w="1275" w:type="dxa"/>
            <w:shd w:val="clear" w:color="auto" w:fill="BFBFBF" w:themeFill="background1" w:themeFillShade="BF"/>
          </w:tcPr>
          <w:p w14:paraId="528C8EF1" w14:textId="77777777" w:rsidR="00756FC3" w:rsidRPr="00114867" w:rsidRDefault="00756FC3" w:rsidP="00F97717">
            <w:pPr>
              <w:widowControl/>
              <w:autoSpaceDE/>
              <w:autoSpaceDN/>
              <w:adjustRightInd/>
              <w:spacing w:before="120"/>
              <w:jc w:val="both"/>
              <w:rPr>
                <w:rFonts w:ascii="Arial" w:hAnsi="Arial" w:cs="Arial"/>
                <w:lang w:val="en-GB"/>
              </w:rPr>
            </w:pPr>
          </w:p>
        </w:tc>
        <w:tc>
          <w:tcPr>
            <w:tcW w:w="911" w:type="dxa"/>
            <w:shd w:val="clear" w:color="auto" w:fill="BFBFBF" w:themeFill="background1" w:themeFillShade="BF"/>
          </w:tcPr>
          <w:p w14:paraId="75549A46" w14:textId="77777777" w:rsidR="00756FC3" w:rsidRPr="00114867" w:rsidRDefault="00756FC3" w:rsidP="00F97717">
            <w:pPr>
              <w:widowControl/>
              <w:autoSpaceDE/>
              <w:autoSpaceDN/>
              <w:adjustRightInd/>
              <w:spacing w:before="120"/>
              <w:jc w:val="both"/>
              <w:rPr>
                <w:rFonts w:ascii="Arial" w:hAnsi="Arial" w:cs="Arial"/>
                <w:lang w:val="en-GB"/>
              </w:rPr>
            </w:pPr>
          </w:p>
        </w:tc>
        <w:tc>
          <w:tcPr>
            <w:tcW w:w="910" w:type="dxa"/>
            <w:shd w:val="clear" w:color="auto" w:fill="BFBFBF" w:themeFill="background1" w:themeFillShade="BF"/>
          </w:tcPr>
          <w:p w14:paraId="49AF70C1" w14:textId="77777777" w:rsidR="00756FC3" w:rsidRPr="00114867" w:rsidRDefault="00756FC3" w:rsidP="00F97717">
            <w:pPr>
              <w:widowControl/>
              <w:autoSpaceDE/>
              <w:autoSpaceDN/>
              <w:adjustRightInd/>
              <w:spacing w:before="120"/>
              <w:jc w:val="both"/>
              <w:rPr>
                <w:rFonts w:ascii="Arial" w:hAnsi="Arial" w:cs="Arial"/>
                <w:lang w:val="en-GB"/>
              </w:rPr>
            </w:pPr>
          </w:p>
        </w:tc>
      </w:tr>
      <w:tr w:rsidR="00756FC3" w:rsidRPr="00114867" w14:paraId="27DBF5DA" w14:textId="77777777" w:rsidTr="006213D1">
        <w:trPr>
          <w:trHeight w:val="464"/>
        </w:trPr>
        <w:tc>
          <w:tcPr>
            <w:tcW w:w="1596" w:type="dxa"/>
          </w:tcPr>
          <w:p w14:paraId="2001C12C" w14:textId="77777777" w:rsidR="00756FC3" w:rsidRPr="00114867" w:rsidRDefault="00756FC3" w:rsidP="00F97717">
            <w:pPr>
              <w:widowControl/>
              <w:autoSpaceDE/>
              <w:autoSpaceDN/>
              <w:adjustRightInd/>
              <w:spacing w:before="120"/>
              <w:jc w:val="both"/>
              <w:rPr>
                <w:rFonts w:ascii="Arial" w:hAnsi="Arial" w:cs="Arial"/>
                <w:b/>
              </w:rPr>
            </w:pPr>
            <w:r w:rsidRPr="00114867">
              <w:rPr>
                <w:rFonts w:ascii="Arial" w:hAnsi="Arial"/>
                <w:b/>
              </w:rPr>
              <w:t>Ecuador</w:t>
            </w:r>
          </w:p>
        </w:tc>
        <w:tc>
          <w:tcPr>
            <w:tcW w:w="1276" w:type="dxa"/>
          </w:tcPr>
          <w:p w14:paraId="7E5C8095" w14:textId="77777777" w:rsidR="00756FC3" w:rsidRPr="00114867" w:rsidRDefault="00756FC3" w:rsidP="00F97717">
            <w:pPr>
              <w:widowControl/>
              <w:autoSpaceDE/>
              <w:autoSpaceDN/>
              <w:adjustRightInd/>
              <w:spacing w:before="120"/>
              <w:jc w:val="both"/>
              <w:rPr>
                <w:rFonts w:ascii="Arial" w:hAnsi="Arial" w:cs="Arial"/>
              </w:rPr>
            </w:pPr>
            <w:r w:rsidRPr="00114867">
              <w:rPr>
                <w:rFonts w:ascii="Arial" w:hAnsi="Arial"/>
              </w:rPr>
              <w:t>8</w:t>
            </w:r>
          </w:p>
        </w:tc>
        <w:tc>
          <w:tcPr>
            <w:tcW w:w="1275" w:type="dxa"/>
            <w:shd w:val="clear" w:color="auto" w:fill="BFBFBF" w:themeFill="background1" w:themeFillShade="BF"/>
          </w:tcPr>
          <w:p w14:paraId="3DBDDEE6" w14:textId="77777777" w:rsidR="00756FC3" w:rsidRPr="00114867" w:rsidRDefault="00756FC3" w:rsidP="00F97717">
            <w:pPr>
              <w:widowControl/>
              <w:autoSpaceDE/>
              <w:autoSpaceDN/>
              <w:adjustRightInd/>
              <w:spacing w:before="120"/>
              <w:jc w:val="both"/>
              <w:rPr>
                <w:rFonts w:ascii="Arial" w:hAnsi="Arial" w:cs="Arial"/>
                <w:lang w:val="en-GB"/>
              </w:rPr>
            </w:pPr>
          </w:p>
        </w:tc>
        <w:tc>
          <w:tcPr>
            <w:tcW w:w="911" w:type="dxa"/>
            <w:shd w:val="clear" w:color="auto" w:fill="BFBFBF" w:themeFill="background1" w:themeFillShade="BF"/>
          </w:tcPr>
          <w:p w14:paraId="381CE051" w14:textId="77777777" w:rsidR="00756FC3" w:rsidRPr="00114867" w:rsidRDefault="00756FC3" w:rsidP="00F97717">
            <w:pPr>
              <w:widowControl/>
              <w:autoSpaceDE/>
              <w:autoSpaceDN/>
              <w:adjustRightInd/>
              <w:spacing w:before="120"/>
              <w:jc w:val="both"/>
              <w:rPr>
                <w:rFonts w:ascii="Arial" w:hAnsi="Arial" w:cs="Arial"/>
                <w:lang w:val="en-GB"/>
              </w:rPr>
            </w:pPr>
          </w:p>
        </w:tc>
        <w:tc>
          <w:tcPr>
            <w:tcW w:w="910" w:type="dxa"/>
            <w:shd w:val="clear" w:color="auto" w:fill="BFBFBF" w:themeFill="background1" w:themeFillShade="BF"/>
          </w:tcPr>
          <w:p w14:paraId="46D65732" w14:textId="77777777" w:rsidR="00756FC3" w:rsidRPr="00114867" w:rsidRDefault="00756FC3" w:rsidP="00F97717">
            <w:pPr>
              <w:widowControl/>
              <w:autoSpaceDE/>
              <w:autoSpaceDN/>
              <w:adjustRightInd/>
              <w:spacing w:before="120"/>
              <w:jc w:val="both"/>
              <w:rPr>
                <w:rFonts w:ascii="Arial" w:hAnsi="Arial" w:cs="Arial"/>
                <w:lang w:val="en-GB"/>
              </w:rPr>
            </w:pPr>
          </w:p>
        </w:tc>
      </w:tr>
      <w:tr w:rsidR="00756FC3" w:rsidRPr="00114867" w14:paraId="16581937" w14:textId="77777777" w:rsidTr="006213D1">
        <w:trPr>
          <w:trHeight w:val="444"/>
        </w:trPr>
        <w:tc>
          <w:tcPr>
            <w:tcW w:w="1596" w:type="dxa"/>
          </w:tcPr>
          <w:p w14:paraId="3C737A1F" w14:textId="77777777" w:rsidR="00756FC3" w:rsidRPr="00114867" w:rsidRDefault="00756FC3" w:rsidP="00F97717">
            <w:pPr>
              <w:widowControl/>
              <w:autoSpaceDE/>
              <w:autoSpaceDN/>
              <w:adjustRightInd/>
              <w:spacing w:before="120"/>
              <w:jc w:val="both"/>
              <w:rPr>
                <w:rFonts w:ascii="Arial" w:hAnsi="Arial" w:cs="Arial"/>
                <w:b/>
              </w:rPr>
            </w:pPr>
            <w:r w:rsidRPr="00114867">
              <w:rPr>
                <w:rFonts w:ascii="Arial" w:hAnsi="Arial"/>
                <w:b/>
              </w:rPr>
              <w:t>Perú</w:t>
            </w:r>
          </w:p>
        </w:tc>
        <w:tc>
          <w:tcPr>
            <w:tcW w:w="1276" w:type="dxa"/>
          </w:tcPr>
          <w:p w14:paraId="3520CD81" w14:textId="77777777" w:rsidR="00756FC3" w:rsidRPr="00114867" w:rsidRDefault="00756FC3" w:rsidP="00F97717">
            <w:pPr>
              <w:widowControl/>
              <w:autoSpaceDE/>
              <w:autoSpaceDN/>
              <w:adjustRightInd/>
              <w:spacing w:before="120"/>
              <w:jc w:val="both"/>
              <w:rPr>
                <w:rFonts w:ascii="Arial" w:hAnsi="Arial" w:cs="Arial"/>
                <w:lang w:val="en-GB"/>
              </w:rPr>
            </w:pPr>
          </w:p>
        </w:tc>
        <w:tc>
          <w:tcPr>
            <w:tcW w:w="1275" w:type="dxa"/>
          </w:tcPr>
          <w:p w14:paraId="4678AA53" w14:textId="77777777" w:rsidR="00756FC3" w:rsidRPr="00114867" w:rsidRDefault="00756FC3" w:rsidP="00F97717">
            <w:pPr>
              <w:widowControl/>
              <w:autoSpaceDE/>
              <w:autoSpaceDN/>
              <w:adjustRightInd/>
              <w:spacing w:before="120"/>
              <w:jc w:val="both"/>
              <w:rPr>
                <w:rFonts w:ascii="Arial" w:hAnsi="Arial" w:cs="Arial"/>
              </w:rPr>
            </w:pPr>
            <w:r w:rsidRPr="00114867">
              <w:rPr>
                <w:rFonts w:ascii="Arial" w:hAnsi="Arial"/>
              </w:rPr>
              <w:t>2</w:t>
            </w:r>
          </w:p>
        </w:tc>
        <w:tc>
          <w:tcPr>
            <w:tcW w:w="911" w:type="dxa"/>
            <w:shd w:val="clear" w:color="auto" w:fill="BFBFBF" w:themeFill="background1" w:themeFillShade="BF"/>
          </w:tcPr>
          <w:p w14:paraId="1E2B118A" w14:textId="77777777" w:rsidR="00756FC3" w:rsidRPr="00114867" w:rsidRDefault="00756FC3" w:rsidP="00F97717">
            <w:pPr>
              <w:widowControl/>
              <w:autoSpaceDE/>
              <w:autoSpaceDN/>
              <w:adjustRightInd/>
              <w:spacing w:before="120"/>
              <w:jc w:val="both"/>
              <w:rPr>
                <w:rFonts w:ascii="Arial" w:hAnsi="Arial" w:cs="Arial"/>
                <w:lang w:val="en-GB"/>
              </w:rPr>
            </w:pPr>
          </w:p>
        </w:tc>
        <w:tc>
          <w:tcPr>
            <w:tcW w:w="910" w:type="dxa"/>
            <w:shd w:val="clear" w:color="auto" w:fill="BFBFBF" w:themeFill="background1" w:themeFillShade="BF"/>
          </w:tcPr>
          <w:p w14:paraId="754C975F" w14:textId="77777777" w:rsidR="00756FC3" w:rsidRPr="00114867" w:rsidRDefault="00756FC3" w:rsidP="00F97717">
            <w:pPr>
              <w:widowControl/>
              <w:autoSpaceDE/>
              <w:autoSpaceDN/>
              <w:adjustRightInd/>
              <w:spacing w:before="120"/>
              <w:jc w:val="both"/>
              <w:rPr>
                <w:rFonts w:ascii="Arial" w:hAnsi="Arial" w:cs="Arial"/>
                <w:lang w:val="en-GB"/>
              </w:rPr>
            </w:pPr>
          </w:p>
        </w:tc>
      </w:tr>
      <w:tr w:rsidR="00756FC3" w:rsidRPr="00114867" w14:paraId="79CA4F1C" w14:textId="77777777" w:rsidTr="006213D1">
        <w:trPr>
          <w:trHeight w:val="464"/>
        </w:trPr>
        <w:tc>
          <w:tcPr>
            <w:tcW w:w="1596" w:type="dxa"/>
          </w:tcPr>
          <w:p w14:paraId="4CCC16A4" w14:textId="77777777" w:rsidR="00756FC3" w:rsidRPr="00114867" w:rsidRDefault="00756FC3" w:rsidP="00F97717">
            <w:pPr>
              <w:widowControl/>
              <w:autoSpaceDE/>
              <w:autoSpaceDN/>
              <w:adjustRightInd/>
              <w:spacing w:before="120"/>
              <w:jc w:val="both"/>
              <w:rPr>
                <w:rFonts w:ascii="Arial" w:hAnsi="Arial" w:cs="Arial"/>
                <w:b/>
              </w:rPr>
            </w:pPr>
            <w:r w:rsidRPr="00114867">
              <w:rPr>
                <w:rFonts w:ascii="Arial" w:hAnsi="Arial"/>
                <w:b/>
              </w:rPr>
              <w:t>Chile</w:t>
            </w:r>
          </w:p>
        </w:tc>
        <w:tc>
          <w:tcPr>
            <w:tcW w:w="1276" w:type="dxa"/>
          </w:tcPr>
          <w:p w14:paraId="4C8D6C3E" w14:textId="77777777" w:rsidR="00756FC3" w:rsidRPr="00114867" w:rsidRDefault="00756FC3" w:rsidP="00F97717">
            <w:pPr>
              <w:widowControl/>
              <w:autoSpaceDE/>
              <w:autoSpaceDN/>
              <w:adjustRightInd/>
              <w:spacing w:before="120"/>
              <w:jc w:val="both"/>
              <w:rPr>
                <w:rFonts w:ascii="Arial" w:hAnsi="Arial" w:cs="Arial"/>
                <w:lang w:val="en-GB"/>
              </w:rPr>
            </w:pPr>
          </w:p>
        </w:tc>
        <w:tc>
          <w:tcPr>
            <w:tcW w:w="1275" w:type="dxa"/>
          </w:tcPr>
          <w:p w14:paraId="687E581E" w14:textId="77777777" w:rsidR="00756FC3" w:rsidRPr="00114867" w:rsidRDefault="00756FC3" w:rsidP="00F97717">
            <w:pPr>
              <w:widowControl/>
              <w:autoSpaceDE/>
              <w:autoSpaceDN/>
              <w:adjustRightInd/>
              <w:spacing w:before="120"/>
              <w:jc w:val="both"/>
              <w:rPr>
                <w:rFonts w:ascii="Arial" w:hAnsi="Arial" w:cs="Arial"/>
              </w:rPr>
            </w:pPr>
            <w:r w:rsidRPr="00114867">
              <w:rPr>
                <w:rFonts w:ascii="Arial" w:hAnsi="Arial"/>
              </w:rPr>
              <w:t>8</w:t>
            </w:r>
          </w:p>
        </w:tc>
        <w:tc>
          <w:tcPr>
            <w:tcW w:w="911" w:type="dxa"/>
          </w:tcPr>
          <w:p w14:paraId="52076FAF" w14:textId="77777777" w:rsidR="00756FC3" w:rsidRPr="00114867" w:rsidRDefault="00756FC3" w:rsidP="00F97717">
            <w:pPr>
              <w:widowControl/>
              <w:autoSpaceDE/>
              <w:autoSpaceDN/>
              <w:adjustRightInd/>
              <w:spacing w:before="120"/>
              <w:jc w:val="both"/>
              <w:rPr>
                <w:rFonts w:ascii="Arial" w:hAnsi="Arial" w:cs="Arial"/>
              </w:rPr>
            </w:pPr>
            <w:r w:rsidRPr="00114867">
              <w:rPr>
                <w:rFonts w:ascii="Arial" w:hAnsi="Arial"/>
              </w:rPr>
              <w:t>1</w:t>
            </w:r>
          </w:p>
        </w:tc>
        <w:tc>
          <w:tcPr>
            <w:tcW w:w="910" w:type="dxa"/>
            <w:shd w:val="clear" w:color="auto" w:fill="BFBFBF" w:themeFill="background1" w:themeFillShade="BF"/>
          </w:tcPr>
          <w:p w14:paraId="02545EED" w14:textId="77777777" w:rsidR="00756FC3" w:rsidRPr="00114867" w:rsidRDefault="00756FC3" w:rsidP="00F97717">
            <w:pPr>
              <w:widowControl/>
              <w:autoSpaceDE/>
              <w:autoSpaceDN/>
              <w:adjustRightInd/>
              <w:spacing w:before="120"/>
              <w:jc w:val="both"/>
              <w:rPr>
                <w:rFonts w:ascii="Arial" w:hAnsi="Arial" w:cs="Arial"/>
                <w:lang w:val="en-GB"/>
              </w:rPr>
            </w:pPr>
          </w:p>
        </w:tc>
      </w:tr>
    </w:tbl>
    <w:p w14:paraId="6149DB09" w14:textId="77777777" w:rsidR="00756FC3" w:rsidRPr="00114867" w:rsidRDefault="00756FC3" w:rsidP="00756FC3">
      <w:pPr>
        <w:tabs>
          <w:tab w:val="left" w:pos="1020"/>
        </w:tabs>
        <w:rPr>
          <w:rFonts w:cs="Arial"/>
          <w:sz w:val="22"/>
          <w:szCs w:val="22"/>
          <w:lang w:val="en-GB"/>
        </w:rPr>
      </w:pPr>
    </w:p>
    <w:p w14:paraId="6964CE65" w14:textId="77777777" w:rsidR="00756FC3" w:rsidRPr="00114867" w:rsidRDefault="00756FC3" w:rsidP="00F97717">
      <w:pPr>
        <w:tabs>
          <w:tab w:val="left" w:pos="1020"/>
        </w:tabs>
        <w:jc w:val="both"/>
        <w:rPr>
          <w:rFonts w:cs="Arial"/>
          <w:sz w:val="20"/>
          <w:szCs w:val="22"/>
        </w:rPr>
      </w:pPr>
      <w:r w:rsidRPr="00114867">
        <w:rPr>
          <w:sz w:val="20"/>
          <w:szCs w:val="22"/>
        </w:rPr>
        <w:t>[Suponiendo que la frontera marítima entre Ecuador y Perú se encuentra a 3.39°</w:t>
      </w:r>
      <w:r w:rsidRPr="00114867">
        <w:rPr>
          <w:sz w:val="20"/>
          <w:szCs w:val="22"/>
          <w:vertAlign w:val="superscript"/>
        </w:rPr>
        <w:t xml:space="preserve"> </w:t>
      </w:r>
      <w:r w:rsidRPr="00114867">
        <w:rPr>
          <w:sz w:val="20"/>
          <w:szCs w:val="22"/>
        </w:rPr>
        <w:t>S, y entre Chile y Perú a 18.35°</w:t>
      </w:r>
      <w:r w:rsidRPr="00114867">
        <w:rPr>
          <w:sz w:val="20"/>
          <w:szCs w:val="22"/>
          <w:vertAlign w:val="superscript"/>
        </w:rPr>
        <w:t xml:space="preserve"> </w:t>
      </w:r>
      <w:r w:rsidRPr="00114867">
        <w:rPr>
          <w:sz w:val="20"/>
          <w:szCs w:val="22"/>
        </w:rPr>
        <w:t>S]</w:t>
      </w:r>
    </w:p>
    <w:p w14:paraId="5B4EE8A2" w14:textId="77777777" w:rsidR="00756FC3" w:rsidRPr="00114867" w:rsidRDefault="00756FC3" w:rsidP="00F97717">
      <w:pPr>
        <w:tabs>
          <w:tab w:val="left" w:pos="1020"/>
        </w:tabs>
        <w:jc w:val="both"/>
        <w:rPr>
          <w:rFonts w:cs="Arial"/>
          <w:sz w:val="20"/>
          <w:szCs w:val="22"/>
        </w:rPr>
      </w:pPr>
      <w:r w:rsidRPr="00114867">
        <w:rPr>
          <w:sz w:val="20"/>
          <w:szCs w:val="22"/>
        </w:rPr>
        <w:t>Datos de</w:t>
      </w:r>
      <w:r w:rsidRPr="00114867">
        <w:rPr>
          <w:b/>
          <w:sz w:val="20"/>
          <w:szCs w:val="22"/>
        </w:rPr>
        <w:t>:</w:t>
      </w:r>
      <w:r w:rsidRPr="00114867">
        <w:rPr>
          <w:sz w:val="20"/>
          <w:szCs w:val="22"/>
        </w:rPr>
        <w:t xml:space="preserve"> (reanálisis basado en las fronteras marítimas dadas arriba): Whitehead, H.; Coakes, A.; Jaquet, N.; y Lusseau, S. (2008). </w:t>
      </w:r>
    </w:p>
    <w:p w14:paraId="7D3F76EC" w14:textId="77777777" w:rsidR="00756FC3" w:rsidRPr="00446C23" w:rsidRDefault="00756FC3" w:rsidP="00756FC3">
      <w:pPr>
        <w:tabs>
          <w:tab w:val="left" w:pos="1020"/>
        </w:tabs>
        <w:rPr>
          <w:rFonts w:cs="Arial"/>
          <w:b/>
          <w:sz w:val="22"/>
          <w:szCs w:val="22"/>
        </w:rPr>
      </w:pPr>
    </w:p>
    <w:p w14:paraId="06C24768" w14:textId="77777777" w:rsidR="00756FC3" w:rsidRPr="00114867" w:rsidRDefault="00756FC3" w:rsidP="00756FC3">
      <w:pPr>
        <w:tabs>
          <w:tab w:val="left" w:pos="1020"/>
        </w:tabs>
        <w:rPr>
          <w:rFonts w:cs="Arial"/>
          <w:sz w:val="22"/>
          <w:szCs w:val="22"/>
        </w:rPr>
      </w:pPr>
      <w:r w:rsidRPr="00114867">
        <w:rPr>
          <w:b/>
          <w:sz w:val="22"/>
          <w:szCs w:val="22"/>
        </w:rPr>
        <w:t>Movimientos de individuos de un clan conocido entre los Estados del área de distribución CMS</w:t>
      </w:r>
    </w:p>
    <w:p w14:paraId="663A0412" w14:textId="77777777" w:rsidR="00756FC3" w:rsidRPr="00446C23" w:rsidRDefault="00756FC3" w:rsidP="00756FC3">
      <w:pPr>
        <w:tabs>
          <w:tab w:val="left" w:pos="1020"/>
        </w:tabs>
        <w:rPr>
          <w:rFonts w:cs="Arial"/>
          <w:sz w:val="22"/>
          <w:szCs w:val="22"/>
        </w:rPr>
      </w:pPr>
    </w:p>
    <w:tbl>
      <w:tblPr>
        <w:tblStyle w:val="TableGrid3"/>
        <w:tblW w:w="0" w:type="auto"/>
        <w:tblInd w:w="828" w:type="dxa"/>
        <w:tblLayout w:type="fixed"/>
        <w:tblLook w:val="04A0" w:firstRow="1" w:lastRow="0" w:firstColumn="1" w:lastColumn="0" w:noHBand="0" w:noVBand="1"/>
      </w:tblPr>
      <w:tblGrid>
        <w:gridCol w:w="1410"/>
        <w:gridCol w:w="1610"/>
        <w:gridCol w:w="2092"/>
        <w:gridCol w:w="1287"/>
        <w:gridCol w:w="965"/>
      </w:tblGrid>
      <w:tr w:rsidR="00F97717" w:rsidRPr="00114867" w14:paraId="1CBC8155" w14:textId="77777777" w:rsidTr="006213D1">
        <w:trPr>
          <w:trHeight w:val="378"/>
        </w:trPr>
        <w:tc>
          <w:tcPr>
            <w:tcW w:w="1410" w:type="dxa"/>
          </w:tcPr>
          <w:p w14:paraId="5ABB1595" w14:textId="77777777" w:rsidR="00F97717" w:rsidRPr="00446C23" w:rsidRDefault="00F97717" w:rsidP="00F97717">
            <w:pPr>
              <w:widowControl/>
              <w:autoSpaceDE/>
              <w:autoSpaceDN/>
              <w:adjustRightInd/>
              <w:rPr>
                <w:rFonts w:ascii="Arial" w:hAnsi="Arial" w:cs="Arial"/>
              </w:rPr>
            </w:pPr>
          </w:p>
        </w:tc>
        <w:tc>
          <w:tcPr>
            <w:tcW w:w="1610" w:type="dxa"/>
          </w:tcPr>
          <w:p w14:paraId="5637D64F" w14:textId="77777777" w:rsidR="00F97717" w:rsidRPr="00114867" w:rsidRDefault="00F97717" w:rsidP="00F97717">
            <w:pPr>
              <w:widowControl/>
              <w:autoSpaceDE/>
              <w:autoSpaceDN/>
              <w:adjustRightInd/>
              <w:rPr>
                <w:rFonts w:ascii="Arial" w:hAnsi="Arial" w:cs="Arial"/>
                <w:b/>
              </w:rPr>
            </w:pPr>
            <w:r w:rsidRPr="00114867">
              <w:rPr>
                <w:rFonts w:ascii="Arial" w:hAnsi="Arial"/>
                <w:b/>
              </w:rPr>
              <w:t>Panamá</w:t>
            </w:r>
          </w:p>
        </w:tc>
        <w:tc>
          <w:tcPr>
            <w:tcW w:w="2092" w:type="dxa"/>
          </w:tcPr>
          <w:p w14:paraId="37258518" w14:textId="77777777" w:rsidR="00F97717" w:rsidRPr="00114867" w:rsidRDefault="00F97717" w:rsidP="00F97717">
            <w:pPr>
              <w:widowControl/>
              <w:autoSpaceDE/>
              <w:autoSpaceDN/>
              <w:adjustRightInd/>
              <w:rPr>
                <w:rFonts w:ascii="Arial" w:hAnsi="Arial" w:cs="Arial"/>
                <w:b/>
              </w:rPr>
            </w:pPr>
            <w:r w:rsidRPr="00114867">
              <w:rPr>
                <w:rFonts w:ascii="Arial" w:hAnsi="Arial"/>
                <w:b/>
              </w:rPr>
              <w:t>Ecuador</w:t>
            </w:r>
          </w:p>
        </w:tc>
        <w:tc>
          <w:tcPr>
            <w:tcW w:w="1287" w:type="dxa"/>
          </w:tcPr>
          <w:p w14:paraId="356FAEE1" w14:textId="77777777" w:rsidR="00F97717" w:rsidRPr="00114867" w:rsidRDefault="00F97717" w:rsidP="00F97717">
            <w:pPr>
              <w:widowControl/>
              <w:autoSpaceDE/>
              <w:autoSpaceDN/>
              <w:adjustRightInd/>
              <w:rPr>
                <w:rFonts w:ascii="Arial" w:hAnsi="Arial" w:cs="Arial"/>
                <w:b/>
              </w:rPr>
            </w:pPr>
            <w:r w:rsidRPr="00114867">
              <w:rPr>
                <w:rFonts w:ascii="Arial" w:hAnsi="Arial"/>
                <w:b/>
              </w:rPr>
              <w:t>Perú</w:t>
            </w:r>
          </w:p>
        </w:tc>
        <w:tc>
          <w:tcPr>
            <w:tcW w:w="965" w:type="dxa"/>
          </w:tcPr>
          <w:p w14:paraId="1894BA51" w14:textId="77777777" w:rsidR="00F97717" w:rsidRPr="00114867" w:rsidRDefault="00F97717" w:rsidP="00F97717">
            <w:pPr>
              <w:widowControl/>
              <w:autoSpaceDE/>
              <w:autoSpaceDN/>
              <w:adjustRightInd/>
              <w:rPr>
                <w:rFonts w:ascii="Arial" w:hAnsi="Arial" w:cs="Arial"/>
                <w:b/>
              </w:rPr>
            </w:pPr>
            <w:r w:rsidRPr="00114867">
              <w:rPr>
                <w:rFonts w:ascii="Arial" w:hAnsi="Arial"/>
                <w:b/>
              </w:rPr>
              <w:t>Chile</w:t>
            </w:r>
          </w:p>
        </w:tc>
      </w:tr>
      <w:tr w:rsidR="00F97717" w:rsidRPr="00114867" w14:paraId="5FE4A928" w14:textId="77777777" w:rsidTr="006213D1">
        <w:trPr>
          <w:trHeight w:val="378"/>
        </w:trPr>
        <w:tc>
          <w:tcPr>
            <w:tcW w:w="1410" w:type="dxa"/>
          </w:tcPr>
          <w:p w14:paraId="06BA4D6F" w14:textId="77777777" w:rsidR="00F97717" w:rsidRPr="00114867" w:rsidRDefault="00F97717" w:rsidP="00F97717">
            <w:pPr>
              <w:widowControl/>
              <w:autoSpaceDE/>
              <w:autoSpaceDN/>
              <w:adjustRightInd/>
              <w:rPr>
                <w:rFonts w:ascii="Arial" w:hAnsi="Arial" w:cs="Arial"/>
                <w:b/>
              </w:rPr>
            </w:pPr>
            <w:r w:rsidRPr="00114867">
              <w:rPr>
                <w:rFonts w:ascii="Arial" w:hAnsi="Arial"/>
                <w:b/>
              </w:rPr>
              <w:t>Panamá</w:t>
            </w:r>
          </w:p>
        </w:tc>
        <w:tc>
          <w:tcPr>
            <w:tcW w:w="1610" w:type="dxa"/>
            <w:shd w:val="clear" w:color="auto" w:fill="BFBFBF" w:themeFill="background1" w:themeFillShade="BF"/>
          </w:tcPr>
          <w:p w14:paraId="34394D9A" w14:textId="77777777" w:rsidR="00F97717" w:rsidRPr="00114867" w:rsidRDefault="00F97717" w:rsidP="00F97717">
            <w:pPr>
              <w:widowControl/>
              <w:autoSpaceDE/>
              <w:autoSpaceDN/>
              <w:adjustRightInd/>
              <w:rPr>
                <w:rFonts w:ascii="Arial" w:hAnsi="Arial" w:cs="Arial"/>
                <w:lang w:val="en-GB"/>
              </w:rPr>
            </w:pPr>
          </w:p>
        </w:tc>
        <w:tc>
          <w:tcPr>
            <w:tcW w:w="2092" w:type="dxa"/>
            <w:shd w:val="clear" w:color="auto" w:fill="BFBFBF" w:themeFill="background1" w:themeFillShade="BF"/>
          </w:tcPr>
          <w:p w14:paraId="1562E237" w14:textId="77777777" w:rsidR="00F97717" w:rsidRPr="00114867" w:rsidRDefault="00F97717" w:rsidP="00F97717">
            <w:pPr>
              <w:widowControl/>
              <w:autoSpaceDE/>
              <w:autoSpaceDN/>
              <w:adjustRightInd/>
              <w:rPr>
                <w:rFonts w:ascii="Arial" w:hAnsi="Arial" w:cs="Arial"/>
                <w:lang w:val="en-GB"/>
              </w:rPr>
            </w:pPr>
          </w:p>
        </w:tc>
        <w:tc>
          <w:tcPr>
            <w:tcW w:w="1287" w:type="dxa"/>
            <w:shd w:val="clear" w:color="auto" w:fill="BFBFBF" w:themeFill="background1" w:themeFillShade="BF"/>
          </w:tcPr>
          <w:p w14:paraId="0D8D2695" w14:textId="77777777" w:rsidR="00F97717" w:rsidRPr="00114867" w:rsidRDefault="00F97717" w:rsidP="00F97717">
            <w:pPr>
              <w:widowControl/>
              <w:autoSpaceDE/>
              <w:autoSpaceDN/>
              <w:adjustRightInd/>
              <w:rPr>
                <w:rFonts w:ascii="Arial" w:hAnsi="Arial" w:cs="Arial"/>
                <w:lang w:val="en-GB"/>
              </w:rPr>
            </w:pPr>
          </w:p>
        </w:tc>
        <w:tc>
          <w:tcPr>
            <w:tcW w:w="965" w:type="dxa"/>
            <w:shd w:val="clear" w:color="auto" w:fill="BFBFBF" w:themeFill="background1" w:themeFillShade="BF"/>
          </w:tcPr>
          <w:p w14:paraId="7B0DEA5B" w14:textId="77777777" w:rsidR="00F97717" w:rsidRPr="00114867" w:rsidRDefault="00F97717" w:rsidP="00F97717">
            <w:pPr>
              <w:widowControl/>
              <w:autoSpaceDE/>
              <w:autoSpaceDN/>
              <w:adjustRightInd/>
              <w:rPr>
                <w:rFonts w:ascii="Arial" w:hAnsi="Arial" w:cs="Arial"/>
                <w:lang w:val="en-GB"/>
              </w:rPr>
            </w:pPr>
          </w:p>
        </w:tc>
      </w:tr>
      <w:tr w:rsidR="00F97717" w:rsidRPr="00114867" w14:paraId="4620509E" w14:textId="77777777" w:rsidTr="006213D1">
        <w:trPr>
          <w:trHeight w:val="378"/>
        </w:trPr>
        <w:tc>
          <w:tcPr>
            <w:tcW w:w="1410" w:type="dxa"/>
          </w:tcPr>
          <w:p w14:paraId="623A465C" w14:textId="77777777" w:rsidR="00F97717" w:rsidRPr="00114867" w:rsidRDefault="00F97717" w:rsidP="00F97717">
            <w:pPr>
              <w:widowControl/>
              <w:autoSpaceDE/>
              <w:autoSpaceDN/>
              <w:adjustRightInd/>
              <w:rPr>
                <w:rFonts w:ascii="Arial" w:hAnsi="Arial" w:cs="Arial"/>
                <w:b/>
              </w:rPr>
            </w:pPr>
            <w:r w:rsidRPr="00114867">
              <w:rPr>
                <w:rFonts w:ascii="Arial" w:hAnsi="Arial"/>
                <w:b/>
              </w:rPr>
              <w:t>Ecuador</w:t>
            </w:r>
          </w:p>
        </w:tc>
        <w:tc>
          <w:tcPr>
            <w:tcW w:w="1610" w:type="dxa"/>
          </w:tcPr>
          <w:p w14:paraId="70AA27A9" w14:textId="77777777" w:rsidR="00F97717" w:rsidRPr="00114867" w:rsidRDefault="00F97717" w:rsidP="00F97717">
            <w:pPr>
              <w:widowControl/>
              <w:autoSpaceDE/>
              <w:autoSpaceDN/>
              <w:adjustRightInd/>
              <w:rPr>
                <w:rFonts w:ascii="Arial" w:hAnsi="Arial" w:cs="Arial"/>
              </w:rPr>
            </w:pPr>
            <w:r w:rsidRPr="00114867">
              <w:rPr>
                <w:rFonts w:ascii="Arial" w:hAnsi="Arial"/>
              </w:rPr>
              <w:t xml:space="preserve">8 </w:t>
            </w:r>
            <w:r w:rsidRPr="00114867">
              <w:rPr>
                <w:rFonts w:ascii="Arial" w:hAnsi="Arial"/>
                <w:i/>
              </w:rPr>
              <w:t>Plus-one</w:t>
            </w:r>
          </w:p>
        </w:tc>
        <w:tc>
          <w:tcPr>
            <w:tcW w:w="2092" w:type="dxa"/>
            <w:shd w:val="clear" w:color="auto" w:fill="BFBFBF" w:themeFill="background1" w:themeFillShade="BF"/>
          </w:tcPr>
          <w:p w14:paraId="4AC08258" w14:textId="77777777" w:rsidR="00F97717" w:rsidRPr="00114867" w:rsidRDefault="00F97717" w:rsidP="00F97717">
            <w:pPr>
              <w:widowControl/>
              <w:autoSpaceDE/>
              <w:autoSpaceDN/>
              <w:adjustRightInd/>
              <w:rPr>
                <w:rFonts w:ascii="Arial" w:hAnsi="Arial" w:cs="Arial"/>
                <w:lang w:val="en-GB"/>
              </w:rPr>
            </w:pPr>
          </w:p>
        </w:tc>
        <w:tc>
          <w:tcPr>
            <w:tcW w:w="1287" w:type="dxa"/>
            <w:shd w:val="clear" w:color="auto" w:fill="BFBFBF" w:themeFill="background1" w:themeFillShade="BF"/>
          </w:tcPr>
          <w:p w14:paraId="56553EDD" w14:textId="77777777" w:rsidR="00F97717" w:rsidRPr="00114867" w:rsidRDefault="00F97717" w:rsidP="00F97717">
            <w:pPr>
              <w:widowControl/>
              <w:autoSpaceDE/>
              <w:autoSpaceDN/>
              <w:adjustRightInd/>
              <w:rPr>
                <w:rFonts w:ascii="Arial" w:hAnsi="Arial" w:cs="Arial"/>
                <w:lang w:val="en-GB"/>
              </w:rPr>
            </w:pPr>
          </w:p>
        </w:tc>
        <w:tc>
          <w:tcPr>
            <w:tcW w:w="965" w:type="dxa"/>
            <w:shd w:val="clear" w:color="auto" w:fill="BFBFBF" w:themeFill="background1" w:themeFillShade="BF"/>
          </w:tcPr>
          <w:p w14:paraId="1F597669" w14:textId="77777777" w:rsidR="00F97717" w:rsidRPr="00114867" w:rsidRDefault="00F97717" w:rsidP="00F97717">
            <w:pPr>
              <w:widowControl/>
              <w:autoSpaceDE/>
              <w:autoSpaceDN/>
              <w:adjustRightInd/>
              <w:rPr>
                <w:rFonts w:ascii="Arial" w:hAnsi="Arial" w:cs="Arial"/>
                <w:lang w:val="en-GB"/>
              </w:rPr>
            </w:pPr>
          </w:p>
        </w:tc>
      </w:tr>
      <w:tr w:rsidR="00F97717" w:rsidRPr="00114867" w14:paraId="06E4D2F4" w14:textId="77777777" w:rsidTr="006213D1">
        <w:trPr>
          <w:trHeight w:val="395"/>
        </w:trPr>
        <w:tc>
          <w:tcPr>
            <w:tcW w:w="1410" w:type="dxa"/>
          </w:tcPr>
          <w:p w14:paraId="60C19942" w14:textId="77777777" w:rsidR="00F97717" w:rsidRPr="00114867" w:rsidRDefault="00F97717" w:rsidP="00F97717">
            <w:pPr>
              <w:widowControl/>
              <w:autoSpaceDE/>
              <w:autoSpaceDN/>
              <w:adjustRightInd/>
              <w:rPr>
                <w:rFonts w:ascii="Arial" w:hAnsi="Arial" w:cs="Arial"/>
                <w:b/>
              </w:rPr>
            </w:pPr>
            <w:r w:rsidRPr="00114867">
              <w:rPr>
                <w:rFonts w:ascii="Arial" w:hAnsi="Arial"/>
                <w:b/>
              </w:rPr>
              <w:t>Perú</w:t>
            </w:r>
          </w:p>
        </w:tc>
        <w:tc>
          <w:tcPr>
            <w:tcW w:w="1610" w:type="dxa"/>
          </w:tcPr>
          <w:p w14:paraId="7E216D56" w14:textId="77777777" w:rsidR="00F97717" w:rsidRPr="00114867" w:rsidRDefault="00F97717" w:rsidP="00F97717">
            <w:pPr>
              <w:widowControl/>
              <w:autoSpaceDE/>
              <w:autoSpaceDN/>
              <w:adjustRightInd/>
              <w:rPr>
                <w:rFonts w:ascii="Arial" w:hAnsi="Arial" w:cs="Arial"/>
                <w:lang w:val="en-GB"/>
              </w:rPr>
            </w:pPr>
          </w:p>
        </w:tc>
        <w:tc>
          <w:tcPr>
            <w:tcW w:w="2092" w:type="dxa"/>
          </w:tcPr>
          <w:p w14:paraId="636C7FD0" w14:textId="77777777" w:rsidR="00F97717" w:rsidRPr="00114867" w:rsidRDefault="00F97717" w:rsidP="00F97717">
            <w:pPr>
              <w:widowControl/>
              <w:autoSpaceDE/>
              <w:autoSpaceDN/>
              <w:adjustRightInd/>
              <w:rPr>
                <w:rFonts w:ascii="Arial" w:hAnsi="Arial" w:cs="Arial"/>
              </w:rPr>
            </w:pPr>
            <w:r w:rsidRPr="00114867">
              <w:rPr>
                <w:rFonts w:ascii="Arial" w:hAnsi="Arial"/>
              </w:rPr>
              <w:t xml:space="preserve">2 </w:t>
            </w:r>
            <w:r w:rsidRPr="00114867">
              <w:rPr>
                <w:rFonts w:ascii="Arial" w:hAnsi="Arial"/>
                <w:i/>
              </w:rPr>
              <w:t>Corto</w:t>
            </w:r>
          </w:p>
        </w:tc>
        <w:tc>
          <w:tcPr>
            <w:tcW w:w="1287" w:type="dxa"/>
            <w:shd w:val="clear" w:color="auto" w:fill="BFBFBF" w:themeFill="background1" w:themeFillShade="BF"/>
          </w:tcPr>
          <w:p w14:paraId="54704D44" w14:textId="77777777" w:rsidR="00F97717" w:rsidRPr="00114867" w:rsidRDefault="00F97717" w:rsidP="00F97717">
            <w:pPr>
              <w:widowControl/>
              <w:autoSpaceDE/>
              <w:autoSpaceDN/>
              <w:adjustRightInd/>
              <w:rPr>
                <w:rFonts w:ascii="Arial" w:hAnsi="Arial" w:cs="Arial"/>
                <w:lang w:val="en-GB"/>
              </w:rPr>
            </w:pPr>
          </w:p>
        </w:tc>
        <w:tc>
          <w:tcPr>
            <w:tcW w:w="965" w:type="dxa"/>
            <w:shd w:val="clear" w:color="auto" w:fill="BFBFBF" w:themeFill="background1" w:themeFillShade="BF"/>
          </w:tcPr>
          <w:p w14:paraId="73510975" w14:textId="77777777" w:rsidR="00F97717" w:rsidRPr="00114867" w:rsidRDefault="00F97717" w:rsidP="00F97717">
            <w:pPr>
              <w:widowControl/>
              <w:autoSpaceDE/>
              <w:autoSpaceDN/>
              <w:adjustRightInd/>
              <w:rPr>
                <w:rFonts w:ascii="Arial" w:hAnsi="Arial" w:cs="Arial"/>
                <w:lang w:val="en-GB"/>
              </w:rPr>
            </w:pPr>
          </w:p>
        </w:tc>
      </w:tr>
      <w:tr w:rsidR="00F97717" w:rsidRPr="00114867" w14:paraId="4A69FCA4" w14:textId="77777777" w:rsidTr="006213D1">
        <w:trPr>
          <w:trHeight w:val="395"/>
        </w:trPr>
        <w:tc>
          <w:tcPr>
            <w:tcW w:w="1410" w:type="dxa"/>
          </w:tcPr>
          <w:p w14:paraId="137DA173" w14:textId="77777777" w:rsidR="00F97717" w:rsidRPr="00114867" w:rsidRDefault="00F97717" w:rsidP="00F97717">
            <w:pPr>
              <w:widowControl/>
              <w:autoSpaceDE/>
              <w:autoSpaceDN/>
              <w:adjustRightInd/>
              <w:rPr>
                <w:rFonts w:ascii="Arial" w:hAnsi="Arial" w:cs="Arial"/>
                <w:b/>
              </w:rPr>
            </w:pPr>
            <w:r w:rsidRPr="00114867">
              <w:rPr>
                <w:rFonts w:ascii="Arial" w:hAnsi="Arial"/>
                <w:b/>
              </w:rPr>
              <w:t>Chile</w:t>
            </w:r>
          </w:p>
        </w:tc>
        <w:tc>
          <w:tcPr>
            <w:tcW w:w="1610" w:type="dxa"/>
          </w:tcPr>
          <w:p w14:paraId="55A78534" w14:textId="77777777" w:rsidR="00F97717" w:rsidRPr="00114867" w:rsidRDefault="00F97717" w:rsidP="00F97717">
            <w:pPr>
              <w:widowControl/>
              <w:autoSpaceDE/>
              <w:autoSpaceDN/>
              <w:adjustRightInd/>
              <w:rPr>
                <w:rFonts w:ascii="Arial" w:hAnsi="Arial" w:cs="Arial"/>
                <w:lang w:val="en-GB"/>
              </w:rPr>
            </w:pPr>
          </w:p>
        </w:tc>
        <w:tc>
          <w:tcPr>
            <w:tcW w:w="2092" w:type="dxa"/>
          </w:tcPr>
          <w:p w14:paraId="16AE0039" w14:textId="77777777" w:rsidR="00F97717" w:rsidRPr="00114867" w:rsidRDefault="00F97717" w:rsidP="00F97717">
            <w:pPr>
              <w:widowControl/>
              <w:autoSpaceDE/>
              <w:autoSpaceDN/>
              <w:adjustRightInd/>
              <w:rPr>
                <w:rFonts w:ascii="Arial" w:hAnsi="Arial" w:cs="Arial"/>
              </w:rPr>
            </w:pPr>
            <w:r w:rsidRPr="00114867">
              <w:rPr>
                <w:rFonts w:ascii="Arial" w:hAnsi="Arial"/>
              </w:rPr>
              <w:t xml:space="preserve">1 </w:t>
            </w:r>
            <w:r w:rsidRPr="00114867">
              <w:rPr>
                <w:rFonts w:ascii="Arial" w:hAnsi="Arial"/>
                <w:i/>
              </w:rPr>
              <w:t>Regular</w:t>
            </w:r>
            <w:r w:rsidRPr="00114867">
              <w:rPr>
                <w:rFonts w:ascii="Arial" w:hAnsi="Arial"/>
              </w:rPr>
              <w:t xml:space="preserve">; 5 </w:t>
            </w:r>
            <w:r w:rsidRPr="00114867">
              <w:rPr>
                <w:rFonts w:ascii="Arial" w:hAnsi="Arial"/>
                <w:i/>
              </w:rPr>
              <w:t>Corto</w:t>
            </w:r>
          </w:p>
        </w:tc>
        <w:tc>
          <w:tcPr>
            <w:tcW w:w="1287" w:type="dxa"/>
          </w:tcPr>
          <w:p w14:paraId="2C4B4680" w14:textId="77777777" w:rsidR="00F97717" w:rsidRPr="00114867" w:rsidRDefault="00F97717" w:rsidP="00F97717">
            <w:pPr>
              <w:widowControl/>
              <w:autoSpaceDE/>
              <w:autoSpaceDN/>
              <w:adjustRightInd/>
              <w:rPr>
                <w:rFonts w:ascii="Arial" w:hAnsi="Arial" w:cs="Arial"/>
              </w:rPr>
            </w:pPr>
            <w:r w:rsidRPr="00114867">
              <w:rPr>
                <w:rFonts w:ascii="Arial" w:hAnsi="Arial"/>
              </w:rPr>
              <w:t xml:space="preserve">1 </w:t>
            </w:r>
            <w:r w:rsidRPr="00114867">
              <w:rPr>
                <w:rFonts w:ascii="Arial" w:hAnsi="Arial"/>
                <w:i/>
              </w:rPr>
              <w:t>Regular</w:t>
            </w:r>
          </w:p>
        </w:tc>
        <w:tc>
          <w:tcPr>
            <w:tcW w:w="965" w:type="dxa"/>
            <w:shd w:val="clear" w:color="auto" w:fill="BFBFBF" w:themeFill="background1" w:themeFillShade="BF"/>
          </w:tcPr>
          <w:p w14:paraId="5EDC7464" w14:textId="77777777" w:rsidR="00F97717" w:rsidRPr="00114867" w:rsidRDefault="00F97717" w:rsidP="00F97717">
            <w:pPr>
              <w:widowControl/>
              <w:autoSpaceDE/>
              <w:autoSpaceDN/>
              <w:adjustRightInd/>
              <w:rPr>
                <w:rFonts w:ascii="Arial" w:hAnsi="Arial" w:cs="Arial"/>
                <w:lang w:val="en-GB"/>
              </w:rPr>
            </w:pPr>
          </w:p>
        </w:tc>
      </w:tr>
    </w:tbl>
    <w:p w14:paraId="5F0DF106" w14:textId="77777777" w:rsidR="00F97717" w:rsidRPr="00114867" w:rsidRDefault="00F97717" w:rsidP="00756FC3">
      <w:pPr>
        <w:tabs>
          <w:tab w:val="left" w:pos="1020"/>
        </w:tabs>
        <w:rPr>
          <w:rFonts w:cs="Arial"/>
          <w:sz w:val="22"/>
          <w:szCs w:val="22"/>
          <w:lang w:val="en-GB"/>
        </w:rPr>
      </w:pPr>
    </w:p>
    <w:p w14:paraId="34E45E07" w14:textId="77777777" w:rsidR="00756FC3" w:rsidRPr="00114867" w:rsidRDefault="00756FC3" w:rsidP="00756FC3">
      <w:pPr>
        <w:tabs>
          <w:tab w:val="left" w:pos="1020"/>
        </w:tabs>
        <w:rPr>
          <w:rFonts w:cs="Arial"/>
          <w:sz w:val="20"/>
          <w:szCs w:val="22"/>
        </w:rPr>
      </w:pPr>
      <w:r w:rsidRPr="00114867">
        <w:rPr>
          <w:sz w:val="20"/>
          <w:szCs w:val="22"/>
        </w:rPr>
        <w:t>Datos de: H. Whitehead (inédito)</w:t>
      </w:r>
    </w:p>
    <w:p w14:paraId="37F80D22" w14:textId="77777777" w:rsidR="00756FC3" w:rsidRPr="00446C23" w:rsidRDefault="00756FC3" w:rsidP="00756FC3">
      <w:pPr>
        <w:tabs>
          <w:tab w:val="left" w:pos="1020"/>
        </w:tabs>
        <w:rPr>
          <w:rFonts w:cs="Arial"/>
          <w:i/>
          <w:sz w:val="22"/>
          <w:szCs w:val="22"/>
        </w:rPr>
      </w:pPr>
    </w:p>
    <w:p w14:paraId="421C9BFB" w14:textId="77777777" w:rsidR="00756FC3" w:rsidRPr="00446C23" w:rsidRDefault="00756FC3" w:rsidP="00756FC3">
      <w:pPr>
        <w:tabs>
          <w:tab w:val="left" w:pos="1020"/>
        </w:tabs>
        <w:rPr>
          <w:rFonts w:cs="Arial"/>
          <w:sz w:val="22"/>
          <w:szCs w:val="22"/>
        </w:rPr>
      </w:pPr>
    </w:p>
    <w:p w14:paraId="5E98C2B9" w14:textId="77777777" w:rsidR="00756FC3" w:rsidRPr="00114867" w:rsidRDefault="00756FC3" w:rsidP="00F97717">
      <w:pPr>
        <w:tabs>
          <w:tab w:val="left" w:pos="1020"/>
        </w:tabs>
        <w:jc w:val="both"/>
        <w:rPr>
          <w:rFonts w:cs="Arial"/>
          <w:b/>
          <w:sz w:val="22"/>
          <w:szCs w:val="22"/>
        </w:rPr>
      </w:pPr>
      <w:r w:rsidRPr="00114867">
        <w:rPr>
          <w:b/>
          <w:sz w:val="22"/>
          <w:szCs w:val="22"/>
        </w:rPr>
        <w:t>B. Actividades y resultados esperados</w:t>
      </w:r>
    </w:p>
    <w:p w14:paraId="25732B8B" w14:textId="77777777" w:rsidR="00756FC3" w:rsidRPr="00446C23" w:rsidRDefault="00756FC3" w:rsidP="00F97717">
      <w:pPr>
        <w:tabs>
          <w:tab w:val="left" w:pos="1020"/>
        </w:tabs>
        <w:jc w:val="both"/>
        <w:rPr>
          <w:rFonts w:cs="Arial"/>
          <w:sz w:val="22"/>
          <w:szCs w:val="22"/>
        </w:rPr>
      </w:pPr>
    </w:p>
    <w:p w14:paraId="4E5A4265" w14:textId="77777777" w:rsidR="00756FC3" w:rsidRPr="00114867" w:rsidRDefault="00756FC3" w:rsidP="00F97717">
      <w:pPr>
        <w:tabs>
          <w:tab w:val="left" w:pos="1020"/>
        </w:tabs>
        <w:jc w:val="both"/>
        <w:rPr>
          <w:rFonts w:cs="Arial"/>
          <w:b/>
          <w:sz w:val="22"/>
          <w:szCs w:val="22"/>
        </w:rPr>
      </w:pPr>
      <w:r w:rsidRPr="00114867">
        <w:rPr>
          <w:b/>
          <w:sz w:val="22"/>
          <w:szCs w:val="22"/>
        </w:rPr>
        <w:t>Actividades institucionales:</w:t>
      </w:r>
    </w:p>
    <w:p w14:paraId="77B200CB" w14:textId="77777777" w:rsidR="00756FC3" w:rsidRPr="00114867" w:rsidRDefault="00756FC3" w:rsidP="00F97717">
      <w:pPr>
        <w:tabs>
          <w:tab w:val="left" w:pos="1020"/>
        </w:tabs>
        <w:jc w:val="both"/>
        <w:rPr>
          <w:rFonts w:cs="Arial"/>
          <w:sz w:val="22"/>
          <w:szCs w:val="22"/>
        </w:rPr>
      </w:pPr>
      <w:r w:rsidRPr="00114867">
        <w:rPr>
          <w:sz w:val="22"/>
          <w:szCs w:val="22"/>
        </w:rPr>
        <w:t>Se propone que, como acción específica correspondiente a la región del Pacífico tropical oriental, en virtud de la acción concertada existente para los cachalotes, se emprenda una acción concertada para los cachalotes del Pacífico tropical oriental, basándose en su cultura, con el objetivo de crear una colaboración entre los Estados del área de distribución para recolectar datos dentro de sus aguas jurisdiccionales (y donde sea posible, más allá). Los elementos clave de esta colaboración serían permitir la identificación de fotos, la monitorización acústica y, en lo posible, la recolección de datos de comportamiento y muestras fecales para dilucidar la estructura social y las diferencias del éxito entre clanes en la búsqueda de alimento. La monitorización acústica pasiva será particularmente útil ya que la presencia de los cachalotes y su pertenencia a un clan ahora puede ser detectada de manera autónoma en grandes escalas espaciales y temporales (Rendell y Whitehead, 2004; Zimmer, 2011). Los datos ecológicos adicionales —incluyendo la monitorización ambiental y la distribución de presas— también serían muy valiosos. El líder científico de esta colaboración (Dr. Luke Rendell) volvería a informar en la próxima Conferencia de las Partes de la CMS en 2020.</w:t>
      </w:r>
    </w:p>
    <w:p w14:paraId="02D55F5D" w14:textId="77777777" w:rsidR="00BC5BD9" w:rsidRPr="00446C23" w:rsidRDefault="00BC5BD9" w:rsidP="00F97717">
      <w:pPr>
        <w:tabs>
          <w:tab w:val="left" w:pos="1020"/>
        </w:tabs>
        <w:jc w:val="both"/>
        <w:rPr>
          <w:rFonts w:cs="Arial"/>
          <w:sz w:val="22"/>
          <w:szCs w:val="22"/>
        </w:rPr>
      </w:pPr>
    </w:p>
    <w:p w14:paraId="4EB830C0" w14:textId="77777777" w:rsidR="00756FC3" w:rsidRPr="00114867" w:rsidRDefault="00756FC3" w:rsidP="00F97717">
      <w:pPr>
        <w:tabs>
          <w:tab w:val="left" w:pos="1020"/>
        </w:tabs>
        <w:jc w:val="both"/>
        <w:rPr>
          <w:rFonts w:cs="Arial"/>
          <w:sz w:val="22"/>
          <w:szCs w:val="22"/>
        </w:rPr>
      </w:pPr>
      <w:r w:rsidRPr="00114867">
        <w:rPr>
          <w:sz w:val="22"/>
          <w:szCs w:val="22"/>
        </w:rPr>
        <w:t xml:space="preserve">Los objetivos estratégicos de esta colaboración serían obtener información más detallada </w:t>
      </w:r>
      <w:r w:rsidRPr="00114867">
        <w:rPr>
          <w:sz w:val="22"/>
          <w:szCs w:val="22"/>
        </w:rPr>
        <w:lastRenderedPageBreak/>
        <w:t xml:space="preserve">sobre la estructura social, el comportamiento alimenticio y la segregación acústica de los cachalotes en el Pacífico tropical oriental para determinar si estos clanes se deben conservar por separado (según sus diferentes respuestas a las presiones ambientales) y cómo se deben conservar.  Por ejemplo, la investigación continua en la región acerca del éxito en la búsqueda de alimento durante diferentes condiciones ambientales se podría utilizar para proyectar las tasas de crecimiento relativo de la población esperada de los clanes que difieren en las estrategias de alimentación. </w:t>
      </w:r>
    </w:p>
    <w:p w14:paraId="0B3317E9" w14:textId="77777777" w:rsidR="00BC5BD9" w:rsidRPr="00446C23" w:rsidRDefault="00BC5BD9" w:rsidP="00F97717">
      <w:pPr>
        <w:tabs>
          <w:tab w:val="left" w:pos="1020"/>
        </w:tabs>
        <w:jc w:val="both"/>
        <w:rPr>
          <w:rFonts w:cs="Arial"/>
          <w:sz w:val="22"/>
          <w:szCs w:val="22"/>
        </w:rPr>
      </w:pPr>
    </w:p>
    <w:p w14:paraId="42290E2D" w14:textId="77777777" w:rsidR="00965F97" w:rsidRPr="00114867" w:rsidRDefault="00756FC3" w:rsidP="00F97717">
      <w:pPr>
        <w:tabs>
          <w:tab w:val="left" w:pos="1020"/>
        </w:tabs>
        <w:jc w:val="both"/>
        <w:rPr>
          <w:rFonts w:cs="Arial"/>
          <w:sz w:val="22"/>
          <w:szCs w:val="22"/>
        </w:rPr>
      </w:pPr>
      <w:r w:rsidRPr="00114867">
        <w:rPr>
          <w:sz w:val="22"/>
          <w:szCs w:val="22"/>
        </w:rPr>
        <w:t>La función principal de las partes de la CMS sería facilitar —cuando sea posible y apropiado— la colaboración entre institutos e investigadores.</w:t>
      </w:r>
    </w:p>
    <w:p w14:paraId="3C11A798" w14:textId="77777777" w:rsidR="00965F97" w:rsidRPr="00446C23" w:rsidRDefault="00965F97" w:rsidP="00F97717">
      <w:pPr>
        <w:tabs>
          <w:tab w:val="left" w:pos="1020"/>
        </w:tabs>
        <w:jc w:val="both"/>
        <w:rPr>
          <w:rFonts w:cs="Arial"/>
          <w:sz w:val="22"/>
          <w:szCs w:val="22"/>
        </w:rPr>
      </w:pPr>
    </w:p>
    <w:p w14:paraId="0C57447E" w14:textId="77777777" w:rsidR="00756FC3" w:rsidRPr="00114867" w:rsidRDefault="00756FC3" w:rsidP="00F97717">
      <w:pPr>
        <w:tabs>
          <w:tab w:val="left" w:pos="1020"/>
        </w:tabs>
        <w:jc w:val="both"/>
        <w:rPr>
          <w:rFonts w:cs="Arial"/>
          <w:b/>
          <w:sz w:val="22"/>
          <w:szCs w:val="22"/>
        </w:rPr>
      </w:pPr>
      <w:r w:rsidRPr="00114867">
        <w:rPr>
          <w:b/>
          <w:sz w:val="22"/>
          <w:szCs w:val="22"/>
        </w:rPr>
        <w:t>Resultados:</w:t>
      </w:r>
    </w:p>
    <w:p w14:paraId="0AEB5A30" w14:textId="77777777" w:rsidR="00756FC3" w:rsidRPr="00114867" w:rsidRDefault="00756FC3" w:rsidP="00F97717">
      <w:pPr>
        <w:tabs>
          <w:tab w:val="left" w:pos="1020"/>
        </w:tabs>
        <w:jc w:val="both"/>
        <w:rPr>
          <w:rFonts w:cs="Arial"/>
          <w:sz w:val="22"/>
          <w:szCs w:val="22"/>
        </w:rPr>
      </w:pPr>
      <w:r w:rsidRPr="00114867">
        <w:rPr>
          <w:sz w:val="22"/>
          <w:szCs w:val="22"/>
        </w:rPr>
        <w:t>Fomentar la creación de capacidad y la colaboración entre las instituciones académicas y los Estados del área de distribución, utilizando métodos de investigación integrados. Esta es una investigación particularmente importante porque proporcionará información sobre cómo se deben gestionar estos (y otros) animales altamente sociales y de larga vida. Por ejemplo, proporcionar información sobre si los clanes acústicos de los cachalotes se deben gestionar por separado (como unidades socialmente significativas). Este enfoque contrasta con las definiciones geográficas de la estructura de las poblaciones, que pueden no captar la dinámica de los clanes simpáticos.</w:t>
      </w:r>
    </w:p>
    <w:p w14:paraId="01EF90B3" w14:textId="77777777" w:rsidR="00BC5BD9" w:rsidRPr="00446C23" w:rsidRDefault="00BC5BD9" w:rsidP="00F97717">
      <w:pPr>
        <w:tabs>
          <w:tab w:val="left" w:pos="1020"/>
        </w:tabs>
        <w:jc w:val="both"/>
        <w:rPr>
          <w:rFonts w:cs="Arial"/>
          <w:sz w:val="22"/>
          <w:szCs w:val="22"/>
        </w:rPr>
      </w:pPr>
    </w:p>
    <w:p w14:paraId="5E8ECB6A" w14:textId="77777777" w:rsidR="00756FC3" w:rsidRPr="00114867" w:rsidRDefault="00756FC3" w:rsidP="00F97717">
      <w:pPr>
        <w:tabs>
          <w:tab w:val="left" w:pos="1020"/>
        </w:tabs>
        <w:jc w:val="both"/>
        <w:rPr>
          <w:rFonts w:cs="Arial"/>
          <w:i/>
          <w:sz w:val="22"/>
          <w:szCs w:val="22"/>
        </w:rPr>
      </w:pPr>
      <w:r w:rsidRPr="00114867">
        <w:rPr>
          <w:sz w:val="22"/>
          <w:szCs w:val="22"/>
        </w:rPr>
        <w:t>Determinar si son necesarias acciones concertadas más específicas para estas unidades culturales de ballenas, a fin de prestar mayor atención a las medidas de conservación necesarias.  Esto garantizará que la política de conservación sea coherente con los conocimientos científicos más actualizados sobre cómo se organizan las poblaciones de estas especies difíciles de estudiar, y cómo pueden responder a las amenazas antropogénicas y a las acciones de conservación.</w:t>
      </w:r>
    </w:p>
    <w:p w14:paraId="271E77AE" w14:textId="77777777" w:rsidR="00BC5BD9" w:rsidRPr="00446C23" w:rsidRDefault="00BC5BD9" w:rsidP="00F97717">
      <w:pPr>
        <w:tabs>
          <w:tab w:val="left" w:pos="1020"/>
        </w:tabs>
        <w:jc w:val="both"/>
        <w:rPr>
          <w:rFonts w:cs="Arial"/>
          <w:sz w:val="22"/>
          <w:szCs w:val="22"/>
        </w:rPr>
      </w:pPr>
    </w:p>
    <w:p w14:paraId="56E21458" w14:textId="77777777" w:rsidR="00BC5BD9" w:rsidRPr="00446C23" w:rsidRDefault="00BC5BD9" w:rsidP="00F97717">
      <w:pPr>
        <w:tabs>
          <w:tab w:val="left" w:pos="1020"/>
        </w:tabs>
        <w:jc w:val="both"/>
        <w:rPr>
          <w:rFonts w:cs="Arial"/>
          <w:sz w:val="22"/>
          <w:szCs w:val="22"/>
        </w:rPr>
      </w:pPr>
    </w:p>
    <w:p w14:paraId="3A334E68" w14:textId="77777777" w:rsidR="00756FC3" w:rsidRPr="00114867" w:rsidRDefault="00756FC3" w:rsidP="00F97717">
      <w:pPr>
        <w:tabs>
          <w:tab w:val="left" w:pos="1020"/>
        </w:tabs>
        <w:jc w:val="both"/>
        <w:rPr>
          <w:rFonts w:cs="Arial"/>
          <w:b/>
          <w:sz w:val="22"/>
          <w:szCs w:val="22"/>
        </w:rPr>
      </w:pPr>
      <w:r w:rsidRPr="00114867">
        <w:rPr>
          <w:b/>
          <w:sz w:val="22"/>
          <w:szCs w:val="22"/>
        </w:rPr>
        <w:t>C. Cronograma</w:t>
      </w:r>
    </w:p>
    <w:p w14:paraId="5D53CED6" w14:textId="77777777" w:rsidR="00756FC3" w:rsidRPr="00114867" w:rsidRDefault="00756FC3" w:rsidP="00F97717">
      <w:pPr>
        <w:tabs>
          <w:tab w:val="left" w:pos="1020"/>
        </w:tabs>
        <w:jc w:val="both"/>
        <w:rPr>
          <w:rFonts w:cs="Arial"/>
          <w:sz w:val="22"/>
          <w:szCs w:val="22"/>
          <w:lang w:val="en-GB"/>
        </w:rPr>
      </w:pPr>
    </w:p>
    <w:p w14:paraId="7332C686" w14:textId="77777777" w:rsidR="00756FC3" w:rsidRPr="00114867" w:rsidRDefault="00756FC3" w:rsidP="00F97717">
      <w:pPr>
        <w:tabs>
          <w:tab w:val="left" w:pos="1020"/>
        </w:tabs>
        <w:jc w:val="both"/>
        <w:rPr>
          <w:rFonts w:cs="Arial"/>
          <w:b/>
          <w:sz w:val="22"/>
          <w:szCs w:val="22"/>
        </w:rPr>
      </w:pPr>
      <w:r w:rsidRPr="00114867">
        <w:rPr>
          <w:b/>
          <w:sz w:val="22"/>
          <w:szCs w:val="22"/>
        </w:rPr>
        <w:t>Hitos</w:t>
      </w:r>
    </w:p>
    <w:p w14:paraId="7DF6FA43" w14:textId="77777777" w:rsidR="00756FC3" w:rsidRPr="00114867" w:rsidRDefault="00756FC3" w:rsidP="00F97717">
      <w:pPr>
        <w:numPr>
          <w:ilvl w:val="0"/>
          <w:numId w:val="11"/>
        </w:numPr>
        <w:tabs>
          <w:tab w:val="left" w:pos="1020"/>
        </w:tabs>
        <w:jc w:val="both"/>
        <w:rPr>
          <w:rFonts w:cs="Arial"/>
          <w:sz w:val="22"/>
          <w:szCs w:val="22"/>
        </w:rPr>
      </w:pPr>
      <w:r w:rsidRPr="00114867">
        <w:rPr>
          <w:sz w:val="22"/>
          <w:szCs w:val="22"/>
        </w:rPr>
        <w:t>Acuerdo en la COP de 2017 en que los clanes de cachalotes del Pacífico tropical oriental deben entrar en el proceso de acción concertada sobre la base de un comportamiento socialmente aprendido que los segrega y puede requerir que sean administrados como segmentos de población distintos</w:t>
      </w:r>
    </w:p>
    <w:p w14:paraId="06EBD8A6" w14:textId="77777777" w:rsidR="00756FC3" w:rsidRPr="00114867" w:rsidRDefault="00756FC3" w:rsidP="00F97717">
      <w:pPr>
        <w:numPr>
          <w:ilvl w:val="0"/>
          <w:numId w:val="11"/>
        </w:numPr>
        <w:tabs>
          <w:tab w:val="left" w:pos="1020"/>
        </w:tabs>
        <w:jc w:val="both"/>
        <w:rPr>
          <w:rFonts w:cs="Arial"/>
          <w:sz w:val="22"/>
          <w:szCs w:val="22"/>
        </w:rPr>
      </w:pPr>
      <w:r w:rsidRPr="00114867">
        <w:rPr>
          <w:sz w:val="22"/>
          <w:szCs w:val="22"/>
        </w:rPr>
        <w:t>Líder del proyecto analiza la colaboración preliminar entre los institutos pertinentes (a más tardar el 20 de diciembre de 2017).</w:t>
      </w:r>
    </w:p>
    <w:p w14:paraId="20E318F8" w14:textId="77777777" w:rsidR="00756FC3" w:rsidRPr="00114867" w:rsidRDefault="00756FC3" w:rsidP="00F97717">
      <w:pPr>
        <w:numPr>
          <w:ilvl w:val="0"/>
          <w:numId w:val="11"/>
        </w:numPr>
        <w:tabs>
          <w:tab w:val="left" w:pos="1020"/>
        </w:tabs>
        <w:jc w:val="both"/>
        <w:rPr>
          <w:rFonts w:cs="Arial"/>
          <w:sz w:val="22"/>
          <w:szCs w:val="22"/>
        </w:rPr>
      </w:pPr>
      <w:r w:rsidRPr="00114867">
        <w:rPr>
          <w:sz w:val="22"/>
          <w:szCs w:val="22"/>
        </w:rPr>
        <w:t>Requisitos de financiación determinados y recursos garantizados (a más tardar el 30 de octubre de 2018)</w:t>
      </w:r>
    </w:p>
    <w:p w14:paraId="4341B291" w14:textId="77777777" w:rsidR="00756FC3" w:rsidRPr="00114867" w:rsidRDefault="00756FC3" w:rsidP="00F97717">
      <w:pPr>
        <w:numPr>
          <w:ilvl w:val="0"/>
          <w:numId w:val="11"/>
        </w:numPr>
        <w:tabs>
          <w:tab w:val="left" w:pos="1020"/>
        </w:tabs>
        <w:jc w:val="both"/>
        <w:rPr>
          <w:rFonts w:cs="Arial"/>
          <w:sz w:val="22"/>
          <w:szCs w:val="22"/>
        </w:rPr>
      </w:pPr>
      <w:r w:rsidRPr="00114867">
        <w:rPr>
          <w:sz w:val="22"/>
          <w:szCs w:val="22"/>
        </w:rPr>
        <w:t>Líder del proyecto facilita la recopilación de datos de acuerdo con el protocolo estandarizado de recopilación de datos (a más tardar en junio de 2019).</w:t>
      </w:r>
    </w:p>
    <w:p w14:paraId="4A6C41A9" w14:textId="77777777" w:rsidR="00756FC3" w:rsidRPr="00114867" w:rsidRDefault="00756FC3" w:rsidP="00F97717">
      <w:pPr>
        <w:numPr>
          <w:ilvl w:val="0"/>
          <w:numId w:val="11"/>
        </w:numPr>
        <w:tabs>
          <w:tab w:val="left" w:pos="1020"/>
        </w:tabs>
        <w:jc w:val="both"/>
        <w:rPr>
          <w:rFonts w:cs="Arial"/>
          <w:sz w:val="22"/>
          <w:szCs w:val="22"/>
        </w:rPr>
      </w:pPr>
      <w:r w:rsidRPr="00114867">
        <w:rPr>
          <w:sz w:val="22"/>
          <w:szCs w:val="22"/>
        </w:rPr>
        <w:t>El líder del proyecto analiza e informa el resultado preliminar al Consejo Científico y a la COP de la CMS en 2020</w:t>
      </w:r>
    </w:p>
    <w:p w14:paraId="361FDA32" w14:textId="77777777" w:rsidR="00756FC3" w:rsidRPr="00114867" w:rsidRDefault="00756FC3" w:rsidP="00F97717">
      <w:pPr>
        <w:numPr>
          <w:ilvl w:val="0"/>
          <w:numId w:val="11"/>
        </w:numPr>
        <w:tabs>
          <w:tab w:val="left" w:pos="1020"/>
        </w:tabs>
        <w:jc w:val="both"/>
        <w:rPr>
          <w:rFonts w:cs="Arial"/>
          <w:sz w:val="22"/>
          <w:szCs w:val="22"/>
        </w:rPr>
      </w:pPr>
      <w:r w:rsidRPr="00114867">
        <w:rPr>
          <w:sz w:val="22"/>
          <w:szCs w:val="22"/>
        </w:rPr>
        <w:t>Siguientes pasos en relación con la conservación esperada de los cachalotes (2020)</w:t>
      </w:r>
    </w:p>
    <w:p w14:paraId="7F0275EB" w14:textId="77777777" w:rsidR="00756FC3" w:rsidRPr="00446C23" w:rsidRDefault="00756FC3" w:rsidP="00F97717">
      <w:pPr>
        <w:tabs>
          <w:tab w:val="left" w:pos="1020"/>
        </w:tabs>
        <w:jc w:val="both"/>
        <w:rPr>
          <w:rFonts w:cs="Arial"/>
          <w:sz w:val="22"/>
          <w:szCs w:val="22"/>
        </w:rPr>
      </w:pPr>
    </w:p>
    <w:p w14:paraId="1C72BCB2" w14:textId="77777777" w:rsidR="00756FC3" w:rsidRPr="00114867" w:rsidRDefault="00756FC3" w:rsidP="00F97717">
      <w:pPr>
        <w:tabs>
          <w:tab w:val="left" w:pos="1020"/>
        </w:tabs>
        <w:jc w:val="both"/>
        <w:rPr>
          <w:rFonts w:cs="Arial"/>
          <w:b/>
          <w:sz w:val="22"/>
          <w:szCs w:val="22"/>
        </w:rPr>
      </w:pPr>
      <w:r w:rsidRPr="00114867">
        <w:rPr>
          <w:b/>
          <w:sz w:val="22"/>
          <w:szCs w:val="22"/>
        </w:rPr>
        <w:t>D. Adopción de medidas</w:t>
      </w:r>
    </w:p>
    <w:p w14:paraId="78BDCA1C" w14:textId="77777777" w:rsidR="00756FC3" w:rsidRPr="00446C23" w:rsidRDefault="00756FC3" w:rsidP="00F97717">
      <w:pPr>
        <w:tabs>
          <w:tab w:val="left" w:pos="1020"/>
        </w:tabs>
        <w:jc w:val="both"/>
        <w:rPr>
          <w:rFonts w:cs="Arial"/>
          <w:sz w:val="22"/>
          <w:szCs w:val="22"/>
        </w:rPr>
      </w:pPr>
    </w:p>
    <w:p w14:paraId="23FF7F06" w14:textId="77777777" w:rsidR="00756FC3" w:rsidRPr="00114867" w:rsidRDefault="00756FC3" w:rsidP="00F97717">
      <w:pPr>
        <w:tabs>
          <w:tab w:val="left" w:pos="1020"/>
        </w:tabs>
        <w:jc w:val="both"/>
        <w:rPr>
          <w:rFonts w:cs="Arial"/>
          <w:b/>
          <w:sz w:val="22"/>
          <w:szCs w:val="22"/>
        </w:rPr>
      </w:pPr>
      <w:r w:rsidRPr="00114867">
        <w:rPr>
          <w:b/>
          <w:sz w:val="22"/>
          <w:szCs w:val="22"/>
        </w:rPr>
        <w:t>(i) Prioridad de conservación</w:t>
      </w:r>
    </w:p>
    <w:p w14:paraId="1BB8BD8F" w14:textId="77777777" w:rsidR="00756FC3" w:rsidRPr="00114867" w:rsidRDefault="00756FC3" w:rsidP="00F97717">
      <w:pPr>
        <w:tabs>
          <w:tab w:val="left" w:pos="1020"/>
        </w:tabs>
        <w:jc w:val="both"/>
        <w:rPr>
          <w:rFonts w:cs="Arial"/>
          <w:sz w:val="22"/>
          <w:szCs w:val="22"/>
        </w:rPr>
      </w:pPr>
      <w:r w:rsidRPr="00114867">
        <w:rPr>
          <w:sz w:val="22"/>
          <w:szCs w:val="22"/>
        </w:rPr>
        <w:t xml:space="preserve">En 2014, la CMS y el WDC organizaron conjuntamente en la Sociedad Linneana de Londres un taller sobre las implicaciones de la cultura de los cetáceos en la conservación (CMS, 2014). El taller culminó con la adopción de la Resolución 11.23 sobre las implicaciones de la conservación de la cultura de los cetáceos, adoptada en la COP11 (UNEP/CMS/COP11/Resolución 11.23). En la Resolución se pidió al Consejo Científico que estableciera un grupo de trabajo de expertos entre periodos de sesiones que abordaran las implicaciones de la cultura y la complejidad social en relación con la conservación, con especial atención en los cetáceos (aunque no limitada solo a ellos). Las deliberaciones de </w:t>
      </w:r>
      <w:r w:rsidRPr="00114867">
        <w:rPr>
          <w:sz w:val="22"/>
          <w:szCs w:val="22"/>
        </w:rPr>
        <w:lastRenderedPageBreak/>
        <w:t>este grupo de expertos se describen en el informe “Grupo de trabajo de expertos de la CMS sobre el informe entre sesiones de la cultura” al que se adjunta este estudio de caso.</w:t>
      </w:r>
    </w:p>
    <w:p w14:paraId="194CC927" w14:textId="77777777" w:rsidR="00756FC3" w:rsidRPr="00446C23" w:rsidRDefault="00756FC3" w:rsidP="00F97717">
      <w:pPr>
        <w:tabs>
          <w:tab w:val="left" w:pos="1020"/>
        </w:tabs>
        <w:jc w:val="both"/>
        <w:rPr>
          <w:rFonts w:cs="Arial"/>
          <w:sz w:val="22"/>
          <w:szCs w:val="22"/>
        </w:rPr>
      </w:pPr>
    </w:p>
    <w:p w14:paraId="31CDAB78" w14:textId="77777777" w:rsidR="00756FC3" w:rsidRPr="00114867" w:rsidRDefault="00756FC3" w:rsidP="00F97717">
      <w:pPr>
        <w:tabs>
          <w:tab w:val="left" w:pos="1020"/>
        </w:tabs>
        <w:jc w:val="both"/>
        <w:rPr>
          <w:rFonts w:cs="Arial"/>
          <w:sz w:val="22"/>
          <w:szCs w:val="22"/>
        </w:rPr>
      </w:pPr>
      <w:r w:rsidRPr="00114867">
        <w:rPr>
          <w:sz w:val="22"/>
          <w:szCs w:val="22"/>
        </w:rPr>
        <w:t>El grupo de expertos discutió varios casos en los que el conocimiento social puede generar ya sea vulnerabilidad o resiliencia al cambio antropogénico. Con el fin de destilar algunos consejos de gestión práctica en esta creciente área de la ciencia de la conservación, se convino en que los estudios de casos podrían proporcionar las mejores ideas, ya que cada instancia de aprendizaje social y de interacción con el medio ambiente puede ser única.</w:t>
      </w:r>
    </w:p>
    <w:p w14:paraId="3A37ED51" w14:textId="77777777" w:rsidR="00756FC3" w:rsidRPr="00446C23" w:rsidRDefault="00756FC3" w:rsidP="00F97717">
      <w:pPr>
        <w:tabs>
          <w:tab w:val="left" w:pos="1020"/>
        </w:tabs>
        <w:jc w:val="both"/>
        <w:rPr>
          <w:rFonts w:cs="Arial"/>
          <w:sz w:val="22"/>
          <w:szCs w:val="22"/>
        </w:rPr>
      </w:pPr>
    </w:p>
    <w:p w14:paraId="0E980449" w14:textId="77777777" w:rsidR="00756FC3" w:rsidRPr="00114867" w:rsidRDefault="00756FC3" w:rsidP="00F97717">
      <w:pPr>
        <w:tabs>
          <w:tab w:val="left" w:pos="1020"/>
        </w:tabs>
        <w:jc w:val="both"/>
        <w:rPr>
          <w:rFonts w:cs="Arial"/>
          <w:sz w:val="22"/>
          <w:szCs w:val="22"/>
        </w:rPr>
      </w:pPr>
      <w:r w:rsidRPr="00114867">
        <w:rPr>
          <w:sz w:val="22"/>
          <w:szCs w:val="22"/>
        </w:rPr>
        <w:t>Para ello, se consideró que los cachalotes del Pacífico tropical oriental eran un estudio de caso adecuado, ya que hay buena evidencia de aprendizaje social relevante para su conservación a través de varios dominios conductuales.</w:t>
      </w:r>
    </w:p>
    <w:p w14:paraId="78E91F69" w14:textId="77777777" w:rsidR="00756FC3" w:rsidRPr="00446C23" w:rsidRDefault="00756FC3" w:rsidP="00F97717">
      <w:pPr>
        <w:tabs>
          <w:tab w:val="left" w:pos="1020"/>
        </w:tabs>
        <w:jc w:val="both"/>
        <w:rPr>
          <w:rFonts w:cs="Arial"/>
          <w:sz w:val="22"/>
          <w:szCs w:val="22"/>
        </w:rPr>
      </w:pPr>
    </w:p>
    <w:p w14:paraId="2266F682" w14:textId="77777777" w:rsidR="00BC5BD9" w:rsidRPr="00114867" w:rsidRDefault="00BC5BD9">
      <w:pPr>
        <w:widowControl/>
        <w:autoSpaceDE/>
        <w:autoSpaceDN/>
        <w:adjustRightInd/>
        <w:rPr>
          <w:rFonts w:cs="Arial"/>
          <w:b/>
          <w:sz w:val="22"/>
          <w:szCs w:val="22"/>
        </w:rPr>
      </w:pPr>
    </w:p>
    <w:p w14:paraId="630B9A56" w14:textId="77777777" w:rsidR="00756FC3" w:rsidRPr="00114867" w:rsidRDefault="00756FC3" w:rsidP="00F97717">
      <w:pPr>
        <w:tabs>
          <w:tab w:val="left" w:pos="1020"/>
        </w:tabs>
        <w:jc w:val="both"/>
        <w:rPr>
          <w:rFonts w:cs="Arial"/>
          <w:b/>
          <w:sz w:val="22"/>
          <w:szCs w:val="22"/>
        </w:rPr>
      </w:pPr>
      <w:r w:rsidRPr="00114867">
        <w:rPr>
          <w:b/>
          <w:sz w:val="22"/>
          <w:szCs w:val="22"/>
        </w:rPr>
        <w:t>Diferencias de comportamiento socialmente aprendido (cultural) entre los clanes de cachalotes del Pacífico tropical oriental</w:t>
      </w:r>
    </w:p>
    <w:p w14:paraId="4F2CCF86" w14:textId="77777777" w:rsidR="00756FC3" w:rsidRPr="00446C23" w:rsidRDefault="00756FC3" w:rsidP="00756FC3">
      <w:pPr>
        <w:tabs>
          <w:tab w:val="left" w:pos="1020"/>
        </w:tabs>
        <w:rPr>
          <w:rFonts w:cs="Arial"/>
          <w:sz w:val="22"/>
          <w:szCs w:val="22"/>
        </w:rPr>
      </w:pPr>
    </w:p>
    <w:tbl>
      <w:tblPr>
        <w:tblStyle w:val="TableGrid4"/>
        <w:tblW w:w="5000" w:type="pct"/>
        <w:tblLook w:val="04A0" w:firstRow="1" w:lastRow="0" w:firstColumn="1" w:lastColumn="0" w:noHBand="0" w:noVBand="1"/>
      </w:tblPr>
      <w:tblGrid>
        <w:gridCol w:w="5483"/>
        <w:gridCol w:w="1413"/>
        <w:gridCol w:w="2403"/>
      </w:tblGrid>
      <w:tr w:rsidR="00BC5BD9" w:rsidRPr="00114867" w14:paraId="596CF89E" w14:textId="77777777" w:rsidTr="00BC5BD9">
        <w:trPr>
          <w:trHeight w:val="605"/>
        </w:trPr>
        <w:tc>
          <w:tcPr>
            <w:tcW w:w="2947" w:type="pct"/>
          </w:tcPr>
          <w:p w14:paraId="0522324E" w14:textId="77777777" w:rsidR="00BC5BD9" w:rsidRPr="00114867" w:rsidRDefault="00BC5BD9" w:rsidP="00BC5BD9">
            <w:pPr>
              <w:widowControl/>
              <w:autoSpaceDE/>
              <w:autoSpaceDN/>
              <w:adjustRightInd/>
              <w:rPr>
                <w:rFonts w:ascii="Arial" w:hAnsi="Arial" w:cs="Arial"/>
                <w:b/>
              </w:rPr>
            </w:pPr>
            <w:r w:rsidRPr="00114867">
              <w:rPr>
                <w:rFonts w:ascii="Arial" w:hAnsi="Arial"/>
                <w:b/>
              </w:rPr>
              <w:t>Rasgo</w:t>
            </w:r>
          </w:p>
        </w:tc>
        <w:tc>
          <w:tcPr>
            <w:tcW w:w="760" w:type="pct"/>
          </w:tcPr>
          <w:p w14:paraId="0BF0A006" w14:textId="77777777" w:rsidR="00BC5BD9" w:rsidRPr="00114867" w:rsidRDefault="00BC5BD9" w:rsidP="00BC5BD9">
            <w:pPr>
              <w:widowControl/>
              <w:autoSpaceDE/>
              <w:autoSpaceDN/>
              <w:adjustRightInd/>
              <w:rPr>
                <w:rFonts w:ascii="Arial" w:hAnsi="Arial" w:cs="Arial"/>
                <w:b/>
              </w:rPr>
            </w:pPr>
            <w:r w:rsidRPr="00114867">
              <w:rPr>
                <w:rFonts w:ascii="Arial" w:hAnsi="Arial"/>
                <w:b/>
              </w:rPr>
              <w:t>Fuerza de la evidencia</w:t>
            </w:r>
          </w:p>
        </w:tc>
        <w:tc>
          <w:tcPr>
            <w:tcW w:w="1292" w:type="pct"/>
          </w:tcPr>
          <w:p w14:paraId="2937B6CF" w14:textId="77777777" w:rsidR="00BC5BD9" w:rsidRPr="00114867" w:rsidRDefault="00BC5BD9" w:rsidP="00BC5BD9">
            <w:pPr>
              <w:widowControl/>
              <w:autoSpaceDE/>
              <w:autoSpaceDN/>
              <w:adjustRightInd/>
              <w:rPr>
                <w:rFonts w:ascii="Arial" w:hAnsi="Arial" w:cs="Arial"/>
                <w:b/>
              </w:rPr>
            </w:pPr>
            <w:r w:rsidRPr="00114867">
              <w:rPr>
                <w:rFonts w:ascii="Arial" w:hAnsi="Arial"/>
                <w:b/>
              </w:rPr>
              <w:t>Referencia</w:t>
            </w:r>
          </w:p>
        </w:tc>
      </w:tr>
      <w:tr w:rsidR="00BC5BD9" w:rsidRPr="00114867" w14:paraId="0B4C4718" w14:textId="77777777" w:rsidTr="00BC5BD9">
        <w:trPr>
          <w:trHeight w:val="316"/>
        </w:trPr>
        <w:tc>
          <w:tcPr>
            <w:tcW w:w="2947" w:type="pct"/>
          </w:tcPr>
          <w:p w14:paraId="448AA1EF" w14:textId="77777777" w:rsidR="00BC5BD9" w:rsidRPr="00114867" w:rsidRDefault="00BC5BD9" w:rsidP="00BC5BD9">
            <w:pPr>
              <w:widowControl/>
              <w:autoSpaceDE/>
              <w:autoSpaceDN/>
              <w:adjustRightInd/>
              <w:rPr>
                <w:rFonts w:ascii="Arial" w:hAnsi="Arial" w:cs="Arial"/>
              </w:rPr>
            </w:pPr>
            <w:r w:rsidRPr="00114867">
              <w:rPr>
                <w:rFonts w:ascii="Arial" w:hAnsi="Arial"/>
              </w:rPr>
              <w:t>Dialecto de codas</w:t>
            </w:r>
          </w:p>
        </w:tc>
        <w:tc>
          <w:tcPr>
            <w:tcW w:w="760" w:type="pct"/>
          </w:tcPr>
          <w:p w14:paraId="1573342E" w14:textId="77777777" w:rsidR="00BC5BD9" w:rsidRPr="00114867" w:rsidRDefault="00BC5BD9" w:rsidP="00BC5BD9">
            <w:pPr>
              <w:widowControl/>
              <w:autoSpaceDE/>
              <w:autoSpaceDN/>
              <w:adjustRightInd/>
              <w:rPr>
                <w:rFonts w:ascii="Arial" w:hAnsi="Arial" w:cs="Arial"/>
              </w:rPr>
            </w:pPr>
            <w:r w:rsidRPr="00114867">
              <w:rPr>
                <w:rFonts w:ascii="Arial" w:hAnsi="Arial"/>
              </w:rPr>
              <w:t>excelente</w:t>
            </w:r>
          </w:p>
        </w:tc>
        <w:tc>
          <w:tcPr>
            <w:tcW w:w="1292" w:type="pct"/>
          </w:tcPr>
          <w:p w14:paraId="7FA580D4" w14:textId="77777777" w:rsidR="00BC5BD9" w:rsidRPr="00114867" w:rsidRDefault="00BC5BD9" w:rsidP="00BC5BD9">
            <w:pPr>
              <w:widowControl/>
              <w:autoSpaceDE/>
              <w:autoSpaceDN/>
              <w:adjustRightInd/>
              <w:rPr>
                <w:rFonts w:ascii="Arial" w:hAnsi="Arial" w:cs="Arial"/>
              </w:rPr>
            </w:pPr>
            <w:r w:rsidRPr="00114867">
              <w:rPr>
                <w:rFonts w:ascii="Arial" w:hAnsi="Arial"/>
              </w:rPr>
              <w:t>Rendell y Whitehead, 2003</w:t>
            </w:r>
          </w:p>
        </w:tc>
      </w:tr>
      <w:tr w:rsidR="00BC5BD9" w:rsidRPr="00114867" w14:paraId="322761A5" w14:textId="77777777" w:rsidTr="00BC5BD9">
        <w:trPr>
          <w:trHeight w:val="302"/>
        </w:trPr>
        <w:tc>
          <w:tcPr>
            <w:tcW w:w="2947" w:type="pct"/>
          </w:tcPr>
          <w:p w14:paraId="085023C9" w14:textId="77777777" w:rsidR="00BC5BD9" w:rsidRPr="00114867" w:rsidRDefault="00BC5BD9" w:rsidP="00BC5BD9">
            <w:pPr>
              <w:widowControl/>
              <w:autoSpaceDE/>
              <w:autoSpaceDN/>
              <w:adjustRightInd/>
              <w:rPr>
                <w:rFonts w:ascii="Arial" w:hAnsi="Arial" w:cs="Arial"/>
              </w:rPr>
            </w:pPr>
            <w:r w:rsidRPr="00114867">
              <w:rPr>
                <w:rFonts w:ascii="Arial" w:hAnsi="Arial"/>
              </w:rPr>
              <w:t>Extensión geográfica</w:t>
            </w:r>
          </w:p>
        </w:tc>
        <w:tc>
          <w:tcPr>
            <w:tcW w:w="760" w:type="pct"/>
          </w:tcPr>
          <w:p w14:paraId="0579951D" w14:textId="77777777" w:rsidR="00BC5BD9" w:rsidRPr="00114867" w:rsidRDefault="00BC5BD9" w:rsidP="00BC5BD9">
            <w:pPr>
              <w:widowControl/>
              <w:autoSpaceDE/>
              <w:autoSpaceDN/>
              <w:adjustRightInd/>
              <w:rPr>
                <w:rFonts w:ascii="Arial" w:hAnsi="Arial" w:cs="Arial"/>
              </w:rPr>
            </w:pPr>
            <w:r w:rsidRPr="00114867">
              <w:rPr>
                <w:rFonts w:ascii="Arial" w:hAnsi="Arial"/>
              </w:rPr>
              <w:t>excelente</w:t>
            </w:r>
          </w:p>
        </w:tc>
        <w:tc>
          <w:tcPr>
            <w:tcW w:w="1292" w:type="pct"/>
          </w:tcPr>
          <w:p w14:paraId="245A2AC4" w14:textId="77777777" w:rsidR="00BC5BD9" w:rsidRPr="00114867" w:rsidRDefault="00BC5BD9" w:rsidP="00BC5BD9">
            <w:pPr>
              <w:widowControl/>
              <w:autoSpaceDE/>
              <w:autoSpaceDN/>
              <w:adjustRightInd/>
              <w:rPr>
                <w:rFonts w:ascii="Arial" w:hAnsi="Arial" w:cs="Arial"/>
              </w:rPr>
            </w:pPr>
            <w:r w:rsidRPr="00114867">
              <w:rPr>
                <w:rFonts w:ascii="Arial" w:hAnsi="Arial"/>
              </w:rPr>
              <w:t>Rendell y Whitehead, 2003</w:t>
            </w:r>
          </w:p>
        </w:tc>
      </w:tr>
      <w:tr w:rsidR="00BC5BD9" w:rsidRPr="00114867" w14:paraId="1CF3FD97" w14:textId="77777777" w:rsidTr="00BC5BD9">
        <w:trPr>
          <w:trHeight w:val="302"/>
        </w:trPr>
        <w:tc>
          <w:tcPr>
            <w:tcW w:w="2947" w:type="pct"/>
          </w:tcPr>
          <w:p w14:paraId="2BD9B283" w14:textId="77777777" w:rsidR="00BC5BD9" w:rsidRPr="00114867" w:rsidRDefault="00BC5BD9" w:rsidP="00BC5BD9">
            <w:pPr>
              <w:widowControl/>
              <w:autoSpaceDE/>
              <w:autoSpaceDN/>
              <w:adjustRightInd/>
              <w:rPr>
                <w:rFonts w:ascii="Arial" w:hAnsi="Arial" w:cs="Arial"/>
              </w:rPr>
            </w:pPr>
            <w:r w:rsidRPr="00114867">
              <w:rPr>
                <w:rFonts w:ascii="Arial" w:hAnsi="Arial"/>
              </w:rPr>
              <w:t>Distribuciones a pequeña escala (en decenas de km)</w:t>
            </w:r>
          </w:p>
        </w:tc>
        <w:tc>
          <w:tcPr>
            <w:tcW w:w="760" w:type="pct"/>
          </w:tcPr>
          <w:p w14:paraId="59A20E93" w14:textId="77777777" w:rsidR="00BC5BD9" w:rsidRPr="00114867" w:rsidRDefault="00BC5BD9" w:rsidP="00BC5BD9">
            <w:pPr>
              <w:widowControl/>
              <w:autoSpaceDE/>
              <w:autoSpaceDN/>
              <w:adjustRightInd/>
              <w:rPr>
                <w:rFonts w:ascii="Arial" w:hAnsi="Arial" w:cs="Arial"/>
              </w:rPr>
            </w:pPr>
            <w:r w:rsidRPr="00114867">
              <w:rPr>
                <w:rFonts w:ascii="Arial" w:hAnsi="Arial"/>
              </w:rPr>
              <w:t>buena</w:t>
            </w:r>
          </w:p>
        </w:tc>
        <w:tc>
          <w:tcPr>
            <w:tcW w:w="1292" w:type="pct"/>
          </w:tcPr>
          <w:p w14:paraId="39160614" w14:textId="77777777" w:rsidR="00BC5BD9" w:rsidRPr="00114867" w:rsidRDefault="00BC5BD9" w:rsidP="00BC5BD9">
            <w:pPr>
              <w:widowControl/>
              <w:autoSpaceDE/>
              <w:autoSpaceDN/>
              <w:adjustRightInd/>
              <w:rPr>
                <w:rFonts w:ascii="Arial" w:hAnsi="Arial" w:cs="Arial"/>
              </w:rPr>
            </w:pPr>
            <w:r w:rsidRPr="00114867">
              <w:rPr>
                <w:rFonts w:ascii="Arial" w:hAnsi="Arial"/>
              </w:rPr>
              <w:t>Whitehead y Rendell, 2004</w:t>
            </w:r>
          </w:p>
        </w:tc>
      </w:tr>
      <w:tr w:rsidR="00BC5BD9" w:rsidRPr="00114867" w14:paraId="217F20E1" w14:textId="77777777" w:rsidTr="00BC5BD9">
        <w:trPr>
          <w:trHeight w:val="302"/>
        </w:trPr>
        <w:tc>
          <w:tcPr>
            <w:tcW w:w="2947" w:type="pct"/>
          </w:tcPr>
          <w:p w14:paraId="575458E7" w14:textId="77777777" w:rsidR="00BC5BD9" w:rsidRPr="00114867" w:rsidRDefault="00BC5BD9" w:rsidP="00BC5BD9">
            <w:pPr>
              <w:widowControl/>
              <w:autoSpaceDE/>
              <w:autoSpaceDN/>
              <w:adjustRightInd/>
              <w:rPr>
                <w:rFonts w:ascii="Arial" w:hAnsi="Arial" w:cs="Arial"/>
              </w:rPr>
            </w:pPr>
            <w:r w:rsidRPr="00114867">
              <w:rPr>
                <w:rFonts w:ascii="Arial" w:hAnsi="Arial"/>
              </w:rPr>
              <w:t>Movimientos a gran escala (días, años)</w:t>
            </w:r>
          </w:p>
        </w:tc>
        <w:tc>
          <w:tcPr>
            <w:tcW w:w="760" w:type="pct"/>
          </w:tcPr>
          <w:p w14:paraId="59E387F5" w14:textId="77777777" w:rsidR="00BC5BD9" w:rsidRPr="00114867" w:rsidRDefault="00BC5BD9" w:rsidP="00BC5BD9">
            <w:pPr>
              <w:widowControl/>
              <w:autoSpaceDE/>
              <w:autoSpaceDN/>
              <w:adjustRightInd/>
              <w:rPr>
                <w:rFonts w:ascii="Arial" w:hAnsi="Arial" w:cs="Arial"/>
              </w:rPr>
            </w:pPr>
            <w:r w:rsidRPr="00114867">
              <w:rPr>
                <w:rFonts w:ascii="Arial" w:hAnsi="Arial"/>
              </w:rPr>
              <w:t>buena</w:t>
            </w:r>
          </w:p>
        </w:tc>
        <w:tc>
          <w:tcPr>
            <w:tcW w:w="1292" w:type="pct"/>
          </w:tcPr>
          <w:p w14:paraId="08E3AD61" w14:textId="77777777" w:rsidR="00BC5BD9" w:rsidRPr="00114867" w:rsidRDefault="00BC5BD9" w:rsidP="00BC5BD9">
            <w:pPr>
              <w:widowControl/>
              <w:autoSpaceDE/>
              <w:autoSpaceDN/>
              <w:adjustRightInd/>
              <w:rPr>
                <w:rFonts w:ascii="Arial" w:hAnsi="Arial" w:cs="Arial"/>
              </w:rPr>
            </w:pPr>
            <w:r w:rsidRPr="00114867">
              <w:rPr>
                <w:rFonts w:ascii="Arial" w:hAnsi="Arial"/>
              </w:rPr>
              <w:t>Whitehead et al. 2008</w:t>
            </w:r>
          </w:p>
        </w:tc>
      </w:tr>
      <w:tr w:rsidR="00BC5BD9" w:rsidRPr="00114867" w14:paraId="30CF0428" w14:textId="77777777" w:rsidTr="00BC5BD9">
        <w:trPr>
          <w:trHeight w:val="302"/>
        </w:trPr>
        <w:tc>
          <w:tcPr>
            <w:tcW w:w="2947" w:type="pct"/>
          </w:tcPr>
          <w:p w14:paraId="251D2BE2" w14:textId="77777777" w:rsidR="00BC5BD9" w:rsidRPr="00114867" w:rsidRDefault="00BC5BD9" w:rsidP="00BC5BD9">
            <w:pPr>
              <w:widowControl/>
              <w:autoSpaceDE/>
              <w:autoSpaceDN/>
              <w:adjustRightInd/>
              <w:rPr>
                <w:rFonts w:ascii="Arial" w:hAnsi="Arial" w:cs="Arial"/>
              </w:rPr>
            </w:pPr>
            <w:r w:rsidRPr="00114867">
              <w:rPr>
                <w:rFonts w:ascii="Arial" w:hAnsi="Arial"/>
              </w:rPr>
              <w:t>Movimientos a pequeña escala (horas)</w:t>
            </w:r>
          </w:p>
        </w:tc>
        <w:tc>
          <w:tcPr>
            <w:tcW w:w="760" w:type="pct"/>
          </w:tcPr>
          <w:p w14:paraId="6B295644" w14:textId="77777777" w:rsidR="00BC5BD9" w:rsidRPr="00114867" w:rsidRDefault="00BC5BD9" w:rsidP="00BC5BD9">
            <w:pPr>
              <w:widowControl/>
              <w:autoSpaceDE/>
              <w:autoSpaceDN/>
              <w:adjustRightInd/>
              <w:rPr>
                <w:rFonts w:ascii="Arial" w:hAnsi="Arial" w:cs="Arial"/>
              </w:rPr>
            </w:pPr>
            <w:r w:rsidRPr="00114867">
              <w:rPr>
                <w:rFonts w:ascii="Arial" w:hAnsi="Arial"/>
              </w:rPr>
              <w:t>buena</w:t>
            </w:r>
          </w:p>
        </w:tc>
        <w:tc>
          <w:tcPr>
            <w:tcW w:w="1292" w:type="pct"/>
          </w:tcPr>
          <w:p w14:paraId="2BDF4E63" w14:textId="77777777" w:rsidR="00BC5BD9" w:rsidRPr="00114867" w:rsidRDefault="00BC5BD9" w:rsidP="00BC5BD9">
            <w:pPr>
              <w:widowControl/>
              <w:autoSpaceDE/>
              <w:autoSpaceDN/>
              <w:adjustRightInd/>
              <w:rPr>
                <w:rFonts w:ascii="Arial" w:hAnsi="Arial" w:cs="Arial"/>
              </w:rPr>
            </w:pPr>
            <w:r w:rsidRPr="00114867">
              <w:rPr>
                <w:rFonts w:ascii="Arial" w:hAnsi="Arial"/>
              </w:rPr>
              <w:t>Whitehead y Rendell, 2004</w:t>
            </w:r>
          </w:p>
        </w:tc>
      </w:tr>
      <w:tr w:rsidR="00BC5BD9" w:rsidRPr="00114867" w14:paraId="239B6BC3" w14:textId="77777777" w:rsidTr="00BC5BD9">
        <w:trPr>
          <w:trHeight w:val="316"/>
        </w:trPr>
        <w:tc>
          <w:tcPr>
            <w:tcW w:w="2947" w:type="pct"/>
          </w:tcPr>
          <w:p w14:paraId="10DF445B" w14:textId="77777777" w:rsidR="00BC5BD9" w:rsidRPr="00114867" w:rsidRDefault="00BC5BD9" w:rsidP="00BC5BD9">
            <w:pPr>
              <w:widowControl/>
              <w:autoSpaceDE/>
              <w:autoSpaceDN/>
              <w:adjustRightInd/>
              <w:rPr>
                <w:rFonts w:ascii="Arial" w:hAnsi="Arial" w:cs="Arial"/>
              </w:rPr>
            </w:pPr>
            <w:r w:rsidRPr="00114867">
              <w:rPr>
                <w:rFonts w:ascii="Arial" w:hAnsi="Arial"/>
              </w:rPr>
              <w:t>Éxito en la búsqueda de alimento</w:t>
            </w:r>
          </w:p>
        </w:tc>
        <w:tc>
          <w:tcPr>
            <w:tcW w:w="760" w:type="pct"/>
          </w:tcPr>
          <w:p w14:paraId="604E1805" w14:textId="77777777" w:rsidR="00BC5BD9" w:rsidRPr="00114867" w:rsidRDefault="00BC5BD9" w:rsidP="00BC5BD9">
            <w:pPr>
              <w:widowControl/>
              <w:autoSpaceDE/>
              <w:autoSpaceDN/>
              <w:adjustRightInd/>
              <w:rPr>
                <w:rFonts w:ascii="Arial" w:hAnsi="Arial" w:cs="Arial"/>
              </w:rPr>
            </w:pPr>
            <w:r w:rsidRPr="00114867">
              <w:rPr>
                <w:rFonts w:ascii="Arial" w:hAnsi="Arial"/>
              </w:rPr>
              <w:t>buena</w:t>
            </w:r>
          </w:p>
        </w:tc>
        <w:tc>
          <w:tcPr>
            <w:tcW w:w="1292" w:type="pct"/>
          </w:tcPr>
          <w:p w14:paraId="2EFC642A" w14:textId="77777777" w:rsidR="00BC5BD9" w:rsidRPr="00114867" w:rsidRDefault="00BC5BD9" w:rsidP="00BC5BD9">
            <w:pPr>
              <w:widowControl/>
              <w:autoSpaceDE/>
              <w:autoSpaceDN/>
              <w:adjustRightInd/>
              <w:rPr>
                <w:rFonts w:ascii="Arial" w:hAnsi="Arial" w:cs="Arial"/>
              </w:rPr>
            </w:pPr>
            <w:r w:rsidRPr="00114867">
              <w:rPr>
                <w:rFonts w:ascii="Arial" w:hAnsi="Arial"/>
              </w:rPr>
              <w:t>Whitehead y Rendell, 2004</w:t>
            </w:r>
          </w:p>
        </w:tc>
      </w:tr>
      <w:tr w:rsidR="00BC5BD9" w:rsidRPr="00114867" w14:paraId="2BC57B6E" w14:textId="77777777" w:rsidTr="00BC5BD9">
        <w:trPr>
          <w:trHeight w:val="302"/>
        </w:trPr>
        <w:tc>
          <w:tcPr>
            <w:tcW w:w="2947" w:type="pct"/>
          </w:tcPr>
          <w:p w14:paraId="1C81DCC7" w14:textId="77777777" w:rsidR="00BC5BD9" w:rsidRPr="00114867" w:rsidRDefault="00BC5BD9" w:rsidP="00BC5BD9">
            <w:pPr>
              <w:widowControl/>
              <w:autoSpaceDE/>
              <w:autoSpaceDN/>
              <w:adjustRightInd/>
              <w:rPr>
                <w:rFonts w:ascii="Arial" w:hAnsi="Arial" w:cs="Arial"/>
              </w:rPr>
            </w:pPr>
            <w:r w:rsidRPr="00114867">
              <w:rPr>
                <w:rFonts w:ascii="Arial" w:hAnsi="Arial"/>
              </w:rPr>
              <w:t>Cambios en el éxito en la búsqueda de alimento con el fenómeno del Niño.</w:t>
            </w:r>
          </w:p>
        </w:tc>
        <w:tc>
          <w:tcPr>
            <w:tcW w:w="760" w:type="pct"/>
          </w:tcPr>
          <w:p w14:paraId="3CFF75F7" w14:textId="77777777" w:rsidR="00BC5BD9" w:rsidRPr="00114867" w:rsidRDefault="00BC5BD9" w:rsidP="00BC5BD9">
            <w:pPr>
              <w:widowControl/>
              <w:autoSpaceDE/>
              <w:autoSpaceDN/>
              <w:adjustRightInd/>
              <w:rPr>
                <w:rFonts w:ascii="Arial" w:hAnsi="Arial" w:cs="Arial"/>
              </w:rPr>
            </w:pPr>
            <w:r w:rsidRPr="00114867">
              <w:rPr>
                <w:rFonts w:ascii="Arial" w:hAnsi="Arial"/>
              </w:rPr>
              <w:t>suficiente</w:t>
            </w:r>
          </w:p>
        </w:tc>
        <w:tc>
          <w:tcPr>
            <w:tcW w:w="1292" w:type="pct"/>
          </w:tcPr>
          <w:p w14:paraId="2F5D5CFF" w14:textId="77777777" w:rsidR="00BC5BD9" w:rsidRPr="00114867" w:rsidRDefault="00BC5BD9" w:rsidP="00BC5BD9">
            <w:pPr>
              <w:widowControl/>
              <w:autoSpaceDE/>
              <w:autoSpaceDN/>
              <w:adjustRightInd/>
              <w:rPr>
                <w:rFonts w:ascii="Arial" w:hAnsi="Arial" w:cs="Arial"/>
              </w:rPr>
            </w:pPr>
            <w:r w:rsidRPr="00114867">
              <w:rPr>
                <w:rFonts w:ascii="Arial" w:hAnsi="Arial"/>
              </w:rPr>
              <w:t>Whitehead y Rendell, 2004</w:t>
            </w:r>
          </w:p>
        </w:tc>
      </w:tr>
      <w:tr w:rsidR="00BC5BD9" w:rsidRPr="00114867" w14:paraId="31183D22" w14:textId="77777777" w:rsidTr="00BC5BD9">
        <w:trPr>
          <w:trHeight w:val="302"/>
        </w:trPr>
        <w:tc>
          <w:tcPr>
            <w:tcW w:w="2947" w:type="pct"/>
          </w:tcPr>
          <w:p w14:paraId="521CE7CD" w14:textId="77777777" w:rsidR="00BC5BD9" w:rsidRPr="00114867" w:rsidRDefault="00BC5BD9" w:rsidP="00BC5BD9">
            <w:pPr>
              <w:widowControl/>
              <w:autoSpaceDE/>
              <w:autoSpaceDN/>
              <w:adjustRightInd/>
              <w:rPr>
                <w:rFonts w:ascii="Arial" w:hAnsi="Arial" w:cs="Arial"/>
              </w:rPr>
            </w:pPr>
            <w:r w:rsidRPr="00114867">
              <w:rPr>
                <w:rFonts w:ascii="Arial" w:hAnsi="Arial"/>
              </w:rPr>
              <w:t>Régimen alimentario</w:t>
            </w:r>
          </w:p>
        </w:tc>
        <w:tc>
          <w:tcPr>
            <w:tcW w:w="760" w:type="pct"/>
          </w:tcPr>
          <w:p w14:paraId="39F59032" w14:textId="77777777" w:rsidR="00BC5BD9" w:rsidRPr="00114867" w:rsidRDefault="00BC5BD9" w:rsidP="00BC5BD9">
            <w:pPr>
              <w:widowControl/>
              <w:autoSpaceDE/>
              <w:autoSpaceDN/>
              <w:adjustRightInd/>
              <w:rPr>
                <w:rFonts w:ascii="Arial" w:hAnsi="Arial" w:cs="Arial"/>
              </w:rPr>
            </w:pPr>
            <w:r w:rsidRPr="00114867">
              <w:rPr>
                <w:rFonts w:ascii="Arial" w:hAnsi="Arial"/>
              </w:rPr>
              <w:t>Indicación</w:t>
            </w:r>
          </w:p>
        </w:tc>
        <w:tc>
          <w:tcPr>
            <w:tcW w:w="1292" w:type="pct"/>
          </w:tcPr>
          <w:p w14:paraId="1CA99726" w14:textId="77777777" w:rsidR="00BC5BD9" w:rsidRPr="00114867" w:rsidRDefault="00BC5BD9" w:rsidP="00BC5BD9">
            <w:pPr>
              <w:widowControl/>
              <w:autoSpaceDE/>
              <w:autoSpaceDN/>
              <w:adjustRightInd/>
              <w:rPr>
                <w:rFonts w:ascii="Arial" w:hAnsi="Arial" w:cs="Arial"/>
              </w:rPr>
            </w:pPr>
            <w:r w:rsidRPr="00114867">
              <w:rPr>
                <w:rFonts w:ascii="Arial" w:hAnsi="Arial"/>
              </w:rPr>
              <w:t>Marcoux et al. 2007b</w:t>
            </w:r>
          </w:p>
        </w:tc>
      </w:tr>
      <w:tr w:rsidR="00BC5BD9" w:rsidRPr="00114867" w14:paraId="4D9A6BFB" w14:textId="77777777" w:rsidTr="00BC5BD9">
        <w:trPr>
          <w:trHeight w:val="302"/>
        </w:trPr>
        <w:tc>
          <w:tcPr>
            <w:tcW w:w="2947" w:type="pct"/>
          </w:tcPr>
          <w:p w14:paraId="09EE2143" w14:textId="77777777" w:rsidR="00BC5BD9" w:rsidRPr="00114867" w:rsidRDefault="00BC5BD9" w:rsidP="00BC5BD9">
            <w:pPr>
              <w:widowControl/>
              <w:autoSpaceDE/>
              <w:autoSpaceDN/>
              <w:adjustRightInd/>
              <w:rPr>
                <w:rFonts w:ascii="Arial" w:hAnsi="Arial" w:cs="Arial"/>
              </w:rPr>
            </w:pPr>
            <w:r w:rsidRPr="00114867">
              <w:rPr>
                <w:rFonts w:ascii="Arial" w:hAnsi="Arial"/>
              </w:rPr>
              <w:t>Tasas reproductivas</w:t>
            </w:r>
          </w:p>
        </w:tc>
        <w:tc>
          <w:tcPr>
            <w:tcW w:w="760" w:type="pct"/>
          </w:tcPr>
          <w:p w14:paraId="0F7ECE00" w14:textId="77777777" w:rsidR="00BC5BD9" w:rsidRPr="00114867" w:rsidRDefault="00BC5BD9" w:rsidP="00BC5BD9">
            <w:pPr>
              <w:widowControl/>
              <w:autoSpaceDE/>
              <w:autoSpaceDN/>
              <w:adjustRightInd/>
              <w:rPr>
                <w:rFonts w:ascii="Arial" w:hAnsi="Arial" w:cs="Arial"/>
              </w:rPr>
            </w:pPr>
            <w:r w:rsidRPr="00114867">
              <w:rPr>
                <w:rFonts w:ascii="Arial" w:hAnsi="Arial"/>
              </w:rPr>
              <w:t>suficiente</w:t>
            </w:r>
          </w:p>
        </w:tc>
        <w:tc>
          <w:tcPr>
            <w:tcW w:w="1292" w:type="pct"/>
          </w:tcPr>
          <w:p w14:paraId="0EB1947E" w14:textId="77777777" w:rsidR="00BC5BD9" w:rsidRPr="00114867" w:rsidRDefault="00BC5BD9" w:rsidP="00BC5BD9">
            <w:pPr>
              <w:widowControl/>
              <w:autoSpaceDE/>
              <w:autoSpaceDN/>
              <w:adjustRightInd/>
              <w:rPr>
                <w:rFonts w:ascii="Arial" w:hAnsi="Arial" w:cs="Arial"/>
              </w:rPr>
            </w:pPr>
            <w:r w:rsidRPr="00114867">
              <w:rPr>
                <w:rFonts w:ascii="Arial" w:hAnsi="Arial"/>
              </w:rPr>
              <w:t>Marcoux et al. 2007a</w:t>
            </w:r>
          </w:p>
        </w:tc>
      </w:tr>
      <w:tr w:rsidR="00BC5BD9" w:rsidRPr="00114867" w14:paraId="56523E32" w14:textId="77777777" w:rsidTr="00BC5BD9">
        <w:trPr>
          <w:trHeight w:val="316"/>
        </w:trPr>
        <w:tc>
          <w:tcPr>
            <w:tcW w:w="2947" w:type="pct"/>
          </w:tcPr>
          <w:p w14:paraId="382D5D97" w14:textId="77777777" w:rsidR="00BC5BD9" w:rsidRPr="00114867" w:rsidRDefault="00BC5BD9" w:rsidP="00BC5BD9">
            <w:pPr>
              <w:widowControl/>
              <w:autoSpaceDE/>
              <w:autoSpaceDN/>
              <w:adjustRightInd/>
              <w:rPr>
                <w:rFonts w:ascii="Arial" w:hAnsi="Arial" w:cs="Arial"/>
              </w:rPr>
            </w:pPr>
            <w:r w:rsidRPr="00114867">
              <w:rPr>
                <w:rFonts w:ascii="Arial" w:hAnsi="Arial"/>
              </w:rPr>
              <w:t>Sincronía de buceo (cuidado de crías)</w:t>
            </w:r>
          </w:p>
        </w:tc>
        <w:tc>
          <w:tcPr>
            <w:tcW w:w="760" w:type="pct"/>
          </w:tcPr>
          <w:p w14:paraId="3F6C48CA" w14:textId="77777777" w:rsidR="00BC5BD9" w:rsidRPr="00114867" w:rsidRDefault="00BC5BD9" w:rsidP="00BC5BD9">
            <w:pPr>
              <w:widowControl/>
              <w:autoSpaceDE/>
              <w:autoSpaceDN/>
              <w:adjustRightInd/>
              <w:rPr>
                <w:rFonts w:ascii="Arial" w:hAnsi="Arial" w:cs="Arial"/>
              </w:rPr>
            </w:pPr>
            <w:r w:rsidRPr="00114867">
              <w:rPr>
                <w:rFonts w:ascii="Arial" w:hAnsi="Arial"/>
              </w:rPr>
              <w:t>suficiente</w:t>
            </w:r>
          </w:p>
        </w:tc>
        <w:tc>
          <w:tcPr>
            <w:tcW w:w="1292" w:type="pct"/>
          </w:tcPr>
          <w:p w14:paraId="38314C8B" w14:textId="77777777" w:rsidR="00BC5BD9" w:rsidRPr="00114867" w:rsidRDefault="00BC5BD9" w:rsidP="00BC5BD9">
            <w:pPr>
              <w:widowControl/>
              <w:autoSpaceDE/>
              <w:autoSpaceDN/>
              <w:adjustRightInd/>
              <w:rPr>
                <w:rFonts w:ascii="Arial" w:hAnsi="Arial" w:cs="Arial"/>
              </w:rPr>
            </w:pPr>
            <w:r w:rsidRPr="00114867">
              <w:rPr>
                <w:rFonts w:ascii="Arial" w:hAnsi="Arial"/>
              </w:rPr>
              <w:t>Cantor y Whitehead, 2015</w:t>
            </w:r>
          </w:p>
        </w:tc>
      </w:tr>
      <w:tr w:rsidR="00BC5BD9" w:rsidRPr="00114867" w14:paraId="09634F23" w14:textId="77777777" w:rsidTr="00BC5BD9">
        <w:trPr>
          <w:trHeight w:val="302"/>
        </w:trPr>
        <w:tc>
          <w:tcPr>
            <w:tcW w:w="2947" w:type="pct"/>
          </w:tcPr>
          <w:p w14:paraId="2C28EBDE" w14:textId="77777777" w:rsidR="00BC5BD9" w:rsidRPr="00114867" w:rsidRDefault="00BC5BD9" w:rsidP="00BC5BD9">
            <w:pPr>
              <w:widowControl/>
              <w:autoSpaceDE/>
              <w:autoSpaceDN/>
              <w:adjustRightInd/>
              <w:rPr>
                <w:rFonts w:ascii="Arial" w:hAnsi="Arial" w:cs="Arial"/>
              </w:rPr>
            </w:pPr>
            <w:r w:rsidRPr="00114867">
              <w:rPr>
                <w:rFonts w:ascii="Arial" w:hAnsi="Arial"/>
              </w:rPr>
              <w:t>Homogeneidad de las relaciones sociales dentro de las unidades sociales</w:t>
            </w:r>
          </w:p>
        </w:tc>
        <w:tc>
          <w:tcPr>
            <w:tcW w:w="760" w:type="pct"/>
          </w:tcPr>
          <w:p w14:paraId="38ED661C" w14:textId="77777777" w:rsidR="00BC5BD9" w:rsidRPr="00114867" w:rsidRDefault="00BC5BD9" w:rsidP="00BC5BD9">
            <w:pPr>
              <w:widowControl/>
              <w:autoSpaceDE/>
              <w:autoSpaceDN/>
              <w:adjustRightInd/>
              <w:rPr>
                <w:rFonts w:ascii="Arial" w:hAnsi="Arial" w:cs="Arial"/>
              </w:rPr>
            </w:pPr>
            <w:r w:rsidRPr="00114867">
              <w:rPr>
                <w:rFonts w:ascii="Arial" w:hAnsi="Arial"/>
              </w:rPr>
              <w:t>suficiente</w:t>
            </w:r>
          </w:p>
        </w:tc>
        <w:tc>
          <w:tcPr>
            <w:tcW w:w="1292" w:type="pct"/>
          </w:tcPr>
          <w:p w14:paraId="06731E6F" w14:textId="77777777" w:rsidR="00BC5BD9" w:rsidRPr="00114867" w:rsidRDefault="00BC5BD9" w:rsidP="00BC5BD9">
            <w:pPr>
              <w:widowControl/>
              <w:autoSpaceDE/>
              <w:autoSpaceDN/>
              <w:adjustRightInd/>
              <w:rPr>
                <w:rFonts w:ascii="Arial" w:hAnsi="Arial" w:cs="Arial"/>
              </w:rPr>
            </w:pPr>
            <w:r w:rsidRPr="00114867">
              <w:rPr>
                <w:rFonts w:ascii="Arial" w:hAnsi="Arial"/>
              </w:rPr>
              <w:t>Cantor y Whitehead, 2015</w:t>
            </w:r>
          </w:p>
        </w:tc>
      </w:tr>
      <w:tr w:rsidR="00BC5BD9" w:rsidRPr="00114867" w14:paraId="7DA0A942" w14:textId="77777777" w:rsidTr="00BC5BD9">
        <w:trPr>
          <w:trHeight w:val="316"/>
        </w:trPr>
        <w:tc>
          <w:tcPr>
            <w:tcW w:w="2947" w:type="pct"/>
          </w:tcPr>
          <w:p w14:paraId="41DF97C7" w14:textId="77777777" w:rsidR="00BC5BD9" w:rsidRPr="00114867" w:rsidRDefault="00BC5BD9" w:rsidP="00BC5BD9">
            <w:pPr>
              <w:widowControl/>
              <w:autoSpaceDE/>
              <w:autoSpaceDN/>
              <w:adjustRightInd/>
              <w:rPr>
                <w:rFonts w:ascii="Arial" w:hAnsi="Arial" w:cs="Arial"/>
              </w:rPr>
            </w:pPr>
            <w:r w:rsidRPr="00114867">
              <w:rPr>
                <w:rFonts w:ascii="Arial" w:hAnsi="Arial"/>
              </w:rPr>
              <w:t>Duración de las relaciones sociales</w:t>
            </w:r>
          </w:p>
        </w:tc>
        <w:tc>
          <w:tcPr>
            <w:tcW w:w="760" w:type="pct"/>
          </w:tcPr>
          <w:p w14:paraId="39CE919F" w14:textId="77777777" w:rsidR="00BC5BD9" w:rsidRPr="00114867" w:rsidRDefault="00BC5BD9" w:rsidP="00BC5BD9">
            <w:pPr>
              <w:widowControl/>
              <w:autoSpaceDE/>
              <w:autoSpaceDN/>
              <w:adjustRightInd/>
              <w:rPr>
                <w:rFonts w:ascii="Arial" w:hAnsi="Arial" w:cs="Arial"/>
              </w:rPr>
            </w:pPr>
            <w:r w:rsidRPr="00114867">
              <w:rPr>
                <w:rFonts w:ascii="Arial" w:hAnsi="Arial"/>
              </w:rPr>
              <w:t>Indicación</w:t>
            </w:r>
          </w:p>
        </w:tc>
        <w:tc>
          <w:tcPr>
            <w:tcW w:w="1292" w:type="pct"/>
          </w:tcPr>
          <w:p w14:paraId="44B562EB" w14:textId="77777777" w:rsidR="00BC5BD9" w:rsidRPr="00114867" w:rsidRDefault="00BC5BD9" w:rsidP="00BC5BD9">
            <w:pPr>
              <w:widowControl/>
              <w:autoSpaceDE/>
              <w:autoSpaceDN/>
              <w:adjustRightInd/>
              <w:rPr>
                <w:rFonts w:ascii="Arial" w:hAnsi="Arial" w:cs="Arial"/>
              </w:rPr>
            </w:pPr>
            <w:r w:rsidRPr="00114867">
              <w:rPr>
                <w:rFonts w:ascii="Arial" w:hAnsi="Arial"/>
              </w:rPr>
              <w:t>Cantor y Whitehead, 2015</w:t>
            </w:r>
          </w:p>
        </w:tc>
      </w:tr>
    </w:tbl>
    <w:p w14:paraId="178A4BA7" w14:textId="77777777" w:rsidR="00756FC3" w:rsidRPr="00114867" w:rsidRDefault="00756FC3" w:rsidP="00BC5BD9">
      <w:pPr>
        <w:jc w:val="both"/>
        <w:rPr>
          <w:rFonts w:cs="Arial"/>
          <w:sz w:val="22"/>
          <w:szCs w:val="22"/>
          <w:lang w:val="en-GB"/>
        </w:rPr>
      </w:pPr>
    </w:p>
    <w:p w14:paraId="2F85171E" w14:textId="77777777" w:rsidR="00756FC3" w:rsidRPr="00114867" w:rsidRDefault="00756FC3" w:rsidP="00BC5BD9">
      <w:pPr>
        <w:tabs>
          <w:tab w:val="left" w:pos="1020"/>
        </w:tabs>
        <w:jc w:val="both"/>
        <w:rPr>
          <w:rFonts w:cs="Arial"/>
          <w:sz w:val="22"/>
          <w:szCs w:val="22"/>
        </w:rPr>
      </w:pPr>
      <w:r w:rsidRPr="00114867">
        <w:rPr>
          <w:sz w:val="22"/>
          <w:szCs w:val="22"/>
        </w:rPr>
        <w:t xml:space="preserve">La principal presa de los cachalotes en el Pacífico tropical oriental es el calamar mesopelágico. Sin embargo, en esta región se ha observado el éxito diferencial en la búsqueda de alimento en diferentes condiciones oceanográficas. Las investigaciones sobre los cachalotes cerca de las islas Galápagos han demostrado que, en los años ochenta y noventa, en esta área se encontraron principalmente dos clanes. Los resultados de los estudios sobre las tasas de defecación indicaron que en los años normales, el clan regular tenía tasas de defecación más altas, pero durante un año cálido de Niño, cuando todos los animales mostraron tasas de defecación muy reducidas, el clan plus-one (clics más uno) tenía una tasa más alta que el clan regular (Whitehead, 2010; Marcoux, Rendell y Whitehead, 2007a). Dado que los clanes se alimentaban en la misma área y en ausencia de cualquier signo de agresión, se infiere que esta diferencia en la tasa de defecación se debe a que, durante estos ciclos oceanográficos, las diferentes estrategias de alimentación tienen diferentes beneficios. Estos dos clanes también muestran evidencia de diferencias en el éxito reproductivo (Marcoux, Rendell y Whitehead, 2007b). Posteriormente, las </w:t>
      </w:r>
      <w:r w:rsidRPr="00114867">
        <w:rPr>
          <w:sz w:val="22"/>
          <w:szCs w:val="22"/>
        </w:rPr>
        <w:lastRenderedPageBreak/>
        <w:t xml:space="preserve">investigaciones de campo han revelado lo que los científicos llaman una “rotación cultural” en la que, en esta área, otros dos clanes parecen haber usurpado al clan regular y plus-one (Cantor </w:t>
      </w:r>
      <w:r w:rsidRPr="00114867">
        <w:rPr>
          <w:i/>
          <w:sz w:val="22"/>
          <w:szCs w:val="22"/>
        </w:rPr>
        <w:t>et al.</w:t>
      </w:r>
      <w:r w:rsidRPr="00114867">
        <w:rPr>
          <w:sz w:val="22"/>
          <w:szCs w:val="22"/>
        </w:rPr>
        <w:t xml:space="preserve">, 2016).  La evidencia de los efectos diferenciales derivados de los cambios en las condiciones ambientales —junto con la compleja dinámica de la estructura de clanes de los cachalotes en esta región— proporcionan un caso convincente de que estas ballenas se deben gestionar de manera modular. Además se prevé que —como resultado del calentamiento global— va a cambiar la frecuencia y la duración del Niño, por lo que las reacciones diferenciales de estos clanes ante el ciclo del Niño pueden ser particularmente importantes. </w:t>
      </w:r>
    </w:p>
    <w:p w14:paraId="1FD49E63" w14:textId="77777777" w:rsidR="00756FC3" w:rsidRPr="00446C23" w:rsidRDefault="00756FC3" w:rsidP="00BC5BD9">
      <w:pPr>
        <w:tabs>
          <w:tab w:val="left" w:pos="1020"/>
        </w:tabs>
        <w:jc w:val="both"/>
        <w:rPr>
          <w:rFonts w:cs="Arial"/>
          <w:sz w:val="22"/>
          <w:szCs w:val="22"/>
        </w:rPr>
      </w:pPr>
    </w:p>
    <w:p w14:paraId="3ACCF031" w14:textId="77777777" w:rsidR="00756FC3" w:rsidRPr="00114867" w:rsidRDefault="00756FC3" w:rsidP="00BC5BD9">
      <w:pPr>
        <w:tabs>
          <w:tab w:val="left" w:pos="1020"/>
        </w:tabs>
        <w:jc w:val="both"/>
        <w:rPr>
          <w:rFonts w:cs="Arial"/>
          <w:b/>
          <w:sz w:val="22"/>
          <w:szCs w:val="22"/>
        </w:rPr>
      </w:pPr>
      <w:r w:rsidRPr="00114867">
        <w:rPr>
          <w:b/>
          <w:sz w:val="22"/>
          <w:szCs w:val="22"/>
        </w:rPr>
        <w:t>(ii) Relevancia</w:t>
      </w:r>
    </w:p>
    <w:p w14:paraId="6327526D" w14:textId="77777777" w:rsidR="00756FC3" w:rsidRPr="00114867" w:rsidRDefault="00756FC3" w:rsidP="00BC5BD9">
      <w:pPr>
        <w:tabs>
          <w:tab w:val="left" w:pos="1020"/>
        </w:tabs>
        <w:jc w:val="both"/>
        <w:rPr>
          <w:rFonts w:cs="Arial"/>
          <w:sz w:val="22"/>
          <w:szCs w:val="22"/>
        </w:rPr>
      </w:pPr>
      <w:r w:rsidRPr="00114867">
        <w:rPr>
          <w:sz w:val="22"/>
          <w:szCs w:val="22"/>
        </w:rPr>
        <w:t>Whitehead (2003) señaló que generalmente no se entiende bien el uso que los cachalotes hacen del hábitat ni su distribución en alta mar. Sin embargo, en el último decenio ha surgido una comprensión emergente de la compleja estructura de los clanes de cachalotes del Pacífico tropical oriental, incluyendo la rotación cultural entre clanes en esta región (Cantor et al., 2016).  Se trata de una especie marina altamente migratoria, que aparece en los apéndices I y II de la CMS, y la UICN ha indicado mundialmente como vulnerable. El grupo de expertos en cultura considera que los clanes de cachalotes en esta región oceanográfica son un excelente ejemplo de los retos asociados con el manejo de especies altamente migratorias que aprenden socialmente y tienen estructuras sociales complejas, lo que por lo tanto puede requerir colaboración multilateral para su monitorización y conservación.</w:t>
      </w:r>
    </w:p>
    <w:p w14:paraId="76921C80" w14:textId="77777777" w:rsidR="00756FC3" w:rsidRPr="00446C23" w:rsidRDefault="00756FC3" w:rsidP="00BC5BD9">
      <w:pPr>
        <w:tabs>
          <w:tab w:val="left" w:pos="1020"/>
        </w:tabs>
        <w:jc w:val="both"/>
        <w:rPr>
          <w:rFonts w:cs="Arial"/>
          <w:sz w:val="22"/>
          <w:szCs w:val="22"/>
        </w:rPr>
      </w:pPr>
    </w:p>
    <w:p w14:paraId="5E5C52D5" w14:textId="77777777" w:rsidR="00756FC3" w:rsidRPr="00114867" w:rsidRDefault="00756FC3" w:rsidP="00BC5BD9">
      <w:pPr>
        <w:tabs>
          <w:tab w:val="left" w:pos="1020"/>
        </w:tabs>
        <w:jc w:val="both"/>
        <w:rPr>
          <w:rFonts w:cs="Arial"/>
          <w:sz w:val="22"/>
          <w:szCs w:val="22"/>
        </w:rPr>
      </w:pPr>
      <w:r w:rsidRPr="00114867">
        <w:rPr>
          <w:sz w:val="22"/>
          <w:szCs w:val="22"/>
        </w:rPr>
        <w:t>La Resolución 11.23 sobre las implicancias de la conservación de la cultura de los cetáceos, adoptada en la COP11 (UNEP/CMS/COP11/Resolución 11.23) tomó nota de las conclusiones del taller de 2014 de que “las decisiones de gestión deberían ser cautas, y asumir que las poblaciones pueden contener elementos sociales discretos que tienen importancia desde el punto de vista de la conservación, y que ameritan más investigación”. Además, en la resolución se señalaba, entre otras cosas</w:t>
      </w:r>
      <w:r w:rsidRPr="00114867">
        <w:rPr>
          <w:i/>
          <w:sz w:val="22"/>
          <w:szCs w:val="22"/>
        </w:rPr>
        <w:t>,</w:t>
      </w:r>
      <w:r w:rsidRPr="00114867">
        <w:rPr>
          <w:sz w:val="22"/>
          <w:szCs w:val="22"/>
        </w:rPr>
        <w:t xml:space="preserve"> lo siguiente:</w:t>
      </w:r>
    </w:p>
    <w:p w14:paraId="16E2AACB" w14:textId="77777777" w:rsidR="00756FC3" w:rsidRPr="00114867" w:rsidRDefault="00756FC3" w:rsidP="00FD556F">
      <w:pPr>
        <w:numPr>
          <w:ilvl w:val="0"/>
          <w:numId w:val="12"/>
        </w:numPr>
        <w:tabs>
          <w:tab w:val="left" w:pos="720"/>
        </w:tabs>
        <w:ind w:left="720"/>
        <w:jc w:val="both"/>
        <w:rPr>
          <w:rFonts w:cs="Arial"/>
          <w:sz w:val="22"/>
          <w:szCs w:val="22"/>
        </w:rPr>
      </w:pPr>
      <w:r w:rsidRPr="00114867">
        <w:rPr>
          <w:sz w:val="22"/>
          <w:szCs w:val="22"/>
        </w:rPr>
        <w:t>que una serie de especies de mamíferos socialmente complejas —como varias especies de cetáceos, grandes simios y elefantes— muestran evidencia de tener una cultura no humana;</w:t>
      </w:r>
    </w:p>
    <w:p w14:paraId="10BEF96D" w14:textId="77777777" w:rsidR="00756FC3" w:rsidRPr="00114867" w:rsidRDefault="00756FC3" w:rsidP="00FD556F">
      <w:pPr>
        <w:numPr>
          <w:ilvl w:val="0"/>
          <w:numId w:val="12"/>
        </w:numPr>
        <w:tabs>
          <w:tab w:val="left" w:pos="720"/>
        </w:tabs>
        <w:ind w:left="720"/>
        <w:jc w:val="both"/>
        <w:rPr>
          <w:rFonts w:cs="Arial"/>
          <w:sz w:val="22"/>
          <w:szCs w:val="22"/>
        </w:rPr>
      </w:pPr>
      <w:r w:rsidRPr="00114867">
        <w:rPr>
          <w:sz w:val="22"/>
          <w:szCs w:val="22"/>
        </w:rPr>
        <w:t>que las especies altamente sociales enfrentan desafíos de conservación únicos;</w:t>
      </w:r>
    </w:p>
    <w:p w14:paraId="09738F9C" w14:textId="77777777" w:rsidR="00756FC3" w:rsidRPr="00114867" w:rsidRDefault="00756FC3" w:rsidP="00FD556F">
      <w:pPr>
        <w:numPr>
          <w:ilvl w:val="0"/>
          <w:numId w:val="12"/>
        </w:numPr>
        <w:tabs>
          <w:tab w:val="left" w:pos="720"/>
        </w:tabs>
        <w:ind w:left="720"/>
        <w:jc w:val="both"/>
        <w:rPr>
          <w:rFonts w:cs="Arial"/>
          <w:sz w:val="22"/>
          <w:szCs w:val="22"/>
        </w:rPr>
      </w:pPr>
      <w:r w:rsidRPr="00114867">
        <w:rPr>
          <w:sz w:val="22"/>
          <w:szCs w:val="22"/>
        </w:rPr>
        <w:t>que la transmisión social del conocimiento entre individuos puede aumentar la viabilidad de la población y ofrecer oportunidades para la rápida difusión de las innovaciones y, por lo tanto, la adaptación al cambio ambiental;</w:t>
      </w:r>
    </w:p>
    <w:p w14:paraId="31591250" w14:textId="77777777" w:rsidR="00756FC3" w:rsidRPr="00114867" w:rsidRDefault="00756FC3" w:rsidP="00FD556F">
      <w:pPr>
        <w:numPr>
          <w:ilvl w:val="0"/>
          <w:numId w:val="12"/>
        </w:numPr>
        <w:tabs>
          <w:tab w:val="left" w:pos="720"/>
        </w:tabs>
        <w:ind w:left="720"/>
        <w:jc w:val="both"/>
        <w:rPr>
          <w:rFonts w:cs="Arial"/>
          <w:sz w:val="22"/>
          <w:szCs w:val="22"/>
        </w:rPr>
      </w:pPr>
      <w:r w:rsidRPr="00114867">
        <w:rPr>
          <w:sz w:val="22"/>
          <w:szCs w:val="22"/>
        </w:rPr>
        <w:t>que esta transmisión de conocimientos también podría aumentar el impacto de las amenazas antropogénicas o podría funcionar sinérgicamente con amenazas antropogénicas para agravar su impacto en un grupo social específico o de manera más amplia;</w:t>
      </w:r>
    </w:p>
    <w:p w14:paraId="41205B35" w14:textId="77777777" w:rsidR="00756FC3" w:rsidRPr="00114867" w:rsidRDefault="00756FC3" w:rsidP="00FD556F">
      <w:pPr>
        <w:numPr>
          <w:ilvl w:val="0"/>
          <w:numId w:val="12"/>
        </w:numPr>
        <w:tabs>
          <w:tab w:val="left" w:pos="720"/>
        </w:tabs>
        <w:ind w:left="720"/>
        <w:jc w:val="both"/>
        <w:rPr>
          <w:rFonts w:cs="Arial"/>
          <w:sz w:val="22"/>
          <w:szCs w:val="22"/>
        </w:rPr>
      </w:pPr>
      <w:r w:rsidRPr="00114867">
        <w:rPr>
          <w:sz w:val="22"/>
          <w:szCs w:val="22"/>
        </w:rPr>
        <w:t>que el impacto de la remoción de individuos de poblaciones en especies socialmente complejas puede tener consecuencias más allá de una simple reducción en números absolutos;</w:t>
      </w:r>
    </w:p>
    <w:p w14:paraId="1157D96C" w14:textId="77777777" w:rsidR="00756FC3" w:rsidRPr="00114867" w:rsidRDefault="00756FC3" w:rsidP="00FD556F">
      <w:pPr>
        <w:numPr>
          <w:ilvl w:val="0"/>
          <w:numId w:val="12"/>
        </w:numPr>
        <w:tabs>
          <w:tab w:val="left" w:pos="720"/>
        </w:tabs>
        <w:ind w:left="720"/>
        <w:jc w:val="both"/>
        <w:rPr>
          <w:rFonts w:cs="Arial"/>
          <w:sz w:val="22"/>
          <w:szCs w:val="22"/>
        </w:rPr>
      </w:pPr>
      <w:r w:rsidRPr="00114867">
        <w:rPr>
          <w:sz w:val="22"/>
          <w:szCs w:val="22"/>
        </w:rPr>
        <w:t>y que las poblaciones de algunas especies se pueden delinear mejor a través del comportamiento cultural que de la diversidad genética o del aislamiento geográfico;</w:t>
      </w:r>
    </w:p>
    <w:p w14:paraId="723CBD8D" w14:textId="77777777" w:rsidR="00756FC3" w:rsidRPr="00446C23" w:rsidRDefault="00756FC3" w:rsidP="00FD556F">
      <w:pPr>
        <w:tabs>
          <w:tab w:val="left" w:pos="720"/>
        </w:tabs>
        <w:ind w:left="720" w:hanging="360"/>
        <w:jc w:val="both"/>
        <w:rPr>
          <w:rFonts w:cs="Arial"/>
          <w:sz w:val="22"/>
          <w:szCs w:val="22"/>
        </w:rPr>
      </w:pPr>
    </w:p>
    <w:p w14:paraId="1F40C8B4" w14:textId="77777777" w:rsidR="00756FC3" w:rsidRPr="00114867" w:rsidRDefault="00756FC3" w:rsidP="00BC5BD9">
      <w:pPr>
        <w:tabs>
          <w:tab w:val="left" w:pos="1020"/>
        </w:tabs>
        <w:jc w:val="both"/>
        <w:rPr>
          <w:rFonts w:cs="Arial"/>
          <w:sz w:val="22"/>
          <w:szCs w:val="22"/>
        </w:rPr>
      </w:pPr>
      <w:r w:rsidRPr="00114867">
        <w:rPr>
          <w:sz w:val="22"/>
          <w:szCs w:val="22"/>
        </w:rPr>
        <w:t>La resolución entonces:</w:t>
      </w:r>
    </w:p>
    <w:p w14:paraId="13606C3F" w14:textId="77777777" w:rsidR="00756FC3" w:rsidRPr="00114867" w:rsidRDefault="00756FC3" w:rsidP="00BC5BD9">
      <w:pPr>
        <w:numPr>
          <w:ilvl w:val="0"/>
          <w:numId w:val="13"/>
        </w:numPr>
        <w:tabs>
          <w:tab w:val="left" w:pos="1020"/>
        </w:tabs>
        <w:jc w:val="both"/>
        <w:rPr>
          <w:rFonts w:cs="Arial"/>
          <w:sz w:val="22"/>
          <w:szCs w:val="22"/>
        </w:rPr>
      </w:pPr>
      <w:r w:rsidRPr="00114867">
        <w:rPr>
          <w:sz w:val="22"/>
          <w:szCs w:val="22"/>
        </w:rPr>
        <w:t>alentó a las partes a que —cuando determinen las medidas de conservación— consideren los comportamientos transmitidos culturalmente;</w:t>
      </w:r>
    </w:p>
    <w:p w14:paraId="752571F8" w14:textId="77777777" w:rsidR="00756FC3" w:rsidRPr="00114867" w:rsidRDefault="00756FC3" w:rsidP="00BC5BD9">
      <w:pPr>
        <w:numPr>
          <w:ilvl w:val="0"/>
          <w:numId w:val="13"/>
        </w:numPr>
        <w:tabs>
          <w:tab w:val="left" w:pos="1020"/>
        </w:tabs>
        <w:jc w:val="both"/>
        <w:rPr>
          <w:rFonts w:cs="Arial"/>
          <w:sz w:val="22"/>
          <w:szCs w:val="22"/>
        </w:rPr>
      </w:pPr>
      <w:r w:rsidRPr="00114867">
        <w:rPr>
          <w:sz w:val="22"/>
          <w:szCs w:val="22"/>
        </w:rPr>
        <w:t>alentó a las partes y a otras partes interesadas a que evalúen las amenazas antropogénicas para las especies de mamíferos socialmente complejas sobre la base de pruebas de las interacciones de esas amenazas con la estructura social y la cultura; y</w:t>
      </w:r>
    </w:p>
    <w:p w14:paraId="38922311" w14:textId="77777777" w:rsidR="00756FC3" w:rsidRPr="00114867" w:rsidRDefault="00756FC3" w:rsidP="00BC5BD9">
      <w:pPr>
        <w:numPr>
          <w:ilvl w:val="0"/>
          <w:numId w:val="13"/>
        </w:numPr>
        <w:tabs>
          <w:tab w:val="left" w:pos="1020"/>
        </w:tabs>
        <w:jc w:val="both"/>
        <w:rPr>
          <w:rFonts w:cs="Arial"/>
          <w:sz w:val="22"/>
          <w:szCs w:val="22"/>
        </w:rPr>
      </w:pPr>
      <w:r w:rsidRPr="00114867">
        <w:rPr>
          <w:sz w:val="22"/>
          <w:szCs w:val="22"/>
        </w:rPr>
        <w:t>instó a las partes a aplicar un enfoque cauteloso a la gestión de las poblaciones para las que hay pruebas de que influir en su cultura y en su complejidad social puede generar un problema de conservación.</w:t>
      </w:r>
    </w:p>
    <w:p w14:paraId="59581346" w14:textId="77777777" w:rsidR="00756FC3" w:rsidRPr="00446C23" w:rsidRDefault="00756FC3" w:rsidP="00BC5BD9">
      <w:pPr>
        <w:tabs>
          <w:tab w:val="left" w:pos="1020"/>
        </w:tabs>
        <w:jc w:val="both"/>
        <w:rPr>
          <w:rFonts w:cs="Arial"/>
          <w:sz w:val="22"/>
          <w:szCs w:val="22"/>
        </w:rPr>
      </w:pPr>
    </w:p>
    <w:p w14:paraId="22E844F0" w14:textId="77777777" w:rsidR="00756FC3" w:rsidRPr="00114867" w:rsidRDefault="00756FC3" w:rsidP="00BC5BD9">
      <w:pPr>
        <w:tabs>
          <w:tab w:val="left" w:pos="1020"/>
        </w:tabs>
        <w:jc w:val="both"/>
        <w:rPr>
          <w:rFonts w:cs="Arial"/>
          <w:sz w:val="22"/>
          <w:szCs w:val="22"/>
        </w:rPr>
      </w:pPr>
      <w:r w:rsidRPr="00114867">
        <w:rPr>
          <w:sz w:val="22"/>
          <w:szCs w:val="22"/>
        </w:rPr>
        <w:t xml:space="preserve">Por último —y de mayor relevancia para este estudio de caso—, la resolución también </w:t>
      </w:r>
      <w:r w:rsidRPr="00114867">
        <w:rPr>
          <w:sz w:val="22"/>
          <w:szCs w:val="22"/>
        </w:rPr>
        <w:lastRenderedPageBreak/>
        <w:t xml:space="preserve">alentó a las partes y a otros interesados </w:t>
      </w:r>
      <w:r w:rsidRPr="00114867">
        <w:rPr>
          <w:b/>
          <w:sz w:val="22"/>
          <w:szCs w:val="22"/>
        </w:rPr>
        <w:t>a recopilar y publicar datos pertinentes para avanzar en la gestión de la conservación de estas poblaciones y grupos sociales discretos</w:t>
      </w:r>
      <w:r w:rsidRPr="00114867">
        <w:rPr>
          <w:sz w:val="22"/>
          <w:szCs w:val="22"/>
        </w:rPr>
        <w:t>. Esta acción concertada se orienta específicamente al logro de ese objetivo.</w:t>
      </w:r>
    </w:p>
    <w:p w14:paraId="43A9833A" w14:textId="77777777" w:rsidR="00756FC3" w:rsidRPr="00446C23" w:rsidRDefault="00756FC3" w:rsidP="00BC5BD9">
      <w:pPr>
        <w:tabs>
          <w:tab w:val="left" w:pos="1020"/>
        </w:tabs>
        <w:jc w:val="both"/>
        <w:rPr>
          <w:rFonts w:cs="Arial"/>
          <w:sz w:val="22"/>
          <w:szCs w:val="22"/>
        </w:rPr>
      </w:pPr>
    </w:p>
    <w:p w14:paraId="591C3251" w14:textId="77777777" w:rsidR="00756FC3" w:rsidRPr="00114867" w:rsidRDefault="00756FC3" w:rsidP="00BC5BD9">
      <w:pPr>
        <w:tabs>
          <w:tab w:val="left" w:pos="1020"/>
        </w:tabs>
        <w:jc w:val="both"/>
        <w:rPr>
          <w:rFonts w:cs="Arial"/>
          <w:b/>
          <w:sz w:val="22"/>
          <w:szCs w:val="22"/>
        </w:rPr>
      </w:pPr>
      <w:r w:rsidRPr="00114867">
        <w:rPr>
          <w:b/>
          <w:sz w:val="22"/>
          <w:szCs w:val="22"/>
        </w:rPr>
        <w:t>(iii) Ausencia de mejores remedios</w:t>
      </w:r>
    </w:p>
    <w:p w14:paraId="29C33CFF" w14:textId="77777777" w:rsidR="00756FC3" w:rsidRPr="00114867" w:rsidRDefault="00756FC3" w:rsidP="00BC5BD9">
      <w:pPr>
        <w:tabs>
          <w:tab w:val="left" w:pos="1020"/>
        </w:tabs>
        <w:jc w:val="both"/>
        <w:rPr>
          <w:rFonts w:cs="Arial"/>
          <w:i/>
          <w:sz w:val="22"/>
          <w:szCs w:val="22"/>
        </w:rPr>
      </w:pPr>
      <w:r w:rsidRPr="00114867">
        <w:rPr>
          <w:sz w:val="22"/>
          <w:szCs w:val="22"/>
        </w:rPr>
        <w:t xml:space="preserve">CMS está posicionada de manera única como el único acuerdo ambiental multilateral que actualmente está involucrado en las implicaciones políticas de este campo emergente de la ciencia. Más allá del enfoque tradicional de conservar solo la diversidad genotípica hacia un enfoque más avanzado, que incorpora aspectos específicos de la diversidad fenotípica, es probable que proporcione oportunidades para métodos más eficientes y eficaces para conservar algunas especies que aprenden socialmente. </w:t>
      </w:r>
    </w:p>
    <w:p w14:paraId="4207C7DF" w14:textId="77777777" w:rsidR="00756FC3" w:rsidRPr="00446C23" w:rsidRDefault="00756FC3" w:rsidP="00BC5BD9">
      <w:pPr>
        <w:tabs>
          <w:tab w:val="left" w:pos="1020"/>
        </w:tabs>
        <w:jc w:val="both"/>
        <w:rPr>
          <w:rFonts w:cs="Arial"/>
          <w:sz w:val="22"/>
          <w:szCs w:val="22"/>
        </w:rPr>
      </w:pPr>
    </w:p>
    <w:p w14:paraId="3F8B898F" w14:textId="77777777" w:rsidR="00756FC3" w:rsidRPr="00114867" w:rsidRDefault="00756FC3" w:rsidP="00BC5BD9">
      <w:pPr>
        <w:tabs>
          <w:tab w:val="left" w:pos="1020"/>
        </w:tabs>
        <w:jc w:val="both"/>
        <w:rPr>
          <w:rFonts w:cs="Arial"/>
          <w:b/>
          <w:sz w:val="22"/>
          <w:szCs w:val="22"/>
        </w:rPr>
      </w:pPr>
      <w:r w:rsidRPr="00114867">
        <w:rPr>
          <w:b/>
          <w:sz w:val="22"/>
          <w:szCs w:val="22"/>
        </w:rPr>
        <w:t>(iv) Preparación y viabilidad</w:t>
      </w:r>
    </w:p>
    <w:p w14:paraId="6728FABA" w14:textId="77777777" w:rsidR="00756FC3" w:rsidRPr="00114867" w:rsidRDefault="00756FC3" w:rsidP="00BC5BD9">
      <w:pPr>
        <w:tabs>
          <w:tab w:val="left" w:pos="1020"/>
        </w:tabs>
        <w:jc w:val="both"/>
        <w:rPr>
          <w:rFonts w:cs="Arial"/>
          <w:sz w:val="22"/>
          <w:szCs w:val="22"/>
        </w:rPr>
      </w:pPr>
      <w:r w:rsidRPr="00114867">
        <w:rPr>
          <w:sz w:val="22"/>
          <w:szCs w:val="22"/>
        </w:rPr>
        <w:t>Esta propuesta requiere —siempre que sea posible y apropiado— que los Estados del área de distribución apoyen y faciliten la colaboración entre los expertos necesarios, específicamente para incrementar la recopilación de datos (inicialmente mediante la monitorización acústica pasiva) e investigar otras oportunidades de colaboración en la recolección de datos de esta especie. El Dr. Luke Rendell —de la Universidad de St. Andrews (en Escocia), que tiene una amplia experiencia en la investigación de cachalotes en esta región y tiene contactos académicos relevantes— ha ofrecido liderar este proyecto. El profesor Hal Whitehead, de la Universidad de Dalhousie (Canadá), también se ha ofrecido a proporcionar su experiencia y orientación para ayudar a este proyecto.</w:t>
      </w:r>
    </w:p>
    <w:p w14:paraId="2A27B239" w14:textId="77777777" w:rsidR="00756FC3" w:rsidRPr="00446C23" w:rsidRDefault="00756FC3" w:rsidP="00BC5BD9">
      <w:pPr>
        <w:tabs>
          <w:tab w:val="left" w:pos="1020"/>
        </w:tabs>
        <w:jc w:val="both"/>
        <w:rPr>
          <w:rFonts w:cs="Arial"/>
          <w:sz w:val="22"/>
          <w:szCs w:val="22"/>
        </w:rPr>
      </w:pPr>
    </w:p>
    <w:p w14:paraId="4FED09D3" w14:textId="77777777" w:rsidR="00756FC3" w:rsidRPr="00114867" w:rsidRDefault="00756FC3" w:rsidP="00BC5BD9">
      <w:pPr>
        <w:tabs>
          <w:tab w:val="left" w:pos="1020"/>
        </w:tabs>
        <w:jc w:val="both"/>
        <w:rPr>
          <w:rFonts w:cs="Arial"/>
          <w:sz w:val="22"/>
          <w:szCs w:val="22"/>
        </w:rPr>
      </w:pPr>
      <w:r w:rsidRPr="00114867">
        <w:rPr>
          <w:sz w:val="22"/>
          <w:szCs w:val="22"/>
        </w:rPr>
        <w:t>Este es un área novedosa de la ciencia de la conservación, con el potencial de atraer fondos de fuentes externas.</w:t>
      </w:r>
    </w:p>
    <w:p w14:paraId="539ECAAE" w14:textId="77777777" w:rsidR="00756FC3" w:rsidRPr="00446C23" w:rsidRDefault="00756FC3" w:rsidP="00BC5BD9">
      <w:pPr>
        <w:tabs>
          <w:tab w:val="left" w:pos="1020"/>
        </w:tabs>
        <w:jc w:val="both"/>
        <w:rPr>
          <w:rFonts w:cs="Arial"/>
          <w:sz w:val="22"/>
          <w:szCs w:val="22"/>
        </w:rPr>
      </w:pPr>
    </w:p>
    <w:p w14:paraId="0DD245B0" w14:textId="77777777" w:rsidR="00756FC3" w:rsidRPr="00114867" w:rsidRDefault="00756FC3" w:rsidP="00BC5BD9">
      <w:pPr>
        <w:tabs>
          <w:tab w:val="left" w:pos="1020"/>
        </w:tabs>
        <w:jc w:val="both"/>
        <w:rPr>
          <w:rFonts w:cs="Arial"/>
          <w:b/>
          <w:sz w:val="22"/>
          <w:szCs w:val="22"/>
        </w:rPr>
      </w:pPr>
      <w:r w:rsidRPr="00114867">
        <w:rPr>
          <w:b/>
          <w:sz w:val="22"/>
          <w:szCs w:val="22"/>
        </w:rPr>
        <w:t>(v) Probabilidad de éxito</w:t>
      </w:r>
    </w:p>
    <w:p w14:paraId="56C8278F" w14:textId="77777777" w:rsidR="00756FC3" w:rsidRPr="00114867" w:rsidRDefault="00756FC3" w:rsidP="00BC5BD9">
      <w:pPr>
        <w:tabs>
          <w:tab w:val="left" w:pos="1020"/>
        </w:tabs>
        <w:jc w:val="both"/>
        <w:rPr>
          <w:rFonts w:cs="Arial"/>
          <w:sz w:val="22"/>
          <w:szCs w:val="22"/>
        </w:rPr>
      </w:pPr>
      <w:r w:rsidRPr="00114867">
        <w:rPr>
          <w:sz w:val="22"/>
          <w:szCs w:val="22"/>
        </w:rPr>
        <w:t>La implementación de esta colaboración facilitará una mejor comprensión de la distribución de los clanes a través de los Estados del área de distribución, proporcionando datos de mayor resolución sobre la distribución, la mezcla de clanes y (potencialmente) sobre el comportamiento alimentario. Esto proporcionará una visión de cómo los cambios en el medio ambiente, tanto naturales como antropogénicos, pueden afectar diferencialmente a estos clanes discretos y, por tanto, de qué manera necesitan ser manejados en consecuencia. Hay una alta probabilidad de éxito a través de esta colaboración porque ya hay investigadores con experiencia en este campo dentro de la región, y tanto el Dr. Rendell como el profesor Whitehead tienen buenos contactos con muchos de estos investigadores.</w:t>
      </w:r>
    </w:p>
    <w:p w14:paraId="57A282BF" w14:textId="77777777" w:rsidR="00756FC3" w:rsidRPr="00446C23" w:rsidRDefault="00756FC3" w:rsidP="00BC5BD9">
      <w:pPr>
        <w:tabs>
          <w:tab w:val="left" w:pos="1020"/>
        </w:tabs>
        <w:jc w:val="both"/>
        <w:rPr>
          <w:rFonts w:cs="Arial"/>
          <w:sz w:val="22"/>
          <w:szCs w:val="22"/>
        </w:rPr>
      </w:pPr>
    </w:p>
    <w:p w14:paraId="107EC583" w14:textId="77777777" w:rsidR="00756FC3" w:rsidRPr="00114867" w:rsidRDefault="00756FC3" w:rsidP="00BC5BD9">
      <w:pPr>
        <w:tabs>
          <w:tab w:val="left" w:pos="1020"/>
        </w:tabs>
        <w:jc w:val="both"/>
        <w:rPr>
          <w:rFonts w:cs="Arial"/>
          <w:sz w:val="22"/>
          <w:szCs w:val="22"/>
        </w:rPr>
      </w:pPr>
      <w:r w:rsidRPr="00114867">
        <w:rPr>
          <w:sz w:val="22"/>
          <w:szCs w:val="22"/>
        </w:rPr>
        <w:t>La creación de capacidad en toda la comunidad científica y la colaboración entre los institutos que realizan investigaciones sobre esta especie en la región proporcionarán un mecanismo de herencia mediante el cual se podrán recopilar datos permanentes para comprender mejor los patrones de cambio entre estas unidades culturales.</w:t>
      </w:r>
    </w:p>
    <w:p w14:paraId="6A6BEA2F" w14:textId="77777777" w:rsidR="00756FC3" w:rsidRPr="00446C23" w:rsidRDefault="00756FC3" w:rsidP="00BC5BD9">
      <w:pPr>
        <w:tabs>
          <w:tab w:val="left" w:pos="1020"/>
        </w:tabs>
        <w:jc w:val="both"/>
        <w:rPr>
          <w:rFonts w:cs="Arial"/>
          <w:sz w:val="22"/>
          <w:szCs w:val="22"/>
        </w:rPr>
      </w:pPr>
    </w:p>
    <w:p w14:paraId="490404BC" w14:textId="77777777" w:rsidR="00756FC3" w:rsidRPr="00114867" w:rsidRDefault="00756FC3" w:rsidP="00BC5BD9">
      <w:pPr>
        <w:tabs>
          <w:tab w:val="left" w:pos="1020"/>
        </w:tabs>
        <w:jc w:val="both"/>
        <w:rPr>
          <w:rFonts w:cs="Arial"/>
          <w:sz w:val="22"/>
          <w:szCs w:val="22"/>
        </w:rPr>
      </w:pPr>
      <w:r w:rsidRPr="00114867">
        <w:rPr>
          <w:b/>
          <w:sz w:val="22"/>
          <w:szCs w:val="22"/>
        </w:rPr>
        <w:t>(vi) Magnitud del impacto probable</w:t>
      </w:r>
    </w:p>
    <w:p w14:paraId="3A367D35" w14:textId="77777777" w:rsidR="00756FC3" w:rsidRPr="00114867" w:rsidRDefault="00756FC3" w:rsidP="00BC5BD9">
      <w:pPr>
        <w:tabs>
          <w:tab w:val="left" w:pos="1020"/>
        </w:tabs>
        <w:jc w:val="both"/>
        <w:rPr>
          <w:rFonts w:cs="Arial"/>
          <w:sz w:val="22"/>
          <w:szCs w:val="22"/>
        </w:rPr>
      </w:pPr>
      <w:r w:rsidRPr="00114867">
        <w:rPr>
          <w:sz w:val="22"/>
          <w:szCs w:val="22"/>
        </w:rPr>
        <w:t>Esto tiene el potencial de ser una colaboración emblemática para integrar la ciencia en el aprendizaje social y la estructura social en la conservación práctica de las especies migratorias. Por lo tanto, esta acción concertada tiene un excelente potencial como catalizador para futuras colaboraciones, a través de una amplia gama de taxones, que pueden ayudar a las partes de la CMS en la conservación de las especies migratorias que aprenden socialmente.</w:t>
      </w:r>
    </w:p>
    <w:p w14:paraId="576E3D15" w14:textId="77777777" w:rsidR="00756FC3" w:rsidRPr="00446C23" w:rsidRDefault="00756FC3" w:rsidP="00BC5BD9">
      <w:pPr>
        <w:tabs>
          <w:tab w:val="left" w:pos="1020"/>
        </w:tabs>
        <w:jc w:val="both"/>
        <w:rPr>
          <w:rFonts w:cs="Arial"/>
          <w:sz w:val="22"/>
          <w:szCs w:val="22"/>
        </w:rPr>
      </w:pPr>
    </w:p>
    <w:p w14:paraId="3B2A3EDF" w14:textId="77777777" w:rsidR="00756FC3" w:rsidRPr="00114867" w:rsidRDefault="00756FC3" w:rsidP="00BC5BD9">
      <w:pPr>
        <w:tabs>
          <w:tab w:val="left" w:pos="1020"/>
        </w:tabs>
        <w:jc w:val="both"/>
        <w:rPr>
          <w:rFonts w:cs="Arial"/>
          <w:b/>
          <w:sz w:val="22"/>
          <w:szCs w:val="22"/>
        </w:rPr>
      </w:pPr>
      <w:r w:rsidRPr="00114867">
        <w:rPr>
          <w:b/>
          <w:sz w:val="22"/>
          <w:szCs w:val="22"/>
        </w:rPr>
        <w:t>(vii) Rentabilidad</w:t>
      </w:r>
    </w:p>
    <w:p w14:paraId="5EBACE98" w14:textId="77777777" w:rsidR="00756FC3" w:rsidRPr="00114867" w:rsidRDefault="00756FC3" w:rsidP="00BC5BD9">
      <w:pPr>
        <w:tabs>
          <w:tab w:val="left" w:pos="1020"/>
        </w:tabs>
        <w:jc w:val="both"/>
        <w:rPr>
          <w:rFonts w:cs="Arial"/>
          <w:sz w:val="22"/>
          <w:szCs w:val="22"/>
        </w:rPr>
      </w:pPr>
      <w:r w:rsidRPr="00114867">
        <w:rPr>
          <w:sz w:val="22"/>
          <w:szCs w:val="22"/>
        </w:rPr>
        <w:t>Debido a que esta acción concertada tiene el potencial de convertirse en un proyecto emblemático y porque la investigación está en curso y las demandas a las partes no son onerosas, y buscan solo que los Estados del área de distribución faciliten y apoyen esta iniciativa siempre que sea posible y apropiado, es probable que esta acción sea muy eficaz para la CMS, en términos de desarrollar la competencia como un acuerdo multilateral que conduzca a la comprensión en este aspecto de los esfuerzos de conservación modernos.</w:t>
      </w:r>
    </w:p>
    <w:p w14:paraId="3F949867" w14:textId="77777777" w:rsidR="00756FC3" w:rsidRPr="00446C23" w:rsidRDefault="00756FC3" w:rsidP="00BC5BD9">
      <w:pPr>
        <w:tabs>
          <w:tab w:val="left" w:pos="1020"/>
        </w:tabs>
        <w:jc w:val="both"/>
        <w:rPr>
          <w:rFonts w:cs="Arial"/>
          <w:sz w:val="22"/>
          <w:szCs w:val="22"/>
        </w:rPr>
      </w:pPr>
    </w:p>
    <w:p w14:paraId="42A77292" w14:textId="77777777" w:rsidR="00BC5BD9" w:rsidRPr="00446C23" w:rsidRDefault="00BC5BD9" w:rsidP="00BC5BD9">
      <w:pPr>
        <w:tabs>
          <w:tab w:val="left" w:pos="1020"/>
        </w:tabs>
        <w:jc w:val="both"/>
        <w:rPr>
          <w:rFonts w:cs="Arial"/>
          <w:sz w:val="22"/>
          <w:szCs w:val="22"/>
        </w:rPr>
      </w:pPr>
    </w:p>
    <w:p w14:paraId="2CE32BFF" w14:textId="77777777" w:rsidR="00756FC3" w:rsidRPr="00114867" w:rsidRDefault="00756FC3" w:rsidP="00BC5BD9">
      <w:pPr>
        <w:tabs>
          <w:tab w:val="left" w:pos="1020"/>
        </w:tabs>
        <w:jc w:val="both"/>
        <w:rPr>
          <w:rFonts w:cs="Arial"/>
          <w:b/>
          <w:sz w:val="22"/>
          <w:szCs w:val="22"/>
        </w:rPr>
      </w:pPr>
      <w:r w:rsidRPr="00114867">
        <w:rPr>
          <w:b/>
          <w:sz w:val="22"/>
          <w:szCs w:val="22"/>
        </w:rPr>
        <w:t>E. Beneficios asociados</w:t>
      </w:r>
    </w:p>
    <w:p w14:paraId="221BB120" w14:textId="77777777" w:rsidR="00756FC3" w:rsidRPr="00114867" w:rsidRDefault="00756FC3" w:rsidP="00BC5BD9">
      <w:pPr>
        <w:tabs>
          <w:tab w:val="left" w:pos="1020"/>
        </w:tabs>
        <w:jc w:val="both"/>
        <w:rPr>
          <w:rFonts w:cs="Arial"/>
          <w:sz w:val="22"/>
          <w:szCs w:val="22"/>
        </w:rPr>
      </w:pPr>
      <w:r w:rsidRPr="00114867">
        <w:rPr>
          <w:sz w:val="22"/>
          <w:szCs w:val="22"/>
        </w:rPr>
        <w:t>Alcance público en un campo emergente de la ciencia de la conservación, las implicaciones políticas a las que está encabezando la CMS. También se prevé que la información recabada y las lecciones aprendidas a través de esta colaboración también puedan beneficiar en el futuro a iniciativas similares con respecto a otras especies registradas por la CMS.</w:t>
      </w:r>
    </w:p>
    <w:p w14:paraId="1B66EA26" w14:textId="77777777" w:rsidR="00756FC3" w:rsidRPr="00446C23" w:rsidRDefault="00756FC3" w:rsidP="00BC5BD9">
      <w:pPr>
        <w:tabs>
          <w:tab w:val="left" w:pos="1020"/>
        </w:tabs>
        <w:jc w:val="both"/>
        <w:rPr>
          <w:rFonts w:cs="Arial"/>
          <w:sz w:val="22"/>
          <w:szCs w:val="22"/>
        </w:rPr>
      </w:pPr>
    </w:p>
    <w:p w14:paraId="56317F42" w14:textId="77777777" w:rsidR="00BC5BD9" w:rsidRPr="00446C23" w:rsidRDefault="00BC5BD9" w:rsidP="00BC5BD9">
      <w:pPr>
        <w:tabs>
          <w:tab w:val="left" w:pos="1020"/>
        </w:tabs>
        <w:jc w:val="both"/>
        <w:rPr>
          <w:rFonts w:cs="Arial"/>
          <w:sz w:val="22"/>
          <w:szCs w:val="22"/>
        </w:rPr>
      </w:pPr>
    </w:p>
    <w:p w14:paraId="43EBDD72" w14:textId="77777777" w:rsidR="00756FC3" w:rsidRPr="00114867" w:rsidRDefault="00756FC3" w:rsidP="00BC5BD9">
      <w:pPr>
        <w:tabs>
          <w:tab w:val="left" w:pos="1020"/>
        </w:tabs>
        <w:jc w:val="both"/>
        <w:rPr>
          <w:rFonts w:cs="Arial"/>
          <w:b/>
          <w:sz w:val="22"/>
          <w:szCs w:val="22"/>
        </w:rPr>
      </w:pPr>
      <w:r w:rsidRPr="00114867">
        <w:rPr>
          <w:b/>
          <w:sz w:val="22"/>
          <w:szCs w:val="22"/>
        </w:rPr>
        <w:t>F. Relación con otras acciones de la CMS</w:t>
      </w:r>
    </w:p>
    <w:p w14:paraId="4A9B296B" w14:textId="77777777" w:rsidR="00756FC3" w:rsidRPr="00114867" w:rsidRDefault="00756FC3" w:rsidP="00BC5BD9">
      <w:pPr>
        <w:tabs>
          <w:tab w:val="left" w:pos="1020"/>
        </w:tabs>
        <w:jc w:val="both"/>
        <w:rPr>
          <w:rFonts w:cs="Arial"/>
          <w:sz w:val="22"/>
          <w:szCs w:val="22"/>
        </w:rPr>
      </w:pPr>
      <w:r w:rsidRPr="00114867">
        <w:rPr>
          <w:sz w:val="22"/>
          <w:szCs w:val="22"/>
        </w:rPr>
        <w:t xml:space="preserve">La resolución 10.15 de la CMS sobre el Programa Mundial de Trabajo para los Cetáceos (2012-2024) instruyó al Grupo de Trabajo de Mamíferos Acuáticos del Consejo Científico de la CMS para que proporcionara asesoramiento sobre el impacto de la emergente ciencia de la complejidad social y la cultura de los cetáceos en relación con las poblaciones regionales. </w:t>
      </w:r>
    </w:p>
    <w:p w14:paraId="3D90C0E4" w14:textId="77777777" w:rsidR="00756FC3" w:rsidRPr="00446C23" w:rsidRDefault="00756FC3" w:rsidP="00BC5BD9">
      <w:pPr>
        <w:tabs>
          <w:tab w:val="left" w:pos="1020"/>
        </w:tabs>
        <w:jc w:val="both"/>
        <w:rPr>
          <w:rFonts w:cs="Arial"/>
          <w:sz w:val="22"/>
          <w:szCs w:val="22"/>
        </w:rPr>
      </w:pPr>
    </w:p>
    <w:p w14:paraId="7544CE8E" w14:textId="77777777" w:rsidR="00756FC3" w:rsidRPr="00114867" w:rsidRDefault="00756FC3" w:rsidP="00BC5BD9">
      <w:pPr>
        <w:tabs>
          <w:tab w:val="left" w:pos="1020"/>
        </w:tabs>
        <w:jc w:val="both"/>
        <w:rPr>
          <w:rFonts w:cs="Arial"/>
          <w:sz w:val="22"/>
          <w:szCs w:val="22"/>
        </w:rPr>
      </w:pPr>
      <w:r w:rsidRPr="00114867">
        <w:rPr>
          <w:sz w:val="22"/>
          <w:szCs w:val="22"/>
        </w:rPr>
        <w:t xml:space="preserve">Esta instrucción dio como resultado la organización del taller de 2014 (CMS, 2014) y la adopción de la resolución 11.23 sobre Implicaciones de la Conservación de la Cultura de los Cetáceos adoptada en la COP11 (UNEP/CMS/COP11/Resolución 11.23). Los objetivos actuales de esta resolución (expuestos en la sección D (ii) anterior) solo pueden alcanzarse en especies marinas altamente migratorias como los cachalotes, si se lleva a cabo el tipo de colaboración entre los Estados del área de distribución sugeridos en esta acción concertada. </w:t>
      </w:r>
    </w:p>
    <w:p w14:paraId="6BB514B8" w14:textId="77777777" w:rsidR="00756FC3" w:rsidRPr="00446C23" w:rsidRDefault="00756FC3" w:rsidP="00BC5BD9">
      <w:pPr>
        <w:tabs>
          <w:tab w:val="left" w:pos="1020"/>
        </w:tabs>
        <w:jc w:val="both"/>
        <w:rPr>
          <w:rFonts w:cs="Arial"/>
          <w:sz w:val="22"/>
          <w:szCs w:val="22"/>
        </w:rPr>
      </w:pPr>
    </w:p>
    <w:p w14:paraId="1CE8CFDB" w14:textId="77777777" w:rsidR="00BC5BD9" w:rsidRPr="00114867" w:rsidRDefault="00BC5BD9">
      <w:pPr>
        <w:widowControl/>
        <w:autoSpaceDE/>
        <w:autoSpaceDN/>
        <w:adjustRightInd/>
        <w:rPr>
          <w:rFonts w:cs="Arial"/>
          <w:b/>
          <w:sz w:val="22"/>
          <w:szCs w:val="22"/>
        </w:rPr>
      </w:pPr>
      <w:r w:rsidRPr="00114867">
        <w:br w:type="page"/>
      </w:r>
    </w:p>
    <w:p w14:paraId="2A7AC586" w14:textId="77777777" w:rsidR="00756FC3" w:rsidRPr="00114867" w:rsidRDefault="00756FC3" w:rsidP="00BC5BD9">
      <w:pPr>
        <w:tabs>
          <w:tab w:val="left" w:pos="1020"/>
        </w:tabs>
        <w:jc w:val="both"/>
        <w:rPr>
          <w:rFonts w:cs="Arial"/>
          <w:b/>
          <w:sz w:val="22"/>
          <w:szCs w:val="22"/>
        </w:rPr>
      </w:pPr>
      <w:r w:rsidRPr="00114867">
        <w:rPr>
          <w:b/>
          <w:sz w:val="22"/>
          <w:szCs w:val="22"/>
        </w:rPr>
        <w:lastRenderedPageBreak/>
        <w:t>Referencias</w:t>
      </w:r>
    </w:p>
    <w:p w14:paraId="42F86BAA" w14:textId="77777777" w:rsidR="00756FC3" w:rsidRPr="00114867" w:rsidRDefault="00756FC3" w:rsidP="00BC5BD9">
      <w:pPr>
        <w:tabs>
          <w:tab w:val="left" w:pos="1020"/>
        </w:tabs>
        <w:jc w:val="both"/>
        <w:rPr>
          <w:rFonts w:cs="Arial"/>
          <w:b/>
          <w:sz w:val="22"/>
          <w:szCs w:val="22"/>
          <w:lang w:val="en-GB"/>
        </w:rPr>
      </w:pPr>
    </w:p>
    <w:p w14:paraId="4F472542" w14:textId="77777777" w:rsidR="00756FC3" w:rsidRPr="00446C23" w:rsidRDefault="00756FC3" w:rsidP="00FD556F">
      <w:pPr>
        <w:tabs>
          <w:tab w:val="left" w:pos="1020"/>
        </w:tabs>
        <w:ind w:left="720" w:hanging="720"/>
        <w:jc w:val="both"/>
        <w:rPr>
          <w:rFonts w:cs="Arial"/>
          <w:sz w:val="20"/>
          <w:szCs w:val="20"/>
          <w:lang w:val="en-US"/>
        </w:rPr>
      </w:pPr>
      <w:r w:rsidRPr="00114867">
        <w:rPr>
          <w:sz w:val="20"/>
          <w:szCs w:val="20"/>
          <w:lang w:val="en-GB"/>
        </w:rPr>
        <w:t>C</w:t>
      </w:r>
      <w:bookmarkStart w:id="1" w:name="_GoBack"/>
      <w:bookmarkEnd w:id="1"/>
      <w:r w:rsidRPr="00114867">
        <w:rPr>
          <w:sz w:val="20"/>
          <w:szCs w:val="20"/>
          <w:lang w:val="en-GB"/>
        </w:rPr>
        <w:t xml:space="preserve">antor, M. and H. Whitehead. (2015) How does social behavior differ among sperm whale clans? </w:t>
      </w:r>
      <w:r w:rsidRPr="00114867">
        <w:rPr>
          <w:i/>
          <w:sz w:val="20"/>
          <w:szCs w:val="20"/>
          <w:lang w:val="en-GB"/>
        </w:rPr>
        <w:t>Marine Mammal Science</w:t>
      </w:r>
      <w:r w:rsidRPr="00114867">
        <w:rPr>
          <w:sz w:val="20"/>
          <w:szCs w:val="20"/>
          <w:lang w:val="en-GB"/>
        </w:rPr>
        <w:t xml:space="preserve"> 31: 1275-1290.</w:t>
      </w:r>
    </w:p>
    <w:p w14:paraId="776D4045" w14:textId="77777777" w:rsidR="00756FC3" w:rsidRPr="00114867" w:rsidRDefault="00756FC3" w:rsidP="00FD556F">
      <w:pPr>
        <w:tabs>
          <w:tab w:val="left" w:pos="1020"/>
        </w:tabs>
        <w:ind w:left="720" w:hanging="720"/>
        <w:jc w:val="both"/>
        <w:rPr>
          <w:rFonts w:cs="Arial"/>
          <w:sz w:val="20"/>
          <w:szCs w:val="20"/>
          <w:lang w:val="en-GB"/>
        </w:rPr>
      </w:pPr>
    </w:p>
    <w:p w14:paraId="35479B77" w14:textId="77777777" w:rsidR="00756FC3" w:rsidRPr="00446C23" w:rsidRDefault="00756FC3" w:rsidP="00FD556F">
      <w:pPr>
        <w:tabs>
          <w:tab w:val="left" w:pos="1020"/>
        </w:tabs>
        <w:ind w:left="720" w:hanging="720"/>
        <w:jc w:val="both"/>
        <w:rPr>
          <w:rFonts w:cs="Arial"/>
          <w:sz w:val="20"/>
          <w:szCs w:val="20"/>
          <w:lang w:val="en-US"/>
        </w:rPr>
      </w:pPr>
      <w:r w:rsidRPr="00114867">
        <w:rPr>
          <w:sz w:val="20"/>
          <w:szCs w:val="20"/>
          <w:lang w:val="en-GB"/>
        </w:rPr>
        <w:t xml:space="preserve">Cantor, M, H. Whitehead, S. Gero and L. Rendell (2016) Cultural turnover among Galápagos sperm whales. </w:t>
      </w:r>
      <w:r w:rsidRPr="00114867">
        <w:rPr>
          <w:i/>
          <w:sz w:val="20"/>
          <w:szCs w:val="20"/>
          <w:lang w:val="en-GB"/>
        </w:rPr>
        <w:t>Royal Society Open Science 3</w:t>
      </w:r>
      <w:r w:rsidRPr="00114867">
        <w:rPr>
          <w:sz w:val="20"/>
          <w:szCs w:val="20"/>
          <w:lang w:val="en-GB"/>
        </w:rPr>
        <w:t>: 160615.</w:t>
      </w:r>
    </w:p>
    <w:p w14:paraId="1723FC93" w14:textId="77777777" w:rsidR="00756FC3" w:rsidRPr="00114867" w:rsidRDefault="00756FC3" w:rsidP="00FD556F">
      <w:pPr>
        <w:tabs>
          <w:tab w:val="left" w:pos="1020"/>
        </w:tabs>
        <w:ind w:left="720" w:hanging="720"/>
        <w:jc w:val="both"/>
        <w:rPr>
          <w:rFonts w:cs="Arial"/>
          <w:sz w:val="20"/>
          <w:szCs w:val="20"/>
          <w:lang w:val="en-GB"/>
        </w:rPr>
      </w:pPr>
    </w:p>
    <w:p w14:paraId="5A9D4CCC" w14:textId="77777777" w:rsidR="002233D1" w:rsidRPr="00446C23" w:rsidRDefault="00756FC3" w:rsidP="00FD556F">
      <w:pPr>
        <w:tabs>
          <w:tab w:val="left" w:pos="1020"/>
        </w:tabs>
        <w:ind w:left="720" w:hanging="720"/>
        <w:jc w:val="both"/>
        <w:rPr>
          <w:rFonts w:cs="Arial"/>
          <w:sz w:val="20"/>
          <w:szCs w:val="20"/>
          <w:lang w:val="en-US"/>
        </w:rPr>
      </w:pPr>
      <w:r w:rsidRPr="00114867">
        <w:rPr>
          <w:sz w:val="20"/>
          <w:szCs w:val="20"/>
          <w:lang w:val="en-GB"/>
        </w:rPr>
        <w:t>CMS (2014) Report of the CMS Scientific Council Workshop on the Conservation Implications of Cetacean Culture (available at</w:t>
      </w:r>
    </w:p>
    <w:p w14:paraId="5F980D31" w14:textId="77777777" w:rsidR="00756FC3" w:rsidRPr="00446C23" w:rsidRDefault="00756FC3" w:rsidP="00FD556F">
      <w:pPr>
        <w:tabs>
          <w:tab w:val="left" w:pos="1020"/>
        </w:tabs>
        <w:ind w:left="720" w:hanging="720"/>
        <w:jc w:val="both"/>
        <w:rPr>
          <w:rFonts w:cs="Arial"/>
          <w:sz w:val="20"/>
          <w:szCs w:val="20"/>
          <w:lang w:val="en-US"/>
        </w:rPr>
      </w:pPr>
      <w:r w:rsidRPr="00114867">
        <w:rPr>
          <w:sz w:val="20"/>
          <w:szCs w:val="20"/>
          <w:lang w:val="en-GB"/>
        </w:rPr>
        <w:t>http://www.cms.int/sites/default/files/document/Inf_10_14_ScC_WG_Rpt_on_Cetacean_Culture_Eonly.pdf).</w:t>
      </w:r>
    </w:p>
    <w:p w14:paraId="673EFDE5" w14:textId="77777777" w:rsidR="00756FC3" w:rsidRPr="00114867" w:rsidRDefault="00756FC3" w:rsidP="00FD556F">
      <w:pPr>
        <w:tabs>
          <w:tab w:val="left" w:pos="1020"/>
        </w:tabs>
        <w:ind w:left="720" w:hanging="720"/>
        <w:jc w:val="both"/>
        <w:rPr>
          <w:rFonts w:cs="Arial"/>
          <w:sz w:val="20"/>
          <w:szCs w:val="20"/>
          <w:lang w:val="en-GB"/>
        </w:rPr>
      </w:pPr>
    </w:p>
    <w:p w14:paraId="769F2603" w14:textId="77777777" w:rsidR="00756FC3" w:rsidRPr="00446C23" w:rsidRDefault="00756FC3" w:rsidP="00FD556F">
      <w:pPr>
        <w:tabs>
          <w:tab w:val="left" w:pos="1020"/>
        </w:tabs>
        <w:ind w:left="720" w:hanging="720"/>
        <w:jc w:val="both"/>
        <w:rPr>
          <w:rFonts w:cs="Arial"/>
          <w:sz w:val="20"/>
          <w:szCs w:val="20"/>
          <w:lang w:val="en-US"/>
        </w:rPr>
      </w:pPr>
      <w:r w:rsidRPr="00114867">
        <w:rPr>
          <w:sz w:val="20"/>
          <w:szCs w:val="20"/>
          <w:lang w:val="en-GB"/>
        </w:rPr>
        <w:t>CMS (2015) Appendices I and II of the Convention on the Conservation of Migratory Species of Wild Animals (CMS) http://www.cms.int/sites/default/files/document/ Appendices_COP11_E_version5June2015.pdf</w:t>
      </w:r>
    </w:p>
    <w:p w14:paraId="5282298A" w14:textId="77777777" w:rsidR="00756FC3" w:rsidRPr="00114867" w:rsidRDefault="00756FC3" w:rsidP="00FD556F">
      <w:pPr>
        <w:tabs>
          <w:tab w:val="left" w:pos="1020"/>
        </w:tabs>
        <w:ind w:left="720" w:hanging="720"/>
        <w:jc w:val="both"/>
        <w:rPr>
          <w:rFonts w:cs="Arial"/>
          <w:sz w:val="20"/>
          <w:szCs w:val="20"/>
          <w:lang w:val="en-GB"/>
        </w:rPr>
      </w:pPr>
    </w:p>
    <w:p w14:paraId="66807510" w14:textId="77777777" w:rsidR="00756FC3" w:rsidRPr="00114867" w:rsidRDefault="00756FC3" w:rsidP="00FD556F">
      <w:pPr>
        <w:tabs>
          <w:tab w:val="left" w:pos="1020"/>
        </w:tabs>
        <w:ind w:left="720" w:hanging="720"/>
        <w:jc w:val="both"/>
        <w:rPr>
          <w:rFonts w:cs="Arial"/>
          <w:sz w:val="20"/>
          <w:szCs w:val="20"/>
        </w:rPr>
      </w:pPr>
      <w:r w:rsidRPr="00114867">
        <w:rPr>
          <w:sz w:val="20"/>
          <w:szCs w:val="20"/>
          <w:lang w:val="en-GB"/>
        </w:rPr>
        <w:t xml:space="preserve">Marcoux, M., L. Rendell, and H. Whitehead.  (2007a) Indications of fitness differences among vocal clans of sperm whales.  </w:t>
      </w:r>
      <w:r w:rsidRPr="00114867">
        <w:rPr>
          <w:i/>
          <w:sz w:val="20"/>
          <w:szCs w:val="20"/>
          <w:lang w:val="en-GB"/>
        </w:rPr>
        <w:t>Behavioural Ecology and Sociobiology</w:t>
      </w:r>
      <w:r w:rsidRPr="00114867">
        <w:rPr>
          <w:sz w:val="20"/>
          <w:szCs w:val="20"/>
          <w:lang w:val="en-GB"/>
        </w:rPr>
        <w:t xml:space="preserve"> 61: 1093-1098.</w:t>
      </w:r>
    </w:p>
    <w:p w14:paraId="6917D029" w14:textId="77777777" w:rsidR="00756FC3" w:rsidRPr="00114867" w:rsidRDefault="00756FC3" w:rsidP="00FD556F">
      <w:pPr>
        <w:tabs>
          <w:tab w:val="left" w:pos="1020"/>
        </w:tabs>
        <w:ind w:left="720" w:hanging="720"/>
        <w:jc w:val="both"/>
        <w:rPr>
          <w:rFonts w:cs="Arial"/>
          <w:sz w:val="20"/>
          <w:szCs w:val="20"/>
          <w:lang w:val="en-GB"/>
        </w:rPr>
      </w:pPr>
    </w:p>
    <w:p w14:paraId="51999D92" w14:textId="77777777" w:rsidR="00756FC3" w:rsidRPr="00446C23" w:rsidRDefault="00756FC3" w:rsidP="00FD556F">
      <w:pPr>
        <w:tabs>
          <w:tab w:val="left" w:pos="1020"/>
        </w:tabs>
        <w:ind w:left="720" w:hanging="720"/>
        <w:jc w:val="both"/>
        <w:rPr>
          <w:rFonts w:cs="Arial"/>
          <w:sz w:val="20"/>
          <w:szCs w:val="20"/>
          <w:lang w:val="en-US"/>
        </w:rPr>
      </w:pPr>
      <w:r w:rsidRPr="00114867">
        <w:rPr>
          <w:sz w:val="20"/>
          <w:szCs w:val="20"/>
          <w:lang w:val="en-GB"/>
        </w:rPr>
        <w:t xml:space="preserve">Marcoux, M., H. Whitehead, and L. Rendell. (2007b) Sperm whale feeding variation by location, year, social group and clan: Evidence from stable isotopes. </w:t>
      </w:r>
      <w:r w:rsidRPr="00114867">
        <w:rPr>
          <w:i/>
          <w:sz w:val="20"/>
          <w:szCs w:val="20"/>
          <w:lang w:val="en-GB"/>
        </w:rPr>
        <w:t>Marine Ecology Progress Series</w:t>
      </w:r>
      <w:r w:rsidRPr="00114867">
        <w:rPr>
          <w:sz w:val="20"/>
          <w:szCs w:val="20"/>
          <w:lang w:val="en-GB"/>
        </w:rPr>
        <w:t xml:space="preserve"> 333: 309-314.</w:t>
      </w:r>
    </w:p>
    <w:p w14:paraId="0D3EBA5E" w14:textId="77777777" w:rsidR="00756FC3" w:rsidRPr="00114867" w:rsidRDefault="00756FC3" w:rsidP="00FD556F">
      <w:pPr>
        <w:tabs>
          <w:tab w:val="left" w:pos="1020"/>
        </w:tabs>
        <w:ind w:left="720" w:hanging="720"/>
        <w:jc w:val="both"/>
        <w:rPr>
          <w:rFonts w:cs="Arial"/>
          <w:sz w:val="20"/>
          <w:szCs w:val="20"/>
          <w:lang w:val="en-GB"/>
        </w:rPr>
      </w:pPr>
    </w:p>
    <w:p w14:paraId="3A8050D6" w14:textId="77777777" w:rsidR="00756FC3" w:rsidRPr="00446C23" w:rsidRDefault="00756FC3" w:rsidP="00FD556F">
      <w:pPr>
        <w:tabs>
          <w:tab w:val="left" w:pos="1020"/>
        </w:tabs>
        <w:ind w:left="720" w:hanging="720"/>
        <w:jc w:val="both"/>
        <w:rPr>
          <w:rFonts w:cs="Arial"/>
          <w:sz w:val="20"/>
          <w:szCs w:val="20"/>
          <w:lang w:val="en-US"/>
        </w:rPr>
      </w:pPr>
      <w:r w:rsidRPr="00114867">
        <w:rPr>
          <w:sz w:val="20"/>
          <w:szCs w:val="20"/>
          <w:lang w:val="en-GB"/>
        </w:rPr>
        <w:t>Rendell, L. &amp; Whitehead, H. (2003) Vocal clans in sperm whales (</w:t>
      </w:r>
      <w:r w:rsidRPr="00114867">
        <w:rPr>
          <w:i/>
          <w:sz w:val="20"/>
          <w:szCs w:val="20"/>
          <w:lang w:val="en-GB"/>
        </w:rPr>
        <w:t>Physeter macrocephalus</w:t>
      </w:r>
      <w:r w:rsidRPr="00114867">
        <w:rPr>
          <w:sz w:val="20"/>
          <w:szCs w:val="20"/>
          <w:lang w:val="en-GB"/>
        </w:rPr>
        <w:t xml:space="preserve">). </w:t>
      </w:r>
      <w:r w:rsidRPr="00114867">
        <w:rPr>
          <w:i/>
          <w:sz w:val="20"/>
          <w:szCs w:val="20"/>
          <w:lang w:val="en-GB"/>
        </w:rPr>
        <w:t>Proceedings of the Royal Society: Biological Sciences</w:t>
      </w:r>
      <w:r w:rsidRPr="00114867">
        <w:rPr>
          <w:sz w:val="20"/>
          <w:szCs w:val="20"/>
          <w:lang w:val="en-GB"/>
        </w:rPr>
        <w:t xml:space="preserve"> 270:225-231.</w:t>
      </w:r>
    </w:p>
    <w:p w14:paraId="67A9ED6B" w14:textId="77777777" w:rsidR="00756FC3" w:rsidRPr="00114867" w:rsidRDefault="00756FC3" w:rsidP="00FD556F">
      <w:pPr>
        <w:tabs>
          <w:tab w:val="left" w:pos="1020"/>
        </w:tabs>
        <w:ind w:left="720" w:hanging="720"/>
        <w:jc w:val="both"/>
        <w:rPr>
          <w:rFonts w:cs="Arial"/>
          <w:sz w:val="20"/>
          <w:szCs w:val="20"/>
          <w:lang w:val="en-GB"/>
        </w:rPr>
      </w:pPr>
    </w:p>
    <w:p w14:paraId="7D060D3D" w14:textId="77777777" w:rsidR="00756FC3" w:rsidRPr="00114867" w:rsidRDefault="00756FC3" w:rsidP="00FD556F">
      <w:pPr>
        <w:tabs>
          <w:tab w:val="left" w:pos="1020"/>
        </w:tabs>
        <w:ind w:left="720" w:hanging="720"/>
        <w:jc w:val="both"/>
        <w:rPr>
          <w:rFonts w:cs="Arial"/>
          <w:sz w:val="20"/>
          <w:szCs w:val="20"/>
        </w:rPr>
      </w:pPr>
      <w:r w:rsidRPr="00114867">
        <w:rPr>
          <w:sz w:val="20"/>
          <w:szCs w:val="20"/>
          <w:lang w:val="en-GB"/>
        </w:rPr>
        <w:t xml:space="preserve">Whitehead, H. (2003) </w:t>
      </w:r>
      <w:r w:rsidRPr="00114867">
        <w:rPr>
          <w:i/>
          <w:sz w:val="20"/>
          <w:szCs w:val="20"/>
          <w:lang w:val="en-GB"/>
        </w:rPr>
        <w:t>Sperm whales: Social evolution in the ocean</w:t>
      </w:r>
      <w:r w:rsidRPr="00114867">
        <w:rPr>
          <w:sz w:val="20"/>
          <w:szCs w:val="20"/>
          <w:lang w:val="en-GB"/>
        </w:rPr>
        <w:t>. Chicago: Chicago University Press</w:t>
      </w:r>
    </w:p>
    <w:p w14:paraId="6C36E886" w14:textId="77777777" w:rsidR="00756FC3" w:rsidRPr="00114867" w:rsidRDefault="00756FC3" w:rsidP="00FD556F">
      <w:pPr>
        <w:tabs>
          <w:tab w:val="left" w:pos="1020"/>
        </w:tabs>
        <w:ind w:left="720" w:hanging="720"/>
        <w:jc w:val="both"/>
        <w:rPr>
          <w:rFonts w:cs="Arial"/>
          <w:sz w:val="20"/>
          <w:szCs w:val="20"/>
          <w:lang w:val="en-GB"/>
        </w:rPr>
      </w:pPr>
    </w:p>
    <w:p w14:paraId="11835731" w14:textId="77777777" w:rsidR="00756FC3" w:rsidRPr="00114867" w:rsidRDefault="00756FC3" w:rsidP="00FD556F">
      <w:pPr>
        <w:tabs>
          <w:tab w:val="left" w:pos="1020"/>
        </w:tabs>
        <w:ind w:left="720" w:hanging="720"/>
        <w:jc w:val="both"/>
        <w:rPr>
          <w:rFonts w:cs="Arial"/>
          <w:sz w:val="20"/>
          <w:szCs w:val="20"/>
        </w:rPr>
      </w:pPr>
      <w:r w:rsidRPr="00114867">
        <w:rPr>
          <w:sz w:val="20"/>
          <w:szCs w:val="20"/>
          <w:lang w:val="en-GB"/>
        </w:rPr>
        <w:t xml:space="preserve">Whitehead, H (2010) Conserving and managing animals that learn socially and share cultures. </w:t>
      </w:r>
      <w:r w:rsidRPr="00114867">
        <w:rPr>
          <w:i/>
          <w:sz w:val="20"/>
          <w:szCs w:val="20"/>
          <w:lang w:val="en-GB"/>
        </w:rPr>
        <w:t>Learning and Behavior</w:t>
      </w:r>
      <w:r w:rsidRPr="00114867">
        <w:rPr>
          <w:sz w:val="20"/>
          <w:szCs w:val="20"/>
          <w:lang w:val="en-GB"/>
        </w:rPr>
        <w:t xml:space="preserve"> 38: 329–36.</w:t>
      </w:r>
    </w:p>
    <w:p w14:paraId="76B4A5AD" w14:textId="77777777" w:rsidR="00756FC3" w:rsidRPr="00114867" w:rsidRDefault="00756FC3" w:rsidP="00FD556F">
      <w:pPr>
        <w:tabs>
          <w:tab w:val="left" w:pos="1020"/>
        </w:tabs>
        <w:ind w:left="720" w:hanging="720"/>
        <w:jc w:val="both"/>
        <w:rPr>
          <w:rFonts w:cs="Arial"/>
          <w:sz w:val="20"/>
          <w:szCs w:val="20"/>
          <w:lang w:val="en-GB"/>
        </w:rPr>
      </w:pPr>
    </w:p>
    <w:p w14:paraId="0B44C481" w14:textId="77777777" w:rsidR="00756FC3" w:rsidRPr="00114867" w:rsidRDefault="00756FC3" w:rsidP="00FD556F">
      <w:pPr>
        <w:tabs>
          <w:tab w:val="left" w:pos="1020"/>
        </w:tabs>
        <w:ind w:left="720" w:hanging="720"/>
        <w:jc w:val="both"/>
        <w:rPr>
          <w:rFonts w:cs="Arial"/>
          <w:sz w:val="20"/>
          <w:szCs w:val="20"/>
        </w:rPr>
      </w:pPr>
      <w:r w:rsidRPr="00114867">
        <w:rPr>
          <w:sz w:val="20"/>
          <w:szCs w:val="20"/>
          <w:lang w:val="en-GB"/>
        </w:rPr>
        <w:t xml:space="preserve">Whitehead, H., A. Coakes, N. Jaquet and S. Lusseau. (2008) Movements of sperm whales in the tropical Pacific. </w:t>
      </w:r>
      <w:r w:rsidRPr="00114867">
        <w:rPr>
          <w:i/>
          <w:sz w:val="20"/>
          <w:szCs w:val="20"/>
          <w:lang w:val="en-GB"/>
        </w:rPr>
        <w:t>Marine Ecology Progress Series</w:t>
      </w:r>
      <w:r w:rsidRPr="00114867">
        <w:rPr>
          <w:sz w:val="20"/>
          <w:szCs w:val="20"/>
          <w:lang w:val="en-GB"/>
        </w:rPr>
        <w:t xml:space="preserve"> 361: 291-300.</w:t>
      </w:r>
    </w:p>
    <w:p w14:paraId="683336A4" w14:textId="77777777" w:rsidR="00756FC3" w:rsidRPr="00114867" w:rsidRDefault="00756FC3" w:rsidP="00FD556F">
      <w:pPr>
        <w:tabs>
          <w:tab w:val="left" w:pos="1020"/>
        </w:tabs>
        <w:ind w:left="720" w:hanging="720"/>
        <w:jc w:val="both"/>
        <w:rPr>
          <w:rFonts w:cs="Arial"/>
          <w:sz w:val="20"/>
          <w:szCs w:val="20"/>
          <w:lang w:val="en-GB"/>
        </w:rPr>
      </w:pPr>
    </w:p>
    <w:p w14:paraId="0FC4311C" w14:textId="77777777" w:rsidR="00756FC3" w:rsidRPr="00114867" w:rsidRDefault="00756FC3" w:rsidP="00FD556F">
      <w:pPr>
        <w:tabs>
          <w:tab w:val="left" w:pos="1020"/>
        </w:tabs>
        <w:ind w:left="720" w:hanging="720"/>
        <w:jc w:val="both"/>
        <w:rPr>
          <w:rFonts w:cs="Arial"/>
          <w:sz w:val="20"/>
          <w:szCs w:val="20"/>
        </w:rPr>
      </w:pPr>
      <w:r w:rsidRPr="00114867">
        <w:rPr>
          <w:sz w:val="20"/>
          <w:szCs w:val="20"/>
          <w:lang w:val="en-GB"/>
        </w:rPr>
        <w:t xml:space="preserve">Whitehead, H. and D. Lusseau (2012) Animal social networks as substrate for cultural behavioural diversity. </w:t>
      </w:r>
      <w:r w:rsidRPr="00114867">
        <w:rPr>
          <w:i/>
          <w:sz w:val="20"/>
          <w:szCs w:val="20"/>
          <w:lang w:val="en-GB"/>
        </w:rPr>
        <w:t>Journal of Theoretical Biology</w:t>
      </w:r>
      <w:r w:rsidRPr="00114867">
        <w:rPr>
          <w:sz w:val="20"/>
          <w:szCs w:val="20"/>
          <w:lang w:val="en-GB"/>
        </w:rPr>
        <w:t xml:space="preserve"> 294: 19–28.</w:t>
      </w:r>
    </w:p>
    <w:p w14:paraId="749CB87D" w14:textId="77777777" w:rsidR="00756FC3" w:rsidRPr="00114867" w:rsidRDefault="00756FC3" w:rsidP="00FD556F">
      <w:pPr>
        <w:tabs>
          <w:tab w:val="left" w:pos="1020"/>
        </w:tabs>
        <w:ind w:left="720" w:hanging="720"/>
        <w:jc w:val="both"/>
        <w:rPr>
          <w:rFonts w:cs="Arial"/>
          <w:sz w:val="20"/>
          <w:szCs w:val="20"/>
          <w:lang w:val="en-GB"/>
        </w:rPr>
      </w:pPr>
    </w:p>
    <w:p w14:paraId="3B5E91E4" w14:textId="77777777" w:rsidR="00756FC3" w:rsidRPr="00446C23" w:rsidRDefault="00756FC3" w:rsidP="00FD556F">
      <w:pPr>
        <w:tabs>
          <w:tab w:val="left" w:pos="1020"/>
        </w:tabs>
        <w:ind w:left="720" w:hanging="720"/>
        <w:jc w:val="both"/>
        <w:rPr>
          <w:rFonts w:cs="Arial"/>
          <w:sz w:val="20"/>
          <w:szCs w:val="20"/>
          <w:lang w:val="en-US"/>
        </w:rPr>
      </w:pPr>
      <w:r w:rsidRPr="00114867">
        <w:rPr>
          <w:sz w:val="20"/>
          <w:szCs w:val="20"/>
          <w:lang w:val="en-GB"/>
        </w:rPr>
        <w:t xml:space="preserve">Whitehead, H., and L. Rendell. (2004) Movements, habitat use and feeding success of cultural clans of South Pacific sperm whales. </w:t>
      </w:r>
      <w:r w:rsidRPr="00114867">
        <w:rPr>
          <w:i/>
          <w:sz w:val="20"/>
          <w:szCs w:val="20"/>
          <w:lang w:val="en-GB"/>
        </w:rPr>
        <w:t>Journal of Animal Ecology</w:t>
      </w:r>
      <w:r w:rsidRPr="00114867">
        <w:rPr>
          <w:sz w:val="20"/>
          <w:szCs w:val="20"/>
          <w:lang w:val="en-GB"/>
        </w:rPr>
        <w:t xml:space="preserve"> 73: 190-196.</w:t>
      </w:r>
    </w:p>
    <w:p w14:paraId="360FA2AF" w14:textId="77777777" w:rsidR="00756FC3" w:rsidRPr="00114867" w:rsidRDefault="00756FC3" w:rsidP="00FD556F">
      <w:pPr>
        <w:tabs>
          <w:tab w:val="left" w:pos="1020"/>
        </w:tabs>
        <w:ind w:left="720" w:hanging="720"/>
        <w:jc w:val="both"/>
        <w:rPr>
          <w:rFonts w:cs="Arial"/>
          <w:sz w:val="20"/>
          <w:szCs w:val="20"/>
          <w:lang w:val="en-GB"/>
        </w:rPr>
      </w:pPr>
    </w:p>
    <w:p w14:paraId="10E0D8A9" w14:textId="77777777" w:rsidR="00756FC3" w:rsidRPr="00114867" w:rsidRDefault="00756FC3" w:rsidP="00FD556F">
      <w:pPr>
        <w:tabs>
          <w:tab w:val="left" w:pos="1020"/>
        </w:tabs>
        <w:ind w:left="720" w:hanging="720"/>
        <w:jc w:val="both"/>
        <w:rPr>
          <w:rFonts w:cs="Arial"/>
          <w:sz w:val="20"/>
          <w:szCs w:val="20"/>
        </w:rPr>
      </w:pPr>
      <w:r w:rsidRPr="00114867">
        <w:rPr>
          <w:sz w:val="20"/>
          <w:szCs w:val="20"/>
          <w:lang w:val="en-GB"/>
        </w:rPr>
        <w:t xml:space="preserve">Zimmer, W.M. (2011) </w:t>
      </w:r>
      <w:r w:rsidRPr="00114867">
        <w:rPr>
          <w:i/>
          <w:sz w:val="20"/>
          <w:szCs w:val="20"/>
          <w:lang w:val="en-GB"/>
        </w:rPr>
        <w:t>Passive acoustic monitoring of cetaceans</w:t>
      </w:r>
      <w:r w:rsidRPr="00114867">
        <w:rPr>
          <w:sz w:val="20"/>
          <w:szCs w:val="20"/>
          <w:lang w:val="en-GB"/>
        </w:rPr>
        <w:t>. Cambridge: Cambridge University Press.</w:t>
      </w:r>
    </w:p>
    <w:p w14:paraId="1CE49101" w14:textId="77777777" w:rsidR="007910DD" w:rsidRPr="00114867" w:rsidRDefault="007910DD" w:rsidP="00BC5BD9">
      <w:pPr>
        <w:tabs>
          <w:tab w:val="left" w:pos="1020"/>
        </w:tabs>
        <w:jc w:val="both"/>
        <w:rPr>
          <w:rFonts w:cs="Arial"/>
          <w:sz w:val="20"/>
          <w:szCs w:val="20"/>
          <w:lang w:val="en-GB"/>
        </w:rPr>
      </w:pPr>
    </w:p>
    <w:sectPr w:rsidR="007910DD" w:rsidRPr="00114867" w:rsidSect="00334B2E">
      <w:headerReference w:type="even" r:id="rId17"/>
      <w:headerReference w:type="default" r:id="rId18"/>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ert Vagg (UNEP/CMS Secretariat)" w:date="2017-06-15T11:43:00Z" w:initials="RV">
    <w:p w14:paraId="7ABC9CFE" w14:textId="77777777" w:rsidR="007815E7" w:rsidRPr="00446C23" w:rsidRDefault="00114867">
      <w:pPr>
        <w:pStyle w:val="CommentText"/>
        <w:rPr>
          <w:lang w:val="en-US"/>
        </w:rPr>
      </w:pPr>
      <w:r>
        <w:rPr>
          <w:rStyle w:val="CommentReference"/>
        </w:rPr>
        <w:annotationRef/>
      </w:r>
      <w:r w:rsidRPr="00446C23">
        <w:rPr>
          <w:lang w:val="en-US"/>
        </w:rPr>
        <w:t>Does this look better in CAPS?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BC9CF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E6C8" w14:textId="77777777" w:rsidR="00500814" w:rsidRDefault="00500814">
      <w:r>
        <w:separator/>
      </w:r>
    </w:p>
  </w:endnote>
  <w:endnote w:type="continuationSeparator" w:id="0">
    <w:p w14:paraId="73BD8D43" w14:textId="77777777" w:rsidR="00500814" w:rsidRDefault="0050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3480" w14:textId="77777777" w:rsidR="00354A9C" w:rsidRPr="00334B2E" w:rsidRDefault="00354A9C" w:rsidP="00056DC1">
    <w:pPr>
      <w:pStyle w:val="Footer"/>
      <w:ind w:right="-367"/>
      <w:jc w:val="center"/>
      <w:rPr>
        <w:rFonts w:cs="Arial"/>
        <w:szCs w:val="18"/>
      </w:rPr>
    </w:pPr>
    <w:r w:rsidRPr="00334B2E">
      <w:rPr>
        <w:rFonts w:cs="Arial"/>
        <w:szCs w:val="18"/>
      </w:rPr>
      <w:fldChar w:fldCharType="begin"/>
    </w:r>
    <w:r w:rsidRPr="00334B2E">
      <w:rPr>
        <w:rFonts w:cs="Arial"/>
        <w:szCs w:val="18"/>
      </w:rPr>
      <w:instrText xml:space="preserve"> PAGE   \* MERGEFORMAT </w:instrText>
    </w:r>
    <w:r w:rsidRPr="00334B2E">
      <w:rPr>
        <w:rFonts w:cs="Arial"/>
        <w:szCs w:val="18"/>
      </w:rPr>
      <w:fldChar w:fldCharType="separate"/>
    </w:r>
    <w:r w:rsidR="001D1F11">
      <w:rPr>
        <w:rFonts w:cs="Arial"/>
        <w:noProof/>
        <w:szCs w:val="18"/>
      </w:rPr>
      <w:t>8</w:t>
    </w:r>
    <w:r w:rsidRPr="00334B2E">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3F1C" w14:textId="77777777" w:rsidR="00354A9C" w:rsidRPr="00334B2E" w:rsidRDefault="00354A9C" w:rsidP="00056DC1">
    <w:pPr>
      <w:pStyle w:val="Footer"/>
      <w:ind w:right="-367"/>
      <w:jc w:val="center"/>
      <w:rPr>
        <w:rFonts w:cs="Arial"/>
        <w:szCs w:val="18"/>
      </w:rPr>
    </w:pPr>
    <w:r w:rsidRPr="00334B2E">
      <w:rPr>
        <w:rFonts w:cs="Arial"/>
        <w:szCs w:val="18"/>
      </w:rPr>
      <w:fldChar w:fldCharType="begin"/>
    </w:r>
    <w:r w:rsidRPr="00334B2E">
      <w:rPr>
        <w:rFonts w:cs="Arial"/>
        <w:szCs w:val="18"/>
      </w:rPr>
      <w:instrText xml:space="preserve"> PAGE   \* MERGEFORMAT </w:instrText>
    </w:r>
    <w:r w:rsidRPr="00334B2E">
      <w:rPr>
        <w:rFonts w:cs="Arial"/>
        <w:szCs w:val="18"/>
      </w:rPr>
      <w:fldChar w:fldCharType="separate"/>
    </w:r>
    <w:r w:rsidR="001D1F11">
      <w:rPr>
        <w:rFonts w:cs="Arial"/>
        <w:noProof/>
        <w:szCs w:val="18"/>
      </w:rPr>
      <w:t>9</w:t>
    </w:r>
    <w:r w:rsidRPr="00334B2E">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A7D09"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91846"/>
      <w:docPartObj>
        <w:docPartGallery w:val="Page Numbers (Bottom of Page)"/>
        <w:docPartUnique/>
      </w:docPartObj>
    </w:sdtPr>
    <w:sdtEndPr>
      <w:rPr>
        <w:noProof/>
      </w:rPr>
    </w:sdtEndPr>
    <w:sdtContent>
      <w:p w14:paraId="14E7EA9C" w14:textId="77777777" w:rsidR="00043273" w:rsidRDefault="00043273">
        <w:pPr>
          <w:pStyle w:val="Footer"/>
          <w:jc w:val="center"/>
        </w:pPr>
        <w:r>
          <w:fldChar w:fldCharType="begin"/>
        </w:r>
        <w:r>
          <w:instrText xml:space="preserve"> PAGE   \* MERGEFORMAT </w:instrText>
        </w:r>
        <w:r>
          <w:fldChar w:fldCharType="separate"/>
        </w:r>
        <w:r w:rsidR="001D1F11">
          <w:rPr>
            <w:noProof/>
          </w:rPr>
          <w:t>2</w:t>
        </w:r>
        <w:r>
          <w:fldChar w:fldCharType="end"/>
        </w:r>
      </w:p>
    </w:sdtContent>
  </w:sdt>
  <w:p w14:paraId="20201CBE" w14:textId="77777777" w:rsidR="00D605A4" w:rsidRPr="00043273" w:rsidRDefault="00D605A4" w:rsidP="0004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F94BE" w14:textId="77777777" w:rsidR="00500814" w:rsidRDefault="00500814">
      <w:r>
        <w:separator/>
      </w:r>
    </w:p>
  </w:footnote>
  <w:footnote w:type="continuationSeparator" w:id="0">
    <w:p w14:paraId="4E919F0B" w14:textId="77777777" w:rsidR="00500814" w:rsidRDefault="00500814">
      <w:r>
        <w:continuationSeparator/>
      </w:r>
    </w:p>
  </w:footnote>
  <w:footnote w:id="1">
    <w:p w14:paraId="59D0E97F" w14:textId="77777777" w:rsidR="00756FC3" w:rsidRPr="00144C70" w:rsidRDefault="00756FC3" w:rsidP="00756FC3">
      <w:pPr>
        <w:pStyle w:val="FootnoteText"/>
      </w:pPr>
      <w:r>
        <w:rPr>
          <w:rStyle w:val="FootnoteReference"/>
        </w:rPr>
        <w:footnoteRef/>
      </w:r>
      <w:r>
        <w:t xml:space="preserve"> </w:t>
      </w:r>
      <w:hyperlink r:id="rId1" w:history="1">
        <w:r>
          <w:rPr>
            <w:rStyle w:val="Hyperlink"/>
          </w:rPr>
          <w:t>http://www.iucnredlist.org/details/41755/0</w:t>
        </w:r>
      </w:hyperlink>
      <w:r>
        <w:t xml:space="preserve"> (última evaluación en 2008)</w:t>
      </w:r>
    </w:p>
  </w:footnote>
  <w:footnote w:id="2">
    <w:p w14:paraId="3E9A9477" w14:textId="77777777" w:rsidR="00756FC3" w:rsidRPr="00144C70" w:rsidRDefault="00756FC3" w:rsidP="00756FC3">
      <w:pPr>
        <w:pStyle w:val="FootnoteText"/>
      </w:pPr>
      <w:r>
        <w:rPr>
          <w:rStyle w:val="FootnoteReference"/>
        </w:rPr>
        <w:footnoteRef/>
      </w:r>
      <w:r>
        <w:t xml:space="preserve"> </w:t>
      </w:r>
      <w:hyperlink r:id="rId2" w:history="1">
        <w:r>
          <w:rPr>
            <w:rStyle w:val="Hyperlink"/>
          </w:rPr>
          <w:t>http://www.iucnredlist.org/details/16370739/0</w:t>
        </w:r>
      </w:hyperlink>
      <w:r>
        <w:t xml:space="preserve"> (última evaluación en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B9E6" w14:textId="77777777" w:rsidR="00354A9C" w:rsidRPr="00922791" w:rsidRDefault="00334B2E" w:rsidP="00334B2E">
    <w:pPr>
      <w:pStyle w:val="Heading1"/>
      <w:keepNext w:val="0"/>
      <w:pBdr>
        <w:bottom w:val="single" w:sz="4" w:space="1" w:color="auto"/>
      </w:pBdr>
      <w:tabs>
        <w:tab w:val="clear" w:pos="-720"/>
      </w:tabs>
      <w:ind w:left="261" w:right="11" w:hanging="261"/>
      <w:jc w:val="right"/>
      <w:rPr>
        <w:rFonts w:cs="Arial"/>
        <w:b w:val="0"/>
        <w:i/>
        <w:sz w:val="18"/>
        <w:szCs w:val="18"/>
      </w:rPr>
    </w:pPr>
    <w:r>
      <w:rPr>
        <w:b w:val="0"/>
        <w:i/>
        <w:sz w:val="18"/>
        <w:szCs w:val="18"/>
      </w:rPr>
      <w:t>UNEP/CMS/COP12/Doc.26.2.2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BC48" w14:textId="77777777" w:rsidR="00254721" w:rsidRPr="00497E66" w:rsidRDefault="00334B2E" w:rsidP="00334B2E">
    <w:pPr>
      <w:pStyle w:val="Heading1"/>
      <w:keepNext w:val="0"/>
      <w:pBdr>
        <w:bottom w:val="single" w:sz="4" w:space="1" w:color="auto"/>
      </w:pBdr>
      <w:tabs>
        <w:tab w:val="clear" w:pos="-720"/>
      </w:tabs>
      <w:ind w:left="261" w:right="11" w:hanging="261"/>
      <w:rPr>
        <w:rFonts w:cs="Arial"/>
        <w:b w:val="0"/>
        <w:i/>
        <w:sz w:val="18"/>
        <w:szCs w:val="18"/>
      </w:rPr>
    </w:pPr>
    <w:r>
      <w:rPr>
        <w:b w:val="0"/>
        <w:i/>
        <w:sz w:val="18"/>
        <w:szCs w:val="18"/>
      </w:rPr>
      <w:t>UNEP/CMS/COP12/Doc.26.2.2</w:t>
    </w:r>
  </w:p>
  <w:p w14:paraId="2008140A"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52D8" w14:textId="77777777" w:rsidR="00894D19" w:rsidRDefault="00B26E1C" w:rsidP="00894D19">
    <w:pPr>
      <w:pStyle w:val="Header"/>
    </w:pPr>
    <w:r>
      <w:rPr>
        <w:noProof/>
        <w:lang w:val="en-US"/>
      </w:rPr>
      <w:drawing>
        <wp:anchor distT="0" distB="0" distL="114300" distR="114300" simplePos="0" relativeHeight="251659776" behindDoc="1" locked="0" layoutInCell="1" allowOverlap="1" wp14:anchorId="33A8EC30" wp14:editId="7279B631">
          <wp:simplePos x="0" y="0"/>
          <wp:positionH relativeFrom="column">
            <wp:posOffset>-154305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222">
      <w:rPr>
        <w:noProof/>
        <w:lang w:val="en-US"/>
      </w:rPr>
      <w:drawing>
        <wp:anchor distT="0" distB="0" distL="114300" distR="114300" simplePos="0" relativeHeight="251657728" behindDoc="1" locked="0" layoutInCell="1" allowOverlap="1" wp14:anchorId="424F5DF4" wp14:editId="79D41FB2">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C2513"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656D" w14:textId="77777777" w:rsidR="00043273" w:rsidRPr="00922791" w:rsidRDefault="00043273" w:rsidP="00043273">
    <w:pPr>
      <w:pStyle w:val="Heading1"/>
      <w:keepNext w:val="0"/>
      <w:pBdr>
        <w:bottom w:val="single" w:sz="4" w:space="1" w:color="auto"/>
      </w:pBdr>
      <w:tabs>
        <w:tab w:val="clear" w:pos="-720"/>
      </w:tabs>
      <w:ind w:left="261" w:right="11" w:hanging="261"/>
      <w:rPr>
        <w:rFonts w:cs="Arial"/>
        <w:b w:val="0"/>
        <w:i/>
        <w:sz w:val="18"/>
        <w:szCs w:val="18"/>
      </w:rPr>
    </w:pPr>
    <w:r>
      <w:rPr>
        <w:b w:val="0"/>
        <w:i/>
        <w:sz w:val="18"/>
        <w:szCs w:val="18"/>
      </w:rPr>
      <w:t>UNEP/CMS/COP12/Doc.26.2.2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E6B4" w14:textId="77777777" w:rsidR="00043273" w:rsidRPr="00497E66" w:rsidRDefault="00043273" w:rsidP="00043273">
    <w:pPr>
      <w:pStyle w:val="Heading1"/>
      <w:keepNext w:val="0"/>
      <w:pBdr>
        <w:bottom w:val="single" w:sz="4" w:space="1" w:color="auto"/>
      </w:pBdr>
      <w:tabs>
        <w:tab w:val="clear" w:pos="-720"/>
      </w:tabs>
      <w:ind w:left="261" w:right="11" w:hanging="261"/>
      <w:jc w:val="right"/>
      <w:rPr>
        <w:rFonts w:cs="Arial"/>
        <w:b w:val="0"/>
        <w:i/>
        <w:sz w:val="18"/>
        <w:szCs w:val="18"/>
      </w:rPr>
    </w:pPr>
    <w:r>
      <w:rPr>
        <w:b w:val="0"/>
        <w:i/>
        <w:sz w:val="18"/>
        <w:szCs w:val="18"/>
      </w:rPr>
      <w:t>UNEP/CMS/COP12/Doc.26.2.2</w:t>
    </w:r>
  </w:p>
  <w:p w14:paraId="72855430" w14:textId="77777777" w:rsidR="00043273" w:rsidRPr="00497E66" w:rsidRDefault="00043273"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7A38" w14:textId="77777777" w:rsidR="00D605A4" w:rsidRPr="00D605A4" w:rsidRDefault="00D605A4" w:rsidP="00043273">
    <w:pPr>
      <w:pStyle w:val="Header"/>
      <w:pBdr>
        <w:bottom w:val="single" w:sz="4" w:space="1" w:color="auto"/>
      </w:pBdr>
      <w:rPr>
        <w:rFonts w:cs="Arial"/>
        <w:i/>
        <w:szCs w:val="18"/>
      </w:rPr>
    </w:pPr>
    <w:r>
      <w:rPr>
        <w:i/>
        <w:szCs w:val="18"/>
      </w:rPr>
      <w:t>UNEP/CMS/COP12/Doc.26.2.2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A94E95"/>
    <w:multiLevelType w:val="hybridMultilevel"/>
    <w:tmpl w:val="FDAAF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BE50075"/>
    <w:multiLevelType w:val="hybridMultilevel"/>
    <w:tmpl w:val="A7FA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35534CB"/>
    <w:multiLevelType w:val="hybridMultilevel"/>
    <w:tmpl w:val="FF4CA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9A71FB"/>
    <w:multiLevelType w:val="hybridMultilevel"/>
    <w:tmpl w:val="0D6E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Vagg (UNEP/CMS Secretariat)">
    <w15:presenceInfo w15:providerId="AD" w15:userId="S-1-5-21-95821832-833947585-1217154298-16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43273"/>
    <w:rsid w:val="000518C2"/>
    <w:rsid w:val="00056DC1"/>
    <w:rsid w:val="00060156"/>
    <w:rsid w:val="00070BBC"/>
    <w:rsid w:val="00073C92"/>
    <w:rsid w:val="00080F03"/>
    <w:rsid w:val="000900E1"/>
    <w:rsid w:val="0009076A"/>
    <w:rsid w:val="00093680"/>
    <w:rsid w:val="000B6220"/>
    <w:rsid w:val="000C21B1"/>
    <w:rsid w:val="000C3C87"/>
    <w:rsid w:val="000C7460"/>
    <w:rsid w:val="000E01C1"/>
    <w:rsid w:val="000E09AD"/>
    <w:rsid w:val="000F0B93"/>
    <w:rsid w:val="000F1156"/>
    <w:rsid w:val="000F52BA"/>
    <w:rsid w:val="000F6619"/>
    <w:rsid w:val="001111A9"/>
    <w:rsid w:val="00114867"/>
    <w:rsid w:val="001151A3"/>
    <w:rsid w:val="001245DF"/>
    <w:rsid w:val="00130BFD"/>
    <w:rsid w:val="001419C7"/>
    <w:rsid w:val="00150AC4"/>
    <w:rsid w:val="00162D88"/>
    <w:rsid w:val="00162F23"/>
    <w:rsid w:val="00166ABA"/>
    <w:rsid w:val="001743FD"/>
    <w:rsid w:val="001764E6"/>
    <w:rsid w:val="001808F1"/>
    <w:rsid w:val="001A33B6"/>
    <w:rsid w:val="001C069F"/>
    <w:rsid w:val="001C6038"/>
    <w:rsid w:val="001D1F11"/>
    <w:rsid w:val="001F60A1"/>
    <w:rsid w:val="00200570"/>
    <w:rsid w:val="00200759"/>
    <w:rsid w:val="00200A67"/>
    <w:rsid w:val="00201F88"/>
    <w:rsid w:val="00202332"/>
    <w:rsid w:val="002210F4"/>
    <w:rsid w:val="002233D1"/>
    <w:rsid w:val="00224DAD"/>
    <w:rsid w:val="0024016C"/>
    <w:rsid w:val="00254721"/>
    <w:rsid w:val="00257709"/>
    <w:rsid w:val="00261CAE"/>
    <w:rsid w:val="00263159"/>
    <w:rsid w:val="002779F7"/>
    <w:rsid w:val="00287939"/>
    <w:rsid w:val="002A0A1C"/>
    <w:rsid w:val="002A380C"/>
    <w:rsid w:val="002C187A"/>
    <w:rsid w:val="002C20F1"/>
    <w:rsid w:val="002D2863"/>
    <w:rsid w:val="002D5EC0"/>
    <w:rsid w:val="002E3DEA"/>
    <w:rsid w:val="002E7CC2"/>
    <w:rsid w:val="002F50FF"/>
    <w:rsid w:val="002F5C8B"/>
    <w:rsid w:val="002F6A9E"/>
    <w:rsid w:val="002F6F9B"/>
    <w:rsid w:val="003331C6"/>
    <w:rsid w:val="00334B2E"/>
    <w:rsid w:val="00345044"/>
    <w:rsid w:val="00346DAB"/>
    <w:rsid w:val="00351095"/>
    <w:rsid w:val="00352551"/>
    <w:rsid w:val="00354A9C"/>
    <w:rsid w:val="00364973"/>
    <w:rsid w:val="00364C8C"/>
    <w:rsid w:val="003715C8"/>
    <w:rsid w:val="00372347"/>
    <w:rsid w:val="003779D4"/>
    <w:rsid w:val="00382398"/>
    <w:rsid w:val="003909E4"/>
    <w:rsid w:val="003A3E30"/>
    <w:rsid w:val="003A70FE"/>
    <w:rsid w:val="003B0C35"/>
    <w:rsid w:val="003B219E"/>
    <w:rsid w:val="003E21B3"/>
    <w:rsid w:val="0040560E"/>
    <w:rsid w:val="00411E65"/>
    <w:rsid w:val="00412DE9"/>
    <w:rsid w:val="00420040"/>
    <w:rsid w:val="00423388"/>
    <w:rsid w:val="00426D73"/>
    <w:rsid w:val="00446C23"/>
    <w:rsid w:val="00454913"/>
    <w:rsid w:val="004562FD"/>
    <w:rsid w:val="00457441"/>
    <w:rsid w:val="004579F6"/>
    <w:rsid w:val="004656D0"/>
    <w:rsid w:val="00465B53"/>
    <w:rsid w:val="00473ABD"/>
    <w:rsid w:val="00482DCA"/>
    <w:rsid w:val="00497E66"/>
    <w:rsid w:val="004A3AC7"/>
    <w:rsid w:val="004B6CFD"/>
    <w:rsid w:val="004C204D"/>
    <w:rsid w:val="004C5EF6"/>
    <w:rsid w:val="004D0436"/>
    <w:rsid w:val="004D0936"/>
    <w:rsid w:val="004E7ED7"/>
    <w:rsid w:val="004F243D"/>
    <w:rsid w:val="004F3D8D"/>
    <w:rsid w:val="00500814"/>
    <w:rsid w:val="005076F1"/>
    <w:rsid w:val="00512B91"/>
    <w:rsid w:val="005158EB"/>
    <w:rsid w:val="0052082F"/>
    <w:rsid w:val="00542FCC"/>
    <w:rsid w:val="005452BA"/>
    <w:rsid w:val="0055762E"/>
    <w:rsid w:val="00565445"/>
    <w:rsid w:val="00575334"/>
    <w:rsid w:val="00593736"/>
    <w:rsid w:val="0059632C"/>
    <w:rsid w:val="005A3181"/>
    <w:rsid w:val="005A76D5"/>
    <w:rsid w:val="005B0F06"/>
    <w:rsid w:val="005B6141"/>
    <w:rsid w:val="005C3F15"/>
    <w:rsid w:val="005F3989"/>
    <w:rsid w:val="005F4303"/>
    <w:rsid w:val="005F7B20"/>
    <w:rsid w:val="00601B52"/>
    <w:rsid w:val="0060280B"/>
    <w:rsid w:val="00604422"/>
    <w:rsid w:val="00620809"/>
    <w:rsid w:val="00623F5D"/>
    <w:rsid w:val="00651341"/>
    <w:rsid w:val="0065465D"/>
    <w:rsid w:val="00666F8B"/>
    <w:rsid w:val="006815B2"/>
    <w:rsid w:val="006826E0"/>
    <w:rsid w:val="00682B31"/>
    <w:rsid w:val="006864E1"/>
    <w:rsid w:val="00691001"/>
    <w:rsid w:val="006B1037"/>
    <w:rsid w:val="006B52B0"/>
    <w:rsid w:val="006D5210"/>
    <w:rsid w:val="006E56AD"/>
    <w:rsid w:val="006E5763"/>
    <w:rsid w:val="007101BB"/>
    <w:rsid w:val="007130AD"/>
    <w:rsid w:val="00713308"/>
    <w:rsid w:val="00725A91"/>
    <w:rsid w:val="00727E01"/>
    <w:rsid w:val="00745222"/>
    <w:rsid w:val="00752E19"/>
    <w:rsid w:val="00756FC3"/>
    <w:rsid w:val="00757614"/>
    <w:rsid w:val="007728B4"/>
    <w:rsid w:val="0077622E"/>
    <w:rsid w:val="00777FE4"/>
    <w:rsid w:val="007815E7"/>
    <w:rsid w:val="0079075D"/>
    <w:rsid w:val="007910DD"/>
    <w:rsid w:val="00794C7C"/>
    <w:rsid w:val="007C1468"/>
    <w:rsid w:val="007C41D7"/>
    <w:rsid w:val="007F16FB"/>
    <w:rsid w:val="007F1BBA"/>
    <w:rsid w:val="00806DEE"/>
    <w:rsid w:val="0081600F"/>
    <w:rsid w:val="0082722D"/>
    <w:rsid w:val="008274F7"/>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65F97"/>
    <w:rsid w:val="00971ECA"/>
    <w:rsid w:val="00972D36"/>
    <w:rsid w:val="00973BFB"/>
    <w:rsid w:val="00980406"/>
    <w:rsid w:val="00994621"/>
    <w:rsid w:val="00996D85"/>
    <w:rsid w:val="009A2C8F"/>
    <w:rsid w:val="009A7B65"/>
    <w:rsid w:val="009B483C"/>
    <w:rsid w:val="009C1388"/>
    <w:rsid w:val="009D2AD6"/>
    <w:rsid w:val="009D3A07"/>
    <w:rsid w:val="009D4711"/>
    <w:rsid w:val="009D5DA6"/>
    <w:rsid w:val="009E3A84"/>
    <w:rsid w:val="009E72D7"/>
    <w:rsid w:val="009E7ACC"/>
    <w:rsid w:val="009F450E"/>
    <w:rsid w:val="009F54DA"/>
    <w:rsid w:val="00A06984"/>
    <w:rsid w:val="00A1324E"/>
    <w:rsid w:val="00A132F3"/>
    <w:rsid w:val="00A160DB"/>
    <w:rsid w:val="00A27BE3"/>
    <w:rsid w:val="00A339B9"/>
    <w:rsid w:val="00A40EDF"/>
    <w:rsid w:val="00A568DF"/>
    <w:rsid w:val="00A73A79"/>
    <w:rsid w:val="00A93C52"/>
    <w:rsid w:val="00AA7368"/>
    <w:rsid w:val="00AB4FF9"/>
    <w:rsid w:val="00AE7B21"/>
    <w:rsid w:val="00AF1980"/>
    <w:rsid w:val="00AF2021"/>
    <w:rsid w:val="00B016F8"/>
    <w:rsid w:val="00B025B7"/>
    <w:rsid w:val="00B26E1C"/>
    <w:rsid w:val="00B471BD"/>
    <w:rsid w:val="00B50C2D"/>
    <w:rsid w:val="00B64904"/>
    <w:rsid w:val="00BA60CE"/>
    <w:rsid w:val="00BB7AB8"/>
    <w:rsid w:val="00BC5607"/>
    <w:rsid w:val="00BC5BD9"/>
    <w:rsid w:val="00BE0D1D"/>
    <w:rsid w:val="00BE2448"/>
    <w:rsid w:val="00BE24D4"/>
    <w:rsid w:val="00BF2BE7"/>
    <w:rsid w:val="00BF4512"/>
    <w:rsid w:val="00BF5C62"/>
    <w:rsid w:val="00C05102"/>
    <w:rsid w:val="00C12C06"/>
    <w:rsid w:val="00C13FA6"/>
    <w:rsid w:val="00C169ED"/>
    <w:rsid w:val="00C44645"/>
    <w:rsid w:val="00C5484D"/>
    <w:rsid w:val="00C618F2"/>
    <w:rsid w:val="00C73207"/>
    <w:rsid w:val="00C7602A"/>
    <w:rsid w:val="00C82160"/>
    <w:rsid w:val="00C82ED9"/>
    <w:rsid w:val="00C87D68"/>
    <w:rsid w:val="00C9281B"/>
    <w:rsid w:val="00CA367A"/>
    <w:rsid w:val="00CB1D26"/>
    <w:rsid w:val="00CC4C21"/>
    <w:rsid w:val="00CC57AD"/>
    <w:rsid w:val="00CD0FE9"/>
    <w:rsid w:val="00CD7355"/>
    <w:rsid w:val="00CE5B83"/>
    <w:rsid w:val="00CF6EDD"/>
    <w:rsid w:val="00D03D59"/>
    <w:rsid w:val="00D05922"/>
    <w:rsid w:val="00D101A9"/>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B030F"/>
    <w:rsid w:val="00DB30A6"/>
    <w:rsid w:val="00DD6A9E"/>
    <w:rsid w:val="00E23367"/>
    <w:rsid w:val="00E31B92"/>
    <w:rsid w:val="00E475D4"/>
    <w:rsid w:val="00E74D1C"/>
    <w:rsid w:val="00E8776E"/>
    <w:rsid w:val="00E9237A"/>
    <w:rsid w:val="00EA0B88"/>
    <w:rsid w:val="00EA6C1D"/>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2E64"/>
    <w:rsid w:val="00F6347A"/>
    <w:rsid w:val="00F73CDD"/>
    <w:rsid w:val="00F7503A"/>
    <w:rsid w:val="00F81FEF"/>
    <w:rsid w:val="00F97717"/>
    <w:rsid w:val="00F978B9"/>
    <w:rsid w:val="00FA61AF"/>
    <w:rsid w:val="00FB2C17"/>
    <w:rsid w:val="00FD3A06"/>
    <w:rsid w:val="00FD556F"/>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35B0B22"/>
  <w15:docId w15:val="{FBE1624C-AABC-4D68-ADC5-A44F1F47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s-E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s-E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s-E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s-E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s-E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s-E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s-E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EB4403"/>
    <w:rPr>
      <w:rFonts w:ascii="Cambria" w:eastAsia="Times New Roman" w:hAnsi="Cambria" w:cs="Times New Roman"/>
      <w:lang w:val="es-E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s-ES"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es-ES" w:eastAsia="en-U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semiHidden/>
    <w:rsid w:val="00EB4403"/>
    <w:rPr>
      <w:sz w:val="20"/>
      <w:szCs w:val="24"/>
      <w:lang w:val="es-E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s-E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s-E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s-E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es-E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s-E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s-E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s-E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eastAsia="en-GB"/>
    </w:rPr>
  </w:style>
  <w:style w:type="table" w:customStyle="1" w:styleId="TableGrid1">
    <w:name w:val="Table Grid1"/>
    <w:basedOn w:val="TableNormal"/>
    <w:next w:val="TableGrid"/>
    <w:uiPriority w:val="59"/>
    <w:rsid w:val="00756FC3"/>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75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6FC3"/>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7717"/>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5BD9"/>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iucnredlist.org/details/16370739/0" TargetMode="External"/><Relationship Id="rId1" Type="http://schemas.openxmlformats.org/officeDocument/2006/relationships/hyperlink" Target="http://www.iucnredlist.org/details/41755/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88C8-4AB3-4C4E-8BC0-4D75793F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2017-05-30T11:30:00Z</cp:lastPrinted>
  <dcterms:created xsi:type="dcterms:W3CDTF">2017-06-22T11:50:00Z</dcterms:created>
  <dcterms:modified xsi:type="dcterms:W3CDTF">2017-06-22T11:50:00Z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