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EE7072" w:rsidRDefault="00682B31" w:rsidP="00682B31">
      <w:pPr>
        <w:tabs>
          <w:tab w:val="left" w:pos="-1057"/>
          <w:tab w:val="left" w:pos="-720"/>
        </w:tabs>
        <w:ind w:left="-90"/>
        <w:rPr>
          <w:spacing w:val="-8"/>
          <w:sz w:val="12"/>
          <w:szCs w:val="12"/>
          <w:lang w:val="en-GB"/>
        </w:rPr>
      </w:pPr>
    </w:p>
    <w:p w14:paraId="62191BFF" w14:textId="77777777" w:rsidR="00260772" w:rsidRPr="000749B4" w:rsidRDefault="00260772" w:rsidP="003A0D8F">
      <w:pPr>
        <w:tabs>
          <w:tab w:val="left" w:pos="-1057"/>
          <w:tab w:val="left" w:pos="-720"/>
        </w:tabs>
        <w:rPr>
          <w:lang w:val="fr-FR"/>
        </w:rPr>
      </w:pPr>
      <w:r w:rsidRPr="000749B4">
        <w:rPr>
          <w:lang w:val="fr-FR"/>
        </w:rPr>
        <w:t>12</w:t>
      </w:r>
      <w:r w:rsidRPr="000749B4">
        <w:rPr>
          <w:vertAlign w:val="superscript"/>
          <w:lang w:val="fr-FR"/>
        </w:rPr>
        <w:t>ème</w:t>
      </w:r>
      <w:r w:rsidRPr="000749B4">
        <w:rPr>
          <w:lang w:val="fr-FR"/>
        </w:rPr>
        <w:t xml:space="preserve"> SESSION DE LA CONFÉRENCE DES PARTIES</w:t>
      </w:r>
    </w:p>
    <w:p w14:paraId="7853E04C" w14:textId="77777777" w:rsidR="00260772" w:rsidRPr="000749B4" w:rsidRDefault="00260772" w:rsidP="003A0D8F">
      <w:pPr>
        <w:pStyle w:val="Heading2"/>
        <w:keepNext w:val="0"/>
        <w:spacing w:line="228" w:lineRule="auto"/>
        <w:rPr>
          <w:b w:val="0"/>
          <w:bCs w:val="0"/>
          <w:sz w:val="22"/>
          <w:lang w:val="pt-PT"/>
        </w:rPr>
      </w:pPr>
      <w:r w:rsidRPr="000749B4">
        <w:rPr>
          <w:b w:val="0"/>
          <w:sz w:val="22"/>
          <w:lang w:val="pt-PT"/>
        </w:rPr>
        <w:t>Manille, P</w:t>
      </w:r>
      <w:r w:rsidR="00436CD2" w:rsidRPr="000749B4">
        <w:rPr>
          <w:b w:val="0"/>
          <w:sz w:val="22"/>
          <w:lang w:val="pt-PT"/>
        </w:rPr>
        <w:t>hilippines, 23 - 28 octobre 2017</w:t>
      </w:r>
    </w:p>
    <w:p w14:paraId="44D0BB92" w14:textId="35361005" w:rsidR="00260772" w:rsidRPr="000749B4" w:rsidRDefault="00260772" w:rsidP="003A0D8F">
      <w:pPr>
        <w:spacing w:line="228" w:lineRule="auto"/>
        <w:rPr>
          <w:iCs/>
          <w:lang w:val="pt-PT"/>
        </w:rPr>
      </w:pPr>
      <w:r w:rsidRPr="000749B4">
        <w:rPr>
          <w:iCs/>
          <w:lang w:val="pt-PT"/>
        </w:rPr>
        <w:t xml:space="preserve">Point </w:t>
      </w:r>
      <w:r w:rsidR="00E8526A" w:rsidRPr="000749B4">
        <w:rPr>
          <w:iCs/>
          <w:lang w:val="pt-PT"/>
        </w:rPr>
        <w:t>21.2.</w:t>
      </w:r>
      <w:r w:rsidR="00070B93" w:rsidRPr="000749B4">
        <w:rPr>
          <w:iCs/>
          <w:lang w:val="pt-PT"/>
        </w:rPr>
        <w:t>2</w:t>
      </w:r>
      <w:r w:rsidRPr="000749B4">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0749B4"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EE7072" w:rsidRDefault="00EB2285" w:rsidP="00EB2285">
            <w:pPr>
              <w:tabs>
                <w:tab w:val="left" w:pos="-1057"/>
                <w:tab w:val="left" w:pos="-720"/>
                <w:tab w:val="left" w:pos="0"/>
                <w:tab w:val="left" w:pos="141"/>
                <w:tab w:val="left" w:pos="720"/>
                <w:tab w:val="left" w:pos="1155"/>
                <w:tab w:val="right" w:pos="9072"/>
                <w:tab w:val="right" w:pos="9432"/>
              </w:tabs>
              <w:rPr>
                <w:sz w:val="28"/>
                <w:szCs w:val="28"/>
                <w:lang w:val="en-GB"/>
              </w:rPr>
            </w:pPr>
            <w:r w:rsidRPr="000749B4">
              <w:rPr>
                <w:b/>
                <w:lang w:val="fr-FR"/>
              </w:rPr>
              <w:tab/>
            </w:r>
            <w:r w:rsidRPr="000749B4">
              <w:rPr>
                <w:b/>
                <w:lang w:val="fr-FR"/>
              </w:rPr>
              <w:tab/>
            </w:r>
            <w:r w:rsidRPr="000749B4">
              <w:rPr>
                <w:b/>
                <w:lang w:val="fr-FR"/>
              </w:rPr>
              <w:tab/>
            </w:r>
            <w:r w:rsidRPr="000749B4">
              <w:rPr>
                <w:b/>
                <w:lang w:val="fr-FR"/>
              </w:rPr>
              <w:tab/>
            </w:r>
            <w:r w:rsidR="00FA61AF" w:rsidRPr="00EE7072">
              <w:rPr>
                <w:b/>
                <w:sz w:val="28"/>
                <w:szCs w:val="28"/>
                <w:lang w:val="en-GB"/>
              </w:rPr>
              <w:t>CMS</w:t>
            </w:r>
          </w:p>
          <w:p w14:paraId="44403B16" w14:textId="77777777" w:rsidR="00FA61AF" w:rsidRPr="000749B4" w:rsidRDefault="00FA61AF" w:rsidP="00972D36">
            <w:pPr>
              <w:tabs>
                <w:tab w:val="left" w:pos="-1057"/>
                <w:tab w:val="left" w:pos="-720"/>
                <w:tab w:val="left" w:pos="0"/>
                <w:tab w:val="left" w:pos="141"/>
                <w:tab w:val="left" w:pos="720"/>
                <w:tab w:val="right" w:pos="9072"/>
              </w:tabs>
              <w:rPr>
                <w:lang w:val="en-GB"/>
              </w:rPr>
            </w:pPr>
          </w:p>
        </w:tc>
      </w:tr>
      <w:tr w:rsidR="00260772" w:rsidRPr="00EE7072"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0749B4" w:rsidRDefault="009A4CD2" w:rsidP="00260772">
            <w:pPr>
              <w:rPr>
                <w:lang w:val="en-GB"/>
              </w:rPr>
            </w:pPr>
            <w:r w:rsidRPr="000749B4">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0749B4"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0749B4"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EE7072"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EE7072">
              <w:rPr>
                <w:bCs w:val="0"/>
                <w:sz w:val="32"/>
                <w:szCs w:val="32"/>
                <w:lang w:val="fr-FR"/>
              </w:rPr>
              <w:t>CONVENTION SUR</w:t>
            </w:r>
          </w:p>
          <w:p w14:paraId="779AF9CD" w14:textId="77777777" w:rsidR="00260772" w:rsidRPr="00EE7072"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EE7072">
              <w:rPr>
                <w:bCs w:val="0"/>
                <w:sz w:val="32"/>
                <w:szCs w:val="32"/>
                <w:lang w:val="fr-FR"/>
              </w:rPr>
              <w:t>LES ESPÈCES</w:t>
            </w:r>
          </w:p>
          <w:p w14:paraId="0F6E297B" w14:textId="77777777" w:rsidR="00260772" w:rsidRPr="000749B4"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EE7072">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EE7072"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0749B4" w:rsidRDefault="00260772" w:rsidP="00260772">
            <w:pPr>
              <w:tabs>
                <w:tab w:val="left" w:pos="5040"/>
                <w:tab w:val="left" w:pos="5760"/>
                <w:tab w:val="left" w:pos="6008"/>
                <w:tab w:val="left" w:pos="6480"/>
                <w:tab w:val="left" w:pos="7200"/>
                <w:tab w:val="left" w:pos="7920"/>
                <w:tab w:val="left" w:pos="8640"/>
              </w:tabs>
              <w:rPr>
                <w:lang w:val="fr-FR"/>
              </w:rPr>
            </w:pPr>
            <w:r w:rsidRPr="000749B4">
              <w:rPr>
                <w:lang w:val="fr-FR"/>
              </w:rPr>
              <w:t>Distribution: Générale</w:t>
            </w:r>
          </w:p>
          <w:p w14:paraId="2E2F2684" w14:textId="77777777" w:rsidR="00260772" w:rsidRPr="00EE7072" w:rsidRDefault="00260772" w:rsidP="00260772">
            <w:pPr>
              <w:tabs>
                <w:tab w:val="left" w:pos="-1057"/>
                <w:tab w:val="left" w:pos="-720"/>
                <w:tab w:val="left" w:pos="5040"/>
                <w:tab w:val="left" w:pos="5760"/>
                <w:tab w:val="left" w:pos="6008"/>
                <w:tab w:val="left" w:pos="6480"/>
                <w:tab w:val="left" w:pos="7200"/>
                <w:tab w:val="left" w:pos="7920"/>
                <w:tab w:val="left" w:pos="8640"/>
              </w:tabs>
              <w:rPr>
                <w:sz w:val="12"/>
                <w:szCs w:val="12"/>
                <w:lang w:val="fr-FR"/>
              </w:rPr>
            </w:pPr>
          </w:p>
          <w:p w14:paraId="61E56779" w14:textId="2BBA67B1" w:rsidR="00260772" w:rsidRPr="00193B81" w:rsidRDefault="00EE7072" w:rsidP="00260772">
            <w:pPr>
              <w:tabs>
                <w:tab w:val="left" w:pos="5040"/>
                <w:tab w:val="left" w:pos="5760"/>
                <w:tab w:val="left" w:pos="6008"/>
                <w:tab w:val="left" w:pos="6480"/>
                <w:tab w:val="left" w:pos="7200"/>
                <w:tab w:val="left" w:pos="7920"/>
                <w:tab w:val="left" w:pos="8640"/>
              </w:tabs>
              <w:rPr>
                <w:lang w:val="fr-FR"/>
              </w:rPr>
            </w:pPr>
            <w:r w:rsidRPr="00193B81">
              <w:rPr>
                <w:lang w:val="fr-FR"/>
              </w:rPr>
              <w:t>UNEP</w:t>
            </w:r>
            <w:r w:rsidR="00260772" w:rsidRPr="00193B81">
              <w:rPr>
                <w:lang w:val="fr-FR"/>
              </w:rPr>
              <w:t>/CMS/COP12/Doc.</w:t>
            </w:r>
            <w:r w:rsidR="005612BD" w:rsidRPr="00193B81">
              <w:rPr>
                <w:lang w:val="fr-FR"/>
              </w:rPr>
              <w:t>21.</w:t>
            </w:r>
            <w:r w:rsidR="00070B93" w:rsidRPr="00193B81">
              <w:rPr>
                <w:lang w:val="fr-FR"/>
              </w:rPr>
              <w:t>2.2</w:t>
            </w:r>
            <w:r w:rsidRPr="00193B81">
              <w:rPr>
                <w:lang w:val="fr-FR"/>
              </w:rPr>
              <w:t>/Rev.1</w:t>
            </w:r>
          </w:p>
          <w:p w14:paraId="38BF7EC6" w14:textId="20EE97A8" w:rsidR="00260772" w:rsidRPr="00EE7072" w:rsidRDefault="006E269E" w:rsidP="00260772">
            <w:pPr>
              <w:tabs>
                <w:tab w:val="left" w:pos="5040"/>
                <w:tab w:val="left" w:pos="5760"/>
                <w:tab w:val="left" w:pos="6008"/>
                <w:tab w:val="left" w:pos="6480"/>
                <w:tab w:val="left" w:pos="7200"/>
                <w:tab w:val="left" w:pos="7920"/>
                <w:tab w:val="left" w:pos="8640"/>
              </w:tabs>
              <w:rPr>
                <w:lang w:val="fr-FR"/>
              </w:rPr>
            </w:pPr>
            <w:r>
              <w:t>16 juin</w:t>
            </w:r>
            <w:r w:rsidR="00436CD2" w:rsidRPr="00EE7072">
              <w:t xml:space="preserve"> </w:t>
            </w:r>
            <w:r w:rsidR="00436CD2" w:rsidRPr="00EE7072">
              <w:rPr>
                <w:lang w:val="fr-FR"/>
              </w:rPr>
              <w:t>2017</w:t>
            </w:r>
          </w:p>
          <w:p w14:paraId="256F4866" w14:textId="77777777" w:rsidR="00260772" w:rsidRPr="00EE7072"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39393C0F" w14:textId="77777777" w:rsidR="00260772" w:rsidRPr="000749B4" w:rsidRDefault="00260772" w:rsidP="00260772">
            <w:pPr>
              <w:rPr>
                <w:lang w:val="fr-FR"/>
              </w:rPr>
            </w:pPr>
            <w:r w:rsidRPr="000749B4">
              <w:rPr>
                <w:lang w:val="fr-FR"/>
              </w:rPr>
              <w:t>Français</w:t>
            </w:r>
          </w:p>
          <w:p w14:paraId="63C1DE78" w14:textId="77777777" w:rsidR="00260772" w:rsidRPr="00EE7072" w:rsidRDefault="00260772" w:rsidP="00260772">
            <w:pPr>
              <w:rPr>
                <w:lang w:val="fr-FR"/>
              </w:rPr>
            </w:pPr>
            <w:r w:rsidRPr="00EE7072">
              <w:rPr>
                <w:lang w:val="fr-FR"/>
              </w:rPr>
              <w:t>Original: Anglais</w:t>
            </w:r>
          </w:p>
          <w:p w14:paraId="1F808553" w14:textId="77777777" w:rsidR="00260772" w:rsidRPr="00EE7072" w:rsidRDefault="00260772" w:rsidP="00260772">
            <w:pPr>
              <w:rPr>
                <w:sz w:val="12"/>
                <w:szCs w:val="12"/>
                <w:lang w:val="fr-FR"/>
              </w:rPr>
            </w:pPr>
          </w:p>
        </w:tc>
      </w:tr>
    </w:tbl>
    <w:p w14:paraId="0BF60399" w14:textId="77777777" w:rsidR="00354A9C" w:rsidRPr="00EE7072" w:rsidRDefault="00354A9C" w:rsidP="00922791">
      <w:pPr>
        <w:tabs>
          <w:tab w:val="left" w:pos="7020"/>
        </w:tabs>
        <w:rPr>
          <w:lang w:val="fr-FR"/>
        </w:rPr>
      </w:pPr>
    </w:p>
    <w:p w14:paraId="77F4B788" w14:textId="77777777" w:rsidR="0052082F" w:rsidRPr="00EE7072" w:rsidRDefault="0052082F" w:rsidP="00354A9C">
      <w:pPr>
        <w:rPr>
          <w:b/>
          <w:lang w:val="fr-FR"/>
        </w:rPr>
      </w:pPr>
    </w:p>
    <w:p w14:paraId="5EF17F53" w14:textId="05FF2A65" w:rsidR="004600BB" w:rsidRPr="00EE7072" w:rsidRDefault="00EE7072" w:rsidP="004600BB">
      <w:pPr>
        <w:pStyle w:val="p1"/>
        <w:jc w:val="center"/>
        <w:rPr>
          <w:b/>
          <w:sz w:val="22"/>
          <w:lang w:val="fr-FR"/>
        </w:rPr>
      </w:pPr>
      <w:r>
        <w:rPr>
          <w:b/>
          <w:sz w:val="22"/>
          <w:szCs w:val="15"/>
          <w:lang w:val="fr-FR"/>
        </w:rPr>
        <w:t xml:space="preserve">REGROUPEMENT DE </w:t>
      </w:r>
      <w:r w:rsidR="004600BB" w:rsidRPr="00EE7072">
        <w:rPr>
          <w:b/>
          <w:sz w:val="22"/>
          <w:szCs w:val="15"/>
          <w:lang w:val="fr-FR"/>
        </w:rPr>
        <w:t>R</w:t>
      </w:r>
      <w:r w:rsidR="004600BB" w:rsidRPr="00EE7072">
        <w:rPr>
          <w:b/>
          <w:bCs/>
          <w:sz w:val="22"/>
          <w:lang w:val="fr-FR"/>
        </w:rPr>
        <w:t>É</w:t>
      </w:r>
      <w:r w:rsidR="004600BB" w:rsidRPr="00EE7072">
        <w:rPr>
          <w:b/>
          <w:sz w:val="22"/>
          <w:szCs w:val="15"/>
          <w:lang w:val="fr-FR"/>
        </w:rPr>
        <w:t xml:space="preserve">SOLUTIONS: </w:t>
      </w:r>
      <w:r w:rsidR="00876ED1" w:rsidRPr="00EE7072">
        <w:rPr>
          <w:b/>
          <w:sz w:val="22"/>
          <w:szCs w:val="15"/>
          <w:lang w:val="fr-FR"/>
        </w:rPr>
        <w:t>TAXONOMIE ET NOMENCLATURE</w:t>
      </w:r>
    </w:p>
    <w:p w14:paraId="05269D57" w14:textId="52C374B5" w:rsidR="00E8526A" w:rsidRPr="00EE7072" w:rsidRDefault="00E8526A" w:rsidP="00E8526A">
      <w:pPr>
        <w:widowControl/>
        <w:autoSpaceDE/>
        <w:autoSpaceDN/>
        <w:adjustRightInd/>
        <w:jc w:val="center"/>
        <w:rPr>
          <w:b/>
          <w:szCs w:val="15"/>
          <w:lang w:val="fr-FR"/>
        </w:rPr>
      </w:pPr>
      <w:r w:rsidRPr="00EE7072">
        <w:rPr>
          <w:b/>
          <w:szCs w:val="15"/>
          <w:lang w:val="fr-FR"/>
        </w:rPr>
        <w:t> </w:t>
      </w:r>
    </w:p>
    <w:p w14:paraId="2F0A3A59" w14:textId="54734AFB" w:rsidR="001764E6" w:rsidRPr="000749B4" w:rsidRDefault="005612BD" w:rsidP="005612BD">
      <w:pPr>
        <w:jc w:val="center"/>
        <w:rPr>
          <w:lang w:val="fr-FR"/>
        </w:rPr>
      </w:pPr>
      <w:r w:rsidRPr="000749B4">
        <w:rPr>
          <w:i/>
          <w:lang w:val="fr-FR"/>
        </w:rPr>
        <w:t>(</w:t>
      </w:r>
      <w:r w:rsidR="00EE7072">
        <w:rPr>
          <w:bCs/>
          <w:i/>
          <w:lang w:val="fr-FR"/>
        </w:rPr>
        <w:t>Préparé</w:t>
      </w:r>
      <w:r w:rsidRPr="000749B4">
        <w:rPr>
          <w:bCs/>
          <w:i/>
          <w:lang w:val="fr-FR"/>
        </w:rPr>
        <w:t xml:space="preserve"> par le Secrétariat au nom du</w:t>
      </w:r>
      <w:r w:rsidRPr="000749B4">
        <w:rPr>
          <w:bCs/>
          <w:lang w:val="fr-FR"/>
        </w:rPr>
        <w:t xml:space="preserve"> </w:t>
      </w:r>
      <w:r w:rsidRPr="000749B4">
        <w:rPr>
          <w:bCs/>
          <w:i/>
          <w:lang w:val="fr-FR"/>
        </w:rPr>
        <w:t>Comité permanent)</w:t>
      </w:r>
    </w:p>
    <w:p w14:paraId="366D3941" w14:textId="3C785346" w:rsidR="001764E6" w:rsidRDefault="001764E6" w:rsidP="00D605A4">
      <w:pPr>
        <w:tabs>
          <w:tab w:val="left" w:pos="8295"/>
        </w:tabs>
        <w:jc w:val="both"/>
        <w:rPr>
          <w:lang w:val="fr-FR"/>
        </w:rPr>
      </w:pPr>
    </w:p>
    <w:p w14:paraId="6F1F822A" w14:textId="26D16804" w:rsidR="006E269E" w:rsidRDefault="006E269E" w:rsidP="00D605A4">
      <w:pPr>
        <w:tabs>
          <w:tab w:val="left" w:pos="8295"/>
        </w:tabs>
        <w:jc w:val="both"/>
        <w:rPr>
          <w:lang w:val="fr-FR"/>
        </w:rPr>
      </w:pPr>
    </w:p>
    <w:p w14:paraId="4A902483" w14:textId="77777777" w:rsidR="006E269E" w:rsidRPr="000749B4" w:rsidRDefault="006E269E" w:rsidP="00D605A4">
      <w:pPr>
        <w:tabs>
          <w:tab w:val="left" w:pos="8295"/>
        </w:tabs>
        <w:jc w:val="both"/>
        <w:rPr>
          <w:lang w:val="fr-FR"/>
        </w:rPr>
      </w:pPr>
    </w:p>
    <w:p w14:paraId="173A530C" w14:textId="5F5DE658" w:rsidR="00D605A4" w:rsidRPr="000749B4" w:rsidRDefault="00D605A4" w:rsidP="001764E6">
      <w:pPr>
        <w:jc w:val="both"/>
        <w:rPr>
          <w:lang w:val="fr-FR"/>
        </w:rPr>
      </w:pPr>
    </w:p>
    <w:p w14:paraId="3390C46F" w14:textId="6FAD023E" w:rsidR="00D605A4" w:rsidRPr="000749B4" w:rsidRDefault="00D605A4" w:rsidP="00D605A4">
      <w:pPr>
        <w:rPr>
          <w:lang w:val="fr-FR"/>
        </w:rPr>
      </w:pPr>
    </w:p>
    <w:p w14:paraId="53CC9E54" w14:textId="5B3BEB40" w:rsidR="00D605A4" w:rsidRPr="000749B4" w:rsidRDefault="00F55FDA" w:rsidP="00D605A4">
      <w:pPr>
        <w:rPr>
          <w:lang w:val="fr-FR"/>
        </w:rPr>
      </w:pPr>
      <w:r w:rsidRPr="000749B4">
        <w:rPr>
          <w:noProof/>
        </w:rPr>
        <mc:AlternateContent>
          <mc:Choice Requires="wps">
            <w:drawing>
              <wp:anchor distT="0" distB="0" distL="114300" distR="114300" simplePos="0" relativeHeight="251657728" behindDoc="0" locked="0" layoutInCell="1" allowOverlap="1" wp14:anchorId="2CF6BFB0" wp14:editId="4FD14EE9">
                <wp:simplePos x="0" y="0"/>
                <wp:positionH relativeFrom="column">
                  <wp:posOffset>713740</wp:posOffset>
                </wp:positionH>
                <wp:positionV relativeFrom="paragraph">
                  <wp:posOffset>29210</wp:posOffset>
                </wp:positionV>
                <wp:extent cx="4648200" cy="16859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685925"/>
                        </a:xfrm>
                        <a:prstGeom prst="rect">
                          <a:avLst/>
                        </a:prstGeom>
                        <a:solidFill>
                          <a:srgbClr val="FFFFFF"/>
                        </a:solidFill>
                        <a:ln w="3175">
                          <a:solidFill>
                            <a:srgbClr val="000000"/>
                          </a:solidFill>
                          <a:miter lim="800000"/>
                          <a:headEnd/>
                          <a:tailEnd/>
                        </a:ln>
                      </wps:spPr>
                      <wps:txbx>
                        <w:txbxContent>
                          <w:p w14:paraId="3CC66167" w14:textId="77777777" w:rsidR="00193B81" w:rsidRPr="00193B81" w:rsidRDefault="00193B81" w:rsidP="00E475D4">
                            <w:pPr>
                              <w:rPr>
                                <w:lang w:val="fr-FR"/>
                              </w:rPr>
                            </w:pPr>
                            <w:r w:rsidRPr="00193B81">
                              <w:rPr>
                                <w:lang w:val="fr-FR"/>
                              </w:rPr>
                              <w:t>Résumé:</w:t>
                            </w:r>
                          </w:p>
                          <w:p w14:paraId="219388F5" w14:textId="77777777" w:rsidR="00193B81" w:rsidRPr="00193B81" w:rsidRDefault="00193B81" w:rsidP="00E475D4">
                            <w:pPr>
                              <w:rPr>
                                <w:lang w:val="fr-FR"/>
                              </w:rPr>
                            </w:pPr>
                          </w:p>
                          <w:p w14:paraId="630E774D" w14:textId="77777777" w:rsidR="00193B81" w:rsidRDefault="00193B81" w:rsidP="00EE7072">
                            <w:pPr>
                              <w:jc w:val="both"/>
                              <w:rPr>
                                <w:lang w:val="fr-FR"/>
                              </w:rPr>
                            </w:pPr>
                            <w:r>
                              <w:rPr>
                                <w:lang w:val="fr-FR"/>
                              </w:rPr>
                              <w:t>Ce document regroupe quatre Résolutions et Recommandations existantes sur la taxonomie et la nomenclature et convertit une instruction en décision.</w:t>
                            </w:r>
                          </w:p>
                          <w:p w14:paraId="20B5E52A" w14:textId="77777777" w:rsidR="00193B81" w:rsidRDefault="00193B81" w:rsidP="00EE7072">
                            <w:pPr>
                              <w:jc w:val="both"/>
                              <w:rPr>
                                <w:lang w:val="fr-FR"/>
                              </w:rPr>
                            </w:pPr>
                            <w:r>
                              <w:rPr>
                                <w:lang w:val="fr-FR"/>
                              </w:rPr>
                              <w:t xml:space="preserve">Ce document doit être lu conjointement avec le document </w:t>
                            </w:r>
                          </w:p>
                          <w:p w14:paraId="1F5E8809" w14:textId="3BCEA62F" w:rsidR="00193B81" w:rsidRPr="00EE7072" w:rsidRDefault="00193B81" w:rsidP="00EE7072">
                            <w:pPr>
                              <w:jc w:val="both"/>
                              <w:rPr>
                                <w:highlight w:val="yellow"/>
                                <w:lang w:val="fr-FR"/>
                              </w:rPr>
                            </w:pPr>
                            <w:r>
                              <w:rPr>
                                <w:lang w:val="fr-FR"/>
                              </w:rPr>
                              <w:t>UNEP/CMS/COP12/Doc.25.2, qui propose des révisions à la Résolution.</w:t>
                            </w:r>
                            <w:r w:rsidRPr="00EE7072">
                              <w:rPr>
                                <w:highlight w:val="yellow"/>
                                <w:lang w:val="fr-FR"/>
                              </w:rPr>
                              <w:t xml:space="preserve"> </w:t>
                            </w:r>
                          </w:p>
                          <w:p w14:paraId="089586BB" w14:textId="77777777" w:rsidR="00193B81" w:rsidRPr="00EE7072" w:rsidRDefault="00193B81" w:rsidP="004647DB">
                            <w:pPr>
                              <w:rPr>
                                <w:highlight w:val="yellow"/>
                                <w:lang w:val="fr-FR"/>
                              </w:rPr>
                            </w:pPr>
                          </w:p>
                          <w:p w14:paraId="13EC94C3" w14:textId="7EA2BDC6" w:rsidR="00193B81" w:rsidRPr="00EE7072" w:rsidRDefault="00193B81" w:rsidP="00E475D4">
                            <w:pPr>
                              <w:rPr>
                                <w:sz w:val="21"/>
                                <w:szCs w:val="21"/>
                                <w:lang w:val="fr-FR"/>
                              </w:rPr>
                            </w:pPr>
                            <w:r w:rsidRPr="00EE7072">
                              <w:rPr>
                                <w:sz w:val="21"/>
                                <w:szCs w:val="21"/>
                                <w:lang w:val="fr-FR"/>
                              </w:rPr>
                              <w:t>La Rev. 1 corrige des omissions dans les Annexes 2 et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56.2pt;margin-top:2.3pt;width:366pt;height:1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" strokeweight=".25pt">
                <v:textbox>
                  <w:txbxContent>
                    <w:p w14:paraId="3CC66167" w14:textId="77777777" w:rsidR="00193B81" w:rsidRPr="00193B81" w:rsidRDefault="00193B81" w:rsidP="00E475D4">
                      <w:pPr>
                        <w:rPr>
                          <w:lang w:val="fr-FR"/>
                        </w:rPr>
                      </w:pPr>
                      <w:r w:rsidRPr="00193B81">
                        <w:rPr>
                          <w:lang w:val="fr-FR"/>
                        </w:rPr>
                        <w:t>Résumé:</w:t>
                      </w:r>
                    </w:p>
                    <w:p w14:paraId="219388F5" w14:textId="77777777" w:rsidR="00193B81" w:rsidRPr="00193B81" w:rsidRDefault="00193B81" w:rsidP="00E475D4">
                      <w:pPr>
                        <w:rPr>
                          <w:lang w:val="fr-FR"/>
                        </w:rPr>
                      </w:pPr>
                    </w:p>
                    <w:p w14:paraId="630E774D" w14:textId="77777777" w:rsidR="00193B81" w:rsidRDefault="00193B81" w:rsidP="00EE7072">
                      <w:pPr>
                        <w:jc w:val="both"/>
                        <w:rPr>
                          <w:lang w:val="fr-FR"/>
                        </w:rPr>
                      </w:pPr>
                      <w:r>
                        <w:rPr>
                          <w:lang w:val="fr-FR"/>
                        </w:rPr>
                        <w:t>Ce document regroupe quatre Résolutions et Recommandations existantes sur la taxonomie et la nomenclature et convertit une instruction en décision.</w:t>
                      </w:r>
                    </w:p>
                    <w:p w14:paraId="20B5E52A" w14:textId="77777777" w:rsidR="00193B81" w:rsidRDefault="00193B81" w:rsidP="00EE7072">
                      <w:pPr>
                        <w:jc w:val="both"/>
                        <w:rPr>
                          <w:lang w:val="fr-FR"/>
                        </w:rPr>
                      </w:pPr>
                      <w:r>
                        <w:rPr>
                          <w:lang w:val="fr-FR"/>
                        </w:rPr>
                        <w:t xml:space="preserve">Ce document doit être lu conjointement avec le document </w:t>
                      </w:r>
                    </w:p>
                    <w:p w14:paraId="1F5E8809" w14:textId="3BCEA62F" w:rsidR="00193B81" w:rsidRPr="00EE7072" w:rsidRDefault="00193B81" w:rsidP="00EE7072">
                      <w:pPr>
                        <w:jc w:val="both"/>
                        <w:rPr>
                          <w:highlight w:val="yellow"/>
                          <w:lang w:val="fr-FR"/>
                        </w:rPr>
                      </w:pPr>
                      <w:r>
                        <w:rPr>
                          <w:lang w:val="fr-FR"/>
                        </w:rPr>
                        <w:t>UNEP/CMS/COP12/Doc.25.2, qui propose des révisions à la Résolution.</w:t>
                      </w:r>
                      <w:r w:rsidRPr="00EE7072">
                        <w:rPr>
                          <w:highlight w:val="yellow"/>
                          <w:lang w:val="fr-FR"/>
                        </w:rPr>
                        <w:t xml:space="preserve"> </w:t>
                      </w:r>
                    </w:p>
                    <w:p w14:paraId="089586BB" w14:textId="77777777" w:rsidR="00193B81" w:rsidRPr="00EE7072" w:rsidRDefault="00193B81" w:rsidP="004647DB">
                      <w:pPr>
                        <w:rPr>
                          <w:highlight w:val="yellow"/>
                          <w:lang w:val="fr-FR"/>
                        </w:rPr>
                      </w:pPr>
                    </w:p>
                    <w:p w14:paraId="13EC94C3" w14:textId="7EA2BDC6" w:rsidR="00193B81" w:rsidRPr="00EE7072" w:rsidRDefault="00193B81" w:rsidP="00E475D4">
                      <w:pPr>
                        <w:rPr>
                          <w:sz w:val="21"/>
                          <w:szCs w:val="21"/>
                          <w:lang w:val="fr-FR"/>
                        </w:rPr>
                      </w:pPr>
                      <w:r w:rsidRPr="00EE7072">
                        <w:rPr>
                          <w:sz w:val="21"/>
                          <w:szCs w:val="21"/>
                          <w:lang w:val="fr-FR"/>
                        </w:rPr>
                        <w:t xml:space="preserve">La </w:t>
                      </w:r>
                      <w:proofErr w:type="spellStart"/>
                      <w:r w:rsidRPr="00EE7072">
                        <w:rPr>
                          <w:sz w:val="21"/>
                          <w:szCs w:val="21"/>
                          <w:lang w:val="fr-FR"/>
                        </w:rPr>
                        <w:t>Rev</w:t>
                      </w:r>
                      <w:proofErr w:type="spellEnd"/>
                      <w:r w:rsidRPr="00EE7072">
                        <w:rPr>
                          <w:sz w:val="21"/>
                          <w:szCs w:val="21"/>
                          <w:lang w:val="fr-FR"/>
                        </w:rPr>
                        <w:t>. 1 corrige des omissions dans les Annexes 2 et 3</w:t>
                      </w:r>
                    </w:p>
                  </w:txbxContent>
                </v:textbox>
              </v:shape>
            </w:pict>
          </mc:Fallback>
        </mc:AlternateContent>
      </w:r>
    </w:p>
    <w:p w14:paraId="6BE2EBB5" w14:textId="1394546E" w:rsidR="00D605A4" w:rsidRPr="000749B4" w:rsidRDefault="00D605A4" w:rsidP="00D605A4">
      <w:pPr>
        <w:rPr>
          <w:lang w:val="fr-FR"/>
        </w:rPr>
      </w:pPr>
    </w:p>
    <w:p w14:paraId="7B796DDF" w14:textId="77777777" w:rsidR="00D605A4" w:rsidRPr="000749B4" w:rsidRDefault="00D605A4" w:rsidP="00D605A4">
      <w:pPr>
        <w:rPr>
          <w:lang w:val="fr-FR"/>
        </w:rPr>
      </w:pPr>
    </w:p>
    <w:p w14:paraId="7C78EC3C" w14:textId="77777777" w:rsidR="00D605A4" w:rsidRPr="000749B4" w:rsidRDefault="00D605A4" w:rsidP="00D605A4">
      <w:pPr>
        <w:rPr>
          <w:lang w:val="fr-FR"/>
        </w:rPr>
      </w:pPr>
    </w:p>
    <w:p w14:paraId="460BAD1D" w14:textId="77777777" w:rsidR="00D605A4" w:rsidRPr="000749B4" w:rsidRDefault="00D605A4" w:rsidP="00D605A4">
      <w:pPr>
        <w:rPr>
          <w:lang w:val="fr-FR"/>
        </w:rPr>
      </w:pPr>
    </w:p>
    <w:p w14:paraId="48FCF9FE" w14:textId="77777777" w:rsidR="00D605A4" w:rsidRPr="000749B4" w:rsidRDefault="00D605A4" w:rsidP="00D605A4">
      <w:pPr>
        <w:rPr>
          <w:lang w:val="fr-FR"/>
        </w:rPr>
      </w:pPr>
    </w:p>
    <w:p w14:paraId="2C0F518D" w14:textId="77777777" w:rsidR="00D605A4" w:rsidRPr="000749B4" w:rsidRDefault="00D605A4" w:rsidP="00D605A4">
      <w:pPr>
        <w:rPr>
          <w:lang w:val="fr-FR"/>
        </w:rPr>
      </w:pPr>
    </w:p>
    <w:p w14:paraId="62B8649D" w14:textId="77777777" w:rsidR="00D605A4" w:rsidRPr="000749B4" w:rsidRDefault="00D605A4" w:rsidP="00D605A4">
      <w:pPr>
        <w:rPr>
          <w:lang w:val="fr-FR"/>
        </w:rPr>
      </w:pPr>
    </w:p>
    <w:p w14:paraId="56F8C56F" w14:textId="77777777" w:rsidR="00D605A4" w:rsidRPr="000749B4" w:rsidRDefault="00D605A4" w:rsidP="00D605A4">
      <w:pPr>
        <w:rPr>
          <w:lang w:val="fr-FR"/>
        </w:rPr>
      </w:pPr>
    </w:p>
    <w:p w14:paraId="20BB0A78" w14:textId="77777777" w:rsidR="00D605A4" w:rsidRPr="000749B4" w:rsidRDefault="00D605A4" w:rsidP="00D605A4">
      <w:pPr>
        <w:rPr>
          <w:lang w:val="fr-FR"/>
        </w:rPr>
      </w:pPr>
    </w:p>
    <w:p w14:paraId="428D5A96" w14:textId="77777777" w:rsidR="00D605A4" w:rsidRPr="000749B4" w:rsidRDefault="00D605A4" w:rsidP="00D605A4">
      <w:pPr>
        <w:rPr>
          <w:lang w:val="fr-FR"/>
        </w:rPr>
      </w:pPr>
    </w:p>
    <w:p w14:paraId="43D900C9" w14:textId="77777777" w:rsidR="00D605A4" w:rsidRPr="000749B4" w:rsidRDefault="00D605A4" w:rsidP="00D605A4">
      <w:pPr>
        <w:rPr>
          <w:lang w:val="fr-FR"/>
        </w:rPr>
      </w:pPr>
    </w:p>
    <w:p w14:paraId="7700061E" w14:textId="77777777" w:rsidR="00D605A4" w:rsidRPr="000749B4" w:rsidRDefault="00D605A4" w:rsidP="00D605A4">
      <w:pPr>
        <w:rPr>
          <w:lang w:val="fr-FR"/>
        </w:rPr>
      </w:pPr>
    </w:p>
    <w:p w14:paraId="56F7AAB4" w14:textId="77777777" w:rsidR="00D605A4" w:rsidRPr="000749B4" w:rsidRDefault="00D605A4" w:rsidP="00D605A4">
      <w:pPr>
        <w:rPr>
          <w:lang w:val="fr-FR"/>
        </w:rPr>
      </w:pPr>
    </w:p>
    <w:p w14:paraId="765C9454" w14:textId="77777777" w:rsidR="00D605A4" w:rsidRPr="000749B4" w:rsidRDefault="00D605A4" w:rsidP="00D605A4">
      <w:pPr>
        <w:rPr>
          <w:lang w:val="fr-FR"/>
        </w:rPr>
      </w:pPr>
    </w:p>
    <w:p w14:paraId="58B34BA8" w14:textId="77777777" w:rsidR="00D605A4" w:rsidRPr="000749B4" w:rsidRDefault="00D605A4" w:rsidP="00D605A4">
      <w:pPr>
        <w:rPr>
          <w:lang w:val="fr-FR"/>
        </w:rPr>
      </w:pPr>
    </w:p>
    <w:p w14:paraId="716A50A8" w14:textId="77777777" w:rsidR="00D605A4" w:rsidRPr="000749B4" w:rsidRDefault="00D605A4" w:rsidP="00D605A4">
      <w:pPr>
        <w:rPr>
          <w:lang w:val="fr-FR"/>
        </w:rPr>
      </w:pPr>
    </w:p>
    <w:p w14:paraId="16A53B10" w14:textId="77777777" w:rsidR="00D605A4" w:rsidRPr="000749B4" w:rsidRDefault="00D605A4" w:rsidP="00D605A4">
      <w:pPr>
        <w:rPr>
          <w:lang w:val="fr-FR"/>
        </w:rPr>
      </w:pPr>
    </w:p>
    <w:p w14:paraId="5BD79C5E" w14:textId="77777777" w:rsidR="00D605A4" w:rsidRPr="000749B4" w:rsidRDefault="00D605A4" w:rsidP="00D605A4">
      <w:pPr>
        <w:rPr>
          <w:lang w:val="fr-FR"/>
        </w:rPr>
      </w:pPr>
    </w:p>
    <w:p w14:paraId="7996ADE4" w14:textId="77777777" w:rsidR="00D605A4" w:rsidRPr="000749B4" w:rsidRDefault="00D605A4" w:rsidP="00D605A4">
      <w:pPr>
        <w:rPr>
          <w:lang w:val="fr-FR"/>
        </w:rPr>
      </w:pPr>
    </w:p>
    <w:p w14:paraId="249A0BAD" w14:textId="77777777" w:rsidR="00D605A4" w:rsidRPr="000749B4" w:rsidRDefault="00D605A4" w:rsidP="00D605A4">
      <w:pPr>
        <w:rPr>
          <w:lang w:val="fr-FR"/>
        </w:rPr>
      </w:pPr>
    </w:p>
    <w:p w14:paraId="44BEAB76" w14:textId="25A3F226" w:rsidR="002218C5" w:rsidRPr="000749B4" w:rsidRDefault="002218C5">
      <w:pPr>
        <w:widowControl/>
        <w:autoSpaceDE/>
        <w:autoSpaceDN/>
        <w:adjustRightInd/>
        <w:rPr>
          <w:lang w:val="fr-FR"/>
        </w:rPr>
      </w:pPr>
    </w:p>
    <w:p w14:paraId="1D8D51E8" w14:textId="77777777" w:rsidR="004600BB" w:rsidRPr="000749B4" w:rsidRDefault="004600BB">
      <w:pPr>
        <w:widowControl/>
        <w:autoSpaceDE/>
        <w:autoSpaceDN/>
        <w:adjustRightInd/>
        <w:rPr>
          <w:lang w:val="fr-FR"/>
        </w:rPr>
      </w:pPr>
    </w:p>
    <w:p w14:paraId="518BF5CD" w14:textId="0161AABB" w:rsidR="004600BB" w:rsidRPr="000749B4" w:rsidRDefault="004600BB">
      <w:pPr>
        <w:widowControl/>
        <w:autoSpaceDE/>
        <w:autoSpaceDN/>
        <w:adjustRightInd/>
        <w:rPr>
          <w:lang w:val="fr-FR"/>
        </w:rPr>
      </w:pPr>
      <w:r w:rsidRPr="000749B4">
        <w:rPr>
          <w:lang w:val="fr-FR"/>
        </w:rPr>
        <w:br w:type="page"/>
      </w:r>
    </w:p>
    <w:p w14:paraId="1ADF7D49" w14:textId="77777777" w:rsidR="004600BB" w:rsidRPr="000749B4" w:rsidRDefault="004600BB">
      <w:pPr>
        <w:widowControl/>
        <w:autoSpaceDE/>
        <w:autoSpaceDN/>
        <w:adjustRightInd/>
        <w:rPr>
          <w:lang w:val="fr-FR"/>
        </w:rPr>
      </w:pPr>
    </w:p>
    <w:p w14:paraId="547CE971" w14:textId="77777777" w:rsidR="00EE7072" w:rsidRPr="00EE7072" w:rsidRDefault="00EE7072" w:rsidP="00EE7072">
      <w:pPr>
        <w:pStyle w:val="p1"/>
        <w:jc w:val="center"/>
        <w:rPr>
          <w:b/>
          <w:sz w:val="22"/>
          <w:lang w:val="fr-FR"/>
        </w:rPr>
      </w:pPr>
      <w:r>
        <w:rPr>
          <w:b/>
          <w:sz w:val="22"/>
          <w:szCs w:val="15"/>
          <w:lang w:val="fr-FR"/>
        </w:rPr>
        <w:t xml:space="preserve">REGROUPEMENT DE </w:t>
      </w:r>
      <w:r w:rsidRPr="00EE7072">
        <w:rPr>
          <w:b/>
          <w:sz w:val="22"/>
          <w:szCs w:val="15"/>
          <w:lang w:val="fr-FR"/>
        </w:rPr>
        <w:t>R</w:t>
      </w:r>
      <w:r w:rsidRPr="00EE7072">
        <w:rPr>
          <w:b/>
          <w:bCs/>
          <w:sz w:val="22"/>
          <w:lang w:val="fr-FR"/>
        </w:rPr>
        <w:t>É</w:t>
      </w:r>
      <w:r w:rsidRPr="00EE7072">
        <w:rPr>
          <w:b/>
          <w:sz w:val="22"/>
          <w:szCs w:val="15"/>
          <w:lang w:val="fr-FR"/>
        </w:rPr>
        <w:t>SOLUTIONS: TAXONOMIE ET NOMENCLATURE</w:t>
      </w:r>
    </w:p>
    <w:p w14:paraId="20E4872B" w14:textId="77777777" w:rsidR="004600BB" w:rsidRPr="00EE7072" w:rsidRDefault="004600BB" w:rsidP="004600BB">
      <w:pPr>
        <w:widowControl/>
        <w:autoSpaceDE/>
        <w:autoSpaceDN/>
        <w:adjustRightInd/>
        <w:jc w:val="center"/>
        <w:rPr>
          <w:b/>
          <w:szCs w:val="15"/>
          <w:lang w:val="fr-FR"/>
        </w:rPr>
      </w:pPr>
      <w:r w:rsidRPr="00EE7072">
        <w:rPr>
          <w:b/>
          <w:szCs w:val="15"/>
          <w:lang w:val="fr-FR"/>
        </w:rPr>
        <w:t> </w:t>
      </w:r>
    </w:p>
    <w:p w14:paraId="0F989E5B" w14:textId="59E3AF42" w:rsidR="004600BB" w:rsidRPr="000749B4" w:rsidRDefault="004600BB" w:rsidP="004600BB">
      <w:pPr>
        <w:jc w:val="center"/>
        <w:rPr>
          <w:lang w:val="fr-FR"/>
        </w:rPr>
      </w:pPr>
      <w:r w:rsidRPr="000749B4">
        <w:rPr>
          <w:i/>
          <w:lang w:val="fr-FR"/>
        </w:rPr>
        <w:t>(</w:t>
      </w:r>
      <w:r w:rsidR="00EE7072">
        <w:rPr>
          <w:bCs/>
          <w:i/>
          <w:lang w:val="fr-FR"/>
        </w:rPr>
        <w:t xml:space="preserve">Préparé </w:t>
      </w:r>
      <w:r w:rsidRPr="000749B4">
        <w:rPr>
          <w:bCs/>
          <w:i/>
          <w:lang w:val="fr-FR"/>
        </w:rPr>
        <w:t>par le Secrétariat au nom du</w:t>
      </w:r>
      <w:r w:rsidRPr="000749B4">
        <w:rPr>
          <w:bCs/>
          <w:lang w:val="fr-FR"/>
        </w:rPr>
        <w:t xml:space="preserve"> </w:t>
      </w:r>
      <w:r w:rsidRPr="000749B4">
        <w:rPr>
          <w:bCs/>
          <w:i/>
          <w:lang w:val="fr-FR"/>
        </w:rPr>
        <w:t>Comité permanent)</w:t>
      </w:r>
    </w:p>
    <w:p w14:paraId="3C720819" w14:textId="77777777" w:rsidR="004600BB" w:rsidRPr="000749B4" w:rsidRDefault="004600BB">
      <w:pPr>
        <w:widowControl/>
        <w:autoSpaceDE/>
        <w:autoSpaceDN/>
        <w:adjustRightInd/>
        <w:rPr>
          <w:lang w:val="fr-FR"/>
        </w:rPr>
      </w:pPr>
    </w:p>
    <w:p w14:paraId="6CFFCC6B" w14:textId="77777777" w:rsidR="004600BB" w:rsidRPr="000749B4" w:rsidRDefault="004600BB">
      <w:pPr>
        <w:widowControl/>
        <w:autoSpaceDE/>
        <w:autoSpaceDN/>
        <w:adjustRightInd/>
        <w:rPr>
          <w:lang w:val="fr-FR"/>
        </w:rPr>
      </w:pPr>
    </w:p>
    <w:p w14:paraId="016ECF7C" w14:textId="1EA30DAD" w:rsidR="004600BB" w:rsidRPr="007D583B" w:rsidRDefault="00EE7072" w:rsidP="004600BB">
      <w:pPr>
        <w:jc w:val="both"/>
        <w:rPr>
          <w:u w:val="single"/>
          <w:lang w:val="fr-FR"/>
        </w:rPr>
      </w:pPr>
      <w:r w:rsidRPr="007D583B">
        <w:rPr>
          <w:u w:val="single"/>
          <w:lang w:val="fr-FR"/>
        </w:rPr>
        <w:t>Contexte</w:t>
      </w:r>
    </w:p>
    <w:p w14:paraId="131A6D70" w14:textId="77777777" w:rsidR="004600BB" w:rsidRPr="007D583B" w:rsidRDefault="004600BB" w:rsidP="004600BB">
      <w:pPr>
        <w:jc w:val="both"/>
        <w:rPr>
          <w:highlight w:val="yellow"/>
          <w:lang w:val="fr-FR"/>
        </w:rPr>
      </w:pPr>
    </w:p>
    <w:p w14:paraId="77E52DAA" w14:textId="48E90E7E" w:rsidR="004600BB" w:rsidRPr="007D583B" w:rsidRDefault="00646B0A" w:rsidP="00E468D0">
      <w:pPr>
        <w:pStyle w:val="ListParagraph"/>
        <w:numPr>
          <w:ilvl w:val="0"/>
          <w:numId w:val="7"/>
        </w:numPr>
        <w:tabs>
          <w:tab w:val="left" w:pos="426"/>
        </w:tabs>
        <w:ind w:left="426" w:hanging="426"/>
        <w:jc w:val="both"/>
        <w:rPr>
          <w:lang w:val="fr-FR"/>
        </w:rPr>
      </w:pPr>
      <w:r w:rsidRPr="007D583B">
        <w:rPr>
          <w:lang w:val="fr-FR"/>
        </w:rPr>
        <w:t>Quatre Résolutions et Recommandations fournissent aux Parties des conseils concernant la taxonomie et la nomenclature :</w:t>
      </w:r>
    </w:p>
    <w:p w14:paraId="2E15BF25" w14:textId="77777777" w:rsidR="004600BB" w:rsidRPr="00646B0A" w:rsidRDefault="004600BB" w:rsidP="004600BB">
      <w:pPr>
        <w:widowControl/>
        <w:autoSpaceDE/>
        <w:autoSpaceDN/>
        <w:adjustRightInd/>
        <w:ind w:left="1080"/>
        <w:jc w:val="both"/>
        <w:rPr>
          <w:rFonts w:eastAsia="MS Mincho"/>
          <w:lang w:val="fr-FR"/>
        </w:rPr>
      </w:pPr>
    </w:p>
    <w:p w14:paraId="04B5755E" w14:textId="440A0A3B" w:rsidR="00AD2F0A" w:rsidRPr="00646B0A" w:rsidRDefault="00635720" w:rsidP="00E468D0">
      <w:pPr>
        <w:pStyle w:val="ListParagraph"/>
        <w:widowControl/>
        <w:numPr>
          <w:ilvl w:val="0"/>
          <w:numId w:val="2"/>
        </w:numPr>
        <w:autoSpaceDE/>
        <w:autoSpaceDN/>
        <w:adjustRightInd/>
        <w:rPr>
          <w:rStyle w:val="file"/>
          <w:szCs w:val="24"/>
          <w:lang w:val="fr-FR"/>
        </w:rPr>
      </w:pPr>
      <w:hyperlink r:id="rId9" w:tooltip="Rec6.1_F_0_0.pdf" w:history="1">
        <w:r w:rsidR="00AD2F0A" w:rsidRPr="00193B81">
          <w:rPr>
            <w:rStyle w:val="Hyperlink"/>
            <w:rFonts w:cs="Arial"/>
            <w:lang w:val="fr-FR"/>
          </w:rPr>
          <w:t>Recommandation 6.1</w:t>
        </w:r>
        <w:r w:rsidR="00AD2F0A" w:rsidRPr="00193B81">
          <w:rPr>
            <w:rStyle w:val="Hyperlink"/>
            <w:rFonts w:cs="Arial"/>
            <w:i/>
            <w:lang w:val="fr-FR"/>
          </w:rPr>
          <w:t>, Nomenclature normalisée à utiliser pour le</w:t>
        </w:r>
        <w:r w:rsidR="008977D0" w:rsidRPr="00193B81">
          <w:rPr>
            <w:rStyle w:val="Hyperlink"/>
            <w:rFonts w:cs="Arial"/>
            <w:i/>
            <w:lang w:val="fr-FR"/>
          </w:rPr>
          <w:t>s</w:t>
        </w:r>
        <w:r w:rsidR="00AD2F0A" w:rsidRPr="00193B81">
          <w:rPr>
            <w:rStyle w:val="Hyperlink"/>
            <w:rFonts w:cs="Arial"/>
            <w:i/>
            <w:lang w:val="fr-FR"/>
          </w:rPr>
          <w:t xml:space="preserve"> Annexes </w:t>
        </w:r>
        <w:r w:rsidR="00D51596" w:rsidRPr="00193B81">
          <w:rPr>
            <w:rStyle w:val="Hyperlink"/>
            <w:rFonts w:cs="Arial"/>
            <w:i/>
            <w:lang w:val="fr-FR"/>
          </w:rPr>
          <w:t>à</w:t>
        </w:r>
        <w:r w:rsidR="00AD2F0A" w:rsidRPr="00193B81">
          <w:rPr>
            <w:rStyle w:val="Hyperlink"/>
            <w:rFonts w:cs="Arial"/>
            <w:i/>
            <w:lang w:val="fr-FR"/>
          </w:rPr>
          <w:t xml:space="preserve"> la CMS;</w:t>
        </w:r>
        <w:r w:rsidR="00AD2F0A" w:rsidRPr="00646B0A">
          <w:rPr>
            <w:rStyle w:val="Hyperlink"/>
            <w:rFonts w:cs="Arial"/>
            <w:lang w:val="fr-FR"/>
          </w:rPr>
          <w:t xml:space="preserve"> </w:t>
        </w:r>
      </w:hyperlink>
    </w:p>
    <w:p w14:paraId="2B411529" w14:textId="77777777" w:rsidR="00205B63" w:rsidRPr="00646B0A" w:rsidRDefault="00205B63" w:rsidP="00205B63">
      <w:pPr>
        <w:pStyle w:val="ListParagraph"/>
        <w:widowControl/>
        <w:autoSpaceDE/>
        <w:autoSpaceDN/>
        <w:adjustRightInd/>
        <w:ind w:left="1440"/>
        <w:rPr>
          <w:rStyle w:val="file"/>
          <w:szCs w:val="24"/>
          <w:lang w:val="fr-FR"/>
        </w:rPr>
      </w:pPr>
    </w:p>
    <w:p w14:paraId="2D7B828E" w14:textId="7813E2BD" w:rsidR="005F6BB2" w:rsidRPr="00646B0A" w:rsidRDefault="003909DD" w:rsidP="00E468D0">
      <w:pPr>
        <w:pStyle w:val="ListParagraph"/>
        <w:widowControl/>
        <w:numPr>
          <w:ilvl w:val="0"/>
          <w:numId w:val="2"/>
        </w:numPr>
        <w:autoSpaceDE/>
        <w:autoSpaceDN/>
        <w:adjustRightInd/>
        <w:rPr>
          <w:rStyle w:val="file"/>
          <w:szCs w:val="24"/>
          <w:lang w:val="fr-FR"/>
        </w:rPr>
      </w:pPr>
      <w:hyperlink r:id="rId10" w:tooltip="Rec_9_04_Nomenclature_Fr_0.pdf" w:history="1">
        <w:r w:rsidR="005F6BB2" w:rsidRPr="00646B0A">
          <w:rPr>
            <w:rStyle w:val="Hyperlink"/>
            <w:rFonts w:cs="Arial"/>
            <w:lang w:val="fr-FR"/>
          </w:rPr>
          <w:t>R</w:t>
        </w:r>
        <w:r w:rsidR="00205B63" w:rsidRPr="00646B0A">
          <w:rPr>
            <w:rStyle w:val="Hyperlink"/>
            <w:rFonts w:cs="Arial"/>
            <w:lang w:val="fr-FR"/>
          </w:rPr>
          <w:t>ecommandation,</w:t>
        </w:r>
        <w:r w:rsidR="005F6BB2" w:rsidRPr="00646B0A">
          <w:rPr>
            <w:rStyle w:val="Hyperlink"/>
            <w:rFonts w:cs="Arial"/>
            <w:lang w:val="fr-FR"/>
          </w:rPr>
          <w:t xml:space="preserve"> 9.4, </w:t>
        </w:r>
        <w:r w:rsidR="005F6BB2" w:rsidRPr="00193B81">
          <w:rPr>
            <w:rStyle w:val="Hyperlink"/>
            <w:rFonts w:cs="Arial"/>
            <w:i/>
            <w:lang w:val="fr-FR"/>
          </w:rPr>
          <w:t>Nomenclature standardisée pour les Annexes de la CMS</w:t>
        </w:r>
      </w:hyperlink>
      <w:r w:rsidR="00876ED1" w:rsidRPr="00646B0A">
        <w:rPr>
          <w:rStyle w:val="file"/>
          <w:lang w:val="fr-FR"/>
        </w:rPr>
        <w:t xml:space="preserve">; </w:t>
      </w:r>
    </w:p>
    <w:p w14:paraId="5889F810" w14:textId="77777777" w:rsidR="00205B63" w:rsidRPr="00646B0A" w:rsidRDefault="00205B63" w:rsidP="00205B63">
      <w:pPr>
        <w:widowControl/>
        <w:autoSpaceDE/>
        <w:autoSpaceDN/>
        <w:adjustRightInd/>
        <w:rPr>
          <w:rStyle w:val="file"/>
          <w:szCs w:val="24"/>
          <w:lang w:val="fr-FR"/>
        </w:rPr>
      </w:pPr>
    </w:p>
    <w:p w14:paraId="2028D9C7" w14:textId="07744D28" w:rsidR="00205B63" w:rsidRPr="00646B0A" w:rsidRDefault="003909DD" w:rsidP="00E468D0">
      <w:pPr>
        <w:pStyle w:val="ListParagraph"/>
        <w:widowControl/>
        <w:numPr>
          <w:ilvl w:val="0"/>
          <w:numId w:val="2"/>
        </w:numPr>
        <w:autoSpaceDE/>
        <w:autoSpaceDN/>
        <w:adjustRightInd/>
        <w:rPr>
          <w:rStyle w:val="file"/>
          <w:szCs w:val="24"/>
          <w:lang w:val="fr-FR"/>
        </w:rPr>
      </w:pPr>
      <w:hyperlink r:id="rId11" w:tooltip="10_13_nomenclature_f_0_0.pdf" w:history="1">
        <w:r w:rsidR="00205B63" w:rsidRPr="00646B0A">
          <w:rPr>
            <w:rStyle w:val="Hyperlink"/>
            <w:rFonts w:cs="Arial"/>
            <w:lang w:val="fr-FR"/>
          </w:rPr>
          <w:t xml:space="preserve">Résolution 10.13, </w:t>
        </w:r>
        <w:r w:rsidR="00205B63" w:rsidRPr="00193B81">
          <w:rPr>
            <w:rStyle w:val="Hyperlink"/>
            <w:rFonts w:cs="Arial"/>
            <w:i/>
            <w:lang w:val="fr-FR"/>
          </w:rPr>
          <w:t>Nomenclature normalisée des oiseaux figurant aux annexes de la CMS</w:t>
        </w:r>
      </w:hyperlink>
      <w:r w:rsidR="00205B63" w:rsidRPr="00646B0A">
        <w:rPr>
          <w:rStyle w:val="file"/>
          <w:lang w:val="fr-FR"/>
        </w:rPr>
        <w:t>; et</w:t>
      </w:r>
    </w:p>
    <w:p w14:paraId="13C0A4F1" w14:textId="77777777" w:rsidR="00205B63" w:rsidRPr="00646B0A" w:rsidRDefault="00205B63" w:rsidP="00205B63">
      <w:pPr>
        <w:widowControl/>
        <w:autoSpaceDE/>
        <w:autoSpaceDN/>
        <w:adjustRightInd/>
        <w:rPr>
          <w:szCs w:val="24"/>
          <w:lang w:val="fr-FR"/>
        </w:rPr>
      </w:pPr>
    </w:p>
    <w:p w14:paraId="6009AA02" w14:textId="28683C57" w:rsidR="00876ED1" w:rsidRPr="00646B0A" w:rsidRDefault="003909DD" w:rsidP="00E468D0">
      <w:pPr>
        <w:pStyle w:val="ListParagraph"/>
        <w:widowControl/>
        <w:numPr>
          <w:ilvl w:val="0"/>
          <w:numId w:val="2"/>
        </w:numPr>
        <w:autoSpaceDE/>
        <w:autoSpaceDN/>
        <w:adjustRightInd/>
        <w:rPr>
          <w:szCs w:val="24"/>
          <w:lang w:val="fr-FR"/>
        </w:rPr>
      </w:pPr>
      <w:hyperlink r:id="rId12" w:tooltip="Res_11_19_Taxonomie_Nomenclature_oiseaux_F.pdf" w:history="1">
        <w:r w:rsidR="00876ED1" w:rsidRPr="00646B0A">
          <w:rPr>
            <w:rStyle w:val="Hyperlink"/>
            <w:rFonts w:cs="Arial"/>
            <w:lang w:val="fr-FR"/>
          </w:rPr>
          <w:t xml:space="preserve">Résolution 11.19: </w:t>
        </w:r>
        <w:r w:rsidR="00876ED1" w:rsidRPr="00193B81">
          <w:rPr>
            <w:rStyle w:val="Hyperlink"/>
            <w:rFonts w:cs="Arial"/>
            <w:i/>
            <w:lang w:val="fr-FR"/>
          </w:rPr>
          <w:t>Taxonomie et nomenclature des oiseaux figurant aux annexes de la CMS</w:t>
        </w:r>
      </w:hyperlink>
      <w:r w:rsidR="00702632" w:rsidRPr="00646B0A">
        <w:rPr>
          <w:rStyle w:val="file"/>
          <w:lang w:val="fr-FR"/>
        </w:rPr>
        <w:t>.</w:t>
      </w:r>
    </w:p>
    <w:p w14:paraId="613728A0" w14:textId="77777777" w:rsidR="00876ED1" w:rsidRPr="00646B0A" w:rsidRDefault="00876ED1" w:rsidP="005F6BB2">
      <w:pPr>
        <w:widowControl/>
        <w:autoSpaceDE/>
        <w:autoSpaceDN/>
        <w:adjustRightInd/>
        <w:rPr>
          <w:szCs w:val="24"/>
          <w:lang w:val="fr-FR"/>
        </w:rPr>
      </w:pPr>
    </w:p>
    <w:p w14:paraId="0B4A56EF" w14:textId="5BDDAF5F" w:rsidR="007D583B" w:rsidRPr="007D583B" w:rsidRDefault="002E16B9" w:rsidP="00E468D0">
      <w:pPr>
        <w:pStyle w:val="ListParagraph"/>
        <w:numPr>
          <w:ilvl w:val="0"/>
          <w:numId w:val="8"/>
        </w:numPr>
        <w:ind w:left="426" w:hanging="426"/>
        <w:jc w:val="both"/>
        <w:rPr>
          <w:lang w:val="fr-FR"/>
        </w:rPr>
      </w:pPr>
      <w:r>
        <w:rPr>
          <w:lang w:val="fr-FR"/>
        </w:rPr>
        <w:t>L'A</w:t>
      </w:r>
      <w:r w:rsidR="007D583B" w:rsidRPr="007D583B">
        <w:rPr>
          <w:lang w:val="fr-FR"/>
        </w:rPr>
        <w:t>nnexe 1 pr</w:t>
      </w:r>
      <w:r>
        <w:rPr>
          <w:lang w:val="fr-FR"/>
        </w:rPr>
        <w:t>ésente un projet de R</w:t>
      </w:r>
      <w:r w:rsidR="007D583B" w:rsidRPr="007D583B">
        <w:rPr>
          <w:lang w:val="fr-FR"/>
        </w:rPr>
        <w:t xml:space="preserve">ésolution regroupée qui comprend, dans la colonne de gauche, le texte original et le préambule des Résolutions et Recommandations en cours de regroupement. La colonne de droite indique la source du texte et un commentaire concernant tout changement proposé. </w:t>
      </w:r>
    </w:p>
    <w:p w14:paraId="3DF5C72C" w14:textId="77777777" w:rsidR="007D583B" w:rsidRPr="007D583B" w:rsidRDefault="007D583B" w:rsidP="007D583B">
      <w:pPr>
        <w:pStyle w:val="ListParagraph"/>
        <w:ind w:left="360"/>
        <w:jc w:val="both"/>
        <w:rPr>
          <w:lang w:val="fr-FR"/>
        </w:rPr>
      </w:pPr>
    </w:p>
    <w:p w14:paraId="18E6AD3E" w14:textId="51B3340F" w:rsidR="007D583B" w:rsidRPr="007D583B" w:rsidRDefault="007D583B" w:rsidP="00E468D0">
      <w:pPr>
        <w:pStyle w:val="ListParagraph"/>
        <w:numPr>
          <w:ilvl w:val="0"/>
          <w:numId w:val="8"/>
        </w:numPr>
        <w:ind w:left="360" w:hanging="360"/>
        <w:jc w:val="both"/>
        <w:rPr>
          <w:lang w:val="fr-FR"/>
        </w:rPr>
      </w:pPr>
      <w:r>
        <w:rPr>
          <w:lang w:val="fr-FR"/>
        </w:rPr>
        <w:t>L'Annexe 2 contient la version propre du projet de Résolution regroupée, en tenant compte des commentaires figurant à l'Annexe 1</w:t>
      </w:r>
      <w:r w:rsidRPr="007D583B">
        <w:rPr>
          <w:lang w:val="fr-FR"/>
        </w:rPr>
        <w:t>.</w:t>
      </w:r>
    </w:p>
    <w:p w14:paraId="6490D739" w14:textId="77777777" w:rsidR="007D583B" w:rsidRPr="007D583B" w:rsidRDefault="007D583B" w:rsidP="007D583B">
      <w:pPr>
        <w:pStyle w:val="ListParagraph"/>
        <w:ind w:left="1080"/>
        <w:jc w:val="both"/>
        <w:rPr>
          <w:lang w:val="fr-FR"/>
        </w:rPr>
      </w:pPr>
    </w:p>
    <w:p w14:paraId="239D8C49" w14:textId="6CB6EFE0" w:rsidR="007D583B" w:rsidRPr="007D583B" w:rsidRDefault="007D583B" w:rsidP="00E468D0">
      <w:pPr>
        <w:pStyle w:val="ListParagraph"/>
        <w:numPr>
          <w:ilvl w:val="0"/>
          <w:numId w:val="8"/>
        </w:numPr>
        <w:ind w:left="360" w:hanging="360"/>
        <w:jc w:val="both"/>
        <w:rPr>
          <w:lang w:val="fr-FR"/>
        </w:rPr>
      </w:pPr>
      <w:r>
        <w:rPr>
          <w:lang w:val="fr-FR"/>
        </w:rPr>
        <w:t xml:space="preserve">Pour ajouter de la clarté et rendre plus durable la Résolution sur la taxonomie et la nomenclature, le Secrétariat a placé la liste des références taxonomiques et de nomenclature spécifiques dans une annexe à la résolution. Des instructions sur l'utilisation des références sont </w:t>
      </w:r>
      <w:r w:rsidR="00193B81">
        <w:rPr>
          <w:lang w:val="fr-FR"/>
        </w:rPr>
        <w:t>retenues</w:t>
      </w:r>
      <w:r>
        <w:rPr>
          <w:lang w:val="fr-FR"/>
        </w:rPr>
        <w:t xml:space="preserve"> dans les paragraphes opérationnels</w:t>
      </w:r>
      <w:r w:rsidRPr="007D583B">
        <w:rPr>
          <w:lang w:val="fr-FR"/>
        </w:rPr>
        <w:t xml:space="preserve">. </w:t>
      </w:r>
    </w:p>
    <w:p w14:paraId="6E1B998B" w14:textId="77777777" w:rsidR="007D583B" w:rsidRPr="007D583B" w:rsidRDefault="007D583B" w:rsidP="007D583B">
      <w:pPr>
        <w:jc w:val="both"/>
        <w:rPr>
          <w:lang w:val="fr-FR"/>
        </w:rPr>
      </w:pPr>
    </w:p>
    <w:p w14:paraId="33DE5F36" w14:textId="17E38846" w:rsidR="007D583B" w:rsidRPr="007D583B" w:rsidRDefault="007D583B" w:rsidP="00E468D0">
      <w:pPr>
        <w:pStyle w:val="ListParagraph"/>
        <w:numPr>
          <w:ilvl w:val="0"/>
          <w:numId w:val="8"/>
        </w:numPr>
        <w:ind w:left="360" w:hanging="360"/>
        <w:jc w:val="both"/>
        <w:rPr>
          <w:lang w:val="fr-FR"/>
        </w:rPr>
      </w:pPr>
      <w:r>
        <w:rPr>
          <w:lang w:val="fr-FR"/>
        </w:rPr>
        <w:t>L'Annexe 3 contient des projets de décision</w:t>
      </w:r>
      <w:r w:rsidR="00193B81">
        <w:rPr>
          <w:lang w:val="fr-FR"/>
        </w:rPr>
        <w:t>s</w:t>
      </w:r>
      <w:r>
        <w:rPr>
          <w:lang w:val="fr-FR"/>
        </w:rPr>
        <w:t>, fondés sur les dispositions des résolutions et recommandations existantes étant regroupées, qui comprennent des tâches qui n'ont pas été complétées et qui répondent à la nouvelle définition de la «Décision» de la Convention, figurant dans la Résolution 11.6</w:t>
      </w:r>
      <w:r w:rsidRPr="007D583B">
        <w:rPr>
          <w:lang w:val="fr-FR"/>
        </w:rPr>
        <w:t>.</w:t>
      </w:r>
    </w:p>
    <w:p w14:paraId="74F75BE0" w14:textId="77777777" w:rsidR="007D583B" w:rsidRPr="007D583B" w:rsidRDefault="007D583B" w:rsidP="007D583B">
      <w:pPr>
        <w:jc w:val="both"/>
        <w:rPr>
          <w:lang w:val="fr-FR"/>
        </w:rPr>
      </w:pPr>
    </w:p>
    <w:p w14:paraId="29DDA6E8" w14:textId="6AE82B99" w:rsidR="003639E2" w:rsidRPr="007D583B" w:rsidRDefault="007D583B" w:rsidP="003639E2">
      <w:pPr>
        <w:rPr>
          <w:u w:val="single"/>
        </w:rPr>
      </w:pPr>
      <w:r w:rsidRPr="007D583B">
        <w:rPr>
          <w:u w:val="single"/>
        </w:rPr>
        <w:t>Actions recommandées:</w:t>
      </w:r>
    </w:p>
    <w:p w14:paraId="3758DAF6" w14:textId="77777777" w:rsidR="003639E2" w:rsidRPr="00A948C0" w:rsidRDefault="003639E2" w:rsidP="003639E2">
      <w:pPr>
        <w:rPr>
          <w:highlight w:val="yellow"/>
        </w:rPr>
      </w:pPr>
    </w:p>
    <w:p w14:paraId="66D4F08C" w14:textId="0663372A" w:rsidR="003639E2" w:rsidRPr="007D583B" w:rsidRDefault="007D583B" w:rsidP="00E468D0">
      <w:pPr>
        <w:pStyle w:val="ListParagraph"/>
        <w:numPr>
          <w:ilvl w:val="0"/>
          <w:numId w:val="8"/>
        </w:numPr>
        <w:ind w:left="360" w:hanging="360"/>
        <w:jc w:val="both"/>
        <w:rPr>
          <w:lang w:val="fr-FR"/>
        </w:rPr>
      </w:pPr>
      <w:r w:rsidRPr="007D583B">
        <w:rPr>
          <w:lang w:val="fr-FR"/>
        </w:rPr>
        <w:t xml:space="preserve">La Conférence des Parties est </w:t>
      </w:r>
      <w:r>
        <w:rPr>
          <w:lang w:val="fr-FR"/>
        </w:rPr>
        <w:t>invité</w:t>
      </w:r>
      <w:r w:rsidRPr="007D583B">
        <w:rPr>
          <w:lang w:val="fr-FR"/>
        </w:rPr>
        <w:t>e à:</w:t>
      </w:r>
    </w:p>
    <w:p w14:paraId="121D1B41" w14:textId="77777777" w:rsidR="003639E2" w:rsidRPr="007D583B" w:rsidRDefault="003639E2" w:rsidP="003639E2">
      <w:pPr>
        <w:pStyle w:val="ListParagraph"/>
        <w:ind w:left="1080"/>
        <w:jc w:val="both"/>
        <w:rPr>
          <w:lang w:val="fr-FR"/>
        </w:rPr>
      </w:pPr>
    </w:p>
    <w:p w14:paraId="01AB51C7" w14:textId="0E233EE2" w:rsidR="003639E2" w:rsidRPr="007D583B" w:rsidRDefault="007D583B" w:rsidP="00E468D0">
      <w:pPr>
        <w:pStyle w:val="ListParagraph"/>
        <w:numPr>
          <w:ilvl w:val="0"/>
          <w:numId w:val="4"/>
        </w:numPr>
        <w:ind w:left="1440" w:hanging="720"/>
        <w:jc w:val="both"/>
        <w:rPr>
          <w:lang w:val="fr-FR"/>
        </w:rPr>
      </w:pPr>
      <w:r w:rsidRPr="007D583B">
        <w:rPr>
          <w:lang w:val="fr-FR"/>
        </w:rPr>
        <w:t>a</w:t>
      </w:r>
      <w:r w:rsidR="003639E2" w:rsidRPr="007D583B">
        <w:rPr>
          <w:lang w:val="fr-FR"/>
        </w:rPr>
        <w:t>dopt</w:t>
      </w:r>
      <w:r w:rsidRPr="007D583B">
        <w:rPr>
          <w:lang w:val="fr-FR"/>
        </w:rPr>
        <w:t>er la R</w:t>
      </w:r>
      <w:r>
        <w:rPr>
          <w:lang w:val="fr-FR"/>
        </w:rPr>
        <w:t>é</w:t>
      </w:r>
      <w:r w:rsidRPr="007D583B">
        <w:rPr>
          <w:lang w:val="fr-FR"/>
        </w:rPr>
        <w:t>solution regroupée figurant à l’</w:t>
      </w:r>
      <w:r w:rsidR="003639E2" w:rsidRPr="007D583B">
        <w:rPr>
          <w:lang w:val="fr-FR"/>
        </w:rPr>
        <w:t>Annex</w:t>
      </w:r>
      <w:r w:rsidRPr="007D583B">
        <w:rPr>
          <w:lang w:val="fr-FR"/>
        </w:rPr>
        <w:t>e 2; et</w:t>
      </w:r>
    </w:p>
    <w:p w14:paraId="246CE582" w14:textId="77777777" w:rsidR="003639E2" w:rsidRPr="007D583B" w:rsidRDefault="003639E2" w:rsidP="003639E2">
      <w:pPr>
        <w:pStyle w:val="ListParagraph"/>
        <w:ind w:left="1440"/>
        <w:jc w:val="both"/>
        <w:rPr>
          <w:lang w:val="fr-FR"/>
        </w:rPr>
      </w:pPr>
    </w:p>
    <w:p w14:paraId="00AD7823" w14:textId="4063BEA9" w:rsidR="003639E2" w:rsidRPr="007D583B" w:rsidRDefault="003639E2" w:rsidP="00E468D0">
      <w:pPr>
        <w:pStyle w:val="ListParagraph"/>
        <w:numPr>
          <w:ilvl w:val="0"/>
          <w:numId w:val="4"/>
        </w:numPr>
        <w:ind w:left="1440" w:hanging="720"/>
        <w:jc w:val="both"/>
        <w:rPr>
          <w:lang w:val="fr-FR"/>
        </w:rPr>
      </w:pPr>
      <w:r w:rsidRPr="007D583B">
        <w:rPr>
          <w:lang w:val="fr-FR"/>
        </w:rPr>
        <w:t>adopt</w:t>
      </w:r>
      <w:r w:rsidR="007D583B" w:rsidRPr="007D583B">
        <w:rPr>
          <w:lang w:val="fr-FR"/>
        </w:rPr>
        <w:t>er la Décision figurant à l’</w:t>
      </w:r>
      <w:r w:rsidR="007D583B">
        <w:rPr>
          <w:lang w:val="fr-FR"/>
        </w:rPr>
        <w:t>A</w:t>
      </w:r>
      <w:r w:rsidR="007D583B" w:rsidRPr="007D583B">
        <w:rPr>
          <w:lang w:val="fr-FR"/>
        </w:rPr>
        <w:t>nnexe 3</w:t>
      </w:r>
      <w:r w:rsidR="007D583B">
        <w:rPr>
          <w:lang w:val="fr-FR"/>
        </w:rPr>
        <w:t>.</w:t>
      </w:r>
    </w:p>
    <w:p w14:paraId="7DAD6E56" w14:textId="19E67AE8" w:rsidR="004600BB" w:rsidRPr="007D583B" w:rsidRDefault="004600BB" w:rsidP="003639E2">
      <w:pPr>
        <w:pStyle w:val="ListParagraph"/>
        <w:widowControl/>
        <w:autoSpaceDE/>
        <w:autoSpaceDN/>
        <w:adjustRightInd/>
        <w:ind w:left="1440"/>
        <w:rPr>
          <w:lang w:val="fr-FR"/>
        </w:rPr>
      </w:pPr>
    </w:p>
    <w:p w14:paraId="18A3F08B" w14:textId="77777777" w:rsidR="00D605A4" w:rsidRPr="007D583B" w:rsidRDefault="00D605A4" w:rsidP="00D605A4">
      <w:pPr>
        <w:tabs>
          <w:tab w:val="left" w:pos="1020"/>
        </w:tabs>
        <w:rPr>
          <w:lang w:val="fr-FR"/>
        </w:rPr>
        <w:sectPr w:rsidR="00D605A4" w:rsidRPr="007D583B" w:rsidSect="0052082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EE7072"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EE7072">
        <w:rPr>
          <w:b/>
          <w:caps/>
          <w:lang w:val="fr-FR"/>
        </w:rPr>
        <w:lastRenderedPageBreak/>
        <w:t>AnnexE 1</w:t>
      </w:r>
    </w:p>
    <w:p w14:paraId="5263A311" w14:textId="77777777" w:rsidR="008A3AC6" w:rsidRPr="00EE7072"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47828429" w14:textId="1AFA3566" w:rsidR="008A3AC6" w:rsidRPr="00EE7072" w:rsidRDefault="00275105" w:rsidP="002E16B9">
      <w:pPr>
        <w:jc w:val="center"/>
        <w:rPr>
          <w:b/>
          <w:lang w:val="fr-FR"/>
        </w:rPr>
      </w:pPr>
      <w:r w:rsidRPr="00EE7072">
        <w:rPr>
          <w:b/>
          <w:lang w:val="fr-FR"/>
        </w:rPr>
        <w:t>PROJET DE RÉSOLUTION</w:t>
      </w:r>
      <w:r w:rsidR="002E16B9">
        <w:rPr>
          <w:b/>
          <w:lang w:val="fr-FR"/>
        </w:rPr>
        <w:t xml:space="preserve"> REGROUPÉE : </w:t>
      </w:r>
      <w:r w:rsidR="00A948C0" w:rsidRPr="00EE7072">
        <w:rPr>
          <w:b/>
          <w:szCs w:val="15"/>
          <w:lang w:val="fr-FR"/>
        </w:rPr>
        <w:t>TAXONOMIE ET NOMENCLATURE</w:t>
      </w:r>
    </w:p>
    <w:p w14:paraId="7514F08F" w14:textId="77777777" w:rsidR="008A3AC6" w:rsidRPr="00EE7072" w:rsidRDefault="008A3AC6" w:rsidP="008A3AC6">
      <w:pPr>
        <w:jc w:val="center"/>
        <w:rPr>
          <w:lang w:val="fr-FR"/>
        </w:rPr>
      </w:pPr>
    </w:p>
    <w:p w14:paraId="61C4AFDF" w14:textId="38A4A8D2" w:rsidR="00E8776E" w:rsidRPr="00EE7072" w:rsidRDefault="008A3AC6" w:rsidP="00FB70A2">
      <w:pPr>
        <w:jc w:val="both"/>
        <w:rPr>
          <w:lang w:val="fr-FR"/>
        </w:rPr>
      </w:pPr>
      <w:r w:rsidRPr="00EE7072">
        <w:rPr>
          <w:i/>
          <w:lang w:val="fr-FR"/>
        </w:rPr>
        <w:t>NB:</w:t>
      </w:r>
      <w:r w:rsidRPr="00EE7072">
        <w:rPr>
          <w:i/>
          <w:lang w:val="fr-FR"/>
        </w:rPr>
        <w:tab/>
      </w:r>
      <w:r w:rsidRPr="000749B4">
        <w:rPr>
          <w:i/>
          <w:iCs/>
          <w:color w:val="000000" w:themeColor="text1"/>
          <w:lang w:val="fr-FR"/>
        </w:rPr>
        <w:t xml:space="preserve">Le nouveau texte est </w:t>
      </w:r>
      <w:r w:rsidRPr="000749B4">
        <w:rPr>
          <w:i/>
          <w:iCs/>
          <w:color w:val="000000" w:themeColor="text1"/>
          <w:u w:val="single"/>
          <w:lang w:val="fr-FR"/>
        </w:rPr>
        <w:t>souligné</w:t>
      </w:r>
      <w:r w:rsidRPr="000749B4">
        <w:rPr>
          <w:i/>
          <w:iCs/>
          <w:color w:val="000000" w:themeColor="text1"/>
          <w:lang w:val="fr-FR"/>
        </w:rPr>
        <w:t xml:space="preserve">. Le texte à effacer est </w:t>
      </w:r>
      <w:r w:rsidRPr="000749B4">
        <w:rPr>
          <w:i/>
          <w:iCs/>
          <w:strike/>
          <w:color w:val="000000" w:themeColor="text1"/>
          <w:lang w:val="fr-FR"/>
        </w:rPr>
        <w:t>barré</w:t>
      </w:r>
      <w:r w:rsidRPr="000749B4">
        <w:rPr>
          <w:i/>
          <w:iCs/>
          <w:color w:val="000000" w:themeColor="text1"/>
          <w:lang w:val="fr-FR"/>
        </w:rPr>
        <w:t>.</w:t>
      </w:r>
    </w:p>
    <w:p w14:paraId="272CC510" w14:textId="77777777" w:rsidR="00593041" w:rsidRPr="00EE7072"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2336"/>
      </w:tblGrid>
      <w:tr w:rsidR="00496B06" w:rsidRPr="000749B4" w14:paraId="4DDF28D4" w14:textId="77777777" w:rsidTr="00135DBE">
        <w:trPr>
          <w:tblHeader/>
        </w:trPr>
        <w:tc>
          <w:tcPr>
            <w:tcW w:w="6737" w:type="dxa"/>
            <w:shd w:val="clear" w:color="auto" w:fill="D9D9D9" w:themeFill="background1" w:themeFillShade="D9"/>
          </w:tcPr>
          <w:p w14:paraId="7B90CCC0" w14:textId="614726BA" w:rsidR="00496B06" w:rsidRPr="002E16B9" w:rsidRDefault="002E16B9" w:rsidP="0028030F">
            <w:pPr>
              <w:rPr>
                <w:b/>
                <w:lang w:val="fr-FR"/>
              </w:rPr>
            </w:pPr>
            <w:r>
              <w:rPr>
                <w:b/>
                <w:lang w:val="fr-FR"/>
              </w:rPr>
              <w:t>Texte de Résolutions et R</w:t>
            </w:r>
            <w:r w:rsidRPr="002E16B9">
              <w:rPr>
                <w:b/>
                <w:lang w:val="fr-FR"/>
              </w:rPr>
              <w:t>ecommandations existantes</w:t>
            </w:r>
          </w:p>
        </w:tc>
        <w:tc>
          <w:tcPr>
            <w:tcW w:w="2336" w:type="dxa"/>
            <w:shd w:val="clear" w:color="auto" w:fill="D9D9D9" w:themeFill="background1" w:themeFillShade="D9"/>
          </w:tcPr>
          <w:p w14:paraId="7D0BEF10" w14:textId="3D3027B1" w:rsidR="00496B06" w:rsidRPr="000749B4" w:rsidRDefault="00496B06" w:rsidP="0028030F">
            <w:pPr>
              <w:rPr>
                <w:b/>
              </w:rPr>
            </w:pPr>
            <w:r w:rsidRPr="000749B4">
              <w:rPr>
                <w:b/>
                <w:lang w:val="fr-FR"/>
              </w:rPr>
              <w:t>Commentaires</w:t>
            </w:r>
          </w:p>
        </w:tc>
      </w:tr>
      <w:tr w:rsidR="00135DBE" w:rsidRPr="003909DD" w14:paraId="144336C6" w14:textId="77777777" w:rsidTr="00135DBE">
        <w:tc>
          <w:tcPr>
            <w:tcW w:w="6737" w:type="dxa"/>
            <w:shd w:val="clear" w:color="auto" w:fill="auto"/>
          </w:tcPr>
          <w:p w14:paraId="052E3C23" w14:textId="3BE0E20D" w:rsidR="00135DBE" w:rsidRPr="002E16B9" w:rsidRDefault="00135DBE" w:rsidP="00374421">
            <w:pPr>
              <w:widowControl/>
              <w:tabs>
                <w:tab w:val="left" w:pos="1860"/>
              </w:tabs>
              <w:autoSpaceDE/>
              <w:autoSpaceDN/>
              <w:adjustRightInd/>
              <w:jc w:val="both"/>
              <w:rPr>
                <w:szCs w:val="17"/>
                <w:lang w:val="fr-FR"/>
              </w:rPr>
            </w:pPr>
            <w:r w:rsidRPr="002E16B9">
              <w:rPr>
                <w:i/>
                <w:u w:val="single"/>
                <w:lang w:val="fr-FR"/>
              </w:rPr>
              <w:t>R</w:t>
            </w:r>
            <w:r w:rsidR="002E16B9" w:rsidRPr="002E16B9">
              <w:rPr>
                <w:i/>
                <w:u w:val="single"/>
                <w:lang w:val="fr-FR"/>
              </w:rPr>
              <w:t xml:space="preserve">appelant </w:t>
            </w:r>
            <w:r w:rsidR="002E16B9" w:rsidRPr="002E16B9">
              <w:rPr>
                <w:u w:val="single"/>
                <w:lang w:val="fr-FR"/>
              </w:rPr>
              <w:t>qu’avec la Recommandation 6.1</w:t>
            </w:r>
            <w:r w:rsidRPr="002E16B9">
              <w:rPr>
                <w:u w:val="single"/>
                <w:lang w:val="fr-FR"/>
              </w:rPr>
              <w:t xml:space="preserve">, </w:t>
            </w:r>
            <w:r w:rsidR="002E16B9" w:rsidRPr="002E16B9">
              <w:rPr>
                <w:u w:val="single"/>
                <w:lang w:val="fr-FR"/>
              </w:rPr>
              <w:t xml:space="preserve">la </w:t>
            </w:r>
            <w:r w:rsidRPr="002E16B9">
              <w:rPr>
                <w:u w:val="single"/>
                <w:lang w:val="fr-FR"/>
              </w:rPr>
              <w:t xml:space="preserve">Recommandation 9.4, </w:t>
            </w:r>
            <w:r w:rsidR="002E16B9" w:rsidRPr="002E16B9">
              <w:rPr>
                <w:u w:val="single"/>
                <w:lang w:val="fr-FR"/>
              </w:rPr>
              <w:t xml:space="preserve">la </w:t>
            </w:r>
            <w:r w:rsidRPr="002E16B9">
              <w:rPr>
                <w:u w:val="single"/>
                <w:lang w:val="fr-FR"/>
              </w:rPr>
              <w:t>Résolution</w:t>
            </w:r>
            <w:r w:rsidR="002E16B9" w:rsidRPr="002E16B9">
              <w:rPr>
                <w:u w:val="single"/>
                <w:lang w:val="fr-FR"/>
              </w:rPr>
              <w:t xml:space="preserve"> 10.13, et la </w:t>
            </w:r>
            <w:r w:rsidRPr="002E16B9">
              <w:rPr>
                <w:u w:val="single"/>
                <w:lang w:val="fr-FR"/>
              </w:rPr>
              <w:t>Résolution</w:t>
            </w:r>
            <w:r w:rsidR="002E16B9" w:rsidRPr="002E16B9">
              <w:rPr>
                <w:u w:val="single"/>
                <w:lang w:val="fr-FR"/>
              </w:rPr>
              <w:t xml:space="preserve"> 11.19, la Confé</w:t>
            </w:r>
            <w:r w:rsidRPr="002E16B9">
              <w:rPr>
                <w:u w:val="single"/>
                <w:lang w:val="fr-FR"/>
              </w:rPr>
              <w:t xml:space="preserve">rence </w:t>
            </w:r>
            <w:r w:rsidR="002E16B9" w:rsidRPr="002E16B9">
              <w:rPr>
                <w:u w:val="single"/>
                <w:lang w:val="fr-FR"/>
              </w:rPr>
              <w:t xml:space="preserve">des Parties a adopté des références normalisées pour </w:t>
            </w:r>
            <w:r w:rsidR="002E16B9">
              <w:rPr>
                <w:u w:val="single"/>
                <w:lang w:val="fr-FR"/>
              </w:rPr>
              <w:t>être reconnues et utilisées comme les bases</w:t>
            </w:r>
            <w:r w:rsidRPr="002E16B9">
              <w:rPr>
                <w:u w:val="single"/>
                <w:lang w:val="fr-FR"/>
              </w:rPr>
              <w:t xml:space="preserve"> </w:t>
            </w:r>
            <w:r w:rsidR="002E16B9">
              <w:rPr>
                <w:u w:val="single"/>
                <w:lang w:val="fr-FR"/>
              </w:rPr>
              <w:t>sur lesquelles les Annexes de la CMS et tous leurs amendements, doivent être préparés ;</w:t>
            </w:r>
            <w:r w:rsidRPr="002E16B9">
              <w:rPr>
                <w:u w:val="single"/>
                <w:lang w:val="fr-FR"/>
              </w:rPr>
              <w:t xml:space="preserve">  </w:t>
            </w:r>
          </w:p>
        </w:tc>
        <w:tc>
          <w:tcPr>
            <w:tcW w:w="2336" w:type="dxa"/>
            <w:shd w:val="clear" w:color="auto" w:fill="auto"/>
          </w:tcPr>
          <w:p w14:paraId="59C5CC80" w14:textId="548A69E4" w:rsidR="00135DBE" w:rsidRPr="00EE7072" w:rsidRDefault="002E16B9" w:rsidP="0028030F">
            <w:pPr>
              <w:rPr>
                <w:lang w:val="fr-FR"/>
              </w:rPr>
            </w:pPr>
            <w:r>
              <w:rPr>
                <w:color w:val="000000" w:themeColor="text1"/>
                <w:lang w:val="fr-FR"/>
              </w:rPr>
              <w:t>Nouveau texte pour illustrer le regroupement</w:t>
            </w:r>
          </w:p>
        </w:tc>
      </w:tr>
      <w:tr w:rsidR="004647DB" w:rsidRPr="000749B4" w14:paraId="62EAFB41" w14:textId="77777777" w:rsidTr="00135DBE">
        <w:tc>
          <w:tcPr>
            <w:tcW w:w="6737" w:type="dxa"/>
            <w:shd w:val="clear" w:color="auto" w:fill="auto"/>
          </w:tcPr>
          <w:p w14:paraId="71990F76" w14:textId="6D1DEED0" w:rsidR="004647DB" w:rsidRPr="00EE7072" w:rsidRDefault="00074DA7" w:rsidP="004F121F">
            <w:pPr>
              <w:widowControl/>
              <w:autoSpaceDE/>
              <w:autoSpaceDN/>
              <w:adjustRightInd/>
              <w:jc w:val="both"/>
              <w:rPr>
                <w:strike/>
                <w:szCs w:val="17"/>
                <w:lang w:val="fr-FR"/>
              </w:rPr>
            </w:pPr>
            <w:r w:rsidRPr="00EE7072">
              <w:rPr>
                <w:strike/>
                <w:szCs w:val="17"/>
                <w:lang w:val="fr-FR"/>
              </w:rPr>
              <w:t>Rappelant que dans la Recommandation 6.1 (Le Cap, 1999), la Conférence des Parties de la</w:t>
            </w:r>
            <w:r w:rsidR="004F121F" w:rsidRPr="00EE7072">
              <w:rPr>
                <w:strike/>
                <w:szCs w:val="17"/>
                <w:lang w:val="fr-FR"/>
              </w:rPr>
              <w:t xml:space="preserve"> </w:t>
            </w:r>
            <w:r w:rsidRPr="00EE7072">
              <w:rPr>
                <w:strike/>
                <w:szCs w:val="17"/>
                <w:lang w:val="fr-FR"/>
              </w:rPr>
              <w:t>CMS a adopté les références normalisées pour être reconnus et utilisés comme les bases sur</w:t>
            </w:r>
            <w:r w:rsidR="004F121F" w:rsidRPr="00EE7072">
              <w:rPr>
                <w:strike/>
                <w:szCs w:val="17"/>
                <w:lang w:val="fr-FR"/>
              </w:rPr>
              <w:t xml:space="preserve"> </w:t>
            </w:r>
            <w:r w:rsidRPr="00EE7072">
              <w:rPr>
                <w:strike/>
                <w:szCs w:val="17"/>
                <w:lang w:val="fr-FR"/>
              </w:rPr>
              <w:t>lesquelles les annexes de la CMS et tout leur amendement, doivent être préparés;</w:t>
            </w:r>
          </w:p>
        </w:tc>
        <w:tc>
          <w:tcPr>
            <w:tcW w:w="2336" w:type="dxa"/>
            <w:shd w:val="clear" w:color="auto" w:fill="auto"/>
          </w:tcPr>
          <w:p w14:paraId="7336E496" w14:textId="6F1585A1" w:rsidR="004647DB" w:rsidRPr="000749B4" w:rsidRDefault="00B402A3" w:rsidP="0028030F">
            <w:pPr>
              <w:jc w:val="both"/>
            </w:pPr>
            <w:r>
              <w:t>Recommandation</w:t>
            </w:r>
            <w:r w:rsidR="004647DB" w:rsidRPr="000749B4">
              <w:t xml:space="preserve"> 9.4</w:t>
            </w:r>
          </w:p>
          <w:p w14:paraId="1BEC3A3E" w14:textId="77777777" w:rsidR="004647DB" w:rsidRPr="000749B4" w:rsidRDefault="004647DB" w:rsidP="0028030F">
            <w:pPr>
              <w:jc w:val="both"/>
            </w:pPr>
          </w:p>
          <w:p w14:paraId="17F3114A" w14:textId="41BB1B30" w:rsidR="004647DB" w:rsidRPr="000749B4" w:rsidRDefault="002E16B9" w:rsidP="00210C67">
            <w:r>
              <w:t>Abrogé</w:t>
            </w:r>
            <w:r w:rsidR="00210C67">
              <w:t xml:space="preserve">; </w:t>
            </w:r>
            <w:r w:rsidR="00887584">
              <w:t>redondant</w:t>
            </w:r>
          </w:p>
        </w:tc>
      </w:tr>
      <w:tr w:rsidR="004647DB" w:rsidRPr="000749B4" w14:paraId="32583B04" w14:textId="77777777" w:rsidTr="00135DBE">
        <w:tc>
          <w:tcPr>
            <w:tcW w:w="6737" w:type="dxa"/>
            <w:shd w:val="clear" w:color="auto" w:fill="auto"/>
          </w:tcPr>
          <w:p w14:paraId="6BB5CF5E" w14:textId="305F819F" w:rsidR="004647DB" w:rsidRPr="00EE7072" w:rsidRDefault="0028030F" w:rsidP="004F121F">
            <w:pPr>
              <w:widowControl/>
              <w:autoSpaceDE/>
              <w:autoSpaceDN/>
              <w:adjustRightInd/>
              <w:jc w:val="both"/>
              <w:rPr>
                <w:strike/>
                <w:szCs w:val="17"/>
                <w:lang w:val="fr-FR"/>
              </w:rPr>
            </w:pPr>
            <w:r w:rsidRPr="00EE7072">
              <w:rPr>
                <w:i/>
                <w:iCs/>
                <w:strike/>
                <w:szCs w:val="17"/>
                <w:lang w:val="fr-FR"/>
              </w:rPr>
              <w:t xml:space="preserve">Rappelant </w:t>
            </w:r>
            <w:r w:rsidRPr="00EE7072">
              <w:rPr>
                <w:strike/>
                <w:szCs w:val="17"/>
                <w:lang w:val="fr-FR"/>
              </w:rPr>
              <w:t>qu’avec la recommandation 6.1 la conférence des Parties a adopté des références normalisées pour qu’elles soient reconnues et utilisées comme la base à partir de laquelle les annexes de la CMS et ses amendements devront être préparés; </w:t>
            </w:r>
          </w:p>
        </w:tc>
        <w:tc>
          <w:tcPr>
            <w:tcW w:w="2336" w:type="dxa"/>
            <w:shd w:val="clear" w:color="auto" w:fill="auto"/>
          </w:tcPr>
          <w:p w14:paraId="50349439" w14:textId="6850CEFE" w:rsidR="004647DB" w:rsidRPr="000749B4" w:rsidRDefault="00B402A3" w:rsidP="0028030F">
            <w:pPr>
              <w:jc w:val="both"/>
            </w:pPr>
            <w:r>
              <w:t>Résolution</w:t>
            </w:r>
            <w:r w:rsidR="004647DB" w:rsidRPr="000749B4">
              <w:t xml:space="preserve"> 10.13</w:t>
            </w:r>
          </w:p>
          <w:p w14:paraId="0C272182" w14:textId="77777777" w:rsidR="004647DB" w:rsidRPr="000749B4" w:rsidRDefault="004647DB" w:rsidP="0028030F">
            <w:pPr>
              <w:jc w:val="both"/>
            </w:pPr>
          </w:p>
          <w:p w14:paraId="38E1326C" w14:textId="30D7AEBD" w:rsidR="004647DB" w:rsidRPr="000749B4" w:rsidRDefault="00887584" w:rsidP="00210C67">
            <w:r>
              <w:t>Abrogé</w:t>
            </w:r>
            <w:r w:rsidR="00210C67">
              <w:t xml:space="preserve">; </w:t>
            </w:r>
            <w:r>
              <w:t>redondant</w:t>
            </w:r>
          </w:p>
        </w:tc>
      </w:tr>
      <w:tr w:rsidR="004647DB" w:rsidRPr="003909DD" w14:paraId="7415AC76" w14:textId="77777777" w:rsidTr="00135DBE">
        <w:tc>
          <w:tcPr>
            <w:tcW w:w="6737" w:type="dxa"/>
            <w:shd w:val="clear" w:color="auto" w:fill="auto"/>
          </w:tcPr>
          <w:p w14:paraId="1E5912E4" w14:textId="5AFC8581" w:rsidR="004647DB" w:rsidRPr="00EE7072" w:rsidRDefault="00876ED1" w:rsidP="004F121F">
            <w:pPr>
              <w:widowControl/>
              <w:autoSpaceDE/>
              <w:autoSpaceDN/>
              <w:adjustRightInd/>
              <w:jc w:val="both"/>
              <w:rPr>
                <w:szCs w:val="17"/>
                <w:lang w:val="fr-FR"/>
              </w:rPr>
            </w:pPr>
            <w:r w:rsidRPr="00EE7072">
              <w:rPr>
                <w:i/>
                <w:iCs/>
                <w:szCs w:val="17"/>
                <w:lang w:val="fr-FR"/>
              </w:rPr>
              <w:t xml:space="preserve">Rappelant </w:t>
            </w:r>
            <w:r w:rsidRPr="00EE7072">
              <w:rPr>
                <w:szCs w:val="17"/>
                <w:lang w:val="fr-FR"/>
              </w:rPr>
              <w:t>la résolution 10.13 sur la Nomenclature normalisée des oiseaux figurant aux annexes de la CMS qui demande au Président du Conseil scientifique de se mettre en rapport avec les présidents des organes consultatifs scientifiques des conventions relatives à la biodiversité, les Secrétariats des AEM concernés et les organisations internationales pertinentes, incluant l’UICN, BirdLife International, Wetlands International et le PNUE-WCMC, dans le but d’évaluer la possibilité d’adopter une nomenclature et une taxonomie uniques pour les oiseaux, et d’informer le Conseil scientifique lors de sa dix-huitième réunion en vue de l’adoption d’une résolution appropriée à la COP11;</w:t>
            </w:r>
          </w:p>
        </w:tc>
        <w:tc>
          <w:tcPr>
            <w:tcW w:w="2336" w:type="dxa"/>
            <w:shd w:val="clear" w:color="auto" w:fill="auto"/>
          </w:tcPr>
          <w:p w14:paraId="481BDD13" w14:textId="0D7791B5" w:rsidR="004647DB" w:rsidRPr="00193B81" w:rsidRDefault="00B402A3" w:rsidP="0028030F">
            <w:pPr>
              <w:jc w:val="both"/>
              <w:rPr>
                <w:lang w:val="fr-FR"/>
              </w:rPr>
            </w:pPr>
            <w:r w:rsidRPr="00193B81">
              <w:rPr>
                <w:lang w:val="fr-FR"/>
              </w:rPr>
              <w:t>Résolution</w:t>
            </w:r>
            <w:r w:rsidR="004647DB" w:rsidRPr="00193B81">
              <w:rPr>
                <w:lang w:val="fr-FR"/>
              </w:rPr>
              <w:t xml:space="preserve"> 11.19</w:t>
            </w:r>
          </w:p>
          <w:p w14:paraId="6FFCF346" w14:textId="77777777" w:rsidR="004647DB" w:rsidRPr="00193B81" w:rsidRDefault="004647DB" w:rsidP="0028030F">
            <w:pPr>
              <w:jc w:val="both"/>
              <w:rPr>
                <w:lang w:val="fr-FR"/>
              </w:rPr>
            </w:pPr>
          </w:p>
          <w:p w14:paraId="560DA84F" w14:textId="62906C66" w:rsidR="004647DB" w:rsidRPr="002E16B9" w:rsidRDefault="00210C67" w:rsidP="0028030F">
            <w:pPr>
              <w:jc w:val="both"/>
              <w:rPr>
                <w:lang w:val="fr-FR"/>
              </w:rPr>
            </w:pPr>
            <w:r w:rsidRPr="002E16B9">
              <w:rPr>
                <w:lang w:val="fr-FR"/>
              </w:rPr>
              <w:t>Conserver</w:t>
            </w:r>
            <w:r w:rsidR="004647DB" w:rsidRPr="002E16B9">
              <w:rPr>
                <w:lang w:val="fr-FR"/>
              </w:rPr>
              <w:t xml:space="preserve"> (</w:t>
            </w:r>
            <w:r w:rsidR="002E16B9" w:rsidRPr="002E16B9">
              <w:rPr>
                <w:lang w:val="fr-FR"/>
              </w:rPr>
              <w:t xml:space="preserve">pourrait être abrogée car </w:t>
            </w:r>
            <w:r w:rsidR="002E16B9">
              <w:rPr>
                <w:lang w:val="fr-FR"/>
              </w:rPr>
              <w:t>caduque)</w:t>
            </w:r>
          </w:p>
          <w:p w14:paraId="64FEBD7B" w14:textId="77777777" w:rsidR="004647DB" w:rsidRPr="002E16B9" w:rsidRDefault="004647DB" w:rsidP="0028030F">
            <w:pPr>
              <w:jc w:val="both"/>
              <w:rPr>
                <w:lang w:val="fr-FR"/>
              </w:rPr>
            </w:pPr>
          </w:p>
          <w:p w14:paraId="5A3666E1" w14:textId="43EBFF9D" w:rsidR="004647DB" w:rsidRPr="002E16B9" w:rsidRDefault="004647DB" w:rsidP="0028030F">
            <w:pPr>
              <w:rPr>
                <w:lang w:val="fr-FR"/>
              </w:rPr>
            </w:pPr>
          </w:p>
        </w:tc>
      </w:tr>
      <w:tr w:rsidR="004647DB" w:rsidRPr="000749B4" w14:paraId="5AC03F18" w14:textId="77777777" w:rsidTr="00135DBE">
        <w:tc>
          <w:tcPr>
            <w:tcW w:w="6737" w:type="dxa"/>
            <w:shd w:val="clear" w:color="auto" w:fill="auto"/>
          </w:tcPr>
          <w:p w14:paraId="2D8C9C2F" w14:textId="1BF9253B" w:rsidR="004647DB" w:rsidRPr="00EE7072" w:rsidRDefault="000D4CDB" w:rsidP="004F121F">
            <w:pPr>
              <w:widowControl/>
              <w:autoSpaceDE/>
              <w:autoSpaceDN/>
              <w:adjustRightInd/>
              <w:jc w:val="both"/>
              <w:rPr>
                <w:szCs w:val="17"/>
                <w:lang w:val="fr-FR"/>
              </w:rPr>
            </w:pPr>
            <w:r w:rsidRPr="00EE7072">
              <w:rPr>
                <w:i/>
                <w:szCs w:val="17"/>
                <w:lang w:val="fr-FR"/>
              </w:rPr>
              <w:t>Rappelant</w:t>
            </w:r>
            <w:r w:rsidRPr="00EE7072">
              <w:rPr>
                <w:szCs w:val="17"/>
                <w:lang w:val="fr-FR"/>
              </w:rPr>
              <w:t xml:space="preserve"> que, dans la Résolution 3.1 (Genève, 1991) concernant l'inscription d'espèces aux</w:t>
            </w:r>
            <w:r w:rsidR="004F121F" w:rsidRPr="00EE7072">
              <w:rPr>
                <w:szCs w:val="17"/>
                <w:lang w:val="fr-FR"/>
              </w:rPr>
              <w:t xml:space="preserve"> </w:t>
            </w:r>
            <w:r w:rsidRPr="00EE7072">
              <w:rPr>
                <w:szCs w:val="17"/>
                <w:lang w:val="fr-FR"/>
              </w:rPr>
              <w:t>annexes de la Convention, la Conférence des Parties a décidé que tout autre ajout aux Annexes de la</w:t>
            </w:r>
            <w:r w:rsidR="004F121F" w:rsidRPr="00EE7072">
              <w:rPr>
                <w:szCs w:val="17"/>
                <w:lang w:val="fr-FR"/>
              </w:rPr>
              <w:t xml:space="preserve"> </w:t>
            </w:r>
            <w:r w:rsidRPr="00EE7072">
              <w:rPr>
                <w:szCs w:val="17"/>
                <w:lang w:val="fr-FR"/>
              </w:rPr>
              <w:t>Convention devrait être limité aux espèces ou taxons inférieurs et que les espèces migratrices couvertes</w:t>
            </w:r>
            <w:r w:rsidR="004F121F" w:rsidRPr="00EE7072">
              <w:rPr>
                <w:szCs w:val="17"/>
                <w:lang w:val="fr-FR"/>
              </w:rPr>
              <w:t xml:space="preserve"> </w:t>
            </w:r>
            <w:r w:rsidRPr="00EE7072">
              <w:rPr>
                <w:szCs w:val="17"/>
                <w:lang w:val="fr-FR"/>
              </w:rPr>
              <w:t>par les listes de taxons supérieurs déjà inscrites à l'Annexe II n'ont besoin que d'être identifiées lorsque</w:t>
            </w:r>
            <w:r w:rsidR="004F121F" w:rsidRPr="00EE7072">
              <w:rPr>
                <w:szCs w:val="17"/>
                <w:lang w:val="fr-FR"/>
              </w:rPr>
              <w:t xml:space="preserve"> </w:t>
            </w:r>
            <w:r w:rsidRPr="00EE7072">
              <w:rPr>
                <w:szCs w:val="17"/>
                <w:lang w:val="fr-FR"/>
              </w:rPr>
              <w:t>des accords sont préparés,</w:t>
            </w:r>
          </w:p>
        </w:tc>
        <w:tc>
          <w:tcPr>
            <w:tcW w:w="2336" w:type="dxa"/>
            <w:shd w:val="clear" w:color="auto" w:fill="auto"/>
          </w:tcPr>
          <w:p w14:paraId="1BB80F46" w14:textId="4FF06B41" w:rsidR="004647DB" w:rsidRPr="000749B4" w:rsidRDefault="00B402A3" w:rsidP="0028030F">
            <w:pPr>
              <w:jc w:val="both"/>
            </w:pPr>
            <w:r>
              <w:t>Recommandation</w:t>
            </w:r>
            <w:r w:rsidR="004647DB" w:rsidRPr="000749B4">
              <w:t xml:space="preserve"> 6.1</w:t>
            </w:r>
          </w:p>
          <w:p w14:paraId="7F2EA001" w14:textId="77777777" w:rsidR="004647DB" w:rsidRPr="000749B4" w:rsidRDefault="004647DB" w:rsidP="0028030F">
            <w:pPr>
              <w:jc w:val="both"/>
            </w:pPr>
          </w:p>
          <w:p w14:paraId="065089B9" w14:textId="548D7FCD" w:rsidR="004647DB" w:rsidRPr="000749B4" w:rsidRDefault="00210C67" w:rsidP="0028030F">
            <w:r>
              <w:t>Conserver</w:t>
            </w:r>
          </w:p>
        </w:tc>
      </w:tr>
      <w:tr w:rsidR="004647DB" w:rsidRPr="000749B4" w14:paraId="59394045" w14:textId="77777777" w:rsidTr="00135DBE">
        <w:tc>
          <w:tcPr>
            <w:tcW w:w="6737" w:type="dxa"/>
            <w:shd w:val="clear" w:color="auto" w:fill="auto"/>
          </w:tcPr>
          <w:p w14:paraId="38580050" w14:textId="4015F8EA" w:rsidR="004647DB" w:rsidRPr="00EE7072" w:rsidRDefault="0028030F" w:rsidP="004F121F">
            <w:pPr>
              <w:widowControl/>
              <w:autoSpaceDE/>
              <w:autoSpaceDN/>
              <w:adjustRightInd/>
              <w:jc w:val="both"/>
              <w:rPr>
                <w:szCs w:val="17"/>
                <w:lang w:val="fr-FR"/>
              </w:rPr>
            </w:pPr>
            <w:r w:rsidRPr="00EE7072">
              <w:rPr>
                <w:i/>
                <w:iCs/>
                <w:szCs w:val="17"/>
                <w:lang w:val="fr-FR"/>
              </w:rPr>
              <w:t xml:space="preserve">Notant </w:t>
            </w:r>
            <w:r w:rsidRPr="00EE7072">
              <w:rPr>
                <w:szCs w:val="17"/>
                <w:lang w:val="fr-FR"/>
              </w:rPr>
              <w:t>que la taxonomie et la nomenclature biologiques sont dynamiques; </w:t>
            </w:r>
          </w:p>
        </w:tc>
        <w:tc>
          <w:tcPr>
            <w:tcW w:w="2336" w:type="dxa"/>
            <w:shd w:val="clear" w:color="auto" w:fill="auto"/>
          </w:tcPr>
          <w:p w14:paraId="0C4003DE" w14:textId="6B2EB932" w:rsidR="004647DB" w:rsidRPr="000749B4" w:rsidRDefault="00B402A3" w:rsidP="0028030F">
            <w:pPr>
              <w:jc w:val="both"/>
            </w:pPr>
            <w:r>
              <w:t>Résolution</w:t>
            </w:r>
            <w:r w:rsidR="004647DB" w:rsidRPr="000749B4">
              <w:t xml:space="preserve"> 10.13</w:t>
            </w:r>
          </w:p>
          <w:p w14:paraId="0EE12455" w14:textId="77777777" w:rsidR="004647DB" w:rsidRPr="000749B4" w:rsidRDefault="004647DB" w:rsidP="0028030F">
            <w:pPr>
              <w:jc w:val="both"/>
            </w:pPr>
          </w:p>
          <w:p w14:paraId="2310DE9F" w14:textId="0FA20B23" w:rsidR="004647DB" w:rsidRPr="000749B4" w:rsidRDefault="00210C67" w:rsidP="0028030F">
            <w:r>
              <w:t>Conserver</w:t>
            </w:r>
          </w:p>
        </w:tc>
      </w:tr>
      <w:tr w:rsidR="004647DB" w:rsidRPr="000749B4" w14:paraId="0675C475" w14:textId="77777777" w:rsidTr="00135DBE">
        <w:tc>
          <w:tcPr>
            <w:tcW w:w="6737" w:type="dxa"/>
            <w:shd w:val="clear" w:color="auto" w:fill="auto"/>
          </w:tcPr>
          <w:p w14:paraId="2AA1594C" w14:textId="17015895" w:rsidR="004647DB" w:rsidRPr="00EE7072" w:rsidRDefault="00632540" w:rsidP="004F121F">
            <w:pPr>
              <w:widowControl/>
              <w:autoSpaceDE/>
              <w:autoSpaceDN/>
              <w:adjustRightInd/>
              <w:jc w:val="both"/>
              <w:rPr>
                <w:strike/>
                <w:szCs w:val="17"/>
                <w:lang w:val="fr-FR"/>
              </w:rPr>
            </w:pPr>
            <w:r w:rsidRPr="00EE7072">
              <w:rPr>
                <w:i/>
                <w:iCs/>
                <w:strike/>
                <w:szCs w:val="17"/>
                <w:lang w:val="fr-FR"/>
              </w:rPr>
              <w:t xml:space="preserve">Notant </w:t>
            </w:r>
            <w:r w:rsidR="00074DA7" w:rsidRPr="00EE7072">
              <w:rPr>
                <w:strike/>
                <w:szCs w:val="17"/>
                <w:lang w:val="fr-FR"/>
              </w:rPr>
              <w:t>que la nomenclature biologique est dynamique;</w:t>
            </w:r>
          </w:p>
        </w:tc>
        <w:tc>
          <w:tcPr>
            <w:tcW w:w="2336" w:type="dxa"/>
            <w:shd w:val="clear" w:color="auto" w:fill="auto"/>
          </w:tcPr>
          <w:p w14:paraId="7D6B1C0E" w14:textId="66601C37" w:rsidR="004647DB" w:rsidRPr="000749B4" w:rsidRDefault="00B402A3" w:rsidP="0028030F">
            <w:pPr>
              <w:jc w:val="both"/>
            </w:pPr>
            <w:r>
              <w:t>Recommandation</w:t>
            </w:r>
            <w:r w:rsidR="004647DB" w:rsidRPr="000749B4">
              <w:t xml:space="preserve"> 9.4</w:t>
            </w:r>
          </w:p>
          <w:p w14:paraId="1120309C" w14:textId="77777777" w:rsidR="004647DB" w:rsidRPr="000749B4" w:rsidRDefault="004647DB" w:rsidP="0028030F">
            <w:pPr>
              <w:jc w:val="both"/>
            </w:pPr>
          </w:p>
          <w:p w14:paraId="0AEB7860" w14:textId="1B3F679C" w:rsidR="004647DB" w:rsidRPr="000749B4" w:rsidRDefault="00887584" w:rsidP="0028030F">
            <w:r>
              <w:t>Abrogé, redondant</w:t>
            </w:r>
          </w:p>
        </w:tc>
      </w:tr>
      <w:tr w:rsidR="004647DB" w:rsidRPr="000749B4" w14:paraId="0D5B8FBA" w14:textId="77777777" w:rsidTr="00135DBE">
        <w:tc>
          <w:tcPr>
            <w:tcW w:w="6737" w:type="dxa"/>
            <w:shd w:val="clear" w:color="auto" w:fill="auto"/>
          </w:tcPr>
          <w:p w14:paraId="5CE173D6" w14:textId="2AA18ECB" w:rsidR="000D4CDB" w:rsidRPr="00EE7072" w:rsidRDefault="00632540" w:rsidP="004F121F">
            <w:pPr>
              <w:widowControl/>
              <w:autoSpaceDE/>
              <w:autoSpaceDN/>
              <w:adjustRightInd/>
              <w:jc w:val="both"/>
              <w:rPr>
                <w:strike/>
                <w:szCs w:val="17"/>
                <w:lang w:val="fr-FR"/>
              </w:rPr>
            </w:pPr>
            <w:r w:rsidRPr="00EE7072">
              <w:rPr>
                <w:i/>
                <w:iCs/>
                <w:strike/>
                <w:szCs w:val="17"/>
                <w:lang w:val="fr-FR"/>
              </w:rPr>
              <w:t xml:space="preserve">Notant </w:t>
            </w:r>
            <w:r w:rsidR="000D4CDB" w:rsidRPr="00EE7072">
              <w:rPr>
                <w:strike/>
                <w:szCs w:val="17"/>
                <w:lang w:val="fr-FR"/>
              </w:rPr>
              <w:t>que la nomenclature biologique est dynamique; et</w:t>
            </w:r>
          </w:p>
          <w:p w14:paraId="1FCE5F2D" w14:textId="3C1B5A94" w:rsidR="004647DB" w:rsidRPr="00EE7072" w:rsidRDefault="004647DB" w:rsidP="004F121F">
            <w:pPr>
              <w:widowControl/>
              <w:autoSpaceDE/>
              <w:autoSpaceDN/>
              <w:adjustRightInd/>
              <w:jc w:val="both"/>
              <w:rPr>
                <w:strike/>
                <w:szCs w:val="17"/>
                <w:lang w:val="fr-FR"/>
              </w:rPr>
            </w:pPr>
          </w:p>
        </w:tc>
        <w:tc>
          <w:tcPr>
            <w:tcW w:w="2336" w:type="dxa"/>
            <w:shd w:val="clear" w:color="auto" w:fill="auto"/>
          </w:tcPr>
          <w:p w14:paraId="5BA14C06" w14:textId="4DA97DBA" w:rsidR="004647DB" w:rsidRPr="000749B4" w:rsidRDefault="00B402A3" w:rsidP="0028030F">
            <w:pPr>
              <w:jc w:val="both"/>
            </w:pPr>
            <w:r>
              <w:t>Recommandation</w:t>
            </w:r>
            <w:r w:rsidR="004647DB" w:rsidRPr="000749B4">
              <w:t xml:space="preserve"> 6.1</w:t>
            </w:r>
          </w:p>
          <w:p w14:paraId="55EE57F9" w14:textId="77777777" w:rsidR="004647DB" w:rsidRPr="000749B4" w:rsidRDefault="004647DB" w:rsidP="0028030F">
            <w:pPr>
              <w:jc w:val="both"/>
            </w:pPr>
          </w:p>
          <w:p w14:paraId="4B260A07" w14:textId="061029A6" w:rsidR="004647DB" w:rsidRPr="000749B4" w:rsidRDefault="00887584" w:rsidP="00135DBE">
            <w:r>
              <w:t>Abrogé, redondant</w:t>
            </w:r>
          </w:p>
        </w:tc>
      </w:tr>
      <w:tr w:rsidR="004647DB" w:rsidRPr="000749B4" w14:paraId="3F02CC90" w14:textId="77777777" w:rsidTr="00135DBE">
        <w:tc>
          <w:tcPr>
            <w:tcW w:w="6737" w:type="dxa"/>
            <w:shd w:val="clear" w:color="auto" w:fill="auto"/>
          </w:tcPr>
          <w:p w14:paraId="5F802962" w14:textId="3DC3DA30" w:rsidR="004647DB" w:rsidRPr="00EE7072" w:rsidRDefault="00876ED1" w:rsidP="004F121F">
            <w:pPr>
              <w:widowControl/>
              <w:autoSpaceDE/>
              <w:autoSpaceDN/>
              <w:adjustRightInd/>
              <w:jc w:val="both"/>
              <w:rPr>
                <w:szCs w:val="17"/>
                <w:lang w:val="fr-FR"/>
              </w:rPr>
            </w:pPr>
            <w:r w:rsidRPr="00EE7072">
              <w:rPr>
                <w:i/>
                <w:iCs/>
                <w:szCs w:val="17"/>
                <w:lang w:val="fr-FR"/>
              </w:rPr>
              <w:t xml:space="preserve">Consciente </w:t>
            </w:r>
            <w:r w:rsidRPr="00EE7072">
              <w:rPr>
                <w:szCs w:val="17"/>
                <w:lang w:val="fr-FR"/>
              </w:rPr>
              <w:t>que les efforts internationaux pour prendre des mesures cohérentes afin de conserver et utiliser durablement la diversité biologique au niveau des espèces peuvent être considérablement entravés s’il n’y a pas de compréhension commune au sujet des animaux ou des plantes correspondant à chaque nom d’espèce, et que ce manque de compréhension peut poser des problèmes particuliers pour des activités telles que la mise en oeuvre des conventions ayant potentiellement des implications juridiques </w:t>
            </w:r>
          </w:p>
        </w:tc>
        <w:tc>
          <w:tcPr>
            <w:tcW w:w="2336" w:type="dxa"/>
            <w:shd w:val="clear" w:color="auto" w:fill="auto"/>
          </w:tcPr>
          <w:p w14:paraId="45CB27B4" w14:textId="283A5DB2" w:rsidR="004647DB" w:rsidRPr="000749B4" w:rsidRDefault="00B402A3" w:rsidP="0028030F">
            <w:pPr>
              <w:jc w:val="both"/>
            </w:pPr>
            <w:r>
              <w:t>Résolution</w:t>
            </w:r>
            <w:r w:rsidR="004647DB" w:rsidRPr="000749B4">
              <w:t xml:space="preserve"> 11.19</w:t>
            </w:r>
          </w:p>
          <w:p w14:paraId="1DBF04C0" w14:textId="77777777" w:rsidR="004647DB" w:rsidRPr="000749B4" w:rsidRDefault="004647DB" w:rsidP="0028030F">
            <w:pPr>
              <w:jc w:val="both"/>
            </w:pPr>
          </w:p>
          <w:p w14:paraId="52C086DE" w14:textId="3B3FEF8C" w:rsidR="004647DB" w:rsidRPr="000749B4" w:rsidRDefault="00210C67" w:rsidP="0028030F">
            <w:r>
              <w:t>Conserver</w:t>
            </w:r>
          </w:p>
        </w:tc>
      </w:tr>
      <w:tr w:rsidR="004647DB" w:rsidRPr="000749B4" w14:paraId="08764DB2" w14:textId="77777777" w:rsidTr="00135DBE">
        <w:tc>
          <w:tcPr>
            <w:tcW w:w="6737" w:type="dxa"/>
            <w:shd w:val="clear" w:color="auto" w:fill="auto"/>
          </w:tcPr>
          <w:p w14:paraId="33FBD788" w14:textId="29AFF976" w:rsidR="004647DB" w:rsidRPr="00EE7072" w:rsidRDefault="0028030F" w:rsidP="004F121F">
            <w:pPr>
              <w:widowControl/>
              <w:autoSpaceDE/>
              <w:autoSpaceDN/>
              <w:adjustRightInd/>
              <w:jc w:val="both"/>
              <w:rPr>
                <w:strike/>
                <w:szCs w:val="17"/>
                <w:lang w:val="fr-FR"/>
              </w:rPr>
            </w:pPr>
            <w:r w:rsidRPr="00EE7072">
              <w:rPr>
                <w:i/>
                <w:iCs/>
                <w:strike/>
                <w:szCs w:val="17"/>
                <w:lang w:val="fr-FR"/>
              </w:rPr>
              <w:lastRenderedPageBreak/>
              <w:t xml:space="preserve">Conscient </w:t>
            </w:r>
            <w:r w:rsidRPr="00EE7072">
              <w:rPr>
                <w:strike/>
                <w:szCs w:val="17"/>
                <w:lang w:val="fr-FR"/>
              </w:rPr>
              <w:t>du fait que les efforts internationaux pour prendre des mesures cohérentes afin de conserver et utiliser durablement la biodiversité au niveau des espèces peuvent être considérablement entravés en l’absence d’une entente commune, quant à savoir sous quel nom spécifique d’espèce figure tel animal ou telle plante, et que cela peut représenter un défi particulier pour des activités telles que la mise en oeuvre de conventions ayant des implications juridiques; </w:t>
            </w:r>
          </w:p>
        </w:tc>
        <w:tc>
          <w:tcPr>
            <w:tcW w:w="2336" w:type="dxa"/>
            <w:shd w:val="clear" w:color="auto" w:fill="auto"/>
          </w:tcPr>
          <w:p w14:paraId="016EB4B1" w14:textId="621604FD" w:rsidR="004647DB" w:rsidRPr="000749B4" w:rsidRDefault="00B402A3" w:rsidP="0028030F">
            <w:pPr>
              <w:jc w:val="both"/>
            </w:pPr>
            <w:r>
              <w:t>Résolution</w:t>
            </w:r>
            <w:r w:rsidR="004647DB" w:rsidRPr="000749B4">
              <w:t xml:space="preserve"> 10.13</w:t>
            </w:r>
          </w:p>
          <w:p w14:paraId="0F168C65" w14:textId="77777777" w:rsidR="004647DB" w:rsidRPr="000749B4" w:rsidRDefault="004647DB" w:rsidP="0028030F">
            <w:pPr>
              <w:jc w:val="both"/>
            </w:pPr>
          </w:p>
          <w:p w14:paraId="5F883C18" w14:textId="5DEE9999" w:rsidR="004647DB" w:rsidRPr="000749B4" w:rsidRDefault="00887584" w:rsidP="00135DBE">
            <w:r>
              <w:t>Abrogé, redondant</w:t>
            </w:r>
          </w:p>
        </w:tc>
      </w:tr>
      <w:tr w:rsidR="004647DB" w:rsidRPr="000749B4" w14:paraId="7DA7AE7D" w14:textId="77777777" w:rsidTr="00135DBE">
        <w:tc>
          <w:tcPr>
            <w:tcW w:w="6737" w:type="dxa"/>
            <w:shd w:val="clear" w:color="auto" w:fill="auto"/>
          </w:tcPr>
          <w:p w14:paraId="3F70755A" w14:textId="5F01F995" w:rsidR="004647DB" w:rsidRPr="00EE7072" w:rsidRDefault="0028030F" w:rsidP="004F121F">
            <w:pPr>
              <w:widowControl/>
              <w:autoSpaceDE/>
              <w:autoSpaceDN/>
              <w:adjustRightInd/>
              <w:jc w:val="both"/>
              <w:rPr>
                <w:szCs w:val="17"/>
                <w:lang w:val="fr-FR"/>
              </w:rPr>
            </w:pPr>
            <w:r w:rsidRPr="00EE7072">
              <w:rPr>
                <w:i/>
                <w:iCs/>
                <w:szCs w:val="17"/>
                <w:lang w:val="fr-FR"/>
              </w:rPr>
              <w:t xml:space="preserve">Reconnaissant </w:t>
            </w:r>
            <w:r w:rsidRPr="00EE7072">
              <w:rPr>
                <w:szCs w:val="17"/>
                <w:lang w:val="fr-FR"/>
              </w:rPr>
              <w:t>que lors de la 4</w:t>
            </w:r>
            <w:r w:rsidRPr="00EE7072">
              <w:rPr>
                <w:szCs w:val="12"/>
                <w:lang w:val="fr-FR"/>
              </w:rPr>
              <w:t xml:space="preserve">ème </w:t>
            </w:r>
            <w:r w:rsidRPr="00EE7072">
              <w:rPr>
                <w:szCs w:val="17"/>
                <w:lang w:val="fr-FR"/>
              </w:rPr>
              <w:t>réunion des présidents des organismes scientifiques consultatifs (Chairs of the Scientific Advisory Bodies - CSAB) des Conventions liées à la biodiversité (Gland, Suisse, le 13 février 2011), le CSAB a approuvé l’idée de s’orienter vers une harmonisation de la nomenclature et de la taxonomie au niveau des listes d’espèces utilisées par les différentes conventions apparentées à la biodiversité et a salué le processus d’harmonisation entrepris par la CITES et la CMS. </w:t>
            </w:r>
          </w:p>
        </w:tc>
        <w:tc>
          <w:tcPr>
            <w:tcW w:w="2336" w:type="dxa"/>
            <w:shd w:val="clear" w:color="auto" w:fill="auto"/>
          </w:tcPr>
          <w:p w14:paraId="0BBB6DFE" w14:textId="46424CFD" w:rsidR="004647DB" w:rsidRPr="000749B4" w:rsidRDefault="00B402A3" w:rsidP="0028030F">
            <w:pPr>
              <w:jc w:val="both"/>
            </w:pPr>
            <w:r>
              <w:t>Résolution</w:t>
            </w:r>
            <w:r w:rsidR="004647DB" w:rsidRPr="000749B4">
              <w:t xml:space="preserve"> 10.13</w:t>
            </w:r>
          </w:p>
          <w:p w14:paraId="307755B5" w14:textId="77777777" w:rsidR="004647DB" w:rsidRPr="000749B4" w:rsidRDefault="004647DB" w:rsidP="0028030F">
            <w:pPr>
              <w:jc w:val="both"/>
            </w:pPr>
          </w:p>
          <w:p w14:paraId="5852DAFB" w14:textId="03928698" w:rsidR="004647DB" w:rsidRPr="000749B4" w:rsidRDefault="00210C67" w:rsidP="0028030F">
            <w:r>
              <w:t>Conserver</w:t>
            </w:r>
          </w:p>
        </w:tc>
      </w:tr>
      <w:tr w:rsidR="004647DB" w:rsidRPr="000749B4" w14:paraId="6242FBAC" w14:textId="77777777" w:rsidTr="00135DBE">
        <w:tc>
          <w:tcPr>
            <w:tcW w:w="6737" w:type="dxa"/>
            <w:shd w:val="clear" w:color="auto" w:fill="auto"/>
          </w:tcPr>
          <w:p w14:paraId="4F37F764" w14:textId="69D0C189" w:rsidR="004647DB" w:rsidRPr="00EE7072" w:rsidRDefault="0028030F" w:rsidP="004F121F">
            <w:pPr>
              <w:widowControl/>
              <w:autoSpaceDE/>
              <w:autoSpaceDN/>
              <w:adjustRightInd/>
              <w:jc w:val="both"/>
              <w:rPr>
                <w:szCs w:val="17"/>
                <w:lang w:val="fr-FR"/>
              </w:rPr>
            </w:pPr>
            <w:r w:rsidRPr="00EE7072">
              <w:rPr>
                <w:i/>
                <w:iCs/>
                <w:szCs w:val="17"/>
                <w:lang w:val="fr-FR"/>
              </w:rPr>
              <w:t xml:space="preserve">Reconnaissant </w:t>
            </w:r>
            <w:r w:rsidRPr="00EE7072">
              <w:rPr>
                <w:szCs w:val="17"/>
                <w:lang w:val="fr-FR"/>
              </w:rPr>
              <w:t>qu’afin de renforcer l'effort global consistant à répondre aux objectifs de biodiversité Aichi (Aichi Biodiversity Targets) en vue de réduire les pertes de biodiversité en 2020, il faudrait tenter d’assurer une plus grande harmonisation entre les différents accords environnementaux, multilatéraux, portant sur la biodiversité dans le domaine de la taxonomie et de la nomenclature ; </w:t>
            </w:r>
          </w:p>
        </w:tc>
        <w:tc>
          <w:tcPr>
            <w:tcW w:w="2336" w:type="dxa"/>
            <w:shd w:val="clear" w:color="auto" w:fill="auto"/>
          </w:tcPr>
          <w:p w14:paraId="786B3DE6" w14:textId="587391DE" w:rsidR="004647DB" w:rsidRPr="000749B4" w:rsidRDefault="00B402A3" w:rsidP="0028030F">
            <w:pPr>
              <w:jc w:val="both"/>
            </w:pPr>
            <w:r>
              <w:t>Résolution</w:t>
            </w:r>
            <w:r w:rsidR="004647DB" w:rsidRPr="000749B4">
              <w:t xml:space="preserve"> 10.13</w:t>
            </w:r>
          </w:p>
          <w:p w14:paraId="4532985D" w14:textId="77777777" w:rsidR="004647DB" w:rsidRPr="000749B4" w:rsidRDefault="004647DB" w:rsidP="0028030F">
            <w:pPr>
              <w:jc w:val="both"/>
            </w:pPr>
          </w:p>
          <w:p w14:paraId="311A8A93" w14:textId="3022E635" w:rsidR="004647DB" w:rsidRPr="000749B4" w:rsidRDefault="00210C67" w:rsidP="0028030F">
            <w:r>
              <w:t>Conserver</w:t>
            </w:r>
          </w:p>
        </w:tc>
      </w:tr>
      <w:tr w:rsidR="004647DB" w:rsidRPr="003909DD" w14:paraId="6D9317DA" w14:textId="77777777" w:rsidTr="00135DBE">
        <w:tc>
          <w:tcPr>
            <w:tcW w:w="6737" w:type="dxa"/>
            <w:shd w:val="clear" w:color="auto" w:fill="auto"/>
          </w:tcPr>
          <w:p w14:paraId="63031754" w14:textId="2076237D" w:rsidR="004647DB" w:rsidRPr="00EE7072" w:rsidRDefault="00074DA7" w:rsidP="00632540">
            <w:pPr>
              <w:widowControl/>
              <w:autoSpaceDE/>
              <w:autoSpaceDN/>
              <w:adjustRightInd/>
              <w:jc w:val="both"/>
              <w:rPr>
                <w:strike/>
                <w:szCs w:val="17"/>
                <w:lang w:val="fr-FR"/>
              </w:rPr>
            </w:pPr>
            <w:r w:rsidRPr="00EE7072">
              <w:rPr>
                <w:i/>
                <w:strike/>
                <w:szCs w:val="17"/>
                <w:lang w:val="fr-FR"/>
              </w:rPr>
              <w:t>Reconnaissant</w:t>
            </w:r>
            <w:r w:rsidRPr="00EE7072">
              <w:rPr>
                <w:strike/>
                <w:szCs w:val="17"/>
                <w:lang w:val="fr-FR"/>
              </w:rPr>
              <w:t xml:space="preserve"> que la 14éme session de la Conférence des Parties de la Convention sur le</w:t>
            </w:r>
            <w:r w:rsidR="00632540" w:rsidRPr="00EE7072">
              <w:rPr>
                <w:strike/>
                <w:szCs w:val="17"/>
                <w:lang w:val="fr-FR"/>
              </w:rPr>
              <w:t xml:space="preserve"> </w:t>
            </w:r>
            <w:r w:rsidRPr="00EE7072">
              <w:rPr>
                <w:strike/>
                <w:szCs w:val="17"/>
                <w:lang w:val="fr-FR"/>
              </w:rPr>
              <w:t>commerce international des espèces de faune et de flore sauvages menacées d’extinction (CITES)</w:t>
            </w:r>
            <w:r w:rsidR="00632540" w:rsidRPr="00EE7072">
              <w:rPr>
                <w:strike/>
                <w:szCs w:val="17"/>
                <w:lang w:val="fr-FR"/>
              </w:rPr>
              <w:t xml:space="preserve"> </w:t>
            </w:r>
            <w:r w:rsidRPr="00EE7072">
              <w:rPr>
                <w:strike/>
                <w:szCs w:val="17"/>
                <w:lang w:val="fr-FR"/>
              </w:rPr>
              <w:t>(La Haye, Juin 2007) a noté que, dans le but de renforcer l'effort mondial visant à satisfaire l’objectif</w:t>
            </w:r>
            <w:r w:rsidR="00632540" w:rsidRPr="00EE7072">
              <w:rPr>
                <w:strike/>
                <w:szCs w:val="17"/>
                <w:lang w:val="fr-FR"/>
              </w:rPr>
              <w:t xml:space="preserve"> </w:t>
            </w:r>
            <w:r w:rsidRPr="00EE7072">
              <w:rPr>
                <w:strike/>
                <w:szCs w:val="17"/>
                <w:lang w:val="fr-FR"/>
              </w:rPr>
              <w:t>du Sommet Mondial sur le Développement Durable de réduire sensiblement le taux de perte de</w:t>
            </w:r>
            <w:r w:rsidR="00632540" w:rsidRPr="00EE7072">
              <w:rPr>
                <w:strike/>
                <w:szCs w:val="17"/>
                <w:lang w:val="fr-FR"/>
              </w:rPr>
              <w:t xml:space="preserve"> </w:t>
            </w:r>
            <w:r w:rsidRPr="00EE7072">
              <w:rPr>
                <w:strike/>
                <w:szCs w:val="17"/>
                <w:lang w:val="fr-FR"/>
              </w:rPr>
              <w:t>biodiversité d'ici à 2010, il serait judicieux d'essayer d'assurer une plus grande harmonisation entre</w:t>
            </w:r>
            <w:r w:rsidR="00632540" w:rsidRPr="00EE7072">
              <w:rPr>
                <w:strike/>
                <w:szCs w:val="17"/>
                <w:lang w:val="fr-FR"/>
              </w:rPr>
              <w:t xml:space="preserve"> </w:t>
            </w:r>
            <w:r w:rsidRPr="00EE7072">
              <w:rPr>
                <w:strike/>
                <w:szCs w:val="17"/>
                <w:lang w:val="fr-FR"/>
              </w:rPr>
              <w:t>accords multilatéraux sur l'environnement relative à la diversité biologique dans le domaine de la</w:t>
            </w:r>
            <w:r w:rsidR="00632540" w:rsidRPr="00EE7072">
              <w:rPr>
                <w:strike/>
                <w:szCs w:val="17"/>
                <w:lang w:val="fr-FR"/>
              </w:rPr>
              <w:t xml:space="preserve"> </w:t>
            </w:r>
            <w:r w:rsidRPr="00EE7072">
              <w:rPr>
                <w:strike/>
                <w:szCs w:val="17"/>
                <w:lang w:val="fr-FR"/>
              </w:rPr>
              <w:t>taxonomie et la nomenclature, compte tenu du fait que les accords multilatéraux sur l'environnement</w:t>
            </w:r>
            <w:r w:rsidR="00632540" w:rsidRPr="00EE7072">
              <w:rPr>
                <w:strike/>
                <w:szCs w:val="17"/>
                <w:lang w:val="fr-FR"/>
              </w:rPr>
              <w:t xml:space="preserve"> </w:t>
            </w:r>
            <w:r w:rsidRPr="00EE7072">
              <w:rPr>
                <w:strike/>
                <w:szCs w:val="17"/>
                <w:lang w:val="fr-FR"/>
              </w:rPr>
              <w:t>relatifs à la diversité biologique fonctionnent sur la base d'une certaine stabilité dans l'emploi des</w:t>
            </w:r>
            <w:r w:rsidR="00632540" w:rsidRPr="00EE7072">
              <w:rPr>
                <w:strike/>
                <w:szCs w:val="17"/>
                <w:lang w:val="fr-FR"/>
              </w:rPr>
              <w:t xml:space="preserve"> </w:t>
            </w:r>
            <w:r w:rsidRPr="00EE7072">
              <w:rPr>
                <w:strike/>
                <w:szCs w:val="17"/>
                <w:lang w:val="fr-FR"/>
              </w:rPr>
              <w:t>noms, notamment parce que l'application de la législation qui se sert de ces noms n'est souvent pas</w:t>
            </w:r>
            <w:r w:rsidR="00632540" w:rsidRPr="00EE7072">
              <w:rPr>
                <w:strike/>
                <w:szCs w:val="17"/>
                <w:lang w:val="fr-FR"/>
              </w:rPr>
              <w:t xml:space="preserve"> </w:t>
            </w:r>
            <w:r w:rsidRPr="00EE7072">
              <w:rPr>
                <w:strike/>
                <w:szCs w:val="17"/>
                <w:lang w:val="fr-FR"/>
              </w:rPr>
              <w:t>facile à changer;</w:t>
            </w:r>
          </w:p>
        </w:tc>
        <w:tc>
          <w:tcPr>
            <w:tcW w:w="2336" w:type="dxa"/>
            <w:shd w:val="clear" w:color="auto" w:fill="auto"/>
          </w:tcPr>
          <w:p w14:paraId="07368B50" w14:textId="647773C5" w:rsidR="004647DB" w:rsidRPr="00887584" w:rsidRDefault="00B402A3" w:rsidP="0028030F">
            <w:pPr>
              <w:jc w:val="both"/>
              <w:rPr>
                <w:lang w:val="fr-FR"/>
              </w:rPr>
            </w:pPr>
            <w:r w:rsidRPr="00887584">
              <w:rPr>
                <w:lang w:val="fr-FR"/>
              </w:rPr>
              <w:t>Recommandation</w:t>
            </w:r>
            <w:r w:rsidR="004647DB" w:rsidRPr="00887584">
              <w:rPr>
                <w:lang w:val="fr-FR"/>
              </w:rPr>
              <w:t xml:space="preserve"> 9.4</w:t>
            </w:r>
          </w:p>
          <w:p w14:paraId="528B4292" w14:textId="77777777" w:rsidR="004647DB" w:rsidRPr="00887584" w:rsidRDefault="004647DB" w:rsidP="0028030F">
            <w:pPr>
              <w:jc w:val="both"/>
              <w:rPr>
                <w:lang w:val="fr-FR"/>
              </w:rPr>
            </w:pPr>
          </w:p>
          <w:p w14:paraId="08A2EE0D" w14:textId="5FD1285F" w:rsidR="004647DB" w:rsidRPr="00887584" w:rsidRDefault="00887584" w:rsidP="00135DBE">
            <w:pPr>
              <w:rPr>
                <w:lang w:val="fr-FR"/>
              </w:rPr>
            </w:pPr>
            <w:r w:rsidRPr="00887584">
              <w:rPr>
                <w:lang w:val="fr-FR"/>
              </w:rPr>
              <w:t>Abrogé, redondant et caduque</w:t>
            </w:r>
          </w:p>
        </w:tc>
      </w:tr>
      <w:tr w:rsidR="004647DB" w:rsidRPr="003909DD" w14:paraId="0DC15BA6" w14:textId="77777777" w:rsidTr="00135DBE">
        <w:tc>
          <w:tcPr>
            <w:tcW w:w="6737" w:type="dxa"/>
            <w:shd w:val="clear" w:color="auto" w:fill="auto"/>
          </w:tcPr>
          <w:p w14:paraId="4AD374D6" w14:textId="4EF31B9C" w:rsidR="004647DB" w:rsidRPr="00EE7072" w:rsidRDefault="007A4206" w:rsidP="004F121F">
            <w:pPr>
              <w:widowControl/>
              <w:autoSpaceDE/>
              <w:autoSpaceDN/>
              <w:adjustRightInd/>
              <w:jc w:val="both"/>
              <w:rPr>
                <w:szCs w:val="17"/>
                <w:lang w:val="fr-FR"/>
              </w:rPr>
            </w:pPr>
            <w:r w:rsidRPr="00EE7072">
              <w:rPr>
                <w:i/>
                <w:iCs/>
                <w:szCs w:val="17"/>
                <w:lang w:val="fr-FR"/>
              </w:rPr>
              <w:t xml:space="preserve">Notant par ailleurs </w:t>
            </w:r>
            <w:r w:rsidRPr="00EE7072">
              <w:rPr>
                <w:szCs w:val="17"/>
                <w:lang w:val="fr-FR"/>
              </w:rPr>
              <w:t xml:space="preserve">qu’une telle harmonisation est devenue d’autant plus indispensable que sur </w:t>
            </w:r>
            <w:r w:rsidRPr="00EE7072">
              <w:rPr>
                <w:strike/>
                <w:szCs w:val="17"/>
                <w:lang w:val="fr-FR"/>
              </w:rPr>
              <w:t>116</w:t>
            </w:r>
            <w:r w:rsidRPr="00EE7072">
              <w:rPr>
                <w:szCs w:val="17"/>
                <w:lang w:val="fr-FR"/>
              </w:rPr>
              <w:t xml:space="preserve"> </w:t>
            </w:r>
            <w:r w:rsidR="00D21720" w:rsidRPr="00EE7072">
              <w:rPr>
                <w:szCs w:val="17"/>
                <w:lang w:val="fr-FR"/>
              </w:rPr>
              <w:t xml:space="preserve">124 </w:t>
            </w:r>
            <w:r w:rsidRPr="00EE7072">
              <w:rPr>
                <w:szCs w:val="17"/>
                <w:lang w:val="fr-FR"/>
              </w:rPr>
              <w:t>Parties de la CMS, seule</w:t>
            </w:r>
            <w:r w:rsidRPr="00887584">
              <w:rPr>
                <w:strike/>
                <w:szCs w:val="17"/>
                <w:lang w:val="fr-FR"/>
              </w:rPr>
              <w:t>s</w:t>
            </w:r>
            <w:r w:rsidRPr="00EE7072">
              <w:rPr>
                <w:szCs w:val="17"/>
                <w:lang w:val="fr-FR"/>
              </w:rPr>
              <w:t xml:space="preserve"> </w:t>
            </w:r>
            <w:r w:rsidRPr="00887584">
              <w:rPr>
                <w:strike/>
                <w:szCs w:val="17"/>
                <w:lang w:val="fr-FR"/>
              </w:rPr>
              <w:t>quatre ne sont</w:t>
            </w:r>
            <w:r w:rsidRPr="00EE7072">
              <w:rPr>
                <w:szCs w:val="17"/>
                <w:lang w:val="fr-FR"/>
              </w:rPr>
              <w:t xml:space="preserve"> </w:t>
            </w:r>
            <w:r w:rsidR="00887584" w:rsidRPr="00887584">
              <w:rPr>
                <w:szCs w:val="17"/>
                <w:u w:val="single"/>
                <w:lang w:val="fr-FR"/>
              </w:rPr>
              <w:t>une n’est</w:t>
            </w:r>
            <w:r w:rsidR="00887584">
              <w:rPr>
                <w:szCs w:val="17"/>
                <w:lang w:val="fr-FR"/>
              </w:rPr>
              <w:t xml:space="preserve"> </w:t>
            </w:r>
            <w:r w:rsidRPr="00EE7072">
              <w:rPr>
                <w:szCs w:val="17"/>
                <w:lang w:val="fr-FR"/>
              </w:rPr>
              <w:t>pas également membres de la CITES; </w:t>
            </w:r>
          </w:p>
        </w:tc>
        <w:tc>
          <w:tcPr>
            <w:tcW w:w="2336" w:type="dxa"/>
            <w:shd w:val="clear" w:color="auto" w:fill="auto"/>
          </w:tcPr>
          <w:p w14:paraId="7B08D273" w14:textId="4A3D6821" w:rsidR="004647DB" w:rsidRPr="00EE7072" w:rsidRDefault="00B402A3" w:rsidP="0028030F">
            <w:pPr>
              <w:jc w:val="both"/>
              <w:rPr>
                <w:lang w:val="fr-FR"/>
              </w:rPr>
            </w:pPr>
            <w:r w:rsidRPr="00EE7072">
              <w:rPr>
                <w:lang w:val="fr-FR"/>
              </w:rPr>
              <w:t>Résolution</w:t>
            </w:r>
            <w:r w:rsidR="004647DB" w:rsidRPr="00EE7072">
              <w:rPr>
                <w:lang w:val="fr-FR"/>
              </w:rPr>
              <w:t xml:space="preserve"> 10.13</w:t>
            </w:r>
          </w:p>
          <w:p w14:paraId="1C7E8CCD" w14:textId="77777777" w:rsidR="004647DB" w:rsidRPr="00EE7072" w:rsidRDefault="004647DB" w:rsidP="0028030F">
            <w:pPr>
              <w:jc w:val="both"/>
              <w:rPr>
                <w:lang w:val="fr-FR"/>
              </w:rPr>
            </w:pPr>
          </w:p>
          <w:p w14:paraId="2D360DEF" w14:textId="29E29CF0" w:rsidR="004647DB" w:rsidRPr="00EE7072" w:rsidRDefault="00210C67" w:rsidP="0028030F">
            <w:pPr>
              <w:rPr>
                <w:lang w:val="fr-FR"/>
              </w:rPr>
            </w:pPr>
            <w:r w:rsidRPr="00EE7072">
              <w:rPr>
                <w:lang w:val="fr-FR"/>
              </w:rPr>
              <w:t>Conserver</w:t>
            </w:r>
            <w:r w:rsidR="004647DB" w:rsidRPr="00EE7072">
              <w:rPr>
                <w:lang w:val="fr-FR"/>
              </w:rPr>
              <w:t xml:space="preserve"> </w:t>
            </w:r>
            <w:r w:rsidR="00135DBE" w:rsidRPr="00C079EF">
              <w:rPr>
                <w:color w:val="000000" w:themeColor="text1"/>
                <w:lang w:val="fr-FR"/>
              </w:rPr>
              <w:t>tel que modifié</w:t>
            </w:r>
          </w:p>
        </w:tc>
      </w:tr>
      <w:tr w:rsidR="004647DB" w:rsidRPr="000749B4" w14:paraId="4366FA58" w14:textId="77777777" w:rsidTr="00887584">
        <w:tc>
          <w:tcPr>
            <w:tcW w:w="6737" w:type="dxa"/>
            <w:tcBorders>
              <w:bottom w:val="single" w:sz="4" w:space="0" w:color="auto"/>
            </w:tcBorders>
            <w:shd w:val="clear" w:color="auto" w:fill="auto"/>
          </w:tcPr>
          <w:p w14:paraId="6D097839" w14:textId="180AEA14" w:rsidR="004647DB" w:rsidRPr="00EE7072" w:rsidRDefault="00632540" w:rsidP="004F121F">
            <w:pPr>
              <w:widowControl/>
              <w:autoSpaceDE/>
              <w:autoSpaceDN/>
              <w:adjustRightInd/>
              <w:jc w:val="both"/>
              <w:rPr>
                <w:strike/>
                <w:szCs w:val="17"/>
                <w:lang w:val="fr-FR"/>
              </w:rPr>
            </w:pPr>
            <w:r w:rsidRPr="00EE7072">
              <w:rPr>
                <w:i/>
                <w:iCs/>
                <w:strike/>
                <w:szCs w:val="17"/>
                <w:lang w:val="fr-FR"/>
              </w:rPr>
              <w:t xml:space="preserve">Notant </w:t>
            </w:r>
            <w:r w:rsidR="00074DA7" w:rsidRPr="00EE7072">
              <w:rPr>
                <w:i/>
                <w:strike/>
                <w:szCs w:val="17"/>
                <w:lang w:val="fr-FR"/>
              </w:rPr>
              <w:t>également</w:t>
            </w:r>
            <w:r w:rsidR="00074DA7" w:rsidRPr="00EE7072">
              <w:rPr>
                <w:strike/>
                <w:szCs w:val="17"/>
                <w:lang w:val="fr-FR"/>
              </w:rPr>
              <w:t xml:space="preserve"> que l’harmonisation est rendue d'autant plus évidente par le fait que parmi les 110 Parties à la CMS, seulement 4 ne sont pas également membres de la CITES;</w:t>
            </w:r>
          </w:p>
        </w:tc>
        <w:tc>
          <w:tcPr>
            <w:tcW w:w="2336" w:type="dxa"/>
            <w:tcBorders>
              <w:bottom w:val="single" w:sz="4" w:space="0" w:color="auto"/>
            </w:tcBorders>
            <w:shd w:val="clear" w:color="auto" w:fill="auto"/>
          </w:tcPr>
          <w:p w14:paraId="2E6871BE" w14:textId="243F5EF4" w:rsidR="004647DB" w:rsidRPr="000749B4" w:rsidRDefault="00B402A3" w:rsidP="0028030F">
            <w:pPr>
              <w:jc w:val="both"/>
            </w:pPr>
            <w:r>
              <w:t>Recommandation</w:t>
            </w:r>
            <w:r w:rsidR="004647DB" w:rsidRPr="000749B4">
              <w:t xml:space="preserve"> 9.4</w:t>
            </w:r>
          </w:p>
          <w:p w14:paraId="77E047BC" w14:textId="77777777" w:rsidR="004647DB" w:rsidRPr="000749B4" w:rsidRDefault="004647DB" w:rsidP="0028030F">
            <w:pPr>
              <w:jc w:val="both"/>
            </w:pPr>
          </w:p>
          <w:p w14:paraId="1F560E15" w14:textId="5FDB2E07" w:rsidR="004647DB" w:rsidRPr="000749B4" w:rsidRDefault="00887584" w:rsidP="00135DBE">
            <w:r>
              <w:t>Abrogé, redondant</w:t>
            </w:r>
          </w:p>
        </w:tc>
      </w:tr>
      <w:tr w:rsidR="004647DB" w:rsidRPr="000749B4" w14:paraId="268458F8" w14:textId="77777777" w:rsidTr="00887584">
        <w:tc>
          <w:tcPr>
            <w:tcW w:w="6737" w:type="dxa"/>
            <w:tcBorders>
              <w:bottom w:val="single" w:sz="4" w:space="0" w:color="auto"/>
            </w:tcBorders>
            <w:shd w:val="clear" w:color="auto" w:fill="auto"/>
          </w:tcPr>
          <w:p w14:paraId="57F4FD8B" w14:textId="75C2BA6F" w:rsidR="004647DB" w:rsidRPr="00EE7072" w:rsidRDefault="007A4206" w:rsidP="004F121F">
            <w:pPr>
              <w:widowControl/>
              <w:autoSpaceDE/>
              <w:autoSpaceDN/>
              <w:adjustRightInd/>
              <w:jc w:val="both"/>
              <w:rPr>
                <w:szCs w:val="17"/>
                <w:lang w:val="fr-FR"/>
              </w:rPr>
            </w:pPr>
            <w:r w:rsidRPr="00EE7072">
              <w:rPr>
                <w:i/>
                <w:iCs/>
                <w:szCs w:val="17"/>
                <w:lang w:val="fr-FR"/>
              </w:rPr>
              <w:t xml:space="preserve">Reconnaissant </w:t>
            </w:r>
            <w:r w:rsidRPr="00EE7072">
              <w:rPr>
                <w:szCs w:val="17"/>
                <w:lang w:val="fr-FR"/>
              </w:rPr>
              <w:t>que l’harmonisation de la nomenclature peut conduire à un processus plus intégré, à une réduction des duplications et à un meilleur partage de l’information entre les différents Accords Multilatéraux sur l’Environnement relatives à la biodiversité (AME); </w:t>
            </w:r>
          </w:p>
        </w:tc>
        <w:tc>
          <w:tcPr>
            <w:tcW w:w="2336" w:type="dxa"/>
            <w:tcBorders>
              <w:bottom w:val="single" w:sz="4" w:space="0" w:color="auto"/>
            </w:tcBorders>
            <w:shd w:val="clear" w:color="auto" w:fill="auto"/>
          </w:tcPr>
          <w:p w14:paraId="3E17C99A" w14:textId="4D7BF569" w:rsidR="004647DB" w:rsidRPr="000749B4" w:rsidRDefault="00B402A3" w:rsidP="0028030F">
            <w:pPr>
              <w:jc w:val="both"/>
            </w:pPr>
            <w:r>
              <w:t>Résolution</w:t>
            </w:r>
            <w:r w:rsidR="004647DB" w:rsidRPr="000749B4">
              <w:t xml:space="preserve"> 10.13</w:t>
            </w:r>
          </w:p>
          <w:p w14:paraId="319DE1B4" w14:textId="77777777" w:rsidR="004647DB" w:rsidRPr="000749B4" w:rsidRDefault="004647DB" w:rsidP="0028030F">
            <w:pPr>
              <w:jc w:val="both"/>
            </w:pPr>
          </w:p>
          <w:p w14:paraId="6CAF9216" w14:textId="6EE09CB3" w:rsidR="004647DB" w:rsidRPr="000749B4" w:rsidRDefault="00210C67" w:rsidP="0028030F">
            <w:r>
              <w:t>Conserver</w:t>
            </w:r>
          </w:p>
        </w:tc>
      </w:tr>
      <w:tr w:rsidR="00887584" w:rsidRPr="000749B4" w14:paraId="380101A3" w14:textId="77777777" w:rsidTr="00887584">
        <w:tc>
          <w:tcPr>
            <w:tcW w:w="6737" w:type="dxa"/>
            <w:tcBorders>
              <w:top w:val="single" w:sz="4" w:space="0" w:color="auto"/>
              <w:left w:val="nil"/>
              <w:bottom w:val="nil"/>
              <w:right w:val="nil"/>
            </w:tcBorders>
            <w:shd w:val="clear" w:color="auto" w:fill="auto"/>
          </w:tcPr>
          <w:p w14:paraId="6A83AC09" w14:textId="77777777" w:rsidR="00887584" w:rsidRPr="00EE7072" w:rsidRDefault="00887584" w:rsidP="004F121F">
            <w:pPr>
              <w:widowControl/>
              <w:autoSpaceDE/>
              <w:autoSpaceDN/>
              <w:adjustRightInd/>
              <w:jc w:val="both"/>
              <w:rPr>
                <w:i/>
                <w:iCs/>
                <w:szCs w:val="17"/>
                <w:lang w:val="fr-FR"/>
              </w:rPr>
            </w:pPr>
          </w:p>
        </w:tc>
        <w:tc>
          <w:tcPr>
            <w:tcW w:w="2336" w:type="dxa"/>
            <w:tcBorders>
              <w:top w:val="single" w:sz="4" w:space="0" w:color="auto"/>
              <w:left w:val="nil"/>
              <w:bottom w:val="nil"/>
              <w:right w:val="nil"/>
            </w:tcBorders>
            <w:shd w:val="clear" w:color="auto" w:fill="auto"/>
          </w:tcPr>
          <w:p w14:paraId="586BBB65" w14:textId="77777777" w:rsidR="00887584" w:rsidRDefault="00887584" w:rsidP="0028030F">
            <w:pPr>
              <w:jc w:val="both"/>
            </w:pPr>
          </w:p>
        </w:tc>
      </w:tr>
      <w:tr w:rsidR="00887584" w:rsidRPr="000749B4" w14:paraId="0504609E" w14:textId="77777777" w:rsidTr="00887584">
        <w:tc>
          <w:tcPr>
            <w:tcW w:w="6737" w:type="dxa"/>
            <w:tcBorders>
              <w:top w:val="nil"/>
              <w:left w:val="nil"/>
              <w:bottom w:val="nil"/>
              <w:right w:val="nil"/>
            </w:tcBorders>
            <w:shd w:val="clear" w:color="auto" w:fill="auto"/>
          </w:tcPr>
          <w:p w14:paraId="34B76145" w14:textId="77777777" w:rsidR="00887584" w:rsidRPr="00EE7072" w:rsidRDefault="00887584" w:rsidP="004F121F">
            <w:pPr>
              <w:widowControl/>
              <w:autoSpaceDE/>
              <w:autoSpaceDN/>
              <w:adjustRightInd/>
              <w:jc w:val="both"/>
              <w:rPr>
                <w:i/>
                <w:iCs/>
                <w:szCs w:val="17"/>
                <w:lang w:val="fr-FR"/>
              </w:rPr>
            </w:pPr>
          </w:p>
        </w:tc>
        <w:tc>
          <w:tcPr>
            <w:tcW w:w="2336" w:type="dxa"/>
            <w:tcBorders>
              <w:top w:val="nil"/>
              <w:left w:val="nil"/>
              <w:bottom w:val="nil"/>
              <w:right w:val="nil"/>
            </w:tcBorders>
            <w:shd w:val="clear" w:color="auto" w:fill="auto"/>
          </w:tcPr>
          <w:p w14:paraId="7A1B5121" w14:textId="77777777" w:rsidR="00887584" w:rsidRDefault="00887584" w:rsidP="0028030F">
            <w:pPr>
              <w:jc w:val="both"/>
            </w:pPr>
          </w:p>
        </w:tc>
      </w:tr>
      <w:tr w:rsidR="00887584" w:rsidRPr="000749B4" w14:paraId="773CA32B" w14:textId="77777777" w:rsidTr="00887584">
        <w:tc>
          <w:tcPr>
            <w:tcW w:w="6737" w:type="dxa"/>
            <w:tcBorders>
              <w:top w:val="nil"/>
              <w:left w:val="nil"/>
              <w:bottom w:val="nil"/>
              <w:right w:val="nil"/>
            </w:tcBorders>
            <w:shd w:val="clear" w:color="auto" w:fill="auto"/>
          </w:tcPr>
          <w:p w14:paraId="5B1475E8" w14:textId="77777777" w:rsidR="00887584" w:rsidRPr="00EE7072" w:rsidRDefault="00887584" w:rsidP="004F121F">
            <w:pPr>
              <w:widowControl/>
              <w:autoSpaceDE/>
              <w:autoSpaceDN/>
              <w:adjustRightInd/>
              <w:jc w:val="both"/>
              <w:rPr>
                <w:i/>
                <w:iCs/>
                <w:szCs w:val="17"/>
                <w:lang w:val="fr-FR"/>
              </w:rPr>
            </w:pPr>
          </w:p>
        </w:tc>
        <w:tc>
          <w:tcPr>
            <w:tcW w:w="2336" w:type="dxa"/>
            <w:tcBorders>
              <w:top w:val="nil"/>
              <w:left w:val="nil"/>
              <w:bottom w:val="nil"/>
              <w:right w:val="nil"/>
            </w:tcBorders>
            <w:shd w:val="clear" w:color="auto" w:fill="auto"/>
          </w:tcPr>
          <w:p w14:paraId="3AFC2C4F" w14:textId="77777777" w:rsidR="00887584" w:rsidRDefault="00887584" w:rsidP="0028030F">
            <w:pPr>
              <w:jc w:val="both"/>
            </w:pPr>
          </w:p>
        </w:tc>
      </w:tr>
      <w:tr w:rsidR="00887584" w:rsidRPr="000749B4" w14:paraId="7112652C" w14:textId="77777777" w:rsidTr="00887584">
        <w:tc>
          <w:tcPr>
            <w:tcW w:w="6737" w:type="dxa"/>
            <w:tcBorders>
              <w:top w:val="nil"/>
              <w:left w:val="nil"/>
              <w:bottom w:val="nil"/>
              <w:right w:val="nil"/>
            </w:tcBorders>
            <w:shd w:val="clear" w:color="auto" w:fill="auto"/>
          </w:tcPr>
          <w:p w14:paraId="3B0304CB" w14:textId="77777777" w:rsidR="00887584" w:rsidRPr="00EE7072" w:rsidRDefault="00887584" w:rsidP="004F121F">
            <w:pPr>
              <w:widowControl/>
              <w:autoSpaceDE/>
              <w:autoSpaceDN/>
              <w:adjustRightInd/>
              <w:jc w:val="both"/>
              <w:rPr>
                <w:i/>
                <w:iCs/>
                <w:szCs w:val="17"/>
                <w:lang w:val="fr-FR"/>
              </w:rPr>
            </w:pPr>
          </w:p>
        </w:tc>
        <w:tc>
          <w:tcPr>
            <w:tcW w:w="2336" w:type="dxa"/>
            <w:tcBorders>
              <w:top w:val="nil"/>
              <w:left w:val="nil"/>
              <w:bottom w:val="nil"/>
              <w:right w:val="nil"/>
            </w:tcBorders>
            <w:shd w:val="clear" w:color="auto" w:fill="auto"/>
          </w:tcPr>
          <w:p w14:paraId="7DDBB742" w14:textId="77777777" w:rsidR="00887584" w:rsidRDefault="00887584" w:rsidP="0028030F">
            <w:pPr>
              <w:jc w:val="both"/>
            </w:pPr>
          </w:p>
        </w:tc>
      </w:tr>
      <w:tr w:rsidR="004647DB" w:rsidRPr="000749B4" w14:paraId="73F0304B" w14:textId="77777777" w:rsidTr="00887584">
        <w:tc>
          <w:tcPr>
            <w:tcW w:w="6737" w:type="dxa"/>
            <w:tcBorders>
              <w:top w:val="nil"/>
            </w:tcBorders>
            <w:shd w:val="clear" w:color="auto" w:fill="auto"/>
          </w:tcPr>
          <w:p w14:paraId="57579214" w14:textId="450DCF9A" w:rsidR="004647DB" w:rsidRPr="00EE7072" w:rsidRDefault="007A4206" w:rsidP="004F121F">
            <w:pPr>
              <w:widowControl/>
              <w:autoSpaceDE/>
              <w:autoSpaceDN/>
              <w:adjustRightInd/>
              <w:jc w:val="both"/>
              <w:rPr>
                <w:szCs w:val="17"/>
                <w:lang w:val="fr-FR"/>
              </w:rPr>
            </w:pPr>
            <w:r w:rsidRPr="00EE7072">
              <w:rPr>
                <w:i/>
                <w:iCs/>
                <w:szCs w:val="17"/>
                <w:lang w:val="fr-FR"/>
              </w:rPr>
              <w:lastRenderedPageBreak/>
              <w:t xml:space="preserve">Rappelant </w:t>
            </w:r>
            <w:r w:rsidRPr="00EE7072">
              <w:rPr>
                <w:szCs w:val="17"/>
                <w:lang w:val="fr-FR"/>
              </w:rPr>
              <w:t>que cet objectif a été pris en compte dans la 6</w:t>
            </w:r>
            <w:r w:rsidRPr="00EE7072">
              <w:rPr>
                <w:szCs w:val="12"/>
                <w:lang w:val="fr-FR"/>
              </w:rPr>
              <w:t xml:space="preserve">ème </w:t>
            </w:r>
            <w:r w:rsidRPr="00EE7072">
              <w:rPr>
                <w:szCs w:val="17"/>
                <w:lang w:val="fr-FR"/>
              </w:rPr>
              <w:t>réunion du groupe de liaison des Conventions liées à la biodiversité (Bonn, mai 2008), et qu’il figure donc dans la liste des activités communes de la CITES/CMS adoptée lors de la 34</w:t>
            </w:r>
            <w:r w:rsidRPr="00EE7072">
              <w:rPr>
                <w:szCs w:val="12"/>
                <w:lang w:val="fr-FR"/>
              </w:rPr>
              <w:t xml:space="preserve">ème </w:t>
            </w:r>
            <w:r w:rsidRPr="00EE7072">
              <w:rPr>
                <w:szCs w:val="17"/>
                <w:lang w:val="fr-FR"/>
              </w:rPr>
              <w:t>réunion du comité permanent de la CMS (Rome, novembre 2008) , et le plan de travail commun 2012-2014 entre la CMS et la CITES adopté par la 38</w:t>
            </w:r>
            <w:r w:rsidRPr="00EE7072">
              <w:rPr>
                <w:szCs w:val="12"/>
                <w:lang w:val="fr-FR"/>
              </w:rPr>
              <w:t xml:space="preserve">ème </w:t>
            </w:r>
            <w:r w:rsidRPr="00EE7072">
              <w:rPr>
                <w:szCs w:val="17"/>
                <w:lang w:val="fr-FR"/>
              </w:rPr>
              <w:t>réunion du Comité permanent (Bergen, Novembre 2011);</w:t>
            </w:r>
          </w:p>
        </w:tc>
        <w:tc>
          <w:tcPr>
            <w:tcW w:w="2336" w:type="dxa"/>
            <w:tcBorders>
              <w:top w:val="nil"/>
            </w:tcBorders>
            <w:shd w:val="clear" w:color="auto" w:fill="auto"/>
          </w:tcPr>
          <w:p w14:paraId="4157429F" w14:textId="588DCBB7" w:rsidR="004647DB" w:rsidRPr="000749B4" w:rsidRDefault="00B402A3" w:rsidP="0028030F">
            <w:pPr>
              <w:jc w:val="both"/>
            </w:pPr>
            <w:r>
              <w:t>Résolution</w:t>
            </w:r>
            <w:r w:rsidR="004647DB" w:rsidRPr="000749B4">
              <w:t xml:space="preserve"> 10.13</w:t>
            </w:r>
          </w:p>
          <w:p w14:paraId="4BA3934B" w14:textId="77777777" w:rsidR="004647DB" w:rsidRPr="000749B4" w:rsidRDefault="004647DB" w:rsidP="0028030F">
            <w:pPr>
              <w:jc w:val="both"/>
            </w:pPr>
          </w:p>
          <w:p w14:paraId="558BEC2C" w14:textId="22FEFEE1" w:rsidR="004647DB" w:rsidRPr="000749B4" w:rsidRDefault="00210C67" w:rsidP="0028030F">
            <w:r>
              <w:t>Conserver</w:t>
            </w:r>
          </w:p>
        </w:tc>
      </w:tr>
      <w:tr w:rsidR="004647DB" w:rsidRPr="000749B4" w14:paraId="25424576" w14:textId="77777777" w:rsidTr="00135DBE">
        <w:tc>
          <w:tcPr>
            <w:tcW w:w="6737" w:type="dxa"/>
            <w:shd w:val="clear" w:color="auto" w:fill="auto"/>
          </w:tcPr>
          <w:p w14:paraId="536D2F48" w14:textId="4A7724DE" w:rsidR="004647DB" w:rsidRPr="00EE7072" w:rsidRDefault="00876ED1" w:rsidP="004F121F">
            <w:pPr>
              <w:pStyle w:val="p1"/>
              <w:jc w:val="both"/>
              <w:rPr>
                <w:sz w:val="22"/>
                <w:lang w:val="fr-FR"/>
              </w:rPr>
            </w:pPr>
            <w:r w:rsidRPr="00EE7072">
              <w:rPr>
                <w:i/>
                <w:iCs/>
                <w:sz w:val="22"/>
                <w:lang w:val="fr-FR"/>
              </w:rPr>
              <w:t xml:space="preserve">Sachant en outre </w:t>
            </w:r>
            <w:r w:rsidRPr="00EE7072">
              <w:rPr>
                <w:sz w:val="22"/>
                <w:lang w:val="fr-FR"/>
              </w:rPr>
              <w:t>que l’harmonisation de la taxonomie et de la nomenclature des oiseaux entre les AEM et les autres partenaires, tels que la CMS, la CITES, Ramsar, l’UICN, BirdLife International, Wetlands International et le PNUE-WCMC, peut améliorer les synergies au bénéfice de la conservation des espèces migratrices et d’une meilleure mise en oeuvre des instruments de la Famille CMS; </w:t>
            </w:r>
          </w:p>
        </w:tc>
        <w:tc>
          <w:tcPr>
            <w:tcW w:w="2336" w:type="dxa"/>
            <w:shd w:val="clear" w:color="auto" w:fill="auto"/>
          </w:tcPr>
          <w:p w14:paraId="5D6BBE6B" w14:textId="22AD3A49" w:rsidR="004647DB" w:rsidRPr="000749B4" w:rsidRDefault="00B402A3" w:rsidP="0028030F">
            <w:pPr>
              <w:jc w:val="both"/>
            </w:pPr>
            <w:r>
              <w:t>Résolution</w:t>
            </w:r>
            <w:r w:rsidR="004647DB" w:rsidRPr="000749B4">
              <w:t xml:space="preserve"> 11.19</w:t>
            </w:r>
          </w:p>
          <w:p w14:paraId="0974EAA9" w14:textId="77777777" w:rsidR="004647DB" w:rsidRPr="000749B4" w:rsidRDefault="004647DB" w:rsidP="0028030F">
            <w:pPr>
              <w:jc w:val="both"/>
            </w:pPr>
          </w:p>
          <w:p w14:paraId="1EBBCA08" w14:textId="1E2A6A29" w:rsidR="004647DB" w:rsidRPr="000749B4" w:rsidRDefault="00210C67" w:rsidP="0028030F">
            <w:r>
              <w:t>Conserver</w:t>
            </w:r>
          </w:p>
        </w:tc>
      </w:tr>
      <w:tr w:rsidR="004647DB" w:rsidRPr="000749B4" w14:paraId="72759229" w14:textId="77777777" w:rsidTr="00135DBE">
        <w:tc>
          <w:tcPr>
            <w:tcW w:w="6737" w:type="dxa"/>
            <w:shd w:val="clear" w:color="auto" w:fill="auto"/>
          </w:tcPr>
          <w:p w14:paraId="192AFDC2" w14:textId="047F819D" w:rsidR="004647DB" w:rsidRPr="00EE7072" w:rsidRDefault="00876ED1" w:rsidP="004F121F">
            <w:pPr>
              <w:widowControl/>
              <w:autoSpaceDE/>
              <w:autoSpaceDN/>
              <w:adjustRightInd/>
              <w:jc w:val="both"/>
              <w:rPr>
                <w:szCs w:val="17"/>
                <w:lang w:val="fr-FR"/>
              </w:rPr>
            </w:pPr>
            <w:r w:rsidRPr="00EE7072">
              <w:rPr>
                <w:i/>
                <w:iCs/>
                <w:szCs w:val="17"/>
                <w:lang w:val="fr-FR"/>
              </w:rPr>
              <w:t xml:space="preserve">Reconnaissant </w:t>
            </w:r>
            <w:r w:rsidRPr="00EE7072">
              <w:rPr>
                <w:szCs w:val="17"/>
                <w:lang w:val="fr-FR"/>
              </w:rPr>
              <w:t>que les présidents des organes consultatifs scientifiques des conventions relatives à la biodiversité (CSAB - Chairs of the Scientific Advisory Bodies of the Biodiversity-related Conventions) ont à plusieurs reprises exprimé leur soutien à l’idée de progresser vers une harmonisation de la nomenclature et de la taxonomie utilisées dans les listes d’espèces, et ont demandé une coopération renforcée entre les AEM vers cet objectif; </w:t>
            </w:r>
          </w:p>
        </w:tc>
        <w:tc>
          <w:tcPr>
            <w:tcW w:w="2336" w:type="dxa"/>
            <w:shd w:val="clear" w:color="auto" w:fill="auto"/>
          </w:tcPr>
          <w:p w14:paraId="735E62ED" w14:textId="5A95F4E0" w:rsidR="004647DB" w:rsidRPr="000749B4" w:rsidRDefault="00B402A3" w:rsidP="0028030F">
            <w:pPr>
              <w:jc w:val="both"/>
            </w:pPr>
            <w:r>
              <w:t>Résolution</w:t>
            </w:r>
            <w:r w:rsidR="004647DB" w:rsidRPr="000749B4">
              <w:t xml:space="preserve"> 11.19</w:t>
            </w:r>
          </w:p>
          <w:p w14:paraId="07061C6E" w14:textId="77777777" w:rsidR="004647DB" w:rsidRPr="000749B4" w:rsidRDefault="004647DB" w:rsidP="0028030F">
            <w:pPr>
              <w:jc w:val="both"/>
            </w:pPr>
          </w:p>
          <w:p w14:paraId="2155C50F" w14:textId="562D76AB" w:rsidR="004647DB" w:rsidRPr="000749B4" w:rsidRDefault="00210C67" w:rsidP="0028030F">
            <w:r>
              <w:t>Conserver</w:t>
            </w:r>
          </w:p>
        </w:tc>
      </w:tr>
      <w:tr w:rsidR="004647DB" w:rsidRPr="000749B4" w14:paraId="3504CBA4" w14:textId="77777777" w:rsidTr="00135DBE">
        <w:tc>
          <w:tcPr>
            <w:tcW w:w="6737" w:type="dxa"/>
            <w:shd w:val="clear" w:color="auto" w:fill="auto"/>
          </w:tcPr>
          <w:p w14:paraId="2C847DC2" w14:textId="13D1DD52" w:rsidR="004647DB" w:rsidRPr="00EE7072" w:rsidRDefault="00074DA7" w:rsidP="00632540">
            <w:pPr>
              <w:widowControl/>
              <w:autoSpaceDE/>
              <w:autoSpaceDN/>
              <w:adjustRightInd/>
              <w:jc w:val="both"/>
              <w:rPr>
                <w:strike/>
                <w:szCs w:val="17"/>
                <w:lang w:val="fr-FR"/>
              </w:rPr>
            </w:pPr>
            <w:r w:rsidRPr="00EE7072">
              <w:rPr>
                <w:i/>
                <w:strike/>
                <w:szCs w:val="17"/>
                <w:lang w:val="fr-FR"/>
              </w:rPr>
              <w:t>Notant également</w:t>
            </w:r>
            <w:r w:rsidRPr="00EE7072">
              <w:rPr>
                <w:strike/>
                <w:szCs w:val="17"/>
                <w:lang w:val="fr-FR"/>
              </w:rPr>
              <w:t xml:space="preserve"> que cet objectif a été approuvé lors de la 2éme réunion des Présidents des</w:t>
            </w:r>
            <w:r w:rsidR="00632540" w:rsidRPr="00EE7072">
              <w:rPr>
                <w:strike/>
                <w:szCs w:val="17"/>
                <w:lang w:val="fr-FR"/>
              </w:rPr>
              <w:t xml:space="preserve"> </w:t>
            </w:r>
            <w:r w:rsidRPr="00EE7072">
              <w:rPr>
                <w:strike/>
                <w:szCs w:val="17"/>
                <w:lang w:val="fr-FR"/>
              </w:rPr>
              <w:t>Organes Scientifiques Consultatifs des Conventions Relatives à la Biodiversité (CSAB, Bonn, mai</w:t>
            </w:r>
            <w:r w:rsidR="00632540" w:rsidRPr="00EE7072">
              <w:rPr>
                <w:strike/>
                <w:szCs w:val="17"/>
                <w:lang w:val="fr-FR"/>
              </w:rPr>
              <w:t xml:space="preserve"> </w:t>
            </w:r>
            <w:r w:rsidRPr="00EE7072">
              <w:rPr>
                <w:strike/>
                <w:szCs w:val="17"/>
                <w:lang w:val="fr-FR"/>
              </w:rPr>
              <w:t>2008) et noté par la 6éme réunion du Groupe de Liaison des Conventions Relatives à la Biodiversité</w:t>
            </w:r>
            <w:r w:rsidR="00632540" w:rsidRPr="00EE7072">
              <w:rPr>
                <w:strike/>
                <w:szCs w:val="17"/>
                <w:lang w:val="fr-FR"/>
              </w:rPr>
              <w:t xml:space="preserve"> </w:t>
            </w:r>
            <w:r w:rsidRPr="00EE7072">
              <w:rPr>
                <w:strike/>
                <w:szCs w:val="17"/>
                <w:lang w:val="fr-FR"/>
              </w:rPr>
              <w:t>(Bonn, mai 2008), et a ainsi été inclus dans la Liste des Activités Conjointes de la CITES/CMS</w:t>
            </w:r>
            <w:r w:rsidR="00632540" w:rsidRPr="00EE7072">
              <w:rPr>
                <w:strike/>
                <w:szCs w:val="17"/>
                <w:lang w:val="fr-FR"/>
              </w:rPr>
              <w:t xml:space="preserve"> </w:t>
            </w:r>
            <w:r w:rsidRPr="00EE7072">
              <w:rPr>
                <w:strike/>
                <w:szCs w:val="17"/>
                <w:lang w:val="fr-FR"/>
              </w:rPr>
              <w:t>adoptée par la 34éme réunion du Comité Permanent de la CMS;</w:t>
            </w:r>
          </w:p>
        </w:tc>
        <w:tc>
          <w:tcPr>
            <w:tcW w:w="2336" w:type="dxa"/>
            <w:shd w:val="clear" w:color="auto" w:fill="auto"/>
          </w:tcPr>
          <w:p w14:paraId="359998CE" w14:textId="2DEABEEA" w:rsidR="004647DB" w:rsidRPr="00135DBE" w:rsidRDefault="00B402A3" w:rsidP="0028030F">
            <w:pPr>
              <w:jc w:val="both"/>
            </w:pPr>
            <w:r w:rsidRPr="00135DBE">
              <w:t>Recommandation</w:t>
            </w:r>
            <w:r w:rsidR="004647DB" w:rsidRPr="00135DBE">
              <w:t xml:space="preserve"> 9.4</w:t>
            </w:r>
          </w:p>
          <w:p w14:paraId="6087F9D1" w14:textId="77777777" w:rsidR="004647DB" w:rsidRPr="00135DBE" w:rsidRDefault="004647DB" w:rsidP="0028030F">
            <w:pPr>
              <w:jc w:val="both"/>
            </w:pPr>
          </w:p>
          <w:p w14:paraId="71D9364B" w14:textId="248F1FF6" w:rsidR="004647DB" w:rsidRPr="000749B4" w:rsidRDefault="00887584" w:rsidP="0028030F">
            <w:r>
              <w:t>Abrogé, redondant</w:t>
            </w:r>
          </w:p>
        </w:tc>
      </w:tr>
      <w:tr w:rsidR="004647DB" w:rsidRPr="000749B4" w14:paraId="32E46D36" w14:textId="77777777" w:rsidTr="00135DBE">
        <w:tc>
          <w:tcPr>
            <w:tcW w:w="6737" w:type="dxa"/>
            <w:shd w:val="clear" w:color="auto" w:fill="auto"/>
          </w:tcPr>
          <w:p w14:paraId="369A4210" w14:textId="75244F07" w:rsidR="004647DB" w:rsidRPr="00EE7072" w:rsidRDefault="00876ED1" w:rsidP="004F121F">
            <w:pPr>
              <w:widowControl/>
              <w:autoSpaceDE/>
              <w:autoSpaceDN/>
              <w:adjustRightInd/>
              <w:jc w:val="both"/>
              <w:rPr>
                <w:szCs w:val="17"/>
                <w:lang w:val="fr-FR"/>
              </w:rPr>
            </w:pPr>
            <w:r w:rsidRPr="00EE7072">
              <w:rPr>
                <w:i/>
                <w:iCs/>
                <w:szCs w:val="17"/>
                <w:lang w:val="fr-FR"/>
              </w:rPr>
              <w:t xml:space="preserve">Prenant note </w:t>
            </w:r>
            <w:r w:rsidRPr="00EE7072">
              <w:rPr>
                <w:szCs w:val="17"/>
                <w:lang w:val="fr-FR"/>
              </w:rPr>
              <w:t xml:space="preserve">du rapport de la réunion ad hoc sur l’harmonisation de la taxonomie des oiseaux qui a eu lieu à Formia (Italie) le 8 octobre 2013 (PNUE/CMS/ScC18/Inf.9.1), et </w:t>
            </w:r>
            <w:r w:rsidRPr="00EE7072">
              <w:rPr>
                <w:i/>
                <w:iCs/>
                <w:szCs w:val="17"/>
                <w:lang w:val="fr-FR"/>
              </w:rPr>
              <w:t xml:space="preserve">remerciant </w:t>
            </w:r>
            <w:r w:rsidRPr="00EE7072">
              <w:rPr>
                <w:szCs w:val="17"/>
                <w:lang w:val="fr-FR"/>
              </w:rPr>
              <w:t>le Président du Conseil scientifique pour la tenue de cette réunion; </w:t>
            </w:r>
          </w:p>
        </w:tc>
        <w:tc>
          <w:tcPr>
            <w:tcW w:w="2336" w:type="dxa"/>
            <w:shd w:val="clear" w:color="auto" w:fill="auto"/>
          </w:tcPr>
          <w:p w14:paraId="7CE1B45D" w14:textId="3FCB819E" w:rsidR="004647DB" w:rsidRPr="000749B4" w:rsidRDefault="00B402A3" w:rsidP="0028030F">
            <w:pPr>
              <w:jc w:val="both"/>
            </w:pPr>
            <w:r>
              <w:t>Résolution</w:t>
            </w:r>
            <w:r w:rsidR="004647DB" w:rsidRPr="000749B4">
              <w:t xml:space="preserve"> 11.19</w:t>
            </w:r>
          </w:p>
          <w:p w14:paraId="79D14FB7" w14:textId="77777777" w:rsidR="004647DB" w:rsidRPr="000749B4" w:rsidRDefault="004647DB" w:rsidP="0028030F">
            <w:pPr>
              <w:jc w:val="both"/>
            </w:pPr>
          </w:p>
          <w:p w14:paraId="56E539BA" w14:textId="74D9C88A" w:rsidR="004647DB" w:rsidRPr="000749B4" w:rsidRDefault="00210C67" w:rsidP="0028030F">
            <w:r>
              <w:t>Conserver</w:t>
            </w:r>
          </w:p>
        </w:tc>
      </w:tr>
      <w:tr w:rsidR="004647DB" w:rsidRPr="000749B4" w14:paraId="6C0D00E1" w14:textId="77777777" w:rsidTr="00135DBE">
        <w:tc>
          <w:tcPr>
            <w:tcW w:w="6737" w:type="dxa"/>
            <w:shd w:val="clear" w:color="auto" w:fill="auto"/>
          </w:tcPr>
          <w:p w14:paraId="02AB686A" w14:textId="7A43ADB2" w:rsidR="004647DB" w:rsidRPr="00EE7072" w:rsidRDefault="00876ED1" w:rsidP="004F121F">
            <w:pPr>
              <w:widowControl/>
              <w:autoSpaceDE/>
              <w:autoSpaceDN/>
              <w:adjustRightInd/>
              <w:jc w:val="both"/>
              <w:rPr>
                <w:szCs w:val="17"/>
                <w:lang w:val="fr-FR"/>
              </w:rPr>
            </w:pPr>
            <w:r w:rsidRPr="00EE7072">
              <w:rPr>
                <w:i/>
                <w:iCs/>
                <w:szCs w:val="17"/>
                <w:lang w:val="fr-FR"/>
              </w:rPr>
              <w:t xml:space="preserve">Prenant également note </w:t>
            </w:r>
            <w:r w:rsidRPr="00EE7072">
              <w:rPr>
                <w:szCs w:val="17"/>
                <w:lang w:val="fr-FR"/>
              </w:rPr>
              <w:t>du rapport du Comité pour les animaux de la CITES qui s’est réuni à Veracruz (Mexique) du 28 avril au 3 mai 2014; </w:t>
            </w:r>
          </w:p>
        </w:tc>
        <w:tc>
          <w:tcPr>
            <w:tcW w:w="2336" w:type="dxa"/>
            <w:shd w:val="clear" w:color="auto" w:fill="auto"/>
          </w:tcPr>
          <w:p w14:paraId="134C7392" w14:textId="7828014B" w:rsidR="004647DB" w:rsidRPr="000749B4" w:rsidRDefault="00B402A3" w:rsidP="0028030F">
            <w:pPr>
              <w:jc w:val="both"/>
            </w:pPr>
            <w:r>
              <w:t>Résolution</w:t>
            </w:r>
            <w:r w:rsidR="004647DB" w:rsidRPr="000749B4">
              <w:t xml:space="preserve"> 11.19</w:t>
            </w:r>
          </w:p>
          <w:p w14:paraId="76FA5FB5" w14:textId="77777777" w:rsidR="004647DB" w:rsidRPr="000749B4" w:rsidRDefault="004647DB" w:rsidP="0028030F">
            <w:pPr>
              <w:jc w:val="both"/>
            </w:pPr>
          </w:p>
          <w:p w14:paraId="04D149E8" w14:textId="36C447EC" w:rsidR="004647DB" w:rsidRPr="000749B4" w:rsidRDefault="00210C67" w:rsidP="0028030F">
            <w:r>
              <w:t>Conserver</w:t>
            </w:r>
          </w:p>
        </w:tc>
      </w:tr>
      <w:tr w:rsidR="004647DB" w:rsidRPr="000749B4" w14:paraId="323EFA27" w14:textId="77777777" w:rsidTr="00135DBE">
        <w:tc>
          <w:tcPr>
            <w:tcW w:w="6737" w:type="dxa"/>
            <w:shd w:val="clear" w:color="auto" w:fill="auto"/>
          </w:tcPr>
          <w:p w14:paraId="69DDD187" w14:textId="57CE226D" w:rsidR="004647DB" w:rsidRPr="00EE7072" w:rsidRDefault="007A4206" w:rsidP="004F121F">
            <w:pPr>
              <w:widowControl/>
              <w:autoSpaceDE/>
              <w:autoSpaceDN/>
              <w:adjustRightInd/>
              <w:jc w:val="both"/>
              <w:rPr>
                <w:szCs w:val="17"/>
                <w:lang w:val="fr-FR"/>
              </w:rPr>
            </w:pPr>
            <w:r w:rsidRPr="00EE7072">
              <w:rPr>
                <w:i/>
                <w:iCs/>
                <w:szCs w:val="17"/>
                <w:lang w:val="fr-FR"/>
              </w:rPr>
              <w:t xml:space="preserve">Soulignant </w:t>
            </w:r>
            <w:r w:rsidRPr="00EE7072">
              <w:rPr>
                <w:szCs w:val="17"/>
                <w:lang w:val="fr-FR"/>
              </w:rPr>
              <w:t>qu’en dépit de l’adoption, pour des raisons pratiques concernant les références de nomenclature standard au niveau des espèces, la diversité biologique à tous les niveaux taxonomiques doit être valorisée, préservée et utilisée de manière durable; </w:t>
            </w:r>
          </w:p>
        </w:tc>
        <w:tc>
          <w:tcPr>
            <w:tcW w:w="2336" w:type="dxa"/>
            <w:shd w:val="clear" w:color="auto" w:fill="auto"/>
          </w:tcPr>
          <w:p w14:paraId="10DA058B" w14:textId="2A8A8640" w:rsidR="004647DB" w:rsidRPr="000749B4" w:rsidRDefault="00B402A3" w:rsidP="0028030F">
            <w:pPr>
              <w:jc w:val="both"/>
            </w:pPr>
            <w:r>
              <w:t>Résolution</w:t>
            </w:r>
            <w:r w:rsidR="004647DB" w:rsidRPr="000749B4">
              <w:t xml:space="preserve"> 10.13</w:t>
            </w:r>
          </w:p>
          <w:p w14:paraId="1713705A" w14:textId="77777777" w:rsidR="004647DB" w:rsidRPr="000749B4" w:rsidRDefault="004647DB" w:rsidP="0028030F">
            <w:pPr>
              <w:jc w:val="both"/>
            </w:pPr>
          </w:p>
          <w:p w14:paraId="7DBC0CAB" w14:textId="0485BC85" w:rsidR="004647DB" w:rsidRPr="000749B4" w:rsidRDefault="00210C67" w:rsidP="0028030F">
            <w:r>
              <w:t>Conserver</w:t>
            </w:r>
          </w:p>
        </w:tc>
      </w:tr>
      <w:tr w:rsidR="004647DB" w:rsidRPr="000749B4" w14:paraId="100E9C4D" w14:textId="77777777" w:rsidTr="00A65B6F">
        <w:tc>
          <w:tcPr>
            <w:tcW w:w="6737" w:type="dxa"/>
            <w:tcBorders>
              <w:bottom w:val="single" w:sz="4" w:space="0" w:color="auto"/>
            </w:tcBorders>
            <w:shd w:val="clear" w:color="auto" w:fill="auto"/>
          </w:tcPr>
          <w:p w14:paraId="5FD9BF1F" w14:textId="4C164D13" w:rsidR="004647DB" w:rsidRPr="00EE7072" w:rsidRDefault="00074DA7" w:rsidP="00632540">
            <w:pPr>
              <w:widowControl/>
              <w:autoSpaceDE/>
              <w:autoSpaceDN/>
              <w:adjustRightInd/>
              <w:jc w:val="both"/>
              <w:rPr>
                <w:szCs w:val="17"/>
                <w:lang w:val="fr-FR"/>
              </w:rPr>
            </w:pPr>
            <w:r w:rsidRPr="00EE7072">
              <w:rPr>
                <w:i/>
                <w:szCs w:val="17"/>
                <w:lang w:val="fr-FR"/>
              </w:rPr>
              <w:t>Prenant note</w:t>
            </w:r>
            <w:r w:rsidRPr="00EE7072">
              <w:rPr>
                <w:szCs w:val="17"/>
                <w:lang w:val="fr-FR"/>
              </w:rPr>
              <w:t xml:space="preserve"> de</w:t>
            </w:r>
            <w:r w:rsidR="00887584">
              <w:rPr>
                <w:szCs w:val="17"/>
                <w:lang w:val="fr-FR"/>
              </w:rPr>
              <w:t>s Recommandations de la 15</w:t>
            </w:r>
            <w:r w:rsidRPr="00EE7072">
              <w:rPr>
                <w:szCs w:val="17"/>
                <w:lang w:val="fr-FR"/>
              </w:rPr>
              <w:t>e réunion du Conseil Scientifique de la CMS</w:t>
            </w:r>
            <w:r w:rsidR="00632540" w:rsidRPr="00EE7072">
              <w:rPr>
                <w:szCs w:val="17"/>
                <w:lang w:val="fr-FR"/>
              </w:rPr>
              <w:t xml:space="preserve"> </w:t>
            </w:r>
            <w:r w:rsidRPr="00EE7072">
              <w:rPr>
                <w:szCs w:val="17"/>
                <w:lang w:val="fr-FR"/>
              </w:rPr>
              <w:t>(Rome, 27-28 novembre 2008) concernant la révision de la nomenclature de référence pour des</w:t>
            </w:r>
            <w:r w:rsidR="00632540" w:rsidRPr="00EE7072">
              <w:rPr>
                <w:szCs w:val="17"/>
                <w:lang w:val="fr-FR"/>
              </w:rPr>
              <w:t xml:space="preserve"> </w:t>
            </w:r>
            <w:r w:rsidRPr="00EE7072">
              <w:rPr>
                <w:szCs w:val="17"/>
                <w:lang w:val="fr-FR"/>
              </w:rPr>
              <w:t>espèces de mammifères terrestres et aquatiques, inscrites dans les Annexes de la CMS; et</w:t>
            </w:r>
          </w:p>
        </w:tc>
        <w:tc>
          <w:tcPr>
            <w:tcW w:w="2336" w:type="dxa"/>
            <w:tcBorders>
              <w:bottom w:val="single" w:sz="4" w:space="0" w:color="auto"/>
            </w:tcBorders>
            <w:shd w:val="clear" w:color="auto" w:fill="auto"/>
          </w:tcPr>
          <w:p w14:paraId="614D4B43" w14:textId="6B473731" w:rsidR="004647DB" w:rsidRPr="000749B4" w:rsidRDefault="00B402A3" w:rsidP="0028030F">
            <w:pPr>
              <w:jc w:val="both"/>
            </w:pPr>
            <w:r>
              <w:t>Résolution</w:t>
            </w:r>
            <w:r w:rsidR="004647DB" w:rsidRPr="000749B4">
              <w:t xml:space="preserve"> </w:t>
            </w:r>
            <w:r w:rsidR="004647DB" w:rsidRPr="00135DBE">
              <w:t>9.4</w:t>
            </w:r>
          </w:p>
          <w:p w14:paraId="6D4D3FB9" w14:textId="77777777" w:rsidR="004647DB" w:rsidRPr="000749B4" w:rsidRDefault="004647DB" w:rsidP="0028030F">
            <w:pPr>
              <w:jc w:val="both"/>
            </w:pPr>
          </w:p>
          <w:p w14:paraId="3F85EE2A" w14:textId="59BE41AB" w:rsidR="004647DB" w:rsidRPr="000749B4" w:rsidRDefault="00210C67" w:rsidP="0028030F">
            <w:r>
              <w:t>Conserver</w:t>
            </w:r>
          </w:p>
        </w:tc>
      </w:tr>
      <w:tr w:rsidR="004647DB" w:rsidRPr="003909DD" w14:paraId="3F2A15A7" w14:textId="77777777" w:rsidTr="00A65B6F">
        <w:tc>
          <w:tcPr>
            <w:tcW w:w="6737" w:type="dxa"/>
            <w:tcBorders>
              <w:bottom w:val="single" w:sz="4" w:space="0" w:color="auto"/>
            </w:tcBorders>
            <w:shd w:val="clear" w:color="auto" w:fill="auto"/>
          </w:tcPr>
          <w:p w14:paraId="4601CE55" w14:textId="72A644D2" w:rsidR="004647DB" w:rsidRPr="00EE7072" w:rsidRDefault="00876ED1" w:rsidP="004F121F">
            <w:pPr>
              <w:widowControl/>
              <w:autoSpaceDE/>
              <w:autoSpaceDN/>
              <w:adjustRightInd/>
              <w:jc w:val="both"/>
              <w:rPr>
                <w:szCs w:val="17"/>
                <w:lang w:val="fr-FR"/>
              </w:rPr>
            </w:pPr>
            <w:r w:rsidRPr="00EE7072">
              <w:rPr>
                <w:i/>
                <w:iCs/>
                <w:szCs w:val="17"/>
                <w:lang w:val="fr-FR"/>
              </w:rPr>
              <w:t xml:space="preserve">Notant </w:t>
            </w:r>
            <w:r w:rsidRPr="00EE7072">
              <w:rPr>
                <w:szCs w:val="17"/>
                <w:lang w:val="fr-FR"/>
              </w:rPr>
              <w:t>la recommandation formulée par le Conseil scientifique de la CMS lors de sa 18</w:t>
            </w:r>
            <w:r w:rsidRPr="00EE7072">
              <w:rPr>
                <w:szCs w:val="12"/>
                <w:lang w:val="fr-FR"/>
              </w:rPr>
              <w:t xml:space="preserve">ème </w:t>
            </w:r>
            <w:r w:rsidRPr="00EE7072">
              <w:rPr>
                <w:szCs w:val="17"/>
                <w:lang w:val="fr-FR"/>
              </w:rPr>
              <w:t xml:space="preserve">réunion (Bonn, 1-3 juillet 2014), sur une référence de nomenclature normalisée pour les oiseaux non-passereaux, </w:t>
            </w:r>
            <w:r w:rsidRPr="00EE7072">
              <w:rPr>
                <w:strike/>
                <w:szCs w:val="17"/>
                <w:lang w:val="fr-FR"/>
              </w:rPr>
              <w:t xml:space="preserve">et </w:t>
            </w:r>
            <w:r w:rsidRPr="00EE7072">
              <w:rPr>
                <w:i/>
                <w:iCs/>
                <w:strike/>
                <w:szCs w:val="17"/>
                <w:lang w:val="fr-FR"/>
              </w:rPr>
              <w:t xml:space="preserve">notant également </w:t>
            </w:r>
            <w:r w:rsidRPr="00EE7072">
              <w:rPr>
                <w:strike/>
                <w:szCs w:val="17"/>
                <w:lang w:val="fr-FR"/>
              </w:rPr>
              <w:t>que la taxonomie des albatros et des pétrels dans cette référence est conforme à celle adoptée par l'ACAP</w:t>
            </w:r>
            <w:r w:rsidRPr="00EE7072">
              <w:rPr>
                <w:szCs w:val="17"/>
                <w:lang w:val="fr-FR"/>
              </w:rPr>
              <w:t>; </w:t>
            </w:r>
          </w:p>
        </w:tc>
        <w:tc>
          <w:tcPr>
            <w:tcW w:w="2336" w:type="dxa"/>
            <w:tcBorders>
              <w:bottom w:val="single" w:sz="4" w:space="0" w:color="auto"/>
            </w:tcBorders>
            <w:shd w:val="clear" w:color="auto" w:fill="auto"/>
          </w:tcPr>
          <w:p w14:paraId="5E7BBA68" w14:textId="4AAAA5B4" w:rsidR="004647DB" w:rsidRPr="00193B81" w:rsidRDefault="00B402A3" w:rsidP="0028030F">
            <w:pPr>
              <w:jc w:val="both"/>
              <w:rPr>
                <w:lang w:val="fr-FR"/>
              </w:rPr>
            </w:pPr>
            <w:r w:rsidRPr="00193B81">
              <w:rPr>
                <w:lang w:val="fr-FR"/>
              </w:rPr>
              <w:t>Résolution</w:t>
            </w:r>
            <w:r w:rsidR="004647DB" w:rsidRPr="00193B81">
              <w:rPr>
                <w:lang w:val="fr-FR"/>
              </w:rPr>
              <w:t xml:space="preserve"> 11.19</w:t>
            </w:r>
          </w:p>
          <w:p w14:paraId="4BAB189F" w14:textId="77777777" w:rsidR="004647DB" w:rsidRPr="00193B81" w:rsidRDefault="004647DB" w:rsidP="0028030F">
            <w:pPr>
              <w:jc w:val="both"/>
              <w:rPr>
                <w:lang w:val="fr-FR"/>
              </w:rPr>
            </w:pPr>
          </w:p>
          <w:p w14:paraId="4E557303" w14:textId="3BFDA283" w:rsidR="004647DB" w:rsidRPr="00887584" w:rsidRDefault="00210C67" w:rsidP="0028030F">
            <w:pPr>
              <w:rPr>
                <w:lang w:val="fr-FR"/>
              </w:rPr>
            </w:pPr>
            <w:r w:rsidRPr="00887584">
              <w:rPr>
                <w:lang w:val="fr-FR"/>
              </w:rPr>
              <w:t>Conserver</w:t>
            </w:r>
            <w:r w:rsidR="004647DB" w:rsidRPr="00887584">
              <w:rPr>
                <w:lang w:val="fr-FR"/>
              </w:rPr>
              <w:t xml:space="preserve"> </w:t>
            </w:r>
            <w:r w:rsidR="00135DBE" w:rsidRPr="00887584">
              <w:rPr>
                <w:color w:val="000000" w:themeColor="text1"/>
                <w:lang w:val="fr-FR"/>
              </w:rPr>
              <w:t>tel que modifié</w:t>
            </w:r>
            <w:r w:rsidR="00887584">
              <w:rPr>
                <w:lang w:val="fr-FR"/>
              </w:rPr>
              <w:t>; le texte proposé à supprimer est redondant à la lumière du paragraphe suivant.</w:t>
            </w:r>
          </w:p>
        </w:tc>
      </w:tr>
      <w:tr w:rsidR="00A65B6F" w:rsidRPr="003909DD" w14:paraId="4CBFCEB5" w14:textId="77777777" w:rsidTr="00A65B6F">
        <w:tc>
          <w:tcPr>
            <w:tcW w:w="6737" w:type="dxa"/>
            <w:tcBorders>
              <w:top w:val="single" w:sz="4" w:space="0" w:color="auto"/>
              <w:left w:val="nil"/>
              <w:bottom w:val="nil"/>
              <w:right w:val="nil"/>
            </w:tcBorders>
            <w:shd w:val="clear" w:color="auto" w:fill="auto"/>
          </w:tcPr>
          <w:p w14:paraId="55751D91" w14:textId="77777777" w:rsidR="00A65B6F" w:rsidRPr="00EE7072" w:rsidRDefault="00A65B6F" w:rsidP="004F121F">
            <w:pPr>
              <w:widowControl/>
              <w:autoSpaceDE/>
              <w:autoSpaceDN/>
              <w:adjustRightInd/>
              <w:jc w:val="both"/>
              <w:rPr>
                <w:i/>
                <w:iCs/>
                <w:szCs w:val="17"/>
                <w:lang w:val="fr-FR"/>
              </w:rPr>
            </w:pPr>
          </w:p>
        </w:tc>
        <w:tc>
          <w:tcPr>
            <w:tcW w:w="2336" w:type="dxa"/>
            <w:tcBorders>
              <w:top w:val="single" w:sz="4" w:space="0" w:color="auto"/>
              <w:left w:val="nil"/>
              <w:bottom w:val="nil"/>
              <w:right w:val="nil"/>
            </w:tcBorders>
            <w:shd w:val="clear" w:color="auto" w:fill="auto"/>
          </w:tcPr>
          <w:p w14:paraId="08FC290F" w14:textId="77777777" w:rsidR="00A65B6F" w:rsidRPr="00193B81" w:rsidRDefault="00A65B6F" w:rsidP="0028030F">
            <w:pPr>
              <w:jc w:val="both"/>
              <w:rPr>
                <w:lang w:val="fr-FR"/>
              </w:rPr>
            </w:pPr>
          </w:p>
        </w:tc>
      </w:tr>
      <w:tr w:rsidR="00A65B6F" w:rsidRPr="003909DD" w14:paraId="13BE8834" w14:textId="77777777" w:rsidTr="00A65B6F">
        <w:tc>
          <w:tcPr>
            <w:tcW w:w="6737" w:type="dxa"/>
            <w:tcBorders>
              <w:top w:val="nil"/>
              <w:left w:val="nil"/>
              <w:bottom w:val="nil"/>
              <w:right w:val="nil"/>
            </w:tcBorders>
            <w:shd w:val="clear" w:color="auto" w:fill="auto"/>
          </w:tcPr>
          <w:p w14:paraId="316DAD3E" w14:textId="77777777" w:rsidR="00A65B6F" w:rsidRPr="00EE7072" w:rsidRDefault="00A65B6F" w:rsidP="004F121F">
            <w:pPr>
              <w:widowControl/>
              <w:autoSpaceDE/>
              <w:autoSpaceDN/>
              <w:adjustRightInd/>
              <w:jc w:val="both"/>
              <w:rPr>
                <w:i/>
                <w:iCs/>
                <w:szCs w:val="17"/>
                <w:lang w:val="fr-FR"/>
              </w:rPr>
            </w:pPr>
          </w:p>
        </w:tc>
        <w:tc>
          <w:tcPr>
            <w:tcW w:w="2336" w:type="dxa"/>
            <w:tcBorders>
              <w:top w:val="nil"/>
              <w:left w:val="nil"/>
              <w:bottom w:val="nil"/>
              <w:right w:val="nil"/>
            </w:tcBorders>
            <w:shd w:val="clear" w:color="auto" w:fill="auto"/>
          </w:tcPr>
          <w:p w14:paraId="579BEC21" w14:textId="77777777" w:rsidR="00A65B6F" w:rsidRPr="00193B81" w:rsidRDefault="00A65B6F" w:rsidP="0028030F">
            <w:pPr>
              <w:jc w:val="both"/>
              <w:rPr>
                <w:lang w:val="fr-FR"/>
              </w:rPr>
            </w:pPr>
          </w:p>
        </w:tc>
      </w:tr>
      <w:tr w:rsidR="004647DB" w:rsidRPr="000749B4" w14:paraId="38EA130F" w14:textId="77777777" w:rsidTr="00A65B6F">
        <w:tc>
          <w:tcPr>
            <w:tcW w:w="6737" w:type="dxa"/>
            <w:tcBorders>
              <w:top w:val="nil"/>
            </w:tcBorders>
            <w:shd w:val="clear" w:color="auto" w:fill="auto"/>
          </w:tcPr>
          <w:p w14:paraId="5296C3E9" w14:textId="13CBD638" w:rsidR="004647DB" w:rsidRPr="00EE7072" w:rsidRDefault="00876ED1" w:rsidP="004F121F">
            <w:pPr>
              <w:widowControl/>
              <w:autoSpaceDE/>
              <w:autoSpaceDN/>
              <w:adjustRightInd/>
              <w:jc w:val="both"/>
              <w:rPr>
                <w:szCs w:val="17"/>
                <w:lang w:val="fr-FR"/>
              </w:rPr>
            </w:pPr>
            <w:r w:rsidRPr="00EE7072">
              <w:rPr>
                <w:i/>
                <w:iCs/>
                <w:szCs w:val="17"/>
                <w:lang w:val="fr-FR"/>
              </w:rPr>
              <w:lastRenderedPageBreak/>
              <w:t xml:space="preserve">Notant </w:t>
            </w:r>
            <w:r w:rsidRPr="00EE7072">
              <w:rPr>
                <w:szCs w:val="17"/>
                <w:lang w:val="fr-FR"/>
              </w:rPr>
              <w:t>qu’en ce qui concerne les albatros et les pétrels, la COP10 a adopté la taxonomie utilisée par l’ACAP comme référence de nomenclature normalisée de la Convention, et que l’ACAP tient compte des plus récentes informations taxonomiques sur les espèces d’albatros et de petrels; </w:t>
            </w:r>
          </w:p>
        </w:tc>
        <w:tc>
          <w:tcPr>
            <w:tcW w:w="2336" w:type="dxa"/>
            <w:tcBorders>
              <w:top w:val="nil"/>
            </w:tcBorders>
            <w:shd w:val="clear" w:color="auto" w:fill="auto"/>
          </w:tcPr>
          <w:p w14:paraId="0E5D3227" w14:textId="1949F5FF" w:rsidR="004647DB" w:rsidRPr="000749B4" w:rsidRDefault="00B402A3" w:rsidP="0028030F">
            <w:pPr>
              <w:jc w:val="both"/>
            </w:pPr>
            <w:r>
              <w:t>Résolution</w:t>
            </w:r>
            <w:r w:rsidR="004647DB" w:rsidRPr="000749B4">
              <w:t xml:space="preserve"> 11.19</w:t>
            </w:r>
          </w:p>
          <w:p w14:paraId="2859A9F5" w14:textId="77777777" w:rsidR="004647DB" w:rsidRPr="000749B4" w:rsidRDefault="004647DB" w:rsidP="0028030F">
            <w:pPr>
              <w:jc w:val="both"/>
            </w:pPr>
          </w:p>
          <w:p w14:paraId="7CE6AF90" w14:textId="1F6E50F3" w:rsidR="004647DB" w:rsidRPr="000749B4" w:rsidRDefault="00210C67" w:rsidP="0028030F">
            <w:r>
              <w:t>Conserver</w:t>
            </w:r>
          </w:p>
        </w:tc>
      </w:tr>
      <w:tr w:rsidR="004647DB" w:rsidRPr="00A65B6F" w14:paraId="3B13CF7D" w14:textId="77777777" w:rsidTr="00135DBE">
        <w:tc>
          <w:tcPr>
            <w:tcW w:w="6737" w:type="dxa"/>
            <w:shd w:val="clear" w:color="auto" w:fill="auto"/>
          </w:tcPr>
          <w:p w14:paraId="7B966D9A" w14:textId="0DE5CE54" w:rsidR="004647DB" w:rsidRPr="00EE7072" w:rsidRDefault="007A4206" w:rsidP="004F121F">
            <w:pPr>
              <w:widowControl/>
              <w:autoSpaceDE/>
              <w:autoSpaceDN/>
              <w:adjustRightInd/>
              <w:jc w:val="both"/>
              <w:rPr>
                <w:strike/>
                <w:szCs w:val="17"/>
                <w:lang w:val="fr-FR"/>
              </w:rPr>
            </w:pPr>
            <w:r w:rsidRPr="00EE7072">
              <w:rPr>
                <w:i/>
                <w:iCs/>
                <w:strike/>
                <w:szCs w:val="17"/>
                <w:lang w:val="fr-FR"/>
              </w:rPr>
              <w:t xml:space="preserve">Notant </w:t>
            </w:r>
            <w:r w:rsidRPr="00EE7072">
              <w:rPr>
                <w:strike/>
                <w:szCs w:val="17"/>
                <w:lang w:val="fr-FR"/>
              </w:rPr>
              <w:t>que la taxonomie utilisée par l'Accord sur la Conservation des Albatros et Pétrels (ACAP) prend en compte les informations taxonomiques les plus récentes sur les espèces d’albatros et de grands pétrels; </w:t>
            </w:r>
          </w:p>
        </w:tc>
        <w:tc>
          <w:tcPr>
            <w:tcW w:w="2336" w:type="dxa"/>
            <w:shd w:val="clear" w:color="auto" w:fill="auto"/>
          </w:tcPr>
          <w:p w14:paraId="4B91757B" w14:textId="4BB463E7" w:rsidR="004647DB" w:rsidRPr="000749B4" w:rsidRDefault="00B402A3" w:rsidP="0028030F">
            <w:pPr>
              <w:jc w:val="both"/>
            </w:pPr>
            <w:r>
              <w:t>Résolution</w:t>
            </w:r>
            <w:r w:rsidR="004647DB" w:rsidRPr="000749B4">
              <w:t xml:space="preserve"> 10.13</w:t>
            </w:r>
          </w:p>
          <w:p w14:paraId="2654D031" w14:textId="77777777" w:rsidR="004647DB" w:rsidRPr="000749B4" w:rsidRDefault="004647DB" w:rsidP="0028030F">
            <w:pPr>
              <w:jc w:val="both"/>
            </w:pPr>
          </w:p>
          <w:p w14:paraId="54F7A222" w14:textId="318B67F7" w:rsidR="004647DB" w:rsidRPr="00A65B6F" w:rsidRDefault="00A65B6F" w:rsidP="0028030F">
            <w:pPr>
              <w:rPr>
                <w:lang w:val="fr-FR"/>
              </w:rPr>
            </w:pPr>
            <w:r>
              <w:rPr>
                <w:lang w:val="fr-FR"/>
              </w:rPr>
              <w:t>Abroger, redondant</w:t>
            </w:r>
          </w:p>
        </w:tc>
      </w:tr>
      <w:tr w:rsidR="004647DB" w:rsidRPr="000749B4" w14:paraId="47F7F28C" w14:textId="77777777" w:rsidTr="00135DBE">
        <w:tc>
          <w:tcPr>
            <w:tcW w:w="6737" w:type="dxa"/>
            <w:shd w:val="clear" w:color="auto" w:fill="auto"/>
          </w:tcPr>
          <w:p w14:paraId="1E97497C" w14:textId="2E6B3C3F" w:rsidR="004647DB" w:rsidRPr="00EE7072" w:rsidRDefault="00074DA7" w:rsidP="00632540">
            <w:pPr>
              <w:widowControl/>
              <w:autoSpaceDE/>
              <w:autoSpaceDN/>
              <w:adjustRightInd/>
              <w:jc w:val="both"/>
              <w:rPr>
                <w:strike/>
                <w:szCs w:val="17"/>
                <w:lang w:val="fr-FR"/>
              </w:rPr>
            </w:pPr>
            <w:r w:rsidRPr="00EE7072">
              <w:rPr>
                <w:i/>
                <w:strike/>
                <w:szCs w:val="17"/>
                <w:lang w:val="fr-FR"/>
              </w:rPr>
              <w:t>Notant</w:t>
            </w:r>
            <w:r w:rsidRPr="00EE7072">
              <w:rPr>
                <w:strike/>
                <w:szCs w:val="17"/>
                <w:lang w:val="fr-FR"/>
              </w:rPr>
              <w:t xml:space="preserve"> que le Programme 1 de l'Accord sur la Conservation des Albatros et des Pétrels</w:t>
            </w:r>
            <w:r w:rsidR="00632540" w:rsidRPr="00EE7072">
              <w:rPr>
                <w:strike/>
                <w:szCs w:val="17"/>
                <w:lang w:val="fr-FR"/>
              </w:rPr>
              <w:t xml:space="preserve"> </w:t>
            </w:r>
            <w:r w:rsidRPr="00EE7072">
              <w:rPr>
                <w:strike/>
                <w:szCs w:val="17"/>
                <w:lang w:val="fr-FR"/>
              </w:rPr>
              <w:t>(ACAP) tient compte des plus récentes informations taxonomiques sur les espèces d'albatros et de</w:t>
            </w:r>
            <w:r w:rsidR="00632540" w:rsidRPr="00EE7072">
              <w:rPr>
                <w:strike/>
                <w:szCs w:val="17"/>
                <w:lang w:val="fr-FR"/>
              </w:rPr>
              <w:t xml:space="preserve"> </w:t>
            </w:r>
            <w:r w:rsidRPr="00EE7072">
              <w:rPr>
                <w:strike/>
                <w:szCs w:val="17"/>
                <w:lang w:val="fr-FR"/>
              </w:rPr>
              <w:t>grands pétrels;</w:t>
            </w:r>
          </w:p>
        </w:tc>
        <w:tc>
          <w:tcPr>
            <w:tcW w:w="2336" w:type="dxa"/>
            <w:shd w:val="clear" w:color="auto" w:fill="auto"/>
          </w:tcPr>
          <w:p w14:paraId="56A3855A" w14:textId="33F25D02" w:rsidR="004647DB" w:rsidRPr="000749B4" w:rsidRDefault="00B402A3" w:rsidP="0028030F">
            <w:pPr>
              <w:jc w:val="both"/>
            </w:pPr>
            <w:r>
              <w:t>Recommandation</w:t>
            </w:r>
            <w:r w:rsidR="004647DB" w:rsidRPr="000749B4">
              <w:t xml:space="preserve"> 9.4 </w:t>
            </w:r>
          </w:p>
          <w:p w14:paraId="5A3FBD43" w14:textId="77777777" w:rsidR="004647DB" w:rsidRPr="000749B4" w:rsidRDefault="004647DB" w:rsidP="0028030F">
            <w:pPr>
              <w:jc w:val="both"/>
            </w:pPr>
          </w:p>
          <w:p w14:paraId="2CEAD4F1" w14:textId="18F9EB62" w:rsidR="004647DB" w:rsidRPr="000749B4" w:rsidRDefault="00A65B6F" w:rsidP="0028030F">
            <w:r>
              <w:rPr>
                <w:lang w:val="fr-FR"/>
              </w:rPr>
              <w:t>Abroger, redondant</w:t>
            </w:r>
          </w:p>
        </w:tc>
      </w:tr>
      <w:tr w:rsidR="004647DB" w:rsidRPr="000749B4" w14:paraId="7D62499F" w14:textId="77777777" w:rsidTr="00135DBE">
        <w:tc>
          <w:tcPr>
            <w:tcW w:w="6737" w:type="dxa"/>
            <w:shd w:val="clear" w:color="auto" w:fill="auto"/>
          </w:tcPr>
          <w:p w14:paraId="58AA4CA0" w14:textId="35D8D67B" w:rsidR="004647DB" w:rsidRPr="00EE7072" w:rsidRDefault="007A4206" w:rsidP="004F121F">
            <w:pPr>
              <w:widowControl/>
              <w:autoSpaceDE/>
              <w:autoSpaceDN/>
              <w:adjustRightInd/>
              <w:jc w:val="both"/>
              <w:rPr>
                <w:strike/>
                <w:szCs w:val="17"/>
                <w:lang w:val="fr-FR"/>
              </w:rPr>
            </w:pPr>
            <w:r w:rsidRPr="00EE7072">
              <w:rPr>
                <w:i/>
                <w:iCs/>
                <w:strike/>
                <w:szCs w:val="17"/>
                <w:lang w:val="fr-FR"/>
              </w:rPr>
              <w:t xml:space="preserve">Considérant </w:t>
            </w:r>
            <w:r w:rsidRPr="00EE7072">
              <w:rPr>
                <w:strike/>
                <w:szCs w:val="17"/>
                <w:lang w:val="fr-FR"/>
              </w:rPr>
              <w:t>que l’adoption d’une nouvelle référence peut impliquer des cas de synonymie, le regroupement et/ou la division des espèces, et qu’il doit y avoir des règles convenues sur la façon d’agir dans de tels cas et sur les conséquences reflétées dans les annexes de la CMS ; et qu’à ce jour il n’y a pas de règlement en vigueur pour des cas de regroupement; et </w:t>
            </w:r>
          </w:p>
        </w:tc>
        <w:tc>
          <w:tcPr>
            <w:tcW w:w="2336" w:type="dxa"/>
            <w:shd w:val="clear" w:color="auto" w:fill="auto"/>
          </w:tcPr>
          <w:p w14:paraId="487A30BB" w14:textId="0526537C" w:rsidR="004647DB" w:rsidRPr="000749B4" w:rsidRDefault="00B402A3" w:rsidP="0028030F">
            <w:pPr>
              <w:jc w:val="both"/>
            </w:pPr>
            <w:r>
              <w:t>Résolution</w:t>
            </w:r>
            <w:r w:rsidR="004647DB" w:rsidRPr="000749B4">
              <w:t xml:space="preserve"> 10.13</w:t>
            </w:r>
          </w:p>
          <w:p w14:paraId="12AC6415" w14:textId="77777777" w:rsidR="004647DB" w:rsidRPr="000749B4" w:rsidRDefault="004647DB" w:rsidP="0028030F">
            <w:pPr>
              <w:jc w:val="both"/>
            </w:pPr>
          </w:p>
          <w:p w14:paraId="184A81CD" w14:textId="6E5BC6FD" w:rsidR="004647DB" w:rsidRPr="000749B4" w:rsidRDefault="00A65B6F" w:rsidP="00135DBE">
            <w:r>
              <w:t>Abroger</w:t>
            </w:r>
          </w:p>
        </w:tc>
      </w:tr>
      <w:tr w:rsidR="004647DB" w:rsidRPr="003909DD" w14:paraId="75FA9C54" w14:textId="77777777" w:rsidTr="00135DBE">
        <w:tc>
          <w:tcPr>
            <w:tcW w:w="6737" w:type="dxa"/>
            <w:shd w:val="clear" w:color="auto" w:fill="auto"/>
          </w:tcPr>
          <w:p w14:paraId="3411320B" w14:textId="1DB12899" w:rsidR="004647DB" w:rsidRPr="00EE7072" w:rsidRDefault="00876ED1" w:rsidP="004F121F">
            <w:pPr>
              <w:widowControl/>
              <w:autoSpaceDE/>
              <w:autoSpaceDN/>
              <w:adjustRightInd/>
              <w:jc w:val="both"/>
              <w:rPr>
                <w:szCs w:val="17"/>
                <w:lang w:val="fr-FR"/>
              </w:rPr>
            </w:pPr>
            <w:r w:rsidRPr="00EE7072">
              <w:rPr>
                <w:i/>
                <w:iCs/>
                <w:szCs w:val="17"/>
                <w:lang w:val="fr-FR"/>
              </w:rPr>
              <w:t xml:space="preserve">Reconnaissant </w:t>
            </w:r>
            <w:r w:rsidRPr="00EE7072">
              <w:rPr>
                <w:szCs w:val="17"/>
                <w:lang w:val="fr-FR"/>
              </w:rPr>
              <w:t xml:space="preserve">que l’adoption d’une nouvelle référence </w:t>
            </w:r>
            <w:r w:rsidRPr="00EE7072">
              <w:rPr>
                <w:strike/>
                <w:szCs w:val="17"/>
                <w:lang w:val="fr-FR"/>
              </w:rPr>
              <w:t>pour les oiseaux</w:t>
            </w:r>
            <w:r w:rsidRPr="00EE7072">
              <w:rPr>
                <w:szCs w:val="17"/>
                <w:lang w:val="fr-FR"/>
              </w:rPr>
              <w:t xml:space="preserve"> peut impliquer des cas de synonymie, de regroupement (fusion) et/ou de division d’espèces, et que la CMS a convenu de règles sur la façon d’agir dans de tels cas et de leur</w:t>
            </w:r>
            <w:r w:rsidR="00A65B6F">
              <w:rPr>
                <w:szCs w:val="17"/>
                <w:lang w:val="fr-FR"/>
              </w:rPr>
              <w:t>s implications pour les A</w:t>
            </w:r>
            <w:r w:rsidR="00A4481D" w:rsidRPr="00EE7072">
              <w:rPr>
                <w:szCs w:val="17"/>
                <w:lang w:val="fr-FR"/>
              </w:rPr>
              <w:t>nnexes</w:t>
            </w:r>
            <w:r w:rsidRPr="00EE7072">
              <w:rPr>
                <w:szCs w:val="17"/>
                <w:lang w:val="fr-FR"/>
              </w:rPr>
              <w:t xml:space="preserve">; </w:t>
            </w:r>
            <w:r w:rsidRPr="00EE7072">
              <w:rPr>
                <w:strike/>
                <w:szCs w:val="17"/>
                <w:lang w:val="fr-FR"/>
              </w:rPr>
              <w:t>et </w:t>
            </w:r>
          </w:p>
        </w:tc>
        <w:tc>
          <w:tcPr>
            <w:tcW w:w="2336" w:type="dxa"/>
            <w:shd w:val="clear" w:color="auto" w:fill="auto"/>
          </w:tcPr>
          <w:p w14:paraId="554875B4" w14:textId="5CCBA204" w:rsidR="004647DB" w:rsidRPr="00A65B6F" w:rsidRDefault="00B402A3" w:rsidP="0028030F">
            <w:pPr>
              <w:jc w:val="both"/>
              <w:rPr>
                <w:lang w:val="fr-FR"/>
              </w:rPr>
            </w:pPr>
            <w:r w:rsidRPr="00A65B6F">
              <w:rPr>
                <w:lang w:val="fr-FR"/>
              </w:rPr>
              <w:t>Résolution</w:t>
            </w:r>
            <w:r w:rsidR="004647DB" w:rsidRPr="00A65B6F">
              <w:rPr>
                <w:lang w:val="fr-FR"/>
              </w:rPr>
              <w:t xml:space="preserve"> 11.19</w:t>
            </w:r>
          </w:p>
          <w:p w14:paraId="57D8616A" w14:textId="77777777" w:rsidR="004647DB" w:rsidRPr="00A65B6F" w:rsidRDefault="004647DB" w:rsidP="0028030F">
            <w:pPr>
              <w:jc w:val="both"/>
              <w:rPr>
                <w:lang w:val="fr-FR"/>
              </w:rPr>
            </w:pPr>
          </w:p>
          <w:p w14:paraId="12B99E4D" w14:textId="7F5CB094" w:rsidR="004647DB" w:rsidRPr="00A65B6F" w:rsidRDefault="00210C67" w:rsidP="0028030F">
            <w:pPr>
              <w:rPr>
                <w:lang w:val="fr-FR"/>
              </w:rPr>
            </w:pPr>
            <w:r w:rsidRPr="00A65B6F">
              <w:rPr>
                <w:lang w:val="fr-FR"/>
              </w:rPr>
              <w:t>Conserver</w:t>
            </w:r>
            <w:r w:rsidR="00A65B6F" w:rsidRPr="00A65B6F">
              <w:rPr>
                <w:lang w:val="fr-FR"/>
              </w:rPr>
              <w:t xml:space="preserve"> tel que modifi</w:t>
            </w:r>
            <w:r w:rsidR="00A65B6F">
              <w:rPr>
                <w:lang w:val="fr-FR"/>
              </w:rPr>
              <w:t>é</w:t>
            </w:r>
          </w:p>
        </w:tc>
      </w:tr>
      <w:tr w:rsidR="004647DB" w:rsidRPr="000749B4" w14:paraId="16F13690" w14:textId="77777777" w:rsidTr="00135DBE">
        <w:tc>
          <w:tcPr>
            <w:tcW w:w="6737" w:type="dxa"/>
            <w:shd w:val="clear" w:color="auto" w:fill="auto"/>
          </w:tcPr>
          <w:p w14:paraId="563E6174" w14:textId="41F3FD6E" w:rsidR="004647DB" w:rsidRPr="00EE7072" w:rsidRDefault="007A4206" w:rsidP="004F121F">
            <w:pPr>
              <w:widowControl/>
              <w:autoSpaceDE/>
              <w:autoSpaceDN/>
              <w:adjustRightInd/>
              <w:jc w:val="both"/>
              <w:rPr>
                <w:szCs w:val="17"/>
                <w:lang w:val="fr-FR"/>
              </w:rPr>
            </w:pPr>
            <w:r w:rsidRPr="00EE7072">
              <w:rPr>
                <w:i/>
                <w:iCs/>
                <w:szCs w:val="17"/>
                <w:lang w:val="fr-FR"/>
              </w:rPr>
              <w:t xml:space="preserve">Notant </w:t>
            </w:r>
            <w:r w:rsidRPr="00EE7072">
              <w:rPr>
                <w:szCs w:val="17"/>
                <w:lang w:val="fr-FR"/>
              </w:rPr>
              <w:t>l’avis du Conseil scientifique de la CMS lors de sa 17</w:t>
            </w:r>
            <w:r w:rsidRPr="00EE7072">
              <w:rPr>
                <w:szCs w:val="12"/>
                <w:lang w:val="fr-FR"/>
              </w:rPr>
              <w:t xml:space="preserve">ème </w:t>
            </w:r>
            <w:r w:rsidRPr="00EE7072">
              <w:rPr>
                <w:szCs w:val="17"/>
                <w:lang w:val="fr-FR"/>
              </w:rPr>
              <w:t>réunion (Bergen, novembre 2011); </w:t>
            </w:r>
          </w:p>
        </w:tc>
        <w:tc>
          <w:tcPr>
            <w:tcW w:w="2336" w:type="dxa"/>
            <w:shd w:val="clear" w:color="auto" w:fill="auto"/>
          </w:tcPr>
          <w:p w14:paraId="544C0AF4" w14:textId="7F9A1BA1" w:rsidR="004647DB" w:rsidRPr="000749B4" w:rsidRDefault="00B402A3" w:rsidP="0028030F">
            <w:pPr>
              <w:jc w:val="both"/>
            </w:pPr>
            <w:r>
              <w:t>Résolution</w:t>
            </w:r>
            <w:r w:rsidR="004647DB" w:rsidRPr="000749B4">
              <w:t xml:space="preserve"> 10.13</w:t>
            </w:r>
          </w:p>
          <w:p w14:paraId="044D1C71" w14:textId="77777777" w:rsidR="004647DB" w:rsidRPr="000749B4" w:rsidRDefault="004647DB" w:rsidP="0028030F">
            <w:pPr>
              <w:jc w:val="both"/>
            </w:pPr>
          </w:p>
          <w:p w14:paraId="322D826C" w14:textId="5118BE58" w:rsidR="004647DB" w:rsidRPr="000749B4" w:rsidRDefault="00210C67" w:rsidP="0028030F">
            <w:r>
              <w:t>Conserver</w:t>
            </w:r>
          </w:p>
        </w:tc>
      </w:tr>
      <w:tr w:rsidR="004647DB" w:rsidRPr="000749B4" w14:paraId="77303C16" w14:textId="77777777" w:rsidTr="00135DBE">
        <w:tc>
          <w:tcPr>
            <w:tcW w:w="6737" w:type="dxa"/>
            <w:shd w:val="clear" w:color="auto" w:fill="auto"/>
          </w:tcPr>
          <w:p w14:paraId="4B2B111C" w14:textId="366AE2EB" w:rsidR="004647DB" w:rsidRPr="00EE7072" w:rsidRDefault="00061F63" w:rsidP="004F121F">
            <w:pPr>
              <w:widowControl/>
              <w:autoSpaceDE/>
              <w:autoSpaceDN/>
              <w:adjustRightInd/>
              <w:jc w:val="both"/>
              <w:rPr>
                <w:szCs w:val="17"/>
                <w:u w:val="single"/>
                <w:lang w:val="fr-FR"/>
              </w:rPr>
            </w:pPr>
            <w:r w:rsidRPr="00EE7072">
              <w:rPr>
                <w:i/>
                <w:iCs/>
                <w:szCs w:val="17"/>
                <w:lang w:val="fr-FR"/>
              </w:rPr>
              <w:t xml:space="preserve">Soulignant </w:t>
            </w:r>
            <w:r w:rsidRPr="00EE7072">
              <w:rPr>
                <w:szCs w:val="17"/>
                <w:lang w:val="fr-FR"/>
              </w:rPr>
              <w:t>que la stabilité au fil du temps de la taxonomie et de la nomenclature des espèces listées sous CMS est essentielle pour assurer une sécurité juridique au niveau de la mise en oeuvre de la Convention; </w:t>
            </w:r>
            <w:r w:rsidR="00A4481D" w:rsidRPr="00EE7072">
              <w:rPr>
                <w:szCs w:val="17"/>
                <w:u w:val="single"/>
                <w:lang w:val="fr-FR"/>
              </w:rPr>
              <w:t>et</w:t>
            </w:r>
          </w:p>
        </w:tc>
        <w:tc>
          <w:tcPr>
            <w:tcW w:w="2336" w:type="dxa"/>
            <w:shd w:val="clear" w:color="auto" w:fill="auto"/>
          </w:tcPr>
          <w:p w14:paraId="0FE5432A" w14:textId="14131955" w:rsidR="004647DB" w:rsidRPr="000749B4" w:rsidRDefault="00B402A3" w:rsidP="0028030F">
            <w:pPr>
              <w:jc w:val="both"/>
            </w:pPr>
            <w:r>
              <w:t>Résolution</w:t>
            </w:r>
            <w:r w:rsidR="004647DB" w:rsidRPr="000749B4">
              <w:t xml:space="preserve"> 11.19</w:t>
            </w:r>
          </w:p>
          <w:p w14:paraId="694E4D31" w14:textId="77777777" w:rsidR="004647DB" w:rsidRPr="000749B4" w:rsidRDefault="004647DB" w:rsidP="0028030F">
            <w:pPr>
              <w:jc w:val="both"/>
            </w:pPr>
          </w:p>
          <w:p w14:paraId="4E3C37A9" w14:textId="0200DD04" w:rsidR="004647DB" w:rsidRPr="000749B4" w:rsidRDefault="00210C67" w:rsidP="0028030F">
            <w:r>
              <w:t>Conserver</w:t>
            </w:r>
          </w:p>
        </w:tc>
      </w:tr>
      <w:tr w:rsidR="004647DB" w:rsidRPr="000749B4" w14:paraId="1C6CD6F7" w14:textId="77777777" w:rsidTr="00135DBE">
        <w:tc>
          <w:tcPr>
            <w:tcW w:w="6737" w:type="dxa"/>
            <w:shd w:val="clear" w:color="auto" w:fill="auto"/>
          </w:tcPr>
          <w:p w14:paraId="2D02CA61" w14:textId="1F015A2E" w:rsidR="004647DB" w:rsidRPr="00EE7072" w:rsidRDefault="000D4CDB" w:rsidP="00632540">
            <w:pPr>
              <w:widowControl/>
              <w:autoSpaceDE/>
              <w:autoSpaceDN/>
              <w:adjustRightInd/>
              <w:jc w:val="both"/>
              <w:rPr>
                <w:szCs w:val="17"/>
                <w:lang w:val="fr-FR"/>
              </w:rPr>
            </w:pPr>
            <w:r w:rsidRPr="00A65B6F">
              <w:rPr>
                <w:i/>
                <w:szCs w:val="17"/>
                <w:lang w:val="fr-FR"/>
              </w:rPr>
              <w:t>Reconnaissant</w:t>
            </w:r>
            <w:r w:rsidRPr="00EE7072">
              <w:rPr>
                <w:szCs w:val="17"/>
                <w:lang w:val="fr-FR"/>
              </w:rPr>
              <w:t xml:space="preserve"> que la taxonomie utilisée dans les Annexes à la Convention sera plus utile aux</w:t>
            </w:r>
            <w:r w:rsidR="00632540" w:rsidRPr="00EE7072">
              <w:rPr>
                <w:szCs w:val="17"/>
                <w:lang w:val="fr-FR"/>
              </w:rPr>
              <w:t xml:space="preserve"> </w:t>
            </w:r>
            <w:r w:rsidRPr="00EE7072">
              <w:rPr>
                <w:szCs w:val="17"/>
                <w:lang w:val="fr-FR"/>
              </w:rPr>
              <w:t>Parties si elle est normalisée par des références de nomenclature;</w:t>
            </w:r>
          </w:p>
        </w:tc>
        <w:tc>
          <w:tcPr>
            <w:tcW w:w="2336" w:type="dxa"/>
            <w:shd w:val="clear" w:color="auto" w:fill="auto"/>
          </w:tcPr>
          <w:p w14:paraId="618A81F2" w14:textId="7BA9F48E" w:rsidR="004647DB" w:rsidRPr="000749B4" w:rsidRDefault="00B402A3" w:rsidP="0028030F">
            <w:pPr>
              <w:jc w:val="both"/>
            </w:pPr>
            <w:r>
              <w:t>Recommandation</w:t>
            </w:r>
            <w:r w:rsidR="004647DB" w:rsidRPr="000749B4">
              <w:t xml:space="preserve"> 6.1</w:t>
            </w:r>
          </w:p>
          <w:p w14:paraId="19A8113C" w14:textId="77777777" w:rsidR="004647DB" w:rsidRPr="000749B4" w:rsidRDefault="004647DB" w:rsidP="0028030F">
            <w:pPr>
              <w:jc w:val="both"/>
            </w:pPr>
          </w:p>
          <w:p w14:paraId="5F1AA65B" w14:textId="007CE4A4" w:rsidR="004647DB" w:rsidRPr="000749B4" w:rsidRDefault="00210C67" w:rsidP="0028030F">
            <w:r>
              <w:t>Conserver</w:t>
            </w:r>
          </w:p>
        </w:tc>
      </w:tr>
      <w:tr w:rsidR="004647DB" w:rsidRPr="003909DD" w14:paraId="295EB332" w14:textId="77777777" w:rsidTr="004647DB">
        <w:tc>
          <w:tcPr>
            <w:tcW w:w="9073" w:type="dxa"/>
            <w:gridSpan w:val="2"/>
            <w:shd w:val="clear" w:color="auto" w:fill="D9D9D9" w:themeFill="background1" w:themeFillShade="D9"/>
          </w:tcPr>
          <w:p w14:paraId="39EE28DD" w14:textId="77777777" w:rsidR="00A65B6F" w:rsidRDefault="004647DB" w:rsidP="004F121F">
            <w:pPr>
              <w:jc w:val="center"/>
              <w:rPr>
                <w:i/>
                <w:lang w:val="fr-FR"/>
              </w:rPr>
            </w:pPr>
            <w:r w:rsidRPr="000749B4">
              <w:rPr>
                <w:i/>
                <w:lang w:val="fr-FR"/>
              </w:rPr>
              <w:t xml:space="preserve">La Conférence des Parties à la </w:t>
            </w:r>
          </w:p>
          <w:p w14:paraId="140F488B" w14:textId="656AF103" w:rsidR="004647DB" w:rsidRPr="00A65B6F" w:rsidRDefault="004647DB" w:rsidP="00A65B6F">
            <w:pPr>
              <w:jc w:val="center"/>
              <w:rPr>
                <w:i/>
                <w:lang w:val="fr-FR"/>
              </w:rPr>
            </w:pPr>
            <w:r w:rsidRPr="000749B4">
              <w:rPr>
                <w:i/>
                <w:lang w:val="fr-FR"/>
              </w:rPr>
              <w:t>Convention sur la conservation des espèces migratrices appartenant à la faune sauvage</w:t>
            </w:r>
          </w:p>
        </w:tc>
      </w:tr>
      <w:tr w:rsidR="004647DB" w:rsidRPr="003909DD" w14:paraId="70275F65" w14:textId="77777777" w:rsidTr="006E269E">
        <w:tc>
          <w:tcPr>
            <w:tcW w:w="6737" w:type="dxa"/>
            <w:tcBorders>
              <w:bottom w:val="single" w:sz="4" w:space="0" w:color="auto"/>
            </w:tcBorders>
            <w:shd w:val="clear" w:color="auto" w:fill="auto"/>
          </w:tcPr>
          <w:p w14:paraId="30AAF781" w14:textId="29CC2399" w:rsidR="004647DB" w:rsidRPr="00EE7072" w:rsidRDefault="003C2826" w:rsidP="00F10CDB">
            <w:pPr>
              <w:widowControl/>
              <w:autoSpaceDE/>
              <w:autoSpaceDN/>
              <w:adjustRightInd/>
              <w:jc w:val="both"/>
              <w:rPr>
                <w:szCs w:val="17"/>
                <w:lang w:val="fr-FR"/>
              </w:rPr>
            </w:pPr>
            <w:r w:rsidRPr="00EE7072">
              <w:rPr>
                <w:szCs w:val="17"/>
                <w:lang w:val="fr-FR"/>
              </w:rPr>
              <w:t xml:space="preserve">1. </w:t>
            </w:r>
            <w:r w:rsidRPr="00A65B6F">
              <w:rPr>
                <w:strike/>
                <w:szCs w:val="17"/>
                <w:lang w:val="fr-FR"/>
              </w:rPr>
              <w:t>Recommande que</w:t>
            </w:r>
            <w:r w:rsidRPr="00EE7072">
              <w:rPr>
                <w:szCs w:val="17"/>
                <w:lang w:val="fr-FR"/>
              </w:rPr>
              <w:t xml:space="preserve"> </w:t>
            </w:r>
            <w:r w:rsidR="00A65B6F" w:rsidRPr="00A65B6F">
              <w:rPr>
                <w:i/>
                <w:szCs w:val="17"/>
                <w:u w:val="single"/>
                <w:lang w:val="fr-FR"/>
              </w:rPr>
              <w:t>Adopte</w:t>
            </w:r>
            <w:r w:rsidR="00A65B6F">
              <w:rPr>
                <w:szCs w:val="17"/>
                <w:lang w:val="fr-FR"/>
              </w:rPr>
              <w:t xml:space="preserve"> </w:t>
            </w:r>
            <w:r w:rsidRPr="00EE7072">
              <w:rPr>
                <w:szCs w:val="17"/>
                <w:lang w:val="fr-FR"/>
              </w:rPr>
              <w:t xml:space="preserve">la liste </w:t>
            </w:r>
            <w:r w:rsidRPr="00A65B6F">
              <w:rPr>
                <w:strike/>
                <w:szCs w:val="17"/>
                <w:lang w:val="fr-FR"/>
              </w:rPr>
              <w:t>ci-après</w:t>
            </w:r>
            <w:r w:rsidRPr="00EE7072">
              <w:rPr>
                <w:szCs w:val="17"/>
                <w:lang w:val="fr-FR"/>
              </w:rPr>
              <w:t xml:space="preserve"> de références normalisées</w:t>
            </w:r>
            <w:r w:rsidR="00F10CDB" w:rsidRPr="00EE7072">
              <w:rPr>
                <w:rStyle w:val="FootnoteReference"/>
                <w:szCs w:val="17"/>
                <w:vertAlign w:val="superscript"/>
                <w:lang w:val="fr-FR"/>
              </w:rPr>
              <w:footnoteReference w:customMarkFollows="1" w:id="1"/>
              <w:t>1</w:t>
            </w:r>
            <w:r w:rsidRPr="00EE7072">
              <w:rPr>
                <w:szCs w:val="11"/>
                <w:lang w:val="fr-FR"/>
              </w:rPr>
              <w:t xml:space="preserve"> </w:t>
            </w:r>
            <w:r w:rsidR="00A65B6F" w:rsidRPr="00A65B6F">
              <w:rPr>
                <w:szCs w:val="11"/>
                <w:u w:val="single"/>
                <w:lang w:val="fr-FR"/>
              </w:rPr>
              <w:t>figurant à l’Annexe</w:t>
            </w:r>
            <w:r w:rsidR="00A65B6F">
              <w:rPr>
                <w:szCs w:val="11"/>
                <w:lang w:val="fr-FR"/>
              </w:rPr>
              <w:t xml:space="preserve"> </w:t>
            </w:r>
            <w:r w:rsidR="00A65B6F" w:rsidRPr="00A65B6F">
              <w:rPr>
                <w:szCs w:val="11"/>
                <w:u w:val="single"/>
                <w:lang w:val="fr-FR"/>
              </w:rPr>
              <w:t>à être</w:t>
            </w:r>
            <w:r w:rsidR="00A65B6F">
              <w:rPr>
                <w:szCs w:val="11"/>
                <w:lang w:val="fr-FR"/>
              </w:rPr>
              <w:t xml:space="preserve"> </w:t>
            </w:r>
            <w:r w:rsidRPr="00A65B6F">
              <w:rPr>
                <w:strike/>
                <w:szCs w:val="17"/>
                <w:lang w:val="fr-FR"/>
              </w:rPr>
              <w:t>soit</w:t>
            </w:r>
            <w:r w:rsidRPr="00EE7072">
              <w:rPr>
                <w:szCs w:val="17"/>
                <w:lang w:val="fr-FR"/>
              </w:rPr>
              <w:t xml:space="preserve"> retenue et utilisée dans la</w:t>
            </w:r>
            <w:r w:rsidR="00585947" w:rsidRPr="00EE7072">
              <w:rPr>
                <w:szCs w:val="17"/>
                <w:lang w:val="fr-FR"/>
              </w:rPr>
              <w:t xml:space="preserve"> </w:t>
            </w:r>
            <w:r w:rsidRPr="00EE7072">
              <w:rPr>
                <w:szCs w:val="17"/>
                <w:lang w:val="fr-FR"/>
              </w:rPr>
              <w:t>préparation de propositions pour amender les annexes à la CMS;</w:t>
            </w:r>
          </w:p>
        </w:tc>
        <w:tc>
          <w:tcPr>
            <w:tcW w:w="2336" w:type="dxa"/>
            <w:tcBorders>
              <w:bottom w:val="single" w:sz="4" w:space="0" w:color="auto"/>
            </w:tcBorders>
            <w:shd w:val="clear" w:color="auto" w:fill="auto"/>
          </w:tcPr>
          <w:p w14:paraId="6BBA379D" w14:textId="287E8FFF" w:rsidR="004647DB" w:rsidRPr="00A65B6F" w:rsidRDefault="00B402A3" w:rsidP="0028030F">
            <w:pPr>
              <w:rPr>
                <w:lang w:val="fr-FR"/>
              </w:rPr>
            </w:pPr>
            <w:r w:rsidRPr="00A65B6F">
              <w:rPr>
                <w:lang w:val="fr-FR"/>
              </w:rPr>
              <w:t>Recommandation</w:t>
            </w:r>
            <w:r w:rsidR="004647DB" w:rsidRPr="00A65B6F">
              <w:rPr>
                <w:lang w:val="fr-FR"/>
              </w:rPr>
              <w:t xml:space="preserve"> 6.1</w:t>
            </w:r>
          </w:p>
          <w:p w14:paraId="61F478F2" w14:textId="77777777" w:rsidR="004647DB" w:rsidRPr="00A65B6F" w:rsidRDefault="004647DB" w:rsidP="0028030F">
            <w:pPr>
              <w:rPr>
                <w:lang w:val="fr-FR"/>
              </w:rPr>
            </w:pPr>
          </w:p>
          <w:p w14:paraId="29E5CE48" w14:textId="3491F7A3" w:rsidR="004647DB" w:rsidRPr="00A65B6F" w:rsidRDefault="00210C67" w:rsidP="0028030F">
            <w:pPr>
              <w:rPr>
                <w:lang w:val="fr-FR"/>
              </w:rPr>
            </w:pPr>
            <w:r w:rsidRPr="00A65B6F">
              <w:rPr>
                <w:lang w:val="fr-FR"/>
              </w:rPr>
              <w:t>Conserver</w:t>
            </w:r>
            <w:r w:rsidR="004647DB" w:rsidRPr="00A65B6F">
              <w:rPr>
                <w:lang w:val="fr-FR"/>
              </w:rPr>
              <w:t xml:space="preserve"> </w:t>
            </w:r>
            <w:r w:rsidR="00A65B6F" w:rsidRPr="00A65B6F">
              <w:rPr>
                <w:lang w:val="fr-FR"/>
              </w:rPr>
              <w:t>avec le nouveau texte pour refl</w:t>
            </w:r>
            <w:r w:rsidR="00A65B6F">
              <w:rPr>
                <w:lang w:val="fr-FR"/>
              </w:rPr>
              <w:t>éter le regroupement</w:t>
            </w:r>
          </w:p>
        </w:tc>
      </w:tr>
      <w:tr w:rsidR="004647DB" w:rsidRPr="000749B4" w14:paraId="5042B6EF" w14:textId="77777777" w:rsidTr="006E269E">
        <w:tc>
          <w:tcPr>
            <w:tcW w:w="6737" w:type="dxa"/>
            <w:tcBorders>
              <w:bottom w:val="single" w:sz="4" w:space="0" w:color="auto"/>
            </w:tcBorders>
            <w:shd w:val="clear" w:color="auto" w:fill="auto"/>
          </w:tcPr>
          <w:p w14:paraId="4C31DF9A" w14:textId="167E81AD" w:rsidR="004647DB" w:rsidRPr="00EE7072" w:rsidRDefault="005A19CC" w:rsidP="004F121F">
            <w:pPr>
              <w:widowControl/>
              <w:autoSpaceDE/>
              <w:autoSpaceDN/>
              <w:adjustRightInd/>
              <w:jc w:val="both"/>
              <w:rPr>
                <w:strike/>
                <w:szCs w:val="17"/>
                <w:lang w:val="fr-FR"/>
              </w:rPr>
            </w:pPr>
            <w:r w:rsidRPr="00EE7072">
              <w:rPr>
                <w:strike/>
                <w:szCs w:val="17"/>
                <w:lang w:val="fr-FR"/>
              </w:rPr>
              <w:t xml:space="preserve">3 </w:t>
            </w:r>
            <w:r w:rsidRPr="00EE7072">
              <w:rPr>
                <w:i/>
                <w:iCs/>
                <w:strike/>
                <w:szCs w:val="17"/>
                <w:lang w:val="fr-FR"/>
              </w:rPr>
              <w:t xml:space="preserve">Prie </w:t>
            </w:r>
            <w:r w:rsidRPr="00EE7072">
              <w:rPr>
                <w:strike/>
                <w:szCs w:val="17"/>
                <w:lang w:val="fr-FR"/>
              </w:rPr>
              <w:t>le Conseil scientifique de considérer les implications d’une future adoption du Handbook of the Birds of the World/BirdLife International Illustrated Checklist of the Birds of the World, Volume 2: Passerines, qui doit être publié en 2016, comme référence standard pour la taxonomie et la nomenclature des oiseaux passereaux </w:t>
            </w:r>
          </w:p>
        </w:tc>
        <w:tc>
          <w:tcPr>
            <w:tcW w:w="2336" w:type="dxa"/>
            <w:tcBorders>
              <w:bottom w:val="single" w:sz="4" w:space="0" w:color="auto"/>
            </w:tcBorders>
            <w:shd w:val="clear" w:color="auto" w:fill="auto"/>
          </w:tcPr>
          <w:p w14:paraId="35606D33" w14:textId="3CEA6B8D" w:rsidR="004647DB" w:rsidRPr="000749B4" w:rsidRDefault="00B402A3" w:rsidP="0028030F">
            <w:r>
              <w:t>Résolution</w:t>
            </w:r>
            <w:r w:rsidR="004647DB" w:rsidRPr="000749B4">
              <w:t xml:space="preserve"> 11.19</w:t>
            </w:r>
          </w:p>
          <w:p w14:paraId="4F49FFB0" w14:textId="77777777" w:rsidR="004647DB" w:rsidRPr="000749B4" w:rsidRDefault="004647DB" w:rsidP="0028030F"/>
          <w:p w14:paraId="305BE3E6" w14:textId="4C42A105" w:rsidR="004647DB" w:rsidRPr="000749B4" w:rsidRDefault="00A65B6F" w:rsidP="0028030F">
            <w:r>
              <w:rPr>
                <w:color w:val="000000" w:themeColor="text1"/>
                <w:lang w:val="fr-FR"/>
              </w:rPr>
              <w:t>Abroger</w:t>
            </w:r>
            <w:r w:rsidR="003F0CC0" w:rsidRPr="00C079EF">
              <w:rPr>
                <w:color w:val="000000" w:themeColor="text1"/>
                <w:lang w:val="fr-FR"/>
              </w:rPr>
              <w:t>; travail achevé</w:t>
            </w:r>
          </w:p>
        </w:tc>
      </w:tr>
      <w:tr w:rsidR="006E269E" w:rsidRPr="000749B4" w14:paraId="71661374" w14:textId="77777777" w:rsidTr="006E269E">
        <w:tc>
          <w:tcPr>
            <w:tcW w:w="6737" w:type="dxa"/>
            <w:tcBorders>
              <w:top w:val="single" w:sz="4" w:space="0" w:color="auto"/>
              <w:left w:val="nil"/>
              <w:bottom w:val="nil"/>
              <w:right w:val="nil"/>
            </w:tcBorders>
            <w:shd w:val="clear" w:color="auto" w:fill="auto"/>
          </w:tcPr>
          <w:p w14:paraId="7E89B317" w14:textId="77777777" w:rsidR="006E269E" w:rsidRPr="00EE7072" w:rsidRDefault="006E269E" w:rsidP="004F121F">
            <w:pPr>
              <w:widowControl/>
              <w:autoSpaceDE/>
              <w:autoSpaceDN/>
              <w:adjustRightInd/>
              <w:jc w:val="both"/>
              <w:rPr>
                <w:strike/>
                <w:szCs w:val="17"/>
                <w:lang w:val="fr-FR"/>
              </w:rPr>
            </w:pPr>
          </w:p>
        </w:tc>
        <w:tc>
          <w:tcPr>
            <w:tcW w:w="2336" w:type="dxa"/>
            <w:tcBorders>
              <w:top w:val="single" w:sz="4" w:space="0" w:color="auto"/>
              <w:left w:val="nil"/>
              <w:bottom w:val="nil"/>
              <w:right w:val="nil"/>
            </w:tcBorders>
            <w:shd w:val="clear" w:color="auto" w:fill="auto"/>
          </w:tcPr>
          <w:p w14:paraId="03A87A3C" w14:textId="77777777" w:rsidR="006E269E" w:rsidRDefault="006E269E" w:rsidP="0028030F"/>
        </w:tc>
      </w:tr>
      <w:tr w:rsidR="006E269E" w:rsidRPr="000749B4" w14:paraId="2E2C4370" w14:textId="77777777" w:rsidTr="006E269E">
        <w:tc>
          <w:tcPr>
            <w:tcW w:w="6737" w:type="dxa"/>
            <w:tcBorders>
              <w:top w:val="nil"/>
              <w:left w:val="nil"/>
              <w:bottom w:val="nil"/>
              <w:right w:val="nil"/>
            </w:tcBorders>
            <w:shd w:val="clear" w:color="auto" w:fill="auto"/>
          </w:tcPr>
          <w:p w14:paraId="13D33DAA" w14:textId="77777777" w:rsidR="006E269E" w:rsidRPr="00EE7072" w:rsidRDefault="006E269E" w:rsidP="004F121F">
            <w:pPr>
              <w:widowControl/>
              <w:autoSpaceDE/>
              <w:autoSpaceDN/>
              <w:adjustRightInd/>
              <w:jc w:val="both"/>
              <w:rPr>
                <w:strike/>
                <w:szCs w:val="17"/>
                <w:lang w:val="fr-FR"/>
              </w:rPr>
            </w:pPr>
          </w:p>
        </w:tc>
        <w:tc>
          <w:tcPr>
            <w:tcW w:w="2336" w:type="dxa"/>
            <w:tcBorders>
              <w:top w:val="nil"/>
              <w:left w:val="nil"/>
              <w:bottom w:val="nil"/>
              <w:right w:val="nil"/>
            </w:tcBorders>
            <w:shd w:val="clear" w:color="auto" w:fill="auto"/>
          </w:tcPr>
          <w:p w14:paraId="29F16E96" w14:textId="77777777" w:rsidR="006E269E" w:rsidRDefault="006E269E" w:rsidP="0028030F"/>
        </w:tc>
      </w:tr>
      <w:tr w:rsidR="006E269E" w:rsidRPr="000749B4" w14:paraId="3F9C9B34" w14:textId="77777777" w:rsidTr="006E269E">
        <w:tc>
          <w:tcPr>
            <w:tcW w:w="6737" w:type="dxa"/>
            <w:tcBorders>
              <w:top w:val="nil"/>
              <w:left w:val="nil"/>
              <w:bottom w:val="nil"/>
              <w:right w:val="nil"/>
            </w:tcBorders>
            <w:shd w:val="clear" w:color="auto" w:fill="auto"/>
          </w:tcPr>
          <w:p w14:paraId="51770726" w14:textId="77777777" w:rsidR="006E269E" w:rsidRPr="00EE7072" w:rsidRDefault="006E269E" w:rsidP="004F121F">
            <w:pPr>
              <w:widowControl/>
              <w:autoSpaceDE/>
              <w:autoSpaceDN/>
              <w:adjustRightInd/>
              <w:jc w:val="both"/>
              <w:rPr>
                <w:strike/>
                <w:szCs w:val="17"/>
                <w:lang w:val="fr-FR"/>
              </w:rPr>
            </w:pPr>
          </w:p>
        </w:tc>
        <w:tc>
          <w:tcPr>
            <w:tcW w:w="2336" w:type="dxa"/>
            <w:tcBorders>
              <w:top w:val="nil"/>
              <w:left w:val="nil"/>
              <w:bottom w:val="nil"/>
              <w:right w:val="nil"/>
            </w:tcBorders>
            <w:shd w:val="clear" w:color="auto" w:fill="auto"/>
          </w:tcPr>
          <w:p w14:paraId="5E5A0C74" w14:textId="77777777" w:rsidR="006E269E" w:rsidRDefault="006E269E" w:rsidP="0028030F"/>
        </w:tc>
      </w:tr>
      <w:tr w:rsidR="004647DB" w:rsidRPr="000749B4" w14:paraId="2AECC176" w14:textId="77777777" w:rsidTr="006E269E">
        <w:tc>
          <w:tcPr>
            <w:tcW w:w="6737" w:type="dxa"/>
            <w:tcBorders>
              <w:top w:val="nil"/>
            </w:tcBorders>
            <w:shd w:val="clear" w:color="auto" w:fill="auto"/>
          </w:tcPr>
          <w:p w14:paraId="7AD40E53" w14:textId="58995BC8" w:rsidR="004647DB" w:rsidRPr="00EE7072" w:rsidRDefault="00074DA7" w:rsidP="00585947">
            <w:pPr>
              <w:widowControl/>
              <w:autoSpaceDE/>
              <w:autoSpaceDN/>
              <w:adjustRightInd/>
              <w:jc w:val="both"/>
              <w:rPr>
                <w:strike/>
                <w:szCs w:val="17"/>
                <w:lang w:val="fr-FR"/>
              </w:rPr>
            </w:pPr>
            <w:r w:rsidRPr="00EE7072">
              <w:rPr>
                <w:strike/>
                <w:szCs w:val="17"/>
                <w:lang w:val="fr-FR"/>
              </w:rPr>
              <w:lastRenderedPageBreak/>
              <w:t xml:space="preserve">3. </w:t>
            </w:r>
            <w:r w:rsidRPr="00EE7072">
              <w:rPr>
                <w:i/>
                <w:strike/>
                <w:szCs w:val="17"/>
                <w:lang w:val="fr-FR"/>
              </w:rPr>
              <w:t>Prie</w:t>
            </w:r>
            <w:r w:rsidRPr="00EE7072">
              <w:rPr>
                <w:strike/>
                <w:szCs w:val="17"/>
                <w:lang w:val="fr-FR"/>
              </w:rPr>
              <w:t xml:space="preserve"> le Conseil scientifique de considérer les implications de l’adoption de Dickinson, E.C.</w:t>
            </w:r>
            <w:r w:rsidR="00585947" w:rsidRPr="00EE7072">
              <w:rPr>
                <w:strike/>
                <w:szCs w:val="17"/>
                <w:lang w:val="fr-FR"/>
              </w:rPr>
              <w:t xml:space="preserve"> </w:t>
            </w:r>
            <w:r w:rsidRPr="00EE7072">
              <w:rPr>
                <w:strike/>
                <w:szCs w:val="17"/>
                <w:lang w:val="fr-FR"/>
              </w:rPr>
              <w:t>(ed.)(2003): La liste de contrôle complète de Howard et Moore des oiseaux du monde. 3</w:t>
            </w:r>
            <w:r w:rsidRPr="00EE7072">
              <w:rPr>
                <w:strike/>
                <w:szCs w:val="11"/>
                <w:lang w:val="fr-FR"/>
              </w:rPr>
              <w:t xml:space="preserve">ième </w:t>
            </w:r>
            <w:r w:rsidRPr="00EE7072">
              <w:rPr>
                <w:strike/>
                <w:szCs w:val="17"/>
                <w:lang w:val="fr-FR"/>
              </w:rPr>
              <w:t>édition</w:t>
            </w:r>
            <w:r w:rsidR="00585947" w:rsidRPr="00EE7072">
              <w:rPr>
                <w:strike/>
                <w:szCs w:val="17"/>
                <w:lang w:val="fr-FR"/>
              </w:rPr>
              <w:t xml:space="preserve"> </w:t>
            </w:r>
            <w:r w:rsidRPr="00EE7072">
              <w:rPr>
                <w:strike/>
                <w:szCs w:val="17"/>
                <w:lang w:val="fr-FR"/>
              </w:rPr>
              <w:t>révisée et élargie. London (Christopher Helm) avec les corrigenda 4 de l’auteur (02.06.2005) par</w:t>
            </w:r>
            <w:r w:rsidR="00585947" w:rsidRPr="00EE7072">
              <w:rPr>
                <w:strike/>
                <w:szCs w:val="17"/>
                <w:lang w:val="fr-FR"/>
              </w:rPr>
              <w:t xml:space="preserve"> </w:t>
            </w:r>
            <w:r w:rsidRPr="00EE7072">
              <w:rPr>
                <w:strike/>
                <w:szCs w:val="17"/>
                <w:lang w:val="fr-FR"/>
              </w:rPr>
              <w:t>rapport à l’édition 3 de Howard &amp; Moore (2003), en tant que nomenclature de référence standardisée</w:t>
            </w:r>
            <w:r w:rsidR="00585947" w:rsidRPr="00EE7072">
              <w:rPr>
                <w:strike/>
                <w:szCs w:val="17"/>
                <w:lang w:val="fr-FR"/>
              </w:rPr>
              <w:t xml:space="preserve"> </w:t>
            </w:r>
            <w:r w:rsidRPr="00EE7072">
              <w:rPr>
                <w:strike/>
                <w:szCs w:val="17"/>
                <w:lang w:val="fr-FR"/>
              </w:rPr>
              <w:t>de la Convention pour les oiseaux à sa 16</w:t>
            </w:r>
            <w:r w:rsidRPr="00EE7072">
              <w:rPr>
                <w:strike/>
                <w:szCs w:val="11"/>
                <w:lang w:val="fr-FR"/>
              </w:rPr>
              <w:t xml:space="preserve">ième </w:t>
            </w:r>
            <w:r w:rsidRPr="00EE7072">
              <w:rPr>
                <w:strike/>
                <w:szCs w:val="17"/>
                <w:lang w:val="fr-FR"/>
              </w:rPr>
              <w:t>réunion et de faire rapport à la 10</w:t>
            </w:r>
            <w:r w:rsidRPr="00EE7072">
              <w:rPr>
                <w:strike/>
                <w:szCs w:val="11"/>
                <w:lang w:val="fr-FR"/>
              </w:rPr>
              <w:t xml:space="preserve">ième </w:t>
            </w:r>
            <w:r w:rsidRPr="00EE7072">
              <w:rPr>
                <w:strike/>
                <w:szCs w:val="17"/>
                <w:lang w:val="fr-FR"/>
              </w:rPr>
              <w:t>réunion de la</w:t>
            </w:r>
            <w:r w:rsidR="00585947" w:rsidRPr="00EE7072">
              <w:rPr>
                <w:strike/>
                <w:szCs w:val="17"/>
                <w:lang w:val="fr-FR"/>
              </w:rPr>
              <w:t xml:space="preserve"> </w:t>
            </w:r>
            <w:r w:rsidRPr="00EE7072">
              <w:rPr>
                <w:strike/>
                <w:szCs w:val="17"/>
                <w:lang w:val="fr-FR"/>
              </w:rPr>
              <w:t>Conférence des Parties;</w:t>
            </w:r>
          </w:p>
        </w:tc>
        <w:tc>
          <w:tcPr>
            <w:tcW w:w="2336" w:type="dxa"/>
            <w:tcBorders>
              <w:top w:val="nil"/>
            </w:tcBorders>
            <w:shd w:val="clear" w:color="auto" w:fill="auto"/>
          </w:tcPr>
          <w:p w14:paraId="7078963A" w14:textId="7B0067E1" w:rsidR="004647DB" w:rsidRPr="000749B4" w:rsidRDefault="00B402A3" w:rsidP="0028030F">
            <w:r>
              <w:t>Recommandation</w:t>
            </w:r>
            <w:r w:rsidR="004647DB" w:rsidRPr="000749B4">
              <w:t xml:space="preserve"> 9.4</w:t>
            </w:r>
          </w:p>
          <w:p w14:paraId="5D28205C" w14:textId="77777777" w:rsidR="004647DB" w:rsidRPr="000749B4" w:rsidRDefault="004647DB" w:rsidP="0028030F"/>
          <w:p w14:paraId="3436872E" w14:textId="475C34F1" w:rsidR="004647DB" w:rsidRPr="000749B4" w:rsidRDefault="006E269E" w:rsidP="0028030F">
            <w:r>
              <w:rPr>
                <w:color w:val="000000" w:themeColor="text1"/>
                <w:lang w:val="fr-FR"/>
              </w:rPr>
              <w:t>Abroger</w:t>
            </w:r>
            <w:r w:rsidR="003F0CC0" w:rsidRPr="00C079EF">
              <w:rPr>
                <w:color w:val="000000" w:themeColor="text1"/>
                <w:lang w:val="fr-FR"/>
              </w:rPr>
              <w:t>; travail achevé</w:t>
            </w:r>
          </w:p>
        </w:tc>
      </w:tr>
      <w:tr w:rsidR="004647DB" w:rsidRPr="000749B4" w14:paraId="3E47DEA5" w14:textId="77777777" w:rsidTr="00135DBE">
        <w:tc>
          <w:tcPr>
            <w:tcW w:w="6737" w:type="dxa"/>
            <w:shd w:val="clear" w:color="auto" w:fill="auto"/>
          </w:tcPr>
          <w:p w14:paraId="01487D76" w14:textId="7C922DEB" w:rsidR="004647DB" w:rsidRPr="00EE7072" w:rsidRDefault="00074DA7" w:rsidP="00585947">
            <w:pPr>
              <w:widowControl/>
              <w:autoSpaceDE/>
              <w:autoSpaceDN/>
              <w:adjustRightInd/>
              <w:jc w:val="both"/>
              <w:rPr>
                <w:strike/>
                <w:szCs w:val="17"/>
                <w:u w:val="single"/>
                <w:lang w:val="fr-FR"/>
              </w:rPr>
            </w:pPr>
            <w:r w:rsidRPr="00EE7072">
              <w:rPr>
                <w:strike/>
                <w:szCs w:val="17"/>
                <w:lang w:val="fr-FR"/>
              </w:rPr>
              <w:t xml:space="preserve">4. </w:t>
            </w:r>
            <w:r w:rsidRPr="00EE7072">
              <w:rPr>
                <w:i/>
                <w:strike/>
                <w:szCs w:val="17"/>
                <w:lang w:val="fr-FR"/>
              </w:rPr>
              <w:t>Prie également</w:t>
            </w:r>
            <w:r w:rsidRPr="00EE7072">
              <w:rPr>
                <w:strike/>
                <w:szCs w:val="17"/>
                <w:lang w:val="fr-FR"/>
              </w:rPr>
              <w:t xml:space="preserve"> le Conseil scientifique de considérer les implications de l’adoption de la liste</w:t>
            </w:r>
            <w:r w:rsidR="00585947" w:rsidRPr="00EE7072">
              <w:rPr>
                <w:strike/>
                <w:szCs w:val="17"/>
                <w:lang w:val="fr-FR"/>
              </w:rPr>
              <w:t xml:space="preserve"> </w:t>
            </w:r>
            <w:r w:rsidRPr="00EE7072">
              <w:rPr>
                <w:strike/>
                <w:szCs w:val="17"/>
                <w:lang w:val="fr-FR"/>
              </w:rPr>
              <w:t>taxonomique approuvée pour l’inclusion sur l’Annexe I de l’ACAP en tant que nomenclature de</w:t>
            </w:r>
            <w:r w:rsidR="00585947" w:rsidRPr="00EE7072">
              <w:rPr>
                <w:strike/>
                <w:szCs w:val="17"/>
                <w:lang w:val="fr-FR"/>
              </w:rPr>
              <w:t xml:space="preserve"> </w:t>
            </w:r>
            <w:r w:rsidRPr="00EE7072">
              <w:rPr>
                <w:strike/>
                <w:szCs w:val="17"/>
                <w:lang w:val="fr-FR"/>
              </w:rPr>
              <w:t>référence standardisée pour les albatros et les grands pétrels, et de considérer d’autres accords</w:t>
            </w:r>
            <w:r w:rsidR="00585947" w:rsidRPr="00EE7072">
              <w:rPr>
                <w:strike/>
                <w:szCs w:val="17"/>
                <w:lang w:val="fr-FR"/>
              </w:rPr>
              <w:t xml:space="preserve"> </w:t>
            </w:r>
            <w:r w:rsidRPr="00EE7072">
              <w:rPr>
                <w:strike/>
                <w:szCs w:val="17"/>
                <w:lang w:val="fr-FR"/>
              </w:rPr>
              <w:t>pertinents de la CMS dans le processus de l’harmonisation des références taxonomiques et de</w:t>
            </w:r>
            <w:r w:rsidR="00585947" w:rsidRPr="00EE7072">
              <w:rPr>
                <w:strike/>
                <w:szCs w:val="17"/>
                <w:lang w:val="fr-FR"/>
              </w:rPr>
              <w:t xml:space="preserve"> </w:t>
            </w:r>
            <w:r w:rsidRPr="00EE7072">
              <w:rPr>
                <w:strike/>
                <w:szCs w:val="17"/>
                <w:lang w:val="fr-FR"/>
              </w:rPr>
              <w:t>nomenclature;</w:t>
            </w:r>
          </w:p>
        </w:tc>
        <w:tc>
          <w:tcPr>
            <w:tcW w:w="2336" w:type="dxa"/>
            <w:shd w:val="clear" w:color="auto" w:fill="auto"/>
          </w:tcPr>
          <w:p w14:paraId="0FC60899" w14:textId="22B22918" w:rsidR="004647DB" w:rsidRPr="000749B4" w:rsidRDefault="00B402A3" w:rsidP="0028030F">
            <w:r>
              <w:t>Recommandation</w:t>
            </w:r>
            <w:r w:rsidR="004647DB" w:rsidRPr="000749B4">
              <w:t xml:space="preserve"> 9.4</w:t>
            </w:r>
          </w:p>
          <w:p w14:paraId="3B447F9E" w14:textId="77777777" w:rsidR="004647DB" w:rsidRPr="000749B4" w:rsidRDefault="004647DB" w:rsidP="0028030F"/>
          <w:p w14:paraId="5501B9F5" w14:textId="68450DED" w:rsidR="004647DB" w:rsidRPr="000749B4" w:rsidRDefault="006E269E" w:rsidP="0028030F">
            <w:r>
              <w:rPr>
                <w:color w:val="000000" w:themeColor="text1"/>
                <w:lang w:val="fr-FR"/>
              </w:rPr>
              <w:t>Abroger</w:t>
            </w:r>
            <w:r w:rsidRPr="00C079EF">
              <w:rPr>
                <w:color w:val="000000" w:themeColor="text1"/>
                <w:lang w:val="fr-FR"/>
              </w:rPr>
              <w:t>; travail achevé</w:t>
            </w:r>
          </w:p>
        </w:tc>
      </w:tr>
      <w:tr w:rsidR="004647DB" w:rsidRPr="003909DD" w14:paraId="1E41F78A" w14:textId="77777777" w:rsidTr="00135DBE">
        <w:tc>
          <w:tcPr>
            <w:tcW w:w="6737" w:type="dxa"/>
            <w:shd w:val="clear" w:color="auto" w:fill="auto"/>
          </w:tcPr>
          <w:p w14:paraId="0366788F" w14:textId="63FB6562" w:rsidR="005A19CC" w:rsidRPr="00EE7072" w:rsidRDefault="005A19CC" w:rsidP="004F121F">
            <w:pPr>
              <w:widowControl/>
              <w:autoSpaceDE/>
              <w:autoSpaceDN/>
              <w:adjustRightInd/>
              <w:jc w:val="both"/>
              <w:rPr>
                <w:szCs w:val="17"/>
                <w:lang w:val="fr-FR"/>
              </w:rPr>
            </w:pPr>
            <w:r w:rsidRPr="00EE7072">
              <w:rPr>
                <w:iCs/>
                <w:strike/>
                <w:szCs w:val="17"/>
                <w:lang w:val="fr-FR"/>
              </w:rPr>
              <w:t>4</w:t>
            </w:r>
            <w:r w:rsidR="00D34292" w:rsidRPr="00EE7072">
              <w:rPr>
                <w:iCs/>
                <w:strike/>
                <w:szCs w:val="17"/>
                <w:lang w:val="fr-FR"/>
              </w:rPr>
              <w:t>.</w:t>
            </w:r>
            <w:r w:rsidR="00A4481D" w:rsidRPr="006E269E">
              <w:rPr>
                <w:iCs/>
                <w:szCs w:val="17"/>
                <w:u w:val="single"/>
                <w:lang w:val="fr-FR"/>
              </w:rPr>
              <w:t>2</w:t>
            </w:r>
            <w:r w:rsidR="00A4481D" w:rsidRPr="00EE7072">
              <w:rPr>
                <w:iCs/>
                <w:szCs w:val="17"/>
                <w:u w:val="single"/>
                <w:lang w:val="fr-FR"/>
              </w:rPr>
              <w:t>.</w:t>
            </w:r>
            <w:r w:rsidRPr="00EE7072">
              <w:rPr>
                <w:i/>
                <w:iCs/>
                <w:szCs w:val="17"/>
                <w:lang w:val="fr-FR"/>
              </w:rPr>
              <w:t xml:space="preserve"> Réaffirme </w:t>
            </w:r>
            <w:r w:rsidRPr="00EE7072">
              <w:rPr>
                <w:szCs w:val="17"/>
                <w:lang w:val="fr-FR"/>
              </w:rPr>
              <w:t>les règles adoptées par la Convention pour le traitement des cas de synonymie, de séparation d’espèces et de regroupement (fusion) d’espèces résultant d’un changement de référence de nomenclature normalisée, comme suit: </w:t>
            </w:r>
          </w:p>
          <w:p w14:paraId="0CBF17CF" w14:textId="77777777" w:rsidR="00D34292" w:rsidRPr="00EE7072" w:rsidRDefault="00D34292" w:rsidP="004F121F">
            <w:pPr>
              <w:widowControl/>
              <w:autoSpaceDE/>
              <w:autoSpaceDN/>
              <w:adjustRightInd/>
              <w:jc w:val="both"/>
              <w:rPr>
                <w:szCs w:val="17"/>
                <w:lang w:val="fr-FR"/>
              </w:rPr>
            </w:pPr>
          </w:p>
          <w:p w14:paraId="0D2BC69E" w14:textId="3FE2E397" w:rsidR="005A19CC" w:rsidRPr="00EE7072" w:rsidRDefault="005A19CC" w:rsidP="004F121F">
            <w:pPr>
              <w:widowControl/>
              <w:autoSpaceDE/>
              <w:autoSpaceDN/>
              <w:adjustRightInd/>
              <w:jc w:val="both"/>
              <w:rPr>
                <w:szCs w:val="17"/>
                <w:lang w:val="fr-FR"/>
              </w:rPr>
            </w:pPr>
            <w:r w:rsidRPr="000749B4">
              <w:rPr>
                <w:szCs w:val="17"/>
              </w:rPr>
              <w:sym w:font="Symbol" w:char="F0B7"/>
            </w:r>
            <w:r w:rsidR="00D34292" w:rsidRPr="00EE7072">
              <w:rPr>
                <w:szCs w:val="17"/>
                <w:lang w:val="fr-FR"/>
              </w:rPr>
              <w:t xml:space="preserve"> Synonymie</w:t>
            </w:r>
            <w:r w:rsidRPr="00EE7072">
              <w:rPr>
                <w:szCs w:val="17"/>
                <w:lang w:val="fr-FR"/>
              </w:rPr>
              <w:t>: les corrections peuvent être faites automatiquement comme il n’y a pas de changement concernant le statut des populations inscrites; </w:t>
            </w:r>
          </w:p>
          <w:p w14:paraId="636F4582" w14:textId="77777777" w:rsidR="005A19CC" w:rsidRPr="00EE7072" w:rsidRDefault="005A19CC" w:rsidP="004F121F">
            <w:pPr>
              <w:widowControl/>
              <w:autoSpaceDE/>
              <w:autoSpaceDN/>
              <w:adjustRightInd/>
              <w:jc w:val="both"/>
              <w:rPr>
                <w:szCs w:val="17"/>
                <w:lang w:val="fr-FR"/>
              </w:rPr>
            </w:pPr>
          </w:p>
          <w:p w14:paraId="3ECA6937" w14:textId="13F1D772" w:rsidR="005A19CC" w:rsidRPr="00EE7072" w:rsidRDefault="005A19CC" w:rsidP="004F121F">
            <w:pPr>
              <w:widowControl/>
              <w:autoSpaceDE/>
              <w:autoSpaceDN/>
              <w:adjustRightInd/>
              <w:jc w:val="both"/>
              <w:rPr>
                <w:szCs w:val="17"/>
                <w:lang w:val="fr-FR"/>
              </w:rPr>
            </w:pPr>
            <w:r w:rsidRPr="000749B4">
              <w:rPr>
                <w:szCs w:val="17"/>
              </w:rPr>
              <w:sym w:font="Symbol" w:char="F0B7"/>
            </w:r>
            <w:r w:rsidR="00D34292" w:rsidRPr="00EE7072">
              <w:rPr>
                <w:szCs w:val="17"/>
                <w:lang w:val="fr-FR"/>
              </w:rPr>
              <w:t xml:space="preserve"> Division</w:t>
            </w:r>
            <w:r w:rsidRPr="00EE7072">
              <w:rPr>
                <w:szCs w:val="17"/>
                <w:lang w:val="fr-FR"/>
              </w:rPr>
              <w:t>: quand un taxon est divisé en deux ou plus, chacun des taxons résultant de la division conserve le statut d’inscr</w:t>
            </w:r>
            <w:r w:rsidR="00D34292" w:rsidRPr="00EE7072">
              <w:rPr>
                <w:szCs w:val="17"/>
                <w:lang w:val="fr-FR"/>
              </w:rPr>
              <w:t>iption de l’ancien taxon global</w:t>
            </w:r>
            <w:r w:rsidRPr="00EE7072">
              <w:rPr>
                <w:szCs w:val="17"/>
                <w:lang w:val="fr-FR"/>
              </w:rPr>
              <w:t>; </w:t>
            </w:r>
          </w:p>
          <w:p w14:paraId="7633266A" w14:textId="77777777" w:rsidR="005A19CC" w:rsidRPr="00EE7072" w:rsidRDefault="005A19CC" w:rsidP="004F121F">
            <w:pPr>
              <w:widowControl/>
              <w:autoSpaceDE/>
              <w:autoSpaceDN/>
              <w:adjustRightInd/>
              <w:jc w:val="both"/>
              <w:rPr>
                <w:szCs w:val="17"/>
                <w:lang w:val="fr-FR"/>
              </w:rPr>
            </w:pPr>
          </w:p>
          <w:p w14:paraId="7CEDD534" w14:textId="09085B47" w:rsidR="004647DB" w:rsidRPr="00EE7072" w:rsidRDefault="005A19CC" w:rsidP="00D34292">
            <w:pPr>
              <w:widowControl/>
              <w:autoSpaceDE/>
              <w:autoSpaceDN/>
              <w:adjustRightInd/>
              <w:jc w:val="both"/>
              <w:rPr>
                <w:szCs w:val="17"/>
                <w:lang w:val="fr-FR"/>
              </w:rPr>
            </w:pPr>
            <w:r w:rsidRPr="000749B4">
              <w:rPr>
                <w:szCs w:val="17"/>
              </w:rPr>
              <w:sym w:font="Symbol" w:char="F0B7"/>
            </w:r>
            <w:r w:rsidRPr="00EE7072">
              <w:rPr>
                <w:szCs w:val="17"/>
                <w:lang w:val="fr-FR"/>
              </w:rPr>
              <w:t xml:space="preserve"> Regroupement (fusion): si un taxon figurant à l’Annexe I ou à l’Annexe II de la Convention est fusionné avec un ou plusieurs taxons non-inscrits aux annexes, sous son nom ou celui de l’un des taxons non-inscrits, l’ensemble du taxon regroupé figurera à l’Annexe à laquelle figurait à l’origine le taxon plus précis, dans les cas où l’entité non-inscrite ainsi ajoutée présente le même état de conservation, ou un état moins bon, que celui du taxon précédemment inscrit. Dans tous les autres cas, une restriction taxonomique ou géographique sera introduite, dans l’attente d’un examen par le Conseil scientifique et la Conférence des Parties des nouvelles inscriptions aux annexes; </w:t>
            </w:r>
          </w:p>
        </w:tc>
        <w:tc>
          <w:tcPr>
            <w:tcW w:w="2336" w:type="dxa"/>
            <w:shd w:val="clear" w:color="auto" w:fill="auto"/>
          </w:tcPr>
          <w:p w14:paraId="3E5D1E6E" w14:textId="3AB0D541" w:rsidR="004647DB" w:rsidRPr="00193B81" w:rsidRDefault="00B402A3" w:rsidP="0028030F">
            <w:pPr>
              <w:rPr>
                <w:lang w:val="fr-FR"/>
              </w:rPr>
            </w:pPr>
            <w:r w:rsidRPr="00193B81">
              <w:rPr>
                <w:lang w:val="fr-FR"/>
              </w:rPr>
              <w:t>Résolution</w:t>
            </w:r>
            <w:r w:rsidR="004647DB" w:rsidRPr="00193B81">
              <w:rPr>
                <w:lang w:val="fr-FR"/>
              </w:rPr>
              <w:t xml:space="preserve"> 11.19</w:t>
            </w:r>
          </w:p>
          <w:p w14:paraId="15652759" w14:textId="77777777" w:rsidR="004647DB" w:rsidRPr="00193B81" w:rsidRDefault="004647DB" w:rsidP="0028030F">
            <w:pPr>
              <w:rPr>
                <w:lang w:val="fr-FR"/>
              </w:rPr>
            </w:pPr>
          </w:p>
          <w:p w14:paraId="3B9C859C" w14:textId="77777777" w:rsidR="006E269E" w:rsidRPr="00193B81" w:rsidRDefault="00210C67" w:rsidP="0028030F">
            <w:pPr>
              <w:rPr>
                <w:lang w:val="fr-FR"/>
              </w:rPr>
            </w:pPr>
            <w:r w:rsidRPr="00193B81">
              <w:rPr>
                <w:lang w:val="fr-FR"/>
              </w:rPr>
              <w:t>Conserver</w:t>
            </w:r>
            <w:r w:rsidR="004647DB" w:rsidRPr="00193B81">
              <w:rPr>
                <w:lang w:val="fr-FR"/>
              </w:rPr>
              <w:t xml:space="preserve">. </w:t>
            </w:r>
          </w:p>
          <w:p w14:paraId="4B192234" w14:textId="379A2682" w:rsidR="004647DB" w:rsidRPr="006E269E" w:rsidRDefault="006E269E" w:rsidP="0028030F">
            <w:pPr>
              <w:rPr>
                <w:lang w:val="fr-FR"/>
              </w:rPr>
            </w:pPr>
            <w:r>
              <w:rPr>
                <w:lang w:val="fr-FR"/>
              </w:rPr>
              <w:t>Bien que Résolution 11.19 s'applique aux oiseaux, ces règles générales sont plus largement applicables.</w:t>
            </w:r>
            <w:r w:rsidR="004647DB" w:rsidRPr="006E269E">
              <w:rPr>
                <w:lang w:val="fr-FR"/>
              </w:rPr>
              <w:t xml:space="preserve"> </w:t>
            </w:r>
          </w:p>
        </w:tc>
      </w:tr>
      <w:tr w:rsidR="004647DB" w:rsidRPr="000749B4" w14:paraId="4F47052F" w14:textId="77777777" w:rsidTr="00135DBE">
        <w:tc>
          <w:tcPr>
            <w:tcW w:w="6737" w:type="dxa"/>
            <w:shd w:val="clear" w:color="auto" w:fill="auto"/>
          </w:tcPr>
          <w:p w14:paraId="4F608E51" w14:textId="4AB630D0" w:rsidR="00D34292" w:rsidRDefault="007A4206" w:rsidP="00507639">
            <w:pPr>
              <w:widowControl/>
              <w:autoSpaceDE/>
              <w:autoSpaceDN/>
              <w:adjustRightInd/>
              <w:jc w:val="both"/>
              <w:rPr>
                <w:strike/>
                <w:szCs w:val="17"/>
                <w:lang w:val="fr-FR"/>
              </w:rPr>
            </w:pPr>
            <w:r w:rsidRPr="00EE7072">
              <w:rPr>
                <w:strike/>
                <w:szCs w:val="17"/>
                <w:lang w:val="fr-FR"/>
              </w:rPr>
              <w:t xml:space="preserve">2. </w:t>
            </w:r>
            <w:r w:rsidRPr="00EE7072">
              <w:rPr>
                <w:i/>
                <w:iCs/>
                <w:strike/>
                <w:szCs w:val="17"/>
                <w:lang w:val="fr-FR"/>
              </w:rPr>
              <w:t xml:space="preserve">Adopte </w:t>
            </w:r>
            <w:r w:rsidRPr="00EE7072">
              <w:rPr>
                <w:strike/>
                <w:szCs w:val="17"/>
                <w:lang w:val="fr-FR"/>
              </w:rPr>
              <w:t>la règle établie ci-dessous pour les cas de regroupement afin de prendre en compte le statut de conservation des espèces fusionnées, ainsi que le statut des espèces constitutives fusionnées dont le texte se lit comme suit: </w:t>
            </w:r>
          </w:p>
          <w:p w14:paraId="4A7B7121" w14:textId="77777777" w:rsidR="006E269E" w:rsidRPr="00EE7072" w:rsidRDefault="006E269E" w:rsidP="00507639">
            <w:pPr>
              <w:widowControl/>
              <w:autoSpaceDE/>
              <w:autoSpaceDN/>
              <w:adjustRightInd/>
              <w:jc w:val="both"/>
              <w:rPr>
                <w:strike/>
                <w:szCs w:val="17"/>
                <w:lang w:val="fr-FR"/>
              </w:rPr>
            </w:pPr>
          </w:p>
          <w:p w14:paraId="77FC39C9" w14:textId="3CD77C77" w:rsidR="004647DB" w:rsidRPr="00EE7072" w:rsidRDefault="007A4206" w:rsidP="00A4481D">
            <w:pPr>
              <w:widowControl/>
              <w:autoSpaceDE/>
              <w:autoSpaceDN/>
              <w:adjustRightInd/>
              <w:ind w:left="330"/>
              <w:jc w:val="both"/>
              <w:rPr>
                <w:szCs w:val="17"/>
                <w:lang w:val="fr-FR"/>
              </w:rPr>
            </w:pPr>
            <w:r w:rsidRPr="00EE7072">
              <w:rPr>
                <w:i/>
                <w:iCs/>
                <w:strike/>
                <w:szCs w:val="17"/>
                <w:lang w:val="fr-FR"/>
              </w:rPr>
              <w:t xml:space="preserve">Si, suite au changement d’une référence nomenclaturale standard adoptée par la Conférence des Parties, un taxon listé, soit à l'Annexe I soit à l'Annexe II de la Convention, est fusionné avec un ou plusieurs taxons non-listés, sous son nom ou celui des taxons non-listés, l’ensemble du taxon figurera à l’Annexe qui incluait le taxon le plus précis, à l’origine sur la liste, dans chaque cas où l’entité non-listée ainsi ajoutée présente le même statut de conservation, ou un statut moins bon, que celui du taxon précédemment listé. Dans tous les autres cas, une restriction taxonomique ou géographique sera introduite, en attente d’un examen du Conseil scientifique et de la Conférence </w:t>
            </w:r>
            <w:r w:rsidRPr="00EE7072">
              <w:rPr>
                <w:i/>
                <w:iCs/>
                <w:strike/>
                <w:szCs w:val="17"/>
                <w:lang w:val="fr-FR"/>
              </w:rPr>
              <w:lastRenderedPageBreak/>
              <w:t>des Parties afin que soit considérée la possibilité d’allonger les listes. </w:t>
            </w:r>
          </w:p>
        </w:tc>
        <w:tc>
          <w:tcPr>
            <w:tcW w:w="2336" w:type="dxa"/>
            <w:shd w:val="clear" w:color="auto" w:fill="auto"/>
          </w:tcPr>
          <w:p w14:paraId="6552EDAE" w14:textId="698BCD54" w:rsidR="004647DB" w:rsidRPr="000749B4" w:rsidRDefault="00B402A3" w:rsidP="0028030F">
            <w:pPr>
              <w:jc w:val="both"/>
            </w:pPr>
            <w:r>
              <w:lastRenderedPageBreak/>
              <w:t>Résolution</w:t>
            </w:r>
            <w:r w:rsidR="004647DB" w:rsidRPr="000749B4">
              <w:t xml:space="preserve"> 10.13</w:t>
            </w:r>
          </w:p>
          <w:p w14:paraId="39750740" w14:textId="77777777" w:rsidR="004647DB" w:rsidRPr="000749B4" w:rsidRDefault="004647DB" w:rsidP="0028030F">
            <w:pPr>
              <w:jc w:val="both"/>
            </w:pPr>
          </w:p>
          <w:p w14:paraId="2241BEF2" w14:textId="011C8AD3" w:rsidR="004647DB" w:rsidRPr="000749B4" w:rsidRDefault="006E269E" w:rsidP="0028030F">
            <w:r>
              <w:t>Abroger, redondant</w:t>
            </w:r>
          </w:p>
        </w:tc>
      </w:tr>
      <w:tr w:rsidR="004647DB" w:rsidRPr="003909DD" w14:paraId="59F392BE" w14:textId="77777777" w:rsidTr="00135DBE">
        <w:tc>
          <w:tcPr>
            <w:tcW w:w="6737" w:type="dxa"/>
            <w:shd w:val="clear" w:color="auto" w:fill="auto"/>
          </w:tcPr>
          <w:p w14:paraId="371D91FE" w14:textId="4AED7A0F" w:rsidR="005A19CC" w:rsidRPr="00EE7072" w:rsidRDefault="005A19CC" w:rsidP="00507639">
            <w:pPr>
              <w:widowControl/>
              <w:autoSpaceDE/>
              <w:autoSpaceDN/>
              <w:adjustRightInd/>
              <w:jc w:val="both"/>
              <w:rPr>
                <w:strike/>
                <w:szCs w:val="17"/>
                <w:lang w:val="fr-FR"/>
              </w:rPr>
            </w:pPr>
            <w:r w:rsidRPr="00EE7072">
              <w:rPr>
                <w:iCs/>
                <w:strike/>
                <w:szCs w:val="17"/>
                <w:lang w:val="fr-FR"/>
              </w:rPr>
              <w:t>5</w:t>
            </w:r>
            <w:r w:rsidR="00507639" w:rsidRPr="00EE7072">
              <w:rPr>
                <w:i/>
                <w:iCs/>
                <w:strike/>
                <w:szCs w:val="17"/>
                <w:lang w:val="fr-FR"/>
              </w:rPr>
              <w:t>.</w:t>
            </w:r>
            <w:r w:rsidRPr="00EE7072">
              <w:rPr>
                <w:i/>
                <w:iCs/>
                <w:strike/>
                <w:szCs w:val="17"/>
                <w:lang w:val="fr-FR"/>
              </w:rPr>
              <w:t xml:space="preserve"> Charge </w:t>
            </w:r>
            <w:r w:rsidRPr="00EE7072">
              <w:rPr>
                <w:strike/>
                <w:szCs w:val="17"/>
                <w:lang w:val="fr-FR"/>
              </w:rPr>
              <w:t>le Secrétariat, en consultation avec le Conseil scientifique et le dépositaire, d’adapter les annexes de la CMS en fonction de la nouvelle référence adoptée pour les oiseaux et des règles décrites ci-dessus; </w:t>
            </w:r>
          </w:p>
          <w:p w14:paraId="38F2E3B7" w14:textId="77777777" w:rsidR="004647DB" w:rsidRPr="00EE7072" w:rsidRDefault="004647DB" w:rsidP="00507639">
            <w:pPr>
              <w:widowControl/>
              <w:autoSpaceDE/>
              <w:autoSpaceDN/>
              <w:adjustRightInd/>
              <w:jc w:val="both"/>
              <w:rPr>
                <w:szCs w:val="17"/>
                <w:u w:val="single"/>
                <w:lang w:val="fr-FR"/>
              </w:rPr>
            </w:pPr>
          </w:p>
        </w:tc>
        <w:tc>
          <w:tcPr>
            <w:tcW w:w="2336" w:type="dxa"/>
            <w:shd w:val="clear" w:color="auto" w:fill="auto"/>
          </w:tcPr>
          <w:p w14:paraId="01478456" w14:textId="465688B7" w:rsidR="004647DB" w:rsidRPr="00193B81" w:rsidRDefault="00B402A3" w:rsidP="0028030F">
            <w:pPr>
              <w:rPr>
                <w:lang w:val="fr-FR"/>
              </w:rPr>
            </w:pPr>
            <w:r w:rsidRPr="00193B81">
              <w:rPr>
                <w:lang w:val="fr-FR"/>
              </w:rPr>
              <w:t>Résolution</w:t>
            </w:r>
            <w:r w:rsidR="004647DB" w:rsidRPr="00193B81">
              <w:rPr>
                <w:lang w:val="fr-FR"/>
              </w:rPr>
              <w:t xml:space="preserve"> 11.19</w:t>
            </w:r>
          </w:p>
          <w:p w14:paraId="2FAC851A" w14:textId="77777777" w:rsidR="004647DB" w:rsidRPr="00193B81" w:rsidRDefault="004647DB" w:rsidP="0028030F">
            <w:pPr>
              <w:rPr>
                <w:lang w:val="fr-FR"/>
              </w:rPr>
            </w:pPr>
          </w:p>
          <w:p w14:paraId="5916C795" w14:textId="6AED9A1F" w:rsidR="004647DB" w:rsidRPr="006E269E" w:rsidRDefault="006E269E" w:rsidP="0028030F">
            <w:pPr>
              <w:rPr>
                <w:lang w:val="fr-FR"/>
              </w:rPr>
            </w:pPr>
            <w:r w:rsidRPr="006E269E">
              <w:rPr>
                <w:lang w:val="fr-FR"/>
              </w:rPr>
              <w:t>Abroger, convertir en Décision car le travail est achevé</w:t>
            </w:r>
          </w:p>
        </w:tc>
      </w:tr>
      <w:tr w:rsidR="004647DB" w:rsidRPr="000749B4" w14:paraId="58DC442D" w14:textId="77777777" w:rsidTr="00135DBE">
        <w:tc>
          <w:tcPr>
            <w:tcW w:w="6737" w:type="dxa"/>
            <w:shd w:val="clear" w:color="auto" w:fill="auto"/>
          </w:tcPr>
          <w:p w14:paraId="11641E46" w14:textId="1384F8BF" w:rsidR="004647DB" w:rsidRPr="00EE7072" w:rsidRDefault="007A4206" w:rsidP="00507639">
            <w:pPr>
              <w:widowControl/>
              <w:autoSpaceDE/>
              <w:autoSpaceDN/>
              <w:adjustRightInd/>
              <w:jc w:val="both"/>
              <w:rPr>
                <w:strike/>
                <w:szCs w:val="17"/>
                <w:lang w:val="fr-FR"/>
              </w:rPr>
            </w:pPr>
            <w:r w:rsidRPr="00EE7072">
              <w:rPr>
                <w:strike/>
                <w:szCs w:val="17"/>
                <w:lang w:val="fr-FR"/>
              </w:rPr>
              <w:t>3</w:t>
            </w:r>
            <w:r w:rsidRPr="00EE7072">
              <w:rPr>
                <w:i/>
                <w:iCs/>
                <w:strike/>
                <w:szCs w:val="17"/>
                <w:lang w:val="fr-FR"/>
              </w:rPr>
              <w:t xml:space="preserve">. Demande </w:t>
            </w:r>
            <w:r w:rsidRPr="00EE7072">
              <w:rPr>
                <w:strike/>
                <w:szCs w:val="17"/>
                <w:lang w:val="fr-FR"/>
              </w:rPr>
              <w:t>au Président du Conseil scientifique de se concerter avec les Présidents des comités consultatifs scientifiques des Conventions relatives à la biodiversité, les secrétariats des AME pertinentes ainsi que les organisations internationales pertinentes y compris UICN, BirdLife International, Wetlands International et le PNUE/WCMC visant à estimer l’adoption possible d’une nomenclature unique et d’un taxon pour les oiseaux et d’informer le Conseil scientifique à sa 18</w:t>
            </w:r>
            <w:r w:rsidRPr="00EE7072">
              <w:rPr>
                <w:strike/>
                <w:szCs w:val="12"/>
                <w:lang w:val="fr-FR"/>
              </w:rPr>
              <w:t xml:space="preserve">ème </w:t>
            </w:r>
            <w:r w:rsidRPr="00EE7072">
              <w:rPr>
                <w:strike/>
                <w:szCs w:val="17"/>
                <w:lang w:val="fr-FR"/>
              </w:rPr>
              <w:t>réunion afin d’adopter une résolution appropriée à la COP11; </w:t>
            </w:r>
          </w:p>
        </w:tc>
        <w:tc>
          <w:tcPr>
            <w:tcW w:w="2336" w:type="dxa"/>
            <w:shd w:val="clear" w:color="auto" w:fill="auto"/>
          </w:tcPr>
          <w:p w14:paraId="6F5E550B" w14:textId="090C9F3B" w:rsidR="004647DB" w:rsidRPr="000749B4" w:rsidRDefault="00B402A3" w:rsidP="0028030F">
            <w:r>
              <w:t>Résolution</w:t>
            </w:r>
            <w:r w:rsidR="004647DB" w:rsidRPr="000749B4">
              <w:t xml:space="preserve"> 10.13</w:t>
            </w:r>
          </w:p>
          <w:p w14:paraId="10F16E23" w14:textId="77777777" w:rsidR="004647DB" w:rsidRPr="000749B4" w:rsidRDefault="004647DB" w:rsidP="0028030F"/>
          <w:p w14:paraId="48EA200C" w14:textId="45DEBE5F" w:rsidR="004647DB" w:rsidRPr="000749B4" w:rsidRDefault="00A066BB" w:rsidP="0028030F">
            <w:r>
              <w:rPr>
                <w:color w:val="000000" w:themeColor="text1"/>
                <w:lang w:val="fr-FR"/>
              </w:rPr>
              <w:t xml:space="preserve">Abroger, </w:t>
            </w:r>
            <w:r w:rsidR="003F0CC0" w:rsidRPr="00C079EF">
              <w:rPr>
                <w:color w:val="000000" w:themeColor="text1"/>
                <w:lang w:val="fr-FR"/>
              </w:rPr>
              <w:t>travail achevé</w:t>
            </w:r>
          </w:p>
        </w:tc>
      </w:tr>
      <w:tr w:rsidR="004647DB" w:rsidRPr="000749B4" w14:paraId="4C9E7D78" w14:textId="77777777" w:rsidTr="00135DBE">
        <w:trPr>
          <w:trHeight w:val="295"/>
        </w:trPr>
        <w:tc>
          <w:tcPr>
            <w:tcW w:w="6737" w:type="dxa"/>
            <w:shd w:val="clear" w:color="auto" w:fill="auto"/>
          </w:tcPr>
          <w:p w14:paraId="31838B38" w14:textId="5B966312" w:rsidR="004647DB" w:rsidRPr="00EE7072" w:rsidRDefault="005A19CC" w:rsidP="00507639">
            <w:pPr>
              <w:widowControl/>
              <w:autoSpaceDE/>
              <w:autoSpaceDN/>
              <w:adjustRightInd/>
              <w:jc w:val="both"/>
              <w:rPr>
                <w:strike/>
                <w:szCs w:val="17"/>
                <w:lang w:val="fr-FR"/>
              </w:rPr>
            </w:pPr>
            <w:r w:rsidRPr="00EE7072">
              <w:rPr>
                <w:iCs/>
                <w:strike/>
                <w:szCs w:val="17"/>
                <w:lang w:val="fr-FR"/>
              </w:rPr>
              <w:t>6</w:t>
            </w:r>
            <w:r w:rsidR="00FC6DD9" w:rsidRPr="00EE7072">
              <w:rPr>
                <w:i/>
                <w:iCs/>
                <w:strike/>
                <w:szCs w:val="17"/>
                <w:lang w:val="fr-FR"/>
              </w:rPr>
              <w:t>.</w:t>
            </w:r>
            <w:r w:rsidRPr="00EE7072">
              <w:rPr>
                <w:i/>
                <w:iCs/>
                <w:strike/>
                <w:szCs w:val="17"/>
                <w:lang w:val="fr-FR"/>
              </w:rPr>
              <w:t xml:space="preserve"> Charge en outre </w:t>
            </w:r>
            <w:r w:rsidRPr="00EE7072">
              <w:rPr>
                <w:strike/>
                <w:szCs w:val="17"/>
                <w:lang w:val="fr-FR"/>
              </w:rPr>
              <w:t>le Secrétariat de transmettre la présente résolution aux Secrétariats de la CITES et de la Convention de Ramsar pour examen par leurs organes scientifiques, et de continuer à coopérer avec les instruments de la CMS relatifs aux oiseaux et avec les Secrétariats des AEM en vue de renforcer l’harmonisation des références taxonomiques ; et </w:t>
            </w:r>
          </w:p>
        </w:tc>
        <w:tc>
          <w:tcPr>
            <w:tcW w:w="2336" w:type="dxa"/>
            <w:shd w:val="clear" w:color="auto" w:fill="auto"/>
          </w:tcPr>
          <w:p w14:paraId="3B584E4C" w14:textId="30E1EB4B" w:rsidR="004647DB" w:rsidRPr="000749B4" w:rsidRDefault="00B402A3" w:rsidP="0028030F">
            <w:r>
              <w:t>Résolution</w:t>
            </w:r>
            <w:r w:rsidR="004647DB" w:rsidRPr="000749B4">
              <w:t xml:space="preserve"> 11.19</w:t>
            </w:r>
          </w:p>
          <w:p w14:paraId="45C08A9B" w14:textId="77777777" w:rsidR="004647DB" w:rsidRPr="000749B4" w:rsidRDefault="004647DB" w:rsidP="0028030F"/>
          <w:p w14:paraId="1E80C1FB" w14:textId="18950AB1" w:rsidR="004647DB" w:rsidRPr="000749B4" w:rsidRDefault="00A066BB" w:rsidP="0028030F">
            <w:r>
              <w:rPr>
                <w:color w:val="000000" w:themeColor="text1"/>
                <w:lang w:val="fr-FR"/>
              </w:rPr>
              <w:t>Abroger</w:t>
            </w:r>
            <w:r w:rsidR="003F0CC0" w:rsidRPr="00C079EF">
              <w:rPr>
                <w:color w:val="000000" w:themeColor="text1"/>
                <w:lang w:val="fr-FR"/>
              </w:rPr>
              <w:t>; travail achevé</w:t>
            </w:r>
          </w:p>
        </w:tc>
      </w:tr>
      <w:tr w:rsidR="004647DB" w:rsidRPr="003909DD" w14:paraId="212282B0" w14:textId="77777777" w:rsidTr="00135DBE">
        <w:tc>
          <w:tcPr>
            <w:tcW w:w="6737" w:type="dxa"/>
            <w:shd w:val="clear" w:color="auto" w:fill="auto"/>
          </w:tcPr>
          <w:p w14:paraId="774042C7" w14:textId="7CB2714B" w:rsidR="004647DB" w:rsidRPr="00EE7072" w:rsidRDefault="005A19CC" w:rsidP="00507639">
            <w:pPr>
              <w:widowControl/>
              <w:autoSpaceDE/>
              <w:autoSpaceDN/>
              <w:adjustRightInd/>
              <w:jc w:val="both"/>
              <w:rPr>
                <w:szCs w:val="17"/>
                <w:lang w:val="fr-FR"/>
              </w:rPr>
            </w:pPr>
            <w:r w:rsidRPr="00EE7072">
              <w:rPr>
                <w:strike/>
                <w:szCs w:val="17"/>
                <w:lang w:val="fr-FR"/>
              </w:rPr>
              <w:t>7</w:t>
            </w:r>
            <w:r w:rsidR="00FC6DD9" w:rsidRPr="00EE7072">
              <w:rPr>
                <w:szCs w:val="17"/>
                <w:lang w:val="fr-FR"/>
              </w:rPr>
              <w:t>.</w:t>
            </w:r>
            <w:r w:rsidR="00480B52" w:rsidRPr="00EE7072">
              <w:rPr>
                <w:szCs w:val="17"/>
                <w:lang w:val="fr-FR"/>
              </w:rPr>
              <w:t xml:space="preserve"> </w:t>
            </w:r>
            <w:r w:rsidR="00480B52" w:rsidRPr="00EE7072">
              <w:rPr>
                <w:szCs w:val="17"/>
                <w:u w:val="single"/>
                <w:lang w:val="fr-FR"/>
              </w:rPr>
              <w:t>3.</w:t>
            </w:r>
            <w:r w:rsidRPr="00EE7072">
              <w:rPr>
                <w:szCs w:val="17"/>
                <w:lang w:val="fr-FR"/>
              </w:rPr>
              <w:t xml:space="preserve"> </w:t>
            </w:r>
            <w:r w:rsidRPr="00EE7072">
              <w:rPr>
                <w:i/>
                <w:iCs/>
                <w:szCs w:val="17"/>
                <w:lang w:val="fr-FR"/>
              </w:rPr>
              <w:t xml:space="preserve">Prie instamment </w:t>
            </w:r>
            <w:r w:rsidRPr="00EE7072">
              <w:rPr>
                <w:szCs w:val="17"/>
                <w:lang w:val="fr-FR"/>
              </w:rPr>
              <w:t xml:space="preserve">les autres AEM d’adopter la même référence taxonomique normalisée </w:t>
            </w:r>
            <w:r w:rsidRPr="00EE7072">
              <w:rPr>
                <w:strike/>
                <w:szCs w:val="17"/>
                <w:lang w:val="fr-FR"/>
              </w:rPr>
              <w:t>pour les espèces d’oiseaux non-passereaux</w:t>
            </w:r>
            <w:r w:rsidRPr="00EE7072">
              <w:rPr>
                <w:szCs w:val="17"/>
                <w:lang w:val="fr-FR"/>
              </w:rPr>
              <w:t>;</w:t>
            </w:r>
          </w:p>
        </w:tc>
        <w:tc>
          <w:tcPr>
            <w:tcW w:w="2336" w:type="dxa"/>
            <w:shd w:val="clear" w:color="auto" w:fill="auto"/>
          </w:tcPr>
          <w:p w14:paraId="343C6A12" w14:textId="078556E2" w:rsidR="004647DB" w:rsidRPr="00EE7072" w:rsidRDefault="00B402A3" w:rsidP="0028030F">
            <w:pPr>
              <w:rPr>
                <w:lang w:val="fr-FR"/>
              </w:rPr>
            </w:pPr>
            <w:r w:rsidRPr="00EE7072">
              <w:rPr>
                <w:lang w:val="fr-FR"/>
              </w:rPr>
              <w:t>Résolution</w:t>
            </w:r>
            <w:r w:rsidR="004647DB" w:rsidRPr="00EE7072">
              <w:rPr>
                <w:lang w:val="fr-FR"/>
              </w:rPr>
              <w:t xml:space="preserve"> 11.19</w:t>
            </w:r>
          </w:p>
          <w:p w14:paraId="0CBDFCEC" w14:textId="77777777" w:rsidR="004647DB" w:rsidRPr="00EE7072" w:rsidRDefault="004647DB" w:rsidP="0028030F">
            <w:pPr>
              <w:rPr>
                <w:lang w:val="fr-FR"/>
              </w:rPr>
            </w:pPr>
          </w:p>
          <w:p w14:paraId="774EB27E" w14:textId="4C1E4901" w:rsidR="004647DB" w:rsidRPr="00EE7072" w:rsidRDefault="003F0CC0" w:rsidP="0028030F">
            <w:pPr>
              <w:rPr>
                <w:lang w:val="fr-FR"/>
              </w:rPr>
            </w:pPr>
            <w:r w:rsidRPr="00C079EF">
              <w:rPr>
                <w:color w:val="000000" w:themeColor="text1"/>
                <w:lang w:val="fr-FR"/>
              </w:rPr>
              <w:t>Conserver tel que modifié</w:t>
            </w:r>
          </w:p>
        </w:tc>
      </w:tr>
      <w:tr w:rsidR="004647DB" w:rsidRPr="000749B4" w14:paraId="1FB93180" w14:textId="77777777" w:rsidTr="00135DBE">
        <w:tc>
          <w:tcPr>
            <w:tcW w:w="6737" w:type="dxa"/>
            <w:shd w:val="clear" w:color="auto" w:fill="auto"/>
          </w:tcPr>
          <w:p w14:paraId="755CB37F" w14:textId="4B24BE5D" w:rsidR="003C2826" w:rsidRPr="00EE7072" w:rsidRDefault="003C2826" w:rsidP="00507639">
            <w:pPr>
              <w:widowControl/>
              <w:autoSpaceDE/>
              <w:autoSpaceDN/>
              <w:adjustRightInd/>
              <w:jc w:val="both"/>
              <w:rPr>
                <w:strike/>
                <w:szCs w:val="17"/>
                <w:lang w:val="fr-FR"/>
              </w:rPr>
            </w:pPr>
            <w:r w:rsidRPr="00EE7072">
              <w:rPr>
                <w:strike/>
                <w:szCs w:val="17"/>
                <w:lang w:val="fr-FR"/>
              </w:rPr>
              <w:t>2. Recommande en outre que les Annexes I et II soient amendées comme suit pour tenir compte</w:t>
            </w:r>
            <w:r w:rsidR="00D82E48" w:rsidRPr="00EE7072">
              <w:rPr>
                <w:strike/>
                <w:szCs w:val="17"/>
                <w:lang w:val="fr-FR"/>
              </w:rPr>
              <w:t xml:space="preserve"> </w:t>
            </w:r>
            <w:r w:rsidRPr="00EE7072">
              <w:rPr>
                <w:strike/>
                <w:szCs w:val="17"/>
                <w:lang w:val="fr-FR"/>
              </w:rPr>
              <w:t>de la la taxonomie et de la nomencla</w:t>
            </w:r>
            <w:r w:rsidR="00D82E48" w:rsidRPr="00EE7072">
              <w:rPr>
                <w:strike/>
                <w:szCs w:val="17"/>
                <w:lang w:val="fr-FR"/>
              </w:rPr>
              <w:t>ture des références normalisées</w:t>
            </w:r>
            <w:r w:rsidRPr="00EE7072">
              <w:rPr>
                <w:strike/>
                <w:szCs w:val="17"/>
                <w:lang w:val="fr-FR"/>
              </w:rPr>
              <w:t>:</w:t>
            </w:r>
          </w:p>
          <w:p w14:paraId="5BA7C429" w14:textId="77777777" w:rsidR="00D82E48" w:rsidRPr="00EE7072" w:rsidRDefault="00D82E48" w:rsidP="00507639">
            <w:pPr>
              <w:widowControl/>
              <w:autoSpaceDE/>
              <w:autoSpaceDN/>
              <w:adjustRightInd/>
              <w:jc w:val="both"/>
              <w:rPr>
                <w:strike/>
                <w:szCs w:val="17"/>
                <w:lang w:val="fr-FR"/>
              </w:rPr>
            </w:pPr>
          </w:p>
          <w:p w14:paraId="005EF9EA" w14:textId="77777777" w:rsidR="003C2826" w:rsidRPr="00EE7072" w:rsidRDefault="003C2826" w:rsidP="00507639">
            <w:pPr>
              <w:widowControl/>
              <w:autoSpaceDE/>
              <w:autoSpaceDN/>
              <w:adjustRightInd/>
              <w:jc w:val="both"/>
              <w:rPr>
                <w:strike/>
                <w:szCs w:val="17"/>
                <w:lang w:val="fr-FR"/>
              </w:rPr>
            </w:pPr>
            <w:r w:rsidRPr="00EE7072">
              <w:rPr>
                <w:strike/>
                <w:szCs w:val="17"/>
                <w:lang w:val="fr-FR"/>
              </w:rPr>
              <w:t>Annexe I</w:t>
            </w:r>
          </w:p>
          <w:p w14:paraId="4E1D3295" w14:textId="77777777" w:rsidR="00D82E48" w:rsidRPr="00EE7072" w:rsidRDefault="00D82E48" w:rsidP="00507639">
            <w:pPr>
              <w:widowControl/>
              <w:autoSpaceDE/>
              <w:autoSpaceDN/>
              <w:adjustRightInd/>
              <w:jc w:val="both"/>
              <w:rPr>
                <w:strike/>
                <w:szCs w:val="17"/>
                <w:lang w:val="fr-FR"/>
              </w:rPr>
            </w:pPr>
          </w:p>
          <w:p w14:paraId="56A63357" w14:textId="77777777" w:rsidR="003C2826" w:rsidRPr="00EE7072" w:rsidRDefault="003C2826" w:rsidP="00507639">
            <w:pPr>
              <w:widowControl/>
              <w:autoSpaceDE/>
              <w:autoSpaceDN/>
              <w:adjustRightInd/>
              <w:jc w:val="both"/>
              <w:rPr>
                <w:strike/>
                <w:szCs w:val="17"/>
                <w:lang w:val="fr-FR"/>
              </w:rPr>
            </w:pPr>
            <w:r w:rsidRPr="00EE7072">
              <w:rPr>
                <w:strike/>
                <w:szCs w:val="17"/>
                <w:lang w:val="fr-FR"/>
              </w:rPr>
              <w:t>Mammifères</w:t>
            </w:r>
          </w:p>
          <w:p w14:paraId="512A683A" w14:textId="77777777" w:rsidR="00D82E48" w:rsidRPr="00EE7072" w:rsidRDefault="00D82E48" w:rsidP="00507639">
            <w:pPr>
              <w:widowControl/>
              <w:autoSpaceDE/>
              <w:autoSpaceDN/>
              <w:adjustRightInd/>
              <w:jc w:val="both"/>
              <w:rPr>
                <w:strike/>
                <w:szCs w:val="17"/>
                <w:lang w:val="fr-FR"/>
              </w:rPr>
            </w:pPr>
          </w:p>
          <w:p w14:paraId="410C6653" w14:textId="77777777" w:rsidR="003C2826" w:rsidRPr="00EE7072" w:rsidRDefault="003C2826" w:rsidP="00507639">
            <w:pPr>
              <w:widowControl/>
              <w:autoSpaceDE/>
              <w:autoSpaceDN/>
              <w:adjustRightInd/>
              <w:jc w:val="both"/>
              <w:rPr>
                <w:strike/>
                <w:szCs w:val="17"/>
                <w:lang w:val="fr-FR"/>
              </w:rPr>
            </w:pPr>
            <w:r w:rsidRPr="00EE7072">
              <w:rPr>
                <w:strike/>
                <w:szCs w:val="17"/>
                <w:lang w:val="fr-FR"/>
              </w:rPr>
              <w:t>1. Eubalaena glacialis devient Balaena glacialis glacialis.</w:t>
            </w:r>
          </w:p>
          <w:p w14:paraId="13BE5E97" w14:textId="77777777" w:rsidR="003C2826" w:rsidRPr="00EE7072" w:rsidRDefault="003C2826" w:rsidP="00507639">
            <w:pPr>
              <w:widowControl/>
              <w:autoSpaceDE/>
              <w:autoSpaceDN/>
              <w:adjustRightInd/>
              <w:jc w:val="both"/>
              <w:rPr>
                <w:strike/>
                <w:szCs w:val="17"/>
                <w:lang w:val="fr-FR"/>
              </w:rPr>
            </w:pPr>
            <w:r w:rsidRPr="00EE7072">
              <w:rPr>
                <w:strike/>
                <w:szCs w:val="17"/>
                <w:lang w:val="fr-FR"/>
              </w:rPr>
              <w:t>2. Eubalaena australis devient Balaena glacialis australis.</w:t>
            </w:r>
          </w:p>
          <w:p w14:paraId="093F7191" w14:textId="77777777" w:rsidR="003C2826" w:rsidRPr="00EE7072" w:rsidRDefault="003C2826" w:rsidP="00507639">
            <w:pPr>
              <w:widowControl/>
              <w:autoSpaceDE/>
              <w:autoSpaceDN/>
              <w:adjustRightInd/>
              <w:jc w:val="both"/>
              <w:rPr>
                <w:strike/>
                <w:szCs w:val="17"/>
                <w:lang w:val="fr-FR"/>
              </w:rPr>
            </w:pPr>
            <w:r w:rsidRPr="00EE7072">
              <w:rPr>
                <w:strike/>
                <w:szCs w:val="17"/>
                <w:lang w:val="fr-FR"/>
              </w:rPr>
              <w:t>3. Lutra felina devient Lontra felina.</w:t>
            </w:r>
          </w:p>
          <w:p w14:paraId="61F48FAE" w14:textId="77777777" w:rsidR="003C2826" w:rsidRPr="00EE7072" w:rsidRDefault="003C2826" w:rsidP="00507639">
            <w:pPr>
              <w:widowControl/>
              <w:autoSpaceDE/>
              <w:autoSpaceDN/>
              <w:adjustRightInd/>
              <w:jc w:val="both"/>
              <w:rPr>
                <w:strike/>
                <w:szCs w:val="17"/>
                <w:lang w:val="fr-FR"/>
              </w:rPr>
            </w:pPr>
            <w:r w:rsidRPr="00EE7072">
              <w:rPr>
                <w:strike/>
                <w:szCs w:val="17"/>
                <w:lang w:val="fr-FR"/>
              </w:rPr>
              <w:t>4. Lutra provocax devient Lontra provocax.</w:t>
            </w:r>
          </w:p>
          <w:p w14:paraId="7E38F567" w14:textId="77777777" w:rsidR="003C2826" w:rsidRPr="00EE7072" w:rsidRDefault="003C2826" w:rsidP="00507639">
            <w:pPr>
              <w:widowControl/>
              <w:autoSpaceDE/>
              <w:autoSpaceDN/>
              <w:adjustRightInd/>
              <w:jc w:val="both"/>
              <w:rPr>
                <w:strike/>
                <w:szCs w:val="17"/>
                <w:lang w:val="fr-FR"/>
              </w:rPr>
            </w:pPr>
            <w:r w:rsidRPr="00EE7072">
              <w:rPr>
                <w:strike/>
                <w:szCs w:val="17"/>
                <w:lang w:val="fr-FR"/>
              </w:rPr>
              <w:t>5. Panthera uncia devient Uncia uncia.</w:t>
            </w:r>
          </w:p>
          <w:p w14:paraId="1CFCF2FF" w14:textId="46BD78DE" w:rsidR="003C2826" w:rsidRPr="00EE7072" w:rsidRDefault="003C2826" w:rsidP="00507639">
            <w:pPr>
              <w:widowControl/>
              <w:autoSpaceDE/>
              <w:autoSpaceDN/>
              <w:adjustRightInd/>
              <w:jc w:val="both"/>
              <w:rPr>
                <w:strike/>
                <w:szCs w:val="17"/>
                <w:lang w:val="fr-FR"/>
              </w:rPr>
            </w:pPr>
            <w:r w:rsidRPr="00EE7072">
              <w:rPr>
                <w:strike/>
                <w:szCs w:val="17"/>
                <w:lang w:val="fr-FR"/>
              </w:rPr>
              <w:t>6. L'ancien ordre Pinnipedia est désormais inclus dans l'ordre Carnivora, et la famille Phocidae</w:t>
            </w:r>
            <w:r w:rsidR="00D82E48" w:rsidRPr="00EE7072">
              <w:rPr>
                <w:strike/>
                <w:szCs w:val="17"/>
                <w:lang w:val="fr-FR"/>
              </w:rPr>
              <w:t xml:space="preserve"> </w:t>
            </w:r>
            <w:r w:rsidRPr="00EE7072">
              <w:rPr>
                <w:strike/>
                <w:szCs w:val="17"/>
                <w:lang w:val="fr-FR"/>
              </w:rPr>
              <w:t>est par conséquent placée sous Carnivora.</w:t>
            </w:r>
          </w:p>
          <w:p w14:paraId="6DD2AF71" w14:textId="77777777" w:rsidR="00D82E48" w:rsidRPr="00EE7072" w:rsidRDefault="00D82E48" w:rsidP="00507639">
            <w:pPr>
              <w:widowControl/>
              <w:autoSpaceDE/>
              <w:autoSpaceDN/>
              <w:adjustRightInd/>
              <w:jc w:val="both"/>
              <w:rPr>
                <w:strike/>
                <w:szCs w:val="17"/>
                <w:lang w:val="fr-FR"/>
              </w:rPr>
            </w:pPr>
          </w:p>
          <w:p w14:paraId="2F02ED84" w14:textId="77777777" w:rsidR="003C2826" w:rsidRPr="00EE7072" w:rsidRDefault="003C2826" w:rsidP="00507639">
            <w:pPr>
              <w:widowControl/>
              <w:autoSpaceDE/>
              <w:autoSpaceDN/>
              <w:adjustRightInd/>
              <w:jc w:val="both"/>
              <w:rPr>
                <w:strike/>
                <w:szCs w:val="17"/>
                <w:lang w:val="fr-FR"/>
              </w:rPr>
            </w:pPr>
            <w:r w:rsidRPr="00EE7072">
              <w:rPr>
                <w:strike/>
                <w:szCs w:val="17"/>
                <w:lang w:val="fr-FR"/>
              </w:rPr>
              <w:t>Oiseaux</w:t>
            </w:r>
          </w:p>
          <w:p w14:paraId="46A1773D" w14:textId="77777777" w:rsidR="00D82E48" w:rsidRPr="00EE7072" w:rsidRDefault="00D82E48" w:rsidP="00507639">
            <w:pPr>
              <w:widowControl/>
              <w:autoSpaceDE/>
              <w:autoSpaceDN/>
              <w:adjustRightInd/>
              <w:jc w:val="both"/>
              <w:rPr>
                <w:strike/>
                <w:szCs w:val="17"/>
                <w:lang w:val="fr-FR"/>
              </w:rPr>
            </w:pPr>
          </w:p>
          <w:p w14:paraId="04E73CE9" w14:textId="77DC2185" w:rsidR="003C2826" w:rsidRPr="00EE7072" w:rsidRDefault="003C2826" w:rsidP="00507639">
            <w:pPr>
              <w:widowControl/>
              <w:autoSpaceDE/>
              <w:autoSpaceDN/>
              <w:adjustRightInd/>
              <w:jc w:val="both"/>
              <w:rPr>
                <w:strike/>
                <w:szCs w:val="17"/>
                <w:lang w:val="fr-FR"/>
              </w:rPr>
            </w:pPr>
            <w:r w:rsidRPr="00EE7072">
              <w:rPr>
                <w:strike/>
                <w:szCs w:val="17"/>
                <w:lang w:val="fr-FR"/>
              </w:rPr>
              <w:t>7. Pterodroma sandwichensis est ajouté, étant donné qu'il est considéré par Sibley &amp; Monroe</w:t>
            </w:r>
            <w:r w:rsidR="00D82E48" w:rsidRPr="00EE7072">
              <w:rPr>
                <w:strike/>
                <w:szCs w:val="17"/>
                <w:lang w:val="fr-FR"/>
              </w:rPr>
              <w:t xml:space="preserve"> </w:t>
            </w:r>
            <w:r w:rsidRPr="00EE7072">
              <w:rPr>
                <w:strike/>
                <w:szCs w:val="17"/>
                <w:lang w:val="fr-FR"/>
              </w:rPr>
              <w:t>comme une espèce distincte de Pterodroma phaeopygia. Cela suppose que Pterodroma</w:t>
            </w:r>
            <w:r w:rsidR="00D82E48" w:rsidRPr="00EE7072">
              <w:rPr>
                <w:strike/>
                <w:szCs w:val="17"/>
                <w:lang w:val="fr-FR"/>
              </w:rPr>
              <w:t xml:space="preserve"> </w:t>
            </w:r>
            <w:r w:rsidRPr="00EE7072">
              <w:rPr>
                <w:strike/>
                <w:szCs w:val="17"/>
                <w:lang w:val="fr-FR"/>
              </w:rPr>
              <w:t>phaeopygia était initialement utilisé dans son sens large (sensu lato).</w:t>
            </w:r>
          </w:p>
          <w:p w14:paraId="36185777" w14:textId="77777777" w:rsidR="003C2826" w:rsidRPr="00EE7072" w:rsidRDefault="003C2826" w:rsidP="00507639">
            <w:pPr>
              <w:widowControl/>
              <w:autoSpaceDE/>
              <w:autoSpaceDN/>
              <w:adjustRightInd/>
              <w:jc w:val="both"/>
              <w:rPr>
                <w:strike/>
                <w:szCs w:val="17"/>
                <w:lang w:val="fr-FR"/>
              </w:rPr>
            </w:pPr>
            <w:r w:rsidRPr="00EE7072">
              <w:rPr>
                <w:strike/>
                <w:szCs w:val="17"/>
                <w:lang w:val="fr-FR"/>
              </w:rPr>
              <w:t>8. Phoenicoparrus andinus devient Phoenicopterus andinus.</w:t>
            </w:r>
          </w:p>
          <w:p w14:paraId="5EE03922" w14:textId="77777777" w:rsidR="003C2826" w:rsidRPr="00EE7072" w:rsidRDefault="003C2826" w:rsidP="00507639">
            <w:pPr>
              <w:widowControl/>
              <w:autoSpaceDE/>
              <w:autoSpaceDN/>
              <w:adjustRightInd/>
              <w:jc w:val="both"/>
              <w:rPr>
                <w:strike/>
                <w:szCs w:val="17"/>
                <w:lang w:val="fr-FR"/>
              </w:rPr>
            </w:pPr>
            <w:r w:rsidRPr="00EE7072">
              <w:rPr>
                <w:strike/>
                <w:szCs w:val="17"/>
                <w:lang w:val="fr-FR"/>
              </w:rPr>
              <w:t>9. Phoenicoparrus jamesi devient Phoenicopterus jamesi.</w:t>
            </w:r>
          </w:p>
          <w:p w14:paraId="65E3F020" w14:textId="018418D6" w:rsidR="003C2826" w:rsidRPr="00EE7072" w:rsidRDefault="003C2826" w:rsidP="00507639">
            <w:pPr>
              <w:widowControl/>
              <w:autoSpaceDE/>
              <w:autoSpaceDN/>
              <w:adjustRightInd/>
              <w:jc w:val="both"/>
              <w:rPr>
                <w:strike/>
                <w:szCs w:val="17"/>
                <w:lang w:val="fr-FR"/>
              </w:rPr>
            </w:pPr>
            <w:r w:rsidRPr="00EE7072">
              <w:rPr>
                <w:strike/>
                <w:szCs w:val="17"/>
                <w:lang w:val="fr-FR"/>
              </w:rPr>
              <w:t>10. Aquila adalberti est ajouté, étant donné qu'il est considéré par Sibley &amp; Monroe comme</w:t>
            </w:r>
            <w:r w:rsidR="00D82E48" w:rsidRPr="00EE7072">
              <w:rPr>
                <w:strike/>
                <w:szCs w:val="17"/>
                <w:lang w:val="fr-FR"/>
              </w:rPr>
              <w:t xml:space="preserve"> </w:t>
            </w:r>
            <w:r w:rsidRPr="00EE7072">
              <w:rPr>
                <w:strike/>
                <w:szCs w:val="17"/>
                <w:lang w:val="fr-FR"/>
              </w:rPr>
              <w:t xml:space="preserve">une espèce distincte d’Aquila heliaca. Cela </w:t>
            </w:r>
            <w:r w:rsidRPr="00EE7072">
              <w:rPr>
                <w:strike/>
                <w:szCs w:val="17"/>
                <w:lang w:val="fr-FR"/>
              </w:rPr>
              <w:lastRenderedPageBreak/>
              <w:t>suppose qu'Aquila heliaca était initialement utilisé</w:t>
            </w:r>
            <w:r w:rsidR="00D82E48" w:rsidRPr="00EE7072">
              <w:rPr>
                <w:strike/>
                <w:szCs w:val="17"/>
                <w:lang w:val="fr-FR"/>
              </w:rPr>
              <w:t xml:space="preserve"> </w:t>
            </w:r>
            <w:r w:rsidRPr="00EE7072">
              <w:rPr>
                <w:strike/>
                <w:szCs w:val="17"/>
                <w:lang w:val="fr-FR"/>
              </w:rPr>
              <w:t>dans son sens large (sensu lato).</w:t>
            </w:r>
          </w:p>
          <w:p w14:paraId="747FE3FF" w14:textId="77777777" w:rsidR="003C2826" w:rsidRPr="00EE7072" w:rsidRDefault="003C2826" w:rsidP="00507639">
            <w:pPr>
              <w:widowControl/>
              <w:autoSpaceDE/>
              <w:autoSpaceDN/>
              <w:adjustRightInd/>
              <w:jc w:val="both"/>
              <w:rPr>
                <w:strike/>
                <w:szCs w:val="17"/>
                <w:lang w:val="fr-FR"/>
              </w:rPr>
            </w:pPr>
            <w:r w:rsidRPr="00EE7072">
              <w:rPr>
                <w:strike/>
                <w:szCs w:val="17"/>
                <w:lang w:val="fr-FR"/>
              </w:rPr>
              <w:t>11. Chettusia gregaria devient Vanellus gregarius.</w:t>
            </w:r>
          </w:p>
          <w:p w14:paraId="005B2644" w14:textId="47B9A74F" w:rsidR="003C2826" w:rsidRPr="00EE7072" w:rsidRDefault="003C2826" w:rsidP="00507639">
            <w:pPr>
              <w:widowControl/>
              <w:autoSpaceDE/>
              <w:autoSpaceDN/>
              <w:adjustRightInd/>
              <w:jc w:val="both"/>
              <w:rPr>
                <w:strike/>
                <w:szCs w:val="17"/>
                <w:lang w:val="fr-FR"/>
              </w:rPr>
            </w:pPr>
            <w:r w:rsidRPr="00EE7072">
              <w:rPr>
                <w:strike/>
                <w:szCs w:val="17"/>
                <w:lang w:val="fr-FR"/>
              </w:rPr>
              <w:t>12. Acrocephalus paludicola est désormais placé dans la famille Muscicapidae, étant donné que</w:t>
            </w:r>
            <w:r w:rsidR="00D82E48" w:rsidRPr="00EE7072">
              <w:rPr>
                <w:strike/>
                <w:szCs w:val="17"/>
                <w:lang w:val="fr-FR"/>
              </w:rPr>
              <w:t xml:space="preserve"> </w:t>
            </w:r>
            <w:r w:rsidRPr="00EE7072">
              <w:rPr>
                <w:strike/>
                <w:szCs w:val="17"/>
                <w:lang w:val="fr-FR"/>
              </w:rPr>
              <w:t>l'ancienne famille Sylviidae est maintenant considérée comme une sous-famille de</w:t>
            </w:r>
            <w:r w:rsidR="00D82E48" w:rsidRPr="00EE7072">
              <w:rPr>
                <w:strike/>
                <w:szCs w:val="17"/>
                <w:lang w:val="fr-FR"/>
              </w:rPr>
              <w:t xml:space="preserve"> </w:t>
            </w:r>
            <w:r w:rsidRPr="00EE7072">
              <w:rPr>
                <w:strike/>
                <w:szCs w:val="17"/>
                <w:lang w:val="fr-FR"/>
              </w:rPr>
              <w:t>Muscicapidae.</w:t>
            </w:r>
          </w:p>
          <w:p w14:paraId="43D7AB6F" w14:textId="77777777" w:rsidR="004647DB" w:rsidRPr="00EE7072" w:rsidRDefault="004647DB" w:rsidP="00507639">
            <w:pPr>
              <w:widowControl/>
              <w:autoSpaceDE/>
              <w:autoSpaceDN/>
              <w:adjustRightInd/>
              <w:jc w:val="both"/>
              <w:rPr>
                <w:strike/>
                <w:szCs w:val="17"/>
                <w:lang w:val="fr-FR"/>
              </w:rPr>
            </w:pPr>
          </w:p>
          <w:p w14:paraId="2E8A4972" w14:textId="77777777" w:rsidR="003C2826" w:rsidRPr="00EE7072" w:rsidRDefault="003C2826" w:rsidP="00507639">
            <w:pPr>
              <w:widowControl/>
              <w:autoSpaceDE/>
              <w:autoSpaceDN/>
              <w:adjustRightInd/>
              <w:jc w:val="both"/>
              <w:rPr>
                <w:strike/>
                <w:szCs w:val="17"/>
                <w:lang w:val="fr-FR"/>
              </w:rPr>
            </w:pPr>
            <w:r w:rsidRPr="00EE7072">
              <w:rPr>
                <w:strike/>
                <w:szCs w:val="17"/>
                <w:lang w:val="fr-FR"/>
              </w:rPr>
              <w:t>Annexe II</w:t>
            </w:r>
          </w:p>
          <w:p w14:paraId="38545758" w14:textId="77777777" w:rsidR="00D82E48" w:rsidRPr="00EE7072" w:rsidRDefault="00D82E48" w:rsidP="00507639">
            <w:pPr>
              <w:widowControl/>
              <w:autoSpaceDE/>
              <w:autoSpaceDN/>
              <w:adjustRightInd/>
              <w:jc w:val="both"/>
              <w:rPr>
                <w:strike/>
                <w:szCs w:val="17"/>
                <w:lang w:val="fr-FR"/>
              </w:rPr>
            </w:pPr>
          </w:p>
          <w:p w14:paraId="0A305649" w14:textId="77777777" w:rsidR="003C2826" w:rsidRPr="00EE7072" w:rsidRDefault="003C2826" w:rsidP="00507639">
            <w:pPr>
              <w:widowControl/>
              <w:autoSpaceDE/>
              <w:autoSpaceDN/>
              <w:adjustRightInd/>
              <w:jc w:val="both"/>
              <w:rPr>
                <w:strike/>
                <w:szCs w:val="17"/>
                <w:lang w:val="fr-FR"/>
              </w:rPr>
            </w:pPr>
            <w:r w:rsidRPr="00EE7072">
              <w:rPr>
                <w:strike/>
                <w:szCs w:val="17"/>
                <w:lang w:val="fr-FR"/>
              </w:rPr>
              <w:t>Mammifères</w:t>
            </w:r>
          </w:p>
          <w:p w14:paraId="16A7960D" w14:textId="77777777" w:rsidR="00D82E48" w:rsidRPr="00EE7072" w:rsidRDefault="00D82E48" w:rsidP="00507639">
            <w:pPr>
              <w:widowControl/>
              <w:autoSpaceDE/>
              <w:autoSpaceDN/>
              <w:adjustRightInd/>
              <w:jc w:val="both"/>
              <w:rPr>
                <w:strike/>
                <w:szCs w:val="17"/>
                <w:lang w:val="fr-FR"/>
              </w:rPr>
            </w:pPr>
          </w:p>
          <w:p w14:paraId="7B6AE703" w14:textId="77777777" w:rsidR="003C2826" w:rsidRPr="00EE7072" w:rsidRDefault="003C2826" w:rsidP="00507639">
            <w:pPr>
              <w:widowControl/>
              <w:autoSpaceDE/>
              <w:autoSpaceDN/>
              <w:adjustRightInd/>
              <w:jc w:val="both"/>
              <w:rPr>
                <w:strike/>
                <w:szCs w:val="17"/>
                <w:lang w:val="fr-FR"/>
              </w:rPr>
            </w:pPr>
            <w:r w:rsidRPr="00EE7072">
              <w:rPr>
                <w:strike/>
                <w:szCs w:val="17"/>
                <w:lang w:val="fr-FR"/>
              </w:rPr>
              <w:t>13. Platanista gangetica devient Platanista gangetica gangetica.</w:t>
            </w:r>
          </w:p>
          <w:p w14:paraId="1A47F7D7" w14:textId="096349F2" w:rsidR="003C2826" w:rsidRPr="00EE7072" w:rsidRDefault="003C2826" w:rsidP="00507639">
            <w:pPr>
              <w:widowControl/>
              <w:autoSpaceDE/>
              <w:autoSpaceDN/>
              <w:adjustRightInd/>
              <w:jc w:val="both"/>
              <w:rPr>
                <w:strike/>
                <w:szCs w:val="17"/>
                <w:lang w:val="fr-FR"/>
              </w:rPr>
            </w:pPr>
            <w:r w:rsidRPr="00EE7072">
              <w:rPr>
                <w:strike/>
                <w:szCs w:val="17"/>
                <w:lang w:val="fr-FR"/>
              </w:rPr>
              <w:t>14. L'ancien ordre Pinnipedia est désormais placé sous l'ordre Carnivora, puisque la famille</w:t>
            </w:r>
            <w:r w:rsidR="00D82E48" w:rsidRPr="00EE7072">
              <w:rPr>
                <w:strike/>
                <w:szCs w:val="17"/>
                <w:lang w:val="fr-FR"/>
              </w:rPr>
              <w:t xml:space="preserve"> </w:t>
            </w:r>
            <w:r w:rsidRPr="00EE7072">
              <w:rPr>
                <w:strike/>
                <w:szCs w:val="17"/>
                <w:lang w:val="fr-FR"/>
              </w:rPr>
              <w:t>Phocidae est placée sous Carnivora.</w:t>
            </w:r>
          </w:p>
          <w:p w14:paraId="411873B3" w14:textId="77777777" w:rsidR="00D82E48" w:rsidRPr="00EE7072" w:rsidRDefault="00D82E48" w:rsidP="00507639">
            <w:pPr>
              <w:widowControl/>
              <w:autoSpaceDE/>
              <w:autoSpaceDN/>
              <w:adjustRightInd/>
              <w:jc w:val="both"/>
              <w:rPr>
                <w:strike/>
                <w:szCs w:val="17"/>
                <w:lang w:val="fr-FR"/>
              </w:rPr>
            </w:pPr>
          </w:p>
          <w:p w14:paraId="55FBBB09" w14:textId="77777777" w:rsidR="003C2826" w:rsidRPr="00EE7072" w:rsidRDefault="003C2826" w:rsidP="00507639">
            <w:pPr>
              <w:widowControl/>
              <w:autoSpaceDE/>
              <w:autoSpaceDN/>
              <w:adjustRightInd/>
              <w:jc w:val="both"/>
              <w:rPr>
                <w:strike/>
                <w:szCs w:val="17"/>
                <w:lang w:val="fr-FR"/>
              </w:rPr>
            </w:pPr>
            <w:r w:rsidRPr="00EE7072">
              <w:rPr>
                <w:strike/>
                <w:szCs w:val="17"/>
                <w:lang w:val="fr-FR"/>
              </w:rPr>
              <w:t>Oiseaux</w:t>
            </w:r>
          </w:p>
          <w:p w14:paraId="621B6900" w14:textId="77777777" w:rsidR="00D82E48" w:rsidRPr="00EE7072" w:rsidRDefault="00D82E48" w:rsidP="00507639">
            <w:pPr>
              <w:widowControl/>
              <w:autoSpaceDE/>
              <w:autoSpaceDN/>
              <w:adjustRightInd/>
              <w:jc w:val="both"/>
              <w:rPr>
                <w:strike/>
                <w:szCs w:val="17"/>
                <w:lang w:val="fr-FR"/>
              </w:rPr>
            </w:pPr>
          </w:p>
          <w:p w14:paraId="3543307F" w14:textId="77777777" w:rsidR="003C2826" w:rsidRPr="00EE7072" w:rsidRDefault="003C2826" w:rsidP="00507639">
            <w:pPr>
              <w:widowControl/>
              <w:autoSpaceDE/>
              <w:autoSpaceDN/>
              <w:adjustRightInd/>
              <w:jc w:val="both"/>
              <w:rPr>
                <w:strike/>
                <w:szCs w:val="17"/>
                <w:lang w:val="fr-FR"/>
              </w:rPr>
            </w:pPr>
            <w:r w:rsidRPr="00EE7072">
              <w:rPr>
                <w:strike/>
                <w:szCs w:val="17"/>
                <w:lang w:val="fr-FR"/>
              </w:rPr>
              <w:t>15. Diomedea chlororynchos devient Diomedea chlororhynchos.</w:t>
            </w:r>
          </w:p>
          <w:p w14:paraId="6DA84503" w14:textId="77777777" w:rsidR="003C2826" w:rsidRPr="00EE7072" w:rsidRDefault="003C2826" w:rsidP="00507639">
            <w:pPr>
              <w:widowControl/>
              <w:autoSpaceDE/>
              <w:autoSpaceDN/>
              <w:adjustRightInd/>
              <w:jc w:val="both"/>
              <w:rPr>
                <w:strike/>
                <w:szCs w:val="17"/>
                <w:lang w:val="fr-FR"/>
              </w:rPr>
            </w:pPr>
            <w:r w:rsidRPr="00EE7072">
              <w:rPr>
                <w:strike/>
                <w:szCs w:val="17"/>
                <w:lang w:val="fr-FR"/>
              </w:rPr>
              <w:t>16. Phalacrocorax pygmaeus devient Phalacrocorax pygmeus.</w:t>
            </w:r>
          </w:p>
          <w:p w14:paraId="6B6C6BDD" w14:textId="77777777" w:rsidR="003C2826" w:rsidRPr="00EE7072" w:rsidRDefault="003C2826" w:rsidP="00507639">
            <w:pPr>
              <w:widowControl/>
              <w:autoSpaceDE/>
              <w:autoSpaceDN/>
              <w:adjustRightInd/>
              <w:jc w:val="both"/>
              <w:rPr>
                <w:strike/>
                <w:szCs w:val="17"/>
                <w:lang w:val="fr-FR"/>
              </w:rPr>
            </w:pPr>
            <w:r w:rsidRPr="00EE7072">
              <w:rPr>
                <w:strike/>
                <w:szCs w:val="17"/>
                <w:lang w:val="fr-FR"/>
              </w:rPr>
              <w:t>17. Anthropoides virgo devient Grus virgo, et est par conséquent inclus dans Grus spp.</w:t>
            </w:r>
          </w:p>
          <w:p w14:paraId="0900D25B" w14:textId="60814C6B" w:rsidR="003C2826" w:rsidRPr="00EE7072" w:rsidRDefault="003C2826" w:rsidP="00507639">
            <w:pPr>
              <w:widowControl/>
              <w:autoSpaceDE/>
              <w:autoSpaceDN/>
              <w:adjustRightInd/>
              <w:jc w:val="both"/>
              <w:rPr>
                <w:strike/>
                <w:szCs w:val="17"/>
                <w:lang w:val="fr-FR"/>
              </w:rPr>
            </w:pPr>
            <w:r w:rsidRPr="00EE7072">
              <w:rPr>
                <w:strike/>
                <w:szCs w:val="17"/>
                <w:lang w:val="fr-FR"/>
              </w:rPr>
              <w:t>18. L'ancienne famille Phalaropodidae est supprimée, et elle est désormais incluse dans la famille</w:t>
            </w:r>
            <w:r w:rsidR="00D82E48" w:rsidRPr="00EE7072">
              <w:rPr>
                <w:strike/>
                <w:szCs w:val="17"/>
                <w:lang w:val="fr-FR"/>
              </w:rPr>
              <w:t xml:space="preserve"> </w:t>
            </w:r>
            <w:r w:rsidRPr="00EE7072">
              <w:rPr>
                <w:strike/>
                <w:szCs w:val="17"/>
                <w:lang w:val="fr-FR"/>
              </w:rPr>
              <w:t>Scolopacidae.</w:t>
            </w:r>
          </w:p>
          <w:p w14:paraId="34C6F4BB" w14:textId="3E023C83" w:rsidR="003C2826" w:rsidRPr="00EE7072" w:rsidRDefault="003C2826" w:rsidP="00507639">
            <w:pPr>
              <w:widowControl/>
              <w:autoSpaceDE/>
              <w:autoSpaceDN/>
              <w:adjustRightInd/>
              <w:jc w:val="both"/>
              <w:rPr>
                <w:strike/>
                <w:szCs w:val="17"/>
                <w:lang w:val="fr-FR"/>
              </w:rPr>
            </w:pPr>
            <w:r w:rsidRPr="00EE7072">
              <w:rPr>
                <w:strike/>
                <w:szCs w:val="17"/>
                <w:lang w:val="fr-FR"/>
              </w:rPr>
              <w:t>19. Sterna spp. et Chlidonias spp. sont maintenant placés dans la famille Laridae, étant donné que</w:t>
            </w:r>
            <w:r w:rsidR="00D82E48" w:rsidRPr="00EE7072">
              <w:rPr>
                <w:strike/>
                <w:szCs w:val="17"/>
                <w:lang w:val="fr-FR"/>
              </w:rPr>
              <w:t xml:space="preserve"> </w:t>
            </w:r>
            <w:r w:rsidRPr="00EE7072">
              <w:rPr>
                <w:strike/>
                <w:szCs w:val="17"/>
                <w:lang w:val="fr-FR"/>
              </w:rPr>
              <w:t>l'ancienne famille Sternidae est désormais considérée comme une sous-famille de Laridae.</w:t>
            </w:r>
          </w:p>
          <w:p w14:paraId="32AF986C" w14:textId="77777777" w:rsidR="003C2826" w:rsidRDefault="003C2826" w:rsidP="00D82E48">
            <w:pPr>
              <w:widowControl/>
              <w:autoSpaceDE/>
              <w:autoSpaceDN/>
              <w:adjustRightInd/>
              <w:jc w:val="both"/>
              <w:rPr>
                <w:strike/>
                <w:szCs w:val="17"/>
                <w:lang w:val="fr-FR"/>
              </w:rPr>
            </w:pPr>
            <w:r w:rsidRPr="00EE7072">
              <w:rPr>
                <w:strike/>
                <w:szCs w:val="17"/>
                <w:lang w:val="fr-FR"/>
              </w:rPr>
              <w:t>20. Acrocephalus paludicola est supprimé, étant donné qu'il est maintenant placé dans la famille</w:t>
            </w:r>
            <w:r w:rsidR="00D82E48" w:rsidRPr="00EE7072">
              <w:rPr>
                <w:strike/>
                <w:szCs w:val="17"/>
                <w:lang w:val="fr-FR"/>
              </w:rPr>
              <w:t xml:space="preserve"> </w:t>
            </w:r>
            <w:r w:rsidRPr="00EE7072">
              <w:rPr>
                <w:strike/>
                <w:szCs w:val="17"/>
                <w:lang w:val="fr-FR"/>
              </w:rPr>
              <w:t>Muscicapidae (sensu lato), et que toutes les espèces de Muscicapidae sont déjà inscrites.</w:t>
            </w:r>
          </w:p>
          <w:p w14:paraId="0140FC0F" w14:textId="67D00729" w:rsidR="00A066BB" w:rsidRPr="00EE7072" w:rsidRDefault="00A066BB" w:rsidP="00D82E48">
            <w:pPr>
              <w:widowControl/>
              <w:autoSpaceDE/>
              <w:autoSpaceDN/>
              <w:adjustRightInd/>
              <w:jc w:val="both"/>
              <w:rPr>
                <w:szCs w:val="17"/>
                <w:lang w:val="fr-FR"/>
              </w:rPr>
            </w:pPr>
          </w:p>
        </w:tc>
        <w:tc>
          <w:tcPr>
            <w:tcW w:w="2336" w:type="dxa"/>
            <w:shd w:val="clear" w:color="auto" w:fill="auto"/>
          </w:tcPr>
          <w:p w14:paraId="68F41382" w14:textId="3D7F8283" w:rsidR="004647DB" w:rsidRPr="000749B4" w:rsidRDefault="00B402A3" w:rsidP="0028030F">
            <w:r>
              <w:lastRenderedPageBreak/>
              <w:t>Recommandation</w:t>
            </w:r>
            <w:r w:rsidR="004647DB" w:rsidRPr="000749B4">
              <w:t xml:space="preserve"> 6.1</w:t>
            </w:r>
          </w:p>
          <w:p w14:paraId="769D4C3F" w14:textId="77777777" w:rsidR="004647DB" w:rsidRPr="000749B4" w:rsidRDefault="004647DB" w:rsidP="0028030F"/>
          <w:p w14:paraId="35127257" w14:textId="5D80FB04" w:rsidR="004647DB" w:rsidRPr="000749B4" w:rsidRDefault="00A066BB" w:rsidP="0028030F">
            <w:r>
              <w:rPr>
                <w:color w:val="000000" w:themeColor="text1"/>
                <w:lang w:val="fr-FR"/>
              </w:rPr>
              <w:t>Abroger</w:t>
            </w:r>
            <w:r w:rsidR="003F0CC0" w:rsidRPr="00C079EF">
              <w:rPr>
                <w:color w:val="000000" w:themeColor="text1"/>
                <w:lang w:val="fr-FR"/>
              </w:rPr>
              <w:t>; travail achevé</w:t>
            </w:r>
          </w:p>
        </w:tc>
      </w:tr>
      <w:tr w:rsidR="004647DB" w:rsidRPr="000749B4" w14:paraId="62B77684" w14:textId="77777777" w:rsidTr="00135DBE">
        <w:tc>
          <w:tcPr>
            <w:tcW w:w="6737" w:type="dxa"/>
            <w:shd w:val="clear" w:color="auto" w:fill="auto"/>
          </w:tcPr>
          <w:p w14:paraId="374A716A" w14:textId="70FD315B" w:rsidR="004647DB" w:rsidRPr="00EE7072" w:rsidRDefault="003C2826" w:rsidP="00D82E48">
            <w:pPr>
              <w:widowControl/>
              <w:autoSpaceDE/>
              <w:autoSpaceDN/>
              <w:adjustRightInd/>
              <w:jc w:val="both"/>
              <w:rPr>
                <w:strike/>
                <w:szCs w:val="17"/>
                <w:lang w:val="fr-FR"/>
              </w:rPr>
            </w:pPr>
            <w:r w:rsidRPr="00EE7072">
              <w:rPr>
                <w:strike/>
                <w:szCs w:val="17"/>
                <w:lang w:val="fr-FR"/>
              </w:rPr>
              <w:t xml:space="preserve">3. </w:t>
            </w:r>
            <w:r w:rsidRPr="00EE7072">
              <w:rPr>
                <w:i/>
                <w:strike/>
                <w:szCs w:val="17"/>
                <w:lang w:val="fr-FR"/>
              </w:rPr>
              <w:t>Recommande</w:t>
            </w:r>
            <w:r w:rsidRPr="00EE7072">
              <w:rPr>
                <w:strike/>
                <w:szCs w:val="17"/>
                <w:lang w:val="fr-FR"/>
              </w:rPr>
              <w:t xml:space="preserve"> en outre, si la Conférence des Parties décide d'inscrire Xanthopsar flavus et</w:t>
            </w:r>
            <w:r w:rsidR="00D82E48" w:rsidRPr="00EE7072">
              <w:rPr>
                <w:strike/>
                <w:szCs w:val="17"/>
                <w:lang w:val="fr-FR"/>
              </w:rPr>
              <w:t xml:space="preserve"> </w:t>
            </w:r>
            <w:r w:rsidRPr="00EE7072">
              <w:rPr>
                <w:strike/>
                <w:szCs w:val="17"/>
                <w:lang w:val="fr-FR"/>
              </w:rPr>
              <w:t>Procellaria conspicillata aux Annexes, comme proposé, que les noms Agelaius flavus et Procellaria</w:t>
            </w:r>
            <w:r w:rsidR="00D82E48" w:rsidRPr="00EE7072">
              <w:rPr>
                <w:strike/>
                <w:szCs w:val="17"/>
                <w:lang w:val="fr-FR"/>
              </w:rPr>
              <w:t xml:space="preserve"> </w:t>
            </w:r>
            <w:r w:rsidRPr="00EE7072">
              <w:rPr>
                <w:strike/>
                <w:szCs w:val="17"/>
                <w:lang w:val="fr-FR"/>
              </w:rPr>
              <w:t>aequinoctialis conspicillata, respectivement, soient utilisés.</w:t>
            </w:r>
          </w:p>
        </w:tc>
        <w:tc>
          <w:tcPr>
            <w:tcW w:w="2336" w:type="dxa"/>
            <w:shd w:val="clear" w:color="auto" w:fill="auto"/>
          </w:tcPr>
          <w:p w14:paraId="3DB99BC1" w14:textId="2F9F8D07" w:rsidR="004647DB" w:rsidRPr="000749B4" w:rsidRDefault="00B402A3" w:rsidP="0028030F">
            <w:r>
              <w:t>Recommandation</w:t>
            </w:r>
            <w:r w:rsidR="004647DB" w:rsidRPr="000749B4">
              <w:t xml:space="preserve"> 6.1</w:t>
            </w:r>
          </w:p>
          <w:p w14:paraId="14991B79" w14:textId="77777777" w:rsidR="004647DB" w:rsidRPr="000749B4" w:rsidRDefault="004647DB" w:rsidP="0028030F"/>
          <w:p w14:paraId="3DEDB14C" w14:textId="2A0995B2" w:rsidR="004647DB" w:rsidRPr="000749B4" w:rsidRDefault="00A066BB" w:rsidP="0028030F">
            <w:r>
              <w:rPr>
                <w:color w:val="000000" w:themeColor="text1"/>
                <w:lang w:val="fr-FR"/>
              </w:rPr>
              <w:t xml:space="preserve">Abroger, </w:t>
            </w:r>
            <w:r w:rsidR="003F0CC0" w:rsidRPr="00C079EF">
              <w:rPr>
                <w:color w:val="000000" w:themeColor="text1"/>
                <w:lang w:val="fr-FR"/>
              </w:rPr>
              <w:t>travail achevé</w:t>
            </w:r>
          </w:p>
        </w:tc>
      </w:tr>
      <w:tr w:rsidR="004647DB" w:rsidRPr="000749B4" w14:paraId="1DDC105C" w14:textId="77777777" w:rsidTr="00135DBE">
        <w:tc>
          <w:tcPr>
            <w:tcW w:w="6737" w:type="dxa"/>
            <w:shd w:val="clear" w:color="auto" w:fill="auto"/>
          </w:tcPr>
          <w:p w14:paraId="3B6A71E9" w14:textId="7698138D" w:rsidR="004647DB" w:rsidRPr="00EE7072" w:rsidRDefault="00074DA7" w:rsidP="00D82E48">
            <w:pPr>
              <w:widowControl/>
              <w:autoSpaceDE/>
              <w:autoSpaceDN/>
              <w:adjustRightInd/>
              <w:jc w:val="both"/>
              <w:rPr>
                <w:strike/>
                <w:szCs w:val="17"/>
                <w:lang w:val="fr-FR"/>
              </w:rPr>
            </w:pPr>
            <w:r w:rsidRPr="00EE7072">
              <w:rPr>
                <w:strike/>
                <w:szCs w:val="17"/>
                <w:lang w:val="fr-FR"/>
              </w:rPr>
              <w:t xml:space="preserve">5. </w:t>
            </w:r>
            <w:r w:rsidRPr="00EE7072">
              <w:rPr>
                <w:i/>
                <w:strike/>
                <w:szCs w:val="17"/>
                <w:lang w:val="fr-FR"/>
              </w:rPr>
              <w:t>Prie également</w:t>
            </w:r>
            <w:r w:rsidRPr="00EE7072">
              <w:rPr>
                <w:strike/>
                <w:szCs w:val="17"/>
                <w:lang w:val="fr-FR"/>
              </w:rPr>
              <w:t xml:space="preserve"> le Secrétariat de soulever, à la prochaine réunion des présidents des organes</w:t>
            </w:r>
            <w:r w:rsidR="00D82E48" w:rsidRPr="00EE7072">
              <w:rPr>
                <w:strike/>
                <w:szCs w:val="17"/>
                <w:lang w:val="fr-FR"/>
              </w:rPr>
              <w:t xml:space="preserve"> </w:t>
            </w:r>
            <w:r w:rsidRPr="00EE7072">
              <w:rPr>
                <w:strike/>
                <w:szCs w:val="17"/>
                <w:lang w:val="fr-FR"/>
              </w:rPr>
              <w:t>scientifiques consultatifs des conventions associées à la biodiversité (CSAB), la faisabilité d’établir</w:t>
            </w:r>
            <w:r w:rsidR="00D82E48" w:rsidRPr="00EE7072">
              <w:rPr>
                <w:strike/>
                <w:szCs w:val="17"/>
                <w:lang w:val="fr-FR"/>
              </w:rPr>
              <w:t xml:space="preserve"> </w:t>
            </w:r>
            <w:r w:rsidRPr="00EE7072">
              <w:rPr>
                <w:strike/>
                <w:szCs w:val="17"/>
                <w:lang w:val="fr-FR"/>
              </w:rPr>
              <w:t>un comité de nomenclature et de taxonomie qui pourrait se réunir périodiquement afin d’examiner la</w:t>
            </w:r>
            <w:r w:rsidR="00D82E48" w:rsidRPr="00EE7072">
              <w:rPr>
                <w:strike/>
                <w:szCs w:val="17"/>
                <w:lang w:val="fr-FR"/>
              </w:rPr>
              <w:t xml:space="preserve"> </w:t>
            </w:r>
            <w:r w:rsidRPr="00EE7072">
              <w:rPr>
                <w:strike/>
                <w:szCs w:val="17"/>
                <w:lang w:val="fr-FR"/>
              </w:rPr>
              <w:t>littérature technique pertinente afin de travailler vers l’harmonisation de la nomenclature des espèces</w:t>
            </w:r>
            <w:r w:rsidR="00D82E48" w:rsidRPr="00EE7072">
              <w:rPr>
                <w:strike/>
                <w:szCs w:val="17"/>
                <w:lang w:val="fr-FR"/>
              </w:rPr>
              <w:t xml:space="preserve"> </w:t>
            </w:r>
            <w:r w:rsidRPr="00EE7072">
              <w:rPr>
                <w:strike/>
                <w:szCs w:val="17"/>
                <w:lang w:val="fr-FR"/>
              </w:rPr>
              <w:t>utilisée par les conventions associées à la biodiversité; et</w:t>
            </w:r>
          </w:p>
        </w:tc>
        <w:tc>
          <w:tcPr>
            <w:tcW w:w="2336" w:type="dxa"/>
            <w:shd w:val="clear" w:color="auto" w:fill="auto"/>
          </w:tcPr>
          <w:p w14:paraId="667820F0" w14:textId="5D411719" w:rsidR="004647DB" w:rsidRPr="000749B4" w:rsidRDefault="00B402A3" w:rsidP="0028030F">
            <w:r>
              <w:t>Recommandation</w:t>
            </w:r>
            <w:r w:rsidR="004647DB" w:rsidRPr="000749B4">
              <w:t xml:space="preserve"> 9.4</w:t>
            </w:r>
          </w:p>
          <w:p w14:paraId="29948602" w14:textId="77777777" w:rsidR="004647DB" w:rsidRPr="000749B4" w:rsidRDefault="004647DB" w:rsidP="0028030F"/>
          <w:p w14:paraId="7DA0D36E" w14:textId="325A22E1" w:rsidR="004647DB" w:rsidRPr="000749B4" w:rsidRDefault="00A066BB" w:rsidP="0028030F">
            <w:r>
              <w:rPr>
                <w:color w:val="000000" w:themeColor="text1"/>
                <w:lang w:val="fr-FR"/>
              </w:rPr>
              <w:t>Abroger,</w:t>
            </w:r>
            <w:r w:rsidR="003F0CC0" w:rsidRPr="00C079EF">
              <w:rPr>
                <w:color w:val="000000" w:themeColor="text1"/>
                <w:lang w:val="fr-FR"/>
              </w:rPr>
              <w:t xml:space="preserve"> travail achevé</w:t>
            </w:r>
          </w:p>
        </w:tc>
      </w:tr>
      <w:tr w:rsidR="004647DB" w:rsidRPr="000749B4" w14:paraId="4043C15F" w14:textId="77777777" w:rsidTr="00135DBE">
        <w:tc>
          <w:tcPr>
            <w:tcW w:w="6737" w:type="dxa"/>
            <w:shd w:val="clear" w:color="auto" w:fill="auto"/>
          </w:tcPr>
          <w:p w14:paraId="1EBE1887" w14:textId="19555E12" w:rsidR="004647DB" w:rsidRPr="00EE7072" w:rsidRDefault="00074DA7" w:rsidP="00D82E48">
            <w:pPr>
              <w:widowControl/>
              <w:autoSpaceDE/>
              <w:autoSpaceDN/>
              <w:adjustRightInd/>
              <w:jc w:val="both"/>
              <w:rPr>
                <w:strike/>
                <w:szCs w:val="17"/>
                <w:lang w:val="fr-FR"/>
              </w:rPr>
            </w:pPr>
            <w:r w:rsidRPr="00EE7072">
              <w:rPr>
                <w:strike/>
                <w:szCs w:val="17"/>
                <w:lang w:val="fr-FR"/>
              </w:rPr>
              <w:t xml:space="preserve">6. </w:t>
            </w:r>
            <w:r w:rsidRPr="00EE7072">
              <w:rPr>
                <w:i/>
                <w:strike/>
                <w:szCs w:val="17"/>
                <w:lang w:val="fr-FR"/>
              </w:rPr>
              <w:t>Prie</w:t>
            </w:r>
            <w:r w:rsidRPr="00EE7072">
              <w:rPr>
                <w:strike/>
                <w:szCs w:val="17"/>
                <w:lang w:val="fr-FR"/>
              </w:rPr>
              <w:t xml:space="preserve"> le Secrétariat de transmettre cette Résolution au Secrétariat de la CITES afin d’être</w:t>
            </w:r>
            <w:r w:rsidR="00D82E48" w:rsidRPr="00EE7072">
              <w:rPr>
                <w:strike/>
                <w:szCs w:val="17"/>
                <w:lang w:val="fr-FR"/>
              </w:rPr>
              <w:t xml:space="preserve"> </w:t>
            </w:r>
            <w:r w:rsidRPr="00EE7072">
              <w:rPr>
                <w:strike/>
                <w:szCs w:val="17"/>
                <w:lang w:val="fr-FR"/>
              </w:rPr>
              <w:t>considéré par les organes scientifiques de cette Convention.</w:t>
            </w:r>
          </w:p>
        </w:tc>
        <w:tc>
          <w:tcPr>
            <w:tcW w:w="2336" w:type="dxa"/>
            <w:shd w:val="clear" w:color="auto" w:fill="auto"/>
          </w:tcPr>
          <w:p w14:paraId="271047C2" w14:textId="570B48D3" w:rsidR="004647DB" w:rsidRPr="000749B4" w:rsidRDefault="00B402A3" w:rsidP="0028030F">
            <w:r>
              <w:t>Recommandation</w:t>
            </w:r>
            <w:r w:rsidR="004647DB" w:rsidRPr="000749B4">
              <w:t xml:space="preserve"> 9.4</w:t>
            </w:r>
          </w:p>
          <w:p w14:paraId="369DA183" w14:textId="77777777" w:rsidR="004647DB" w:rsidRPr="000749B4" w:rsidRDefault="004647DB" w:rsidP="0028030F"/>
          <w:p w14:paraId="610FDAA1" w14:textId="77777777" w:rsidR="004647DB" w:rsidRDefault="003F0CC0" w:rsidP="0028030F">
            <w:pPr>
              <w:rPr>
                <w:color w:val="000000" w:themeColor="text1"/>
                <w:lang w:val="fr-FR"/>
              </w:rPr>
            </w:pPr>
            <w:r w:rsidRPr="00C079EF">
              <w:rPr>
                <w:color w:val="000000" w:themeColor="text1"/>
                <w:lang w:val="fr-FR"/>
              </w:rPr>
              <w:t>Retrait; travail achevé</w:t>
            </w:r>
          </w:p>
          <w:p w14:paraId="7DBFC05E" w14:textId="67FFF2BB" w:rsidR="00A066BB" w:rsidRPr="000749B4" w:rsidRDefault="00A066BB" w:rsidP="0028030F"/>
        </w:tc>
      </w:tr>
      <w:tr w:rsidR="004647DB" w:rsidRPr="000749B4" w14:paraId="12F9A031" w14:textId="77777777" w:rsidTr="00135DBE">
        <w:tc>
          <w:tcPr>
            <w:tcW w:w="6737" w:type="dxa"/>
            <w:shd w:val="clear" w:color="auto" w:fill="auto"/>
          </w:tcPr>
          <w:p w14:paraId="4DF36C7A" w14:textId="4770B125" w:rsidR="004647DB" w:rsidRPr="00EE7072" w:rsidRDefault="007A4206" w:rsidP="00507639">
            <w:pPr>
              <w:widowControl/>
              <w:autoSpaceDE/>
              <w:autoSpaceDN/>
              <w:adjustRightInd/>
              <w:jc w:val="both"/>
              <w:rPr>
                <w:strike/>
                <w:szCs w:val="17"/>
                <w:lang w:val="fr-FR"/>
              </w:rPr>
            </w:pPr>
            <w:r w:rsidRPr="00EE7072">
              <w:rPr>
                <w:strike/>
                <w:szCs w:val="17"/>
                <w:lang w:val="fr-FR"/>
              </w:rPr>
              <w:t>4</w:t>
            </w:r>
            <w:r w:rsidRPr="00EE7072">
              <w:rPr>
                <w:i/>
                <w:iCs/>
                <w:strike/>
                <w:szCs w:val="17"/>
                <w:lang w:val="fr-FR"/>
              </w:rPr>
              <w:t xml:space="preserve">. Demande </w:t>
            </w:r>
            <w:r w:rsidRPr="00EE7072">
              <w:rPr>
                <w:strike/>
                <w:szCs w:val="17"/>
                <w:lang w:val="fr-FR"/>
              </w:rPr>
              <w:t>au Secrétariat de transmettre cette résolution au Secrétariat de la CITES pour qu’elle soit considérée par les organismes scientifiques de cette Convention. </w:t>
            </w:r>
          </w:p>
        </w:tc>
        <w:tc>
          <w:tcPr>
            <w:tcW w:w="2336" w:type="dxa"/>
            <w:shd w:val="clear" w:color="auto" w:fill="auto"/>
          </w:tcPr>
          <w:p w14:paraId="2864EA4A" w14:textId="66D65188" w:rsidR="004647DB" w:rsidRPr="000749B4" w:rsidRDefault="00B402A3" w:rsidP="0028030F">
            <w:r>
              <w:t>Résolution</w:t>
            </w:r>
            <w:r w:rsidR="004647DB" w:rsidRPr="000749B4">
              <w:t xml:space="preserve"> 10.13</w:t>
            </w:r>
          </w:p>
          <w:p w14:paraId="427CED2D" w14:textId="77777777" w:rsidR="004647DB" w:rsidRPr="000749B4" w:rsidRDefault="004647DB" w:rsidP="0028030F"/>
          <w:p w14:paraId="36FA6B82" w14:textId="77777777" w:rsidR="004647DB" w:rsidRDefault="00A066BB" w:rsidP="0028030F">
            <w:pPr>
              <w:rPr>
                <w:color w:val="000000" w:themeColor="text1"/>
                <w:lang w:val="fr-FR"/>
              </w:rPr>
            </w:pPr>
            <w:r>
              <w:rPr>
                <w:color w:val="000000" w:themeColor="text1"/>
                <w:lang w:val="fr-FR"/>
              </w:rPr>
              <w:t>Abroger,</w:t>
            </w:r>
            <w:r w:rsidR="003F0CC0" w:rsidRPr="00C079EF">
              <w:rPr>
                <w:color w:val="000000" w:themeColor="text1"/>
                <w:lang w:val="fr-FR"/>
              </w:rPr>
              <w:t xml:space="preserve"> travail achevé</w:t>
            </w:r>
          </w:p>
          <w:p w14:paraId="443D698D" w14:textId="77777777" w:rsidR="00A066BB" w:rsidRDefault="00A066BB" w:rsidP="0028030F">
            <w:pPr>
              <w:rPr>
                <w:color w:val="000000" w:themeColor="text1"/>
                <w:lang w:val="fr-FR"/>
              </w:rPr>
            </w:pPr>
          </w:p>
          <w:p w14:paraId="1593521C" w14:textId="0BBF0C95" w:rsidR="00A066BB" w:rsidRDefault="00A066BB" w:rsidP="0028030F">
            <w:pPr>
              <w:rPr>
                <w:color w:val="000000" w:themeColor="text1"/>
                <w:lang w:val="fr-FR"/>
              </w:rPr>
            </w:pPr>
          </w:p>
          <w:p w14:paraId="0E955C11" w14:textId="4238BC0F" w:rsidR="00A066BB" w:rsidRPr="000749B4" w:rsidRDefault="00A066BB" w:rsidP="0028030F"/>
        </w:tc>
      </w:tr>
      <w:tr w:rsidR="003F0CC0" w:rsidRPr="003909DD" w14:paraId="15F565CC" w14:textId="77777777" w:rsidTr="00135DBE">
        <w:tc>
          <w:tcPr>
            <w:tcW w:w="6737" w:type="dxa"/>
            <w:shd w:val="clear" w:color="auto" w:fill="auto"/>
          </w:tcPr>
          <w:p w14:paraId="37DFB933" w14:textId="77777777" w:rsidR="003F0CC0" w:rsidRDefault="003F0CC0" w:rsidP="00507639">
            <w:pPr>
              <w:widowControl/>
              <w:autoSpaceDE/>
              <w:autoSpaceDN/>
              <w:adjustRightInd/>
              <w:jc w:val="both"/>
              <w:rPr>
                <w:szCs w:val="17"/>
                <w:u w:val="single"/>
              </w:rPr>
            </w:pPr>
            <w:r w:rsidRPr="000749B4">
              <w:rPr>
                <w:szCs w:val="17"/>
                <w:u w:val="single"/>
              </w:rPr>
              <w:lastRenderedPageBreak/>
              <w:t xml:space="preserve">4. </w:t>
            </w:r>
            <w:r w:rsidRPr="000749B4">
              <w:rPr>
                <w:i/>
                <w:szCs w:val="17"/>
                <w:u w:val="single"/>
              </w:rPr>
              <w:t>Abroge</w:t>
            </w:r>
            <w:r>
              <w:rPr>
                <w:i/>
                <w:szCs w:val="17"/>
                <w:u w:val="single"/>
              </w:rPr>
              <w:t xml:space="preserve"> </w:t>
            </w:r>
          </w:p>
          <w:p w14:paraId="661663E9" w14:textId="77777777" w:rsidR="003F0CC0" w:rsidRDefault="003F0CC0" w:rsidP="00507639">
            <w:pPr>
              <w:widowControl/>
              <w:autoSpaceDE/>
              <w:autoSpaceDN/>
              <w:adjustRightInd/>
              <w:jc w:val="both"/>
              <w:rPr>
                <w:szCs w:val="17"/>
                <w:u w:val="single"/>
              </w:rPr>
            </w:pPr>
          </w:p>
          <w:p w14:paraId="20AEF987" w14:textId="2B983E38" w:rsidR="003F0CC0" w:rsidRPr="00EE7072" w:rsidRDefault="00A066BB" w:rsidP="00E468D0">
            <w:pPr>
              <w:pStyle w:val="ListParagraph"/>
              <w:widowControl/>
              <w:numPr>
                <w:ilvl w:val="0"/>
                <w:numId w:val="3"/>
              </w:numPr>
              <w:autoSpaceDE/>
              <w:autoSpaceDN/>
              <w:adjustRightInd/>
              <w:rPr>
                <w:rStyle w:val="file"/>
                <w:szCs w:val="24"/>
                <w:lang w:val="fr-FR"/>
              </w:rPr>
            </w:pPr>
            <w:r w:rsidRPr="00A066BB">
              <w:rPr>
                <w:rStyle w:val="file"/>
                <w:u w:val="single"/>
                <w:lang w:val="fr-FR"/>
              </w:rPr>
              <w:t xml:space="preserve">La </w:t>
            </w:r>
            <w:r w:rsidR="003F0CC0" w:rsidRPr="00A066BB">
              <w:rPr>
                <w:rStyle w:val="file"/>
                <w:u w:val="single"/>
                <w:lang w:val="fr-FR"/>
              </w:rPr>
              <w:t xml:space="preserve">Recommandation 6.1, </w:t>
            </w:r>
            <w:r w:rsidR="003F0CC0" w:rsidRPr="00A066BB">
              <w:rPr>
                <w:rStyle w:val="file"/>
                <w:i/>
                <w:u w:val="single"/>
                <w:lang w:val="fr-FR"/>
              </w:rPr>
              <w:t>Nomenclature normalisée à utiliser pour les Annexes à la CMS</w:t>
            </w:r>
            <w:r w:rsidR="003F0CC0" w:rsidRPr="00EE7072">
              <w:rPr>
                <w:rStyle w:val="file"/>
                <w:lang w:val="fr-FR"/>
              </w:rPr>
              <w:t xml:space="preserve">; </w:t>
            </w:r>
          </w:p>
          <w:p w14:paraId="73A77965" w14:textId="77777777" w:rsidR="003F0CC0" w:rsidRPr="00EE7072" w:rsidRDefault="003F0CC0" w:rsidP="00702632">
            <w:pPr>
              <w:pStyle w:val="ListParagraph"/>
              <w:widowControl/>
              <w:autoSpaceDE/>
              <w:autoSpaceDN/>
              <w:adjustRightInd/>
              <w:ind w:left="1440"/>
              <w:rPr>
                <w:rStyle w:val="file"/>
                <w:szCs w:val="24"/>
                <w:lang w:val="fr-FR"/>
              </w:rPr>
            </w:pPr>
          </w:p>
          <w:p w14:paraId="7AE91139" w14:textId="33D8A572" w:rsidR="003F0CC0" w:rsidRPr="00EE7072" w:rsidRDefault="00A066BB" w:rsidP="00E468D0">
            <w:pPr>
              <w:pStyle w:val="ListParagraph"/>
              <w:widowControl/>
              <w:numPr>
                <w:ilvl w:val="0"/>
                <w:numId w:val="3"/>
              </w:numPr>
              <w:autoSpaceDE/>
              <w:autoSpaceDN/>
              <w:adjustRightInd/>
              <w:rPr>
                <w:rStyle w:val="file"/>
                <w:szCs w:val="24"/>
                <w:lang w:val="fr-FR"/>
              </w:rPr>
            </w:pPr>
            <w:r w:rsidRPr="00A066BB">
              <w:rPr>
                <w:rStyle w:val="file"/>
                <w:u w:val="single"/>
                <w:lang w:val="fr-FR"/>
              </w:rPr>
              <w:t xml:space="preserve">La </w:t>
            </w:r>
            <w:r w:rsidR="003F0CC0" w:rsidRPr="00A066BB">
              <w:rPr>
                <w:rStyle w:val="file"/>
                <w:u w:val="single"/>
                <w:lang w:val="fr-FR"/>
              </w:rPr>
              <w:t xml:space="preserve">Recommandation 9.4, </w:t>
            </w:r>
            <w:r w:rsidR="003F0CC0" w:rsidRPr="00A066BB">
              <w:rPr>
                <w:rStyle w:val="file"/>
                <w:i/>
                <w:u w:val="single"/>
                <w:lang w:val="fr-FR"/>
              </w:rPr>
              <w:t>Nomenclature standardisée pour les Annexes de la CMS</w:t>
            </w:r>
            <w:r w:rsidR="003F0CC0" w:rsidRPr="00EE7072">
              <w:rPr>
                <w:rStyle w:val="file"/>
                <w:lang w:val="fr-FR"/>
              </w:rPr>
              <w:t xml:space="preserve">; </w:t>
            </w:r>
          </w:p>
          <w:p w14:paraId="5A46A986" w14:textId="77777777" w:rsidR="003F0CC0" w:rsidRPr="00EE7072" w:rsidRDefault="003F0CC0" w:rsidP="00702632">
            <w:pPr>
              <w:widowControl/>
              <w:autoSpaceDE/>
              <w:autoSpaceDN/>
              <w:adjustRightInd/>
              <w:rPr>
                <w:rStyle w:val="file"/>
                <w:szCs w:val="24"/>
                <w:lang w:val="fr-FR"/>
              </w:rPr>
            </w:pPr>
          </w:p>
          <w:p w14:paraId="63E25038" w14:textId="3A294F75" w:rsidR="003F0CC0" w:rsidRPr="00A066BB" w:rsidRDefault="00A066BB" w:rsidP="00E468D0">
            <w:pPr>
              <w:pStyle w:val="ListParagraph"/>
              <w:widowControl/>
              <w:numPr>
                <w:ilvl w:val="0"/>
                <w:numId w:val="3"/>
              </w:numPr>
              <w:autoSpaceDE/>
              <w:autoSpaceDN/>
              <w:adjustRightInd/>
              <w:rPr>
                <w:rStyle w:val="file"/>
                <w:szCs w:val="24"/>
                <w:u w:val="single"/>
                <w:lang w:val="fr-FR"/>
              </w:rPr>
            </w:pPr>
            <w:r w:rsidRPr="00A066BB">
              <w:rPr>
                <w:rStyle w:val="file"/>
                <w:u w:val="single"/>
                <w:lang w:val="fr-FR"/>
              </w:rPr>
              <w:t xml:space="preserve">La </w:t>
            </w:r>
            <w:r w:rsidR="003F0CC0" w:rsidRPr="00A066BB">
              <w:rPr>
                <w:rStyle w:val="file"/>
                <w:u w:val="single"/>
                <w:lang w:val="fr-FR"/>
              </w:rPr>
              <w:t xml:space="preserve">Résolution 10.13, </w:t>
            </w:r>
            <w:r w:rsidR="003F0CC0" w:rsidRPr="00A066BB">
              <w:rPr>
                <w:rStyle w:val="file"/>
                <w:i/>
                <w:u w:val="single"/>
                <w:lang w:val="fr-FR"/>
              </w:rPr>
              <w:t>Nomenclature normalisée des oiseaux figurant aux annexes de la CMS;</w:t>
            </w:r>
            <w:r w:rsidR="003F0CC0" w:rsidRPr="00A066BB">
              <w:rPr>
                <w:rStyle w:val="file"/>
                <w:u w:val="single"/>
                <w:lang w:val="fr-FR"/>
              </w:rPr>
              <w:t xml:space="preserve"> et</w:t>
            </w:r>
          </w:p>
          <w:p w14:paraId="7C2C6CAD" w14:textId="77777777" w:rsidR="003F0CC0" w:rsidRPr="00A066BB" w:rsidRDefault="003F0CC0" w:rsidP="00702632">
            <w:pPr>
              <w:widowControl/>
              <w:autoSpaceDE/>
              <w:autoSpaceDN/>
              <w:adjustRightInd/>
              <w:rPr>
                <w:szCs w:val="24"/>
                <w:u w:val="single"/>
                <w:lang w:val="fr-FR"/>
              </w:rPr>
            </w:pPr>
          </w:p>
          <w:p w14:paraId="4F521E1C" w14:textId="728546DE" w:rsidR="003F0CC0" w:rsidRPr="00A066BB" w:rsidRDefault="003F0CC0" w:rsidP="00E468D0">
            <w:pPr>
              <w:pStyle w:val="ListParagraph"/>
              <w:widowControl/>
              <w:numPr>
                <w:ilvl w:val="0"/>
                <w:numId w:val="3"/>
              </w:numPr>
              <w:autoSpaceDE/>
              <w:autoSpaceDN/>
              <w:adjustRightInd/>
              <w:rPr>
                <w:szCs w:val="24"/>
                <w:u w:val="single"/>
                <w:lang w:val="fr-FR"/>
              </w:rPr>
            </w:pPr>
            <w:r w:rsidRPr="00A066BB">
              <w:rPr>
                <w:rStyle w:val="file"/>
                <w:u w:val="single"/>
                <w:lang w:val="fr-FR"/>
              </w:rPr>
              <w:t xml:space="preserve">Résolution 11.19: </w:t>
            </w:r>
            <w:r w:rsidRPr="00A066BB">
              <w:rPr>
                <w:rStyle w:val="file"/>
                <w:i/>
                <w:u w:val="single"/>
                <w:lang w:val="fr-FR"/>
              </w:rPr>
              <w:t>Taxonomie et nomenclature des oiseaux figurant aux annexes de la CMS</w:t>
            </w:r>
            <w:r w:rsidRPr="00A066BB">
              <w:rPr>
                <w:szCs w:val="24"/>
                <w:u w:val="single"/>
                <w:lang w:val="fr-FR"/>
              </w:rPr>
              <w:t>.</w:t>
            </w:r>
          </w:p>
          <w:p w14:paraId="19311ED7" w14:textId="41DF8AE1" w:rsidR="003F0CC0" w:rsidRPr="00EE7072" w:rsidRDefault="003F0CC0" w:rsidP="00507639">
            <w:pPr>
              <w:widowControl/>
              <w:autoSpaceDE/>
              <w:autoSpaceDN/>
              <w:adjustRightInd/>
              <w:jc w:val="both"/>
              <w:rPr>
                <w:szCs w:val="17"/>
                <w:u w:val="single"/>
                <w:lang w:val="fr-FR"/>
              </w:rPr>
            </w:pPr>
          </w:p>
        </w:tc>
        <w:tc>
          <w:tcPr>
            <w:tcW w:w="2336" w:type="dxa"/>
            <w:shd w:val="clear" w:color="auto" w:fill="auto"/>
          </w:tcPr>
          <w:p w14:paraId="0C78EBA9" w14:textId="3A1F8AD2" w:rsidR="003F0CC0" w:rsidRPr="00EE7072" w:rsidRDefault="00A066BB" w:rsidP="0028030F">
            <w:pPr>
              <w:rPr>
                <w:lang w:val="fr-FR"/>
              </w:rPr>
            </w:pPr>
            <w:r>
              <w:rPr>
                <w:color w:val="000000" w:themeColor="text1"/>
                <w:lang w:val="fr-FR"/>
              </w:rPr>
              <w:t>Nouveau texte pour illustrer le regroupement</w:t>
            </w:r>
          </w:p>
        </w:tc>
      </w:tr>
      <w:tr w:rsidR="004647DB" w:rsidRPr="00A066BB" w14:paraId="1531A7B1" w14:textId="77777777" w:rsidTr="00135DBE">
        <w:tc>
          <w:tcPr>
            <w:tcW w:w="6737" w:type="dxa"/>
            <w:shd w:val="clear" w:color="auto" w:fill="auto"/>
          </w:tcPr>
          <w:p w14:paraId="6521A1B7" w14:textId="4BC46D08" w:rsidR="004647DB" w:rsidRPr="00193B81" w:rsidRDefault="00074DA7" w:rsidP="00507639">
            <w:pPr>
              <w:widowControl/>
              <w:autoSpaceDE/>
              <w:autoSpaceDN/>
              <w:adjustRightInd/>
              <w:jc w:val="both"/>
              <w:rPr>
                <w:b/>
                <w:szCs w:val="17"/>
                <w:u w:val="single"/>
                <w:lang w:val="fr-FR"/>
              </w:rPr>
            </w:pPr>
            <w:r w:rsidRPr="00193B81">
              <w:rPr>
                <w:b/>
                <w:szCs w:val="17"/>
                <w:u w:val="single"/>
                <w:lang w:val="fr-FR"/>
              </w:rPr>
              <w:t>Annex</w:t>
            </w:r>
            <w:r w:rsidR="00A066BB" w:rsidRPr="00193B81">
              <w:rPr>
                <w:b/>
                <w:szCs w:val="17"/>
                <w:u w:val="single"/>
                <w:lang w:val="fr-FR"/>
              </w:rPr>
              <w:t>e</w:t>
            </w:r>
          </w:p>
          <w:p w14:paraId="21B7821B" w14:textId="77777777" w:rsidR="00074DA7" w:rsidRPr="00193B81" w:rsidRDefault="00074DA7" w:rsidP="00507639">
            <w:pPr>
              <w:widowControl/>
              <w:autoSpaceDE/>
              <w:autoSpaceDN/>
              <w:adjustRightInd/>
              <w:jc w:val="both"/>
              <w:rPr>
                <w:szCs w:val="17"/>
                <w:u w:val="single"/>
                <w:lang w:val="fr-FR"/>
              </w:rPr>
            </w:pPr>
          </w:p>
          <w:p w14:paraId="5D11BAD6" w14:textId="02D10EDE" w:rsidR="00074DA7" w:rsidRPr="00A066BB" w:rsidRDefault="00074DA7" w:rsidP="00507639">
            <w:pPr>
              <w:widowControl/>
              <w:autoSpaceDE/>
              <w:autoSpaceDN/>
              <w:adjustRightInd/>
              <w:jc w:val="both"/>
              <w:rPr>
                <w:szCs w:val="17"/>
                <w:lang w:val="fr-FR"/>
              </w:rPr>
            </w:pPr>
            <w:r w:rsidRPr="00A066BB">
              <w:rPr>
                <w:szCs w:val="17"/>
                <w:u w:val="single"/>
                <w:lang w:val="fr-FR"/>
              </w:rPr>
              <w:t>List</w:t>
            </w:r>
            <w:r w:rsidR="00A066BB" w:rsidRPr="00A066BB">
              <w:rPr>
                <w:szCs w:val="17"/>
                <w:u w:val="single"/>
                <w:lang w:val="fr-FR"/>
              </w:rPr>
              <w:t xml:space="preserve">e des références </w:t>
            </w:r>
            <w:r w:rsidR="00D154E5">
              <w:rPr>
                <w:szCs w:val="17"/>
                <w:u w:val="single"/>
                <w:lang w:val="fr-FR"/>
              </w:rPr>
              <w:t>normalisées</w:t>
            </w:r>
            <w:r w:rsidR="00A066BB" w:rsidRPr="00A066BB">
              <w:rPr>
                <w:szCs w:val="17"/>
                <w:u w:val="single"/>
                <w:lang w:val="fr-FR"/>
              </w:rPr>
              <w:t xml:space="preserve"> </w:t>
            </w:r>
            <w:r w:rsidR="00A066BB">
              <w:rPr>
                <w:szCs w:val="17"/>
                <w:u w:val="single"/>
                <w:lang w:val="fr-FR"/>
              </w:rPr>
              <w:t>adopté</w:t>
            </w:r>
            <w:r w:rsidR="00A066BB" w:rsidRPr="00A066BB">
              <w:rPr>
                <w:szCs w:val="17"/>
                <w:u w:val="single"/>
                <w:lang w:val="fr-FR"/>
              </w:rPr>
              <w:t>es par la Confé</w:t>
            </w:r>
            <w:r w:rsidRPr="00A066BB">
              <w:rPr>
                <w:szCs w:val="17"/>
                <w:u w:val="single"/>
                <w:lang w:val="fr-FR"/>
              </w:rPr>
              <w:t xml:space="preserve">rence </w:t>
            </w:r>
            <w:r w:rsidR="00A066BB" w:rsidRPr="00A066BB">
              <w:rPr>
                <w:szCs w:val="17"/>
                <w:u w:val="single"/>
                <w:lang w:val="fr-FR"/>
              </w:rPr>
              <w:t>des</w:t>
            </w:r>
            <w:r w:rsidRPr="00A066BB">
              <w:rPr>
                <w:szCs w:val="17"/>
                <w:u w:val="single"/>
                <w:lang w:val="fr-FR"/>
              </w:rPr>
              <w:t xml:space="preserve"> Parties</w:t>
            </w:r>
          </w:p>
        </w:tc>
        <w:tc>
          <w:tcPr>
            <w:tcW w:w="2336" w:type="dxa"/>
            <w:shd w:val="clear" w:color="auto" w:fill="auto"/>
          </w:tcPr>
          <w:p w14:paraId="0C3981B5" w14:textId="5927F62A" w:rsidR="004647DB" w:rsidRPr="00A066BB" w:rsidRDefault="00A066BB" w:rsidP="0028030F">
            <w:r w:rsidRPr="00A066BB">
              <w:rPr>
                <w:color w:val="000000" w:themeColor="text1"/>
                <w:lang w:val="fr-FR"/>
              </w:rPr>
              <w:t>Nouvelle annexe</w:t>
            </w:r>
          </w:p>
        </w:tc>
      </w:tr>
      <w:tr w:rsidR="004647DB" w:rsidRPr="000749B4" w14:paraId="7F57A44A" w14:textId="77777777" w:rsidTr="00135DBE">
        <w:tc>
          <w:tcPr>
            <w:tcW w:w="6737" w:type="dxa"/>
            <w:shd w:val="clear" w:color="auto" w:fill="auto"/>
          </w:tcPr>
          <w:p w14:paraId="1E790DA4" w14:textId="15B8E17E" w:rsidR="004647DB" w:rsidRPr="005B58B5" w:rsidRDefault="003C2826" w:rsidP="00507639">
            <w:pPr>
              <w:widowControl/>
              <w:autoSpaceDE/>
              <w:autoSpaceDN/>
              <w:adjustRightInd/>
              <w:jc w:val="both"/>
              <w:rPr>
                <w:i/>
                <w:szCs w:val="17"/>
              </w:rPr>
            </w:pPr>
            <w:r w:rsidRPr="005B58B5">
              <w:rPr>
                <w:i/>
                <w:szCs w:val="17"/>
              </w:rPr>
              <w:t>Mammifères</w:t>
            </w:r>
          </w:p>
        </w:tc>
        <w:tc>
          <w:tcPr>
            <w:tcW w:w="2336" w:type="dxa"/>
            <w:shd w:val="clear" w:color="auto" w:fill="auto"/>
          </w:tcPr>
          <w:p w14:paraId="250D03CD" w14:textId="77777777" w:rsidR="004647DB" w:rsidRPr="000749B4" w:rsidRDefault="004647DB" w:rsidP="0028030F"/>
        </w:tc>
      </w:tr>
      <w:tr w:rsidR="004647DB" w:rsidRPr="003909DD" w14:paraId="16C3418B" w14:textId="77777777" w:rsidTr="00135DBE">
        <w:tc>
          <w:tcPr>
            <w:tcW w:w="6737" w:type="dxa"/>
            <w:shd w:val="clear" w:color="auto" w:fill="auto"/>
          </w:tcPr>
          <w:p w14:paraId="6787F8E9" w14:textId="77777777" w:rsidR="003C2826" w:rsidRPr="00EE7072" w:rsidRDefault="003C2826" w:rsidP="00507639">
            <w:pPr>
              <w:widowControl/>
              <w:autoSpaceDE/>
              <w:autoSpaceDN/>
              <w:adjustRightInd/>
              <w:jc w:val="both"/>
              <w:rPr>
                <w:strike/>
                <w:szCs w:val="17"/>
                <w:lang w:val="fr-FR"/>
              </w:rPr>
            </w:pPr>
            <w:r w:rsidRPr="00EE7072">
              <w:rPr>
                <w:strike/>
                <w:szCs w:val="17"/>
                <w:lang w:val="fr-FR"/>
              </w:rPr>
              <w:t>Pour les ordres de mammifères Cetacea et Sirenia, et les familles Phocidae, Odobenidae et Otariidae</w:t>
            </w:r>
          </w:p>
          <w:p w14:paraId="6664E792" w14:textId="77777777" w:rsidR="003C2826" w:rsidRPr="00EE7072" w:rsidRDefault="003C2826" w:rsidP="00507639">
            <w:pPr>
              <w:widowControl/>
              <w:autoSpaceDE/>
              <w:autoSpaceDN/>
              <w:adjustRightInd/>
              <w:jc w:val="both"/>
              <w:rPr>
                <w:strike/>
                <w:szCs w:val="17"/>
                <w:lang w:val="fr-FR"/>
              </w:rPr>
            </w:pPr>
            <w:r w:rsidRPr="00EE7072">
              <w:rPr>
                <w:strike/>
                <w:szCs w:val="17"/>
                <w:lang w:val="fr-FR"/>
              </w:rPr>
              <w:t>de l'ordre Carnivora :</w:t>
            </w:r>
          </w:p>
          <w:p w14:paraId="4814BF94" w14:textId="77777777" w:rsidR="003C2826" w:rsidRPr="0072788F" w:rsidRDefault="003C2826" w:rsidP="00507639">
            <w:pPr>
              <w:widowControl/>
              <w:autoSpaceDE/>
              <w:autoSpaceDN/>
              <w:adjustRightInd/>
              <w:jc w:val="both"/>
              <w:rPr>
                <w:strike/>
                <w:szCs w:val="17"/>
              </w:rPr>
            </w:pPr>
            <w:r w:rsidRPr="00EE7072">
              <w:rPr>
                <w:strike/>
                <w:szCs w:val="17"/>
                <w:lang w:val="fr-FR"/>
              </w:rPr>
              <w:t xml:space="preserve">a) Rice, D.W. (1998). </w:t>
            </w:r>
            <w:r w:rsidRPr="0072788F">
              <w:rPr>
                <w:strike/>
                <w:szCs w:val="17"/>
              </w:rPr>
              <w:t>Marine mammals of the world. Systematics and distribution. Special</w:t>
            </w:r>
          </w:p>
          <w:p w14:paraId="5F066E0D" w14:textId="77777777" w:rsidR="003C2826" w:rsidRPr="0072788F" w:rsidRDefault="003C2826" w:rsidP="00507639">
            <w:pPr>
              <w:widowControl/>
              <w:autoSpaceDE/>
              <w:autoSpaceDN/>
              <w:adjustRightInd/>
              <w:jc w:val="both"/>
              <w:rPr>
                <w:strike/>
                <w:szCs w:val="17"/>
              </w:rPr>
            </w:pPr>
            <w:r w:rsidRPr="0072788F">
              <w:rPr>
                <w:strike/>
                <w:szCs w:val="17"/>
              </w:rPr>
              <w:t>Publication of the Society for Marine Mammalogy 4, 231 pp.</w:t>
            </w:r>
          </w:p>
          <w:p w14:paraId="14B8C809" w14:textId="77777777" w:rsidR="003C2826" w:rsidRPr="00EE7072" w:rsidRDefault="003C2826" w:rsidP="00507639">
            <w:pPr>
              <w:widowControl/>
              <w:autoSpaceDE/>
              <w:autoSpaceDN/>
              <w:adjustRightInd/>
              <w:jc w:val="both"/>
              <w:rPr>
                <w:strike/>
                <w:szCs w:val="17"/>
                <w:lang w:val="fr-FR"/>
              </w:rPr>
            </w:pPr>
            <w:r w:rsidRPr="00EE7072">
              <w:rPr>
                <w:strike/>
                <w:szCs w:val="17"/>
                <w:lang w:val="fr-FR"/>
              </w:rPr>
              <w:t>Pour tous les autres mammifères :</w:t>
            </w:r>
          </w:p>
          <w:p w14:paraId="0FDEB68C" w14:textId="77777777" w:rsidR="003C2826" w:rsidRPr="0072788F" w:rsidRDefault="003C2826" w:rsidP="00507639">
            <w:pPr>
              <w:widowControl/>
              <w:autoSpaceDE/>
              <w:autoSpaceDN/>
              <w:adjustRightInd/>
              <w:jc w:val="both"/>
              <w:rPr>
                <w:strike/>
                <w:szCs w:val="17"/>
              </w:rPr>
            </w:pPr>
            <w:r w:rsidRPr="0072788F">
              <w:rPr>
                <w:strike/>
                <w:szCs w:val="17"/>
              </w:rPr>
              <w:t>b) Wilson, D.E. and Reeder, D.M. (1993). Mammal species of the world. A taxonomic and</w:t>
            </w:r>
          </w:p>
          <w:p w14:paraId="3F23EC73" w14:textId="233C6737" w:rsidR="004647DB" w:rsidRPr="000749B4" w:rsidRDefault="003C2826" w:rsidP="00507639">
            <w:pPr>
              <w:widowControl/>
              <w:autoSpaceDE/>
              <w:autoSpaceDN/>
              <w:adjustRightInd/>
              <w:jc w:val="both"/>
              <w:rPr>
                <w:szCs w:val="17"/>
              </w:rPr>
            </w:pPr>
            <w:r w:rsidRPr="0072788F">
              <w:rPr>
                <w:strike/>
                <w:szCs w:val="17"/>
              </w:rPr>
              <w:t>geographic reference. 2</w:t>
            </w:r>
            <w:r w:rsidRPr="0072788F">
              <w:rPr>
                <w:strike/>
                <w:szCs w:val="11"/>
              </w:rPr>
              <w:t xml:space="preserve">nd </w:t>
            </w:r>
            <w:r w:rsidRPr="0072788F">
              <w:rPr>
                <w:strike/>
                <w:szCs w:val="17"/>
              </w:rPr>
              <w:t>ed. Smithsonian Institution Press, Washington, D.C.</w:t>
            </w:r>
          </w:p>
        </w:tc>
        <w:tc>
          <w:tcPr>
            <w:tcW w:w="2336" w:type="dxa"/>
            <w:shd w:val="clear" w:color="auto" w:fill="auto"/>
          </w:tcPr>
          <w:p w14:paraId="4F20A56D" w14:textId="7C2E447F" w:rsidR="004647DB" w:rsidRPr="00193B81" w:rsidRDefault="00B402A3" w:rsidP="0028030F">
            <w:pPr>
              <w:rPr>
                <w:lang w:val="fr-FR"/>
              </w:rPr>
            </w:pPr>
            <w:r w:rsidRPr="00193B81">
              <w:rPr>
                <w:lang w:val="fr-FR"/>
              </w:rPr>
              <w:t>Recommandation</w:t>
            </w:r>
            <w:r w:rsidR="004647DB" w:rsidRPr="00193B81">
              <w:rPr>
                <w:lang w:val="fr-FR"/>
              </w:rPr>
              <w:t xml:space="preserve"> 6.1</w:t>
            </w:r>
          </w:p>
          <w:p w14:paraId="32772F33" w14:textId="77777777" w:rsidR="004647DB" w:rsidRPr="00193B81" w:rsidRDefault="004647DB" w:rsidP="0028030F">
            <w:pPr>
              <w:rPr>
                <w:lang w:val="fr-FR"/>
              </w:rPr>
            </w:pPr>
          </w:p>
          <w:p w14:paraId="6032C52D" w14:textId="0DF5D89A" w:rsidR="004647DB" w:rsidRPr="00A066BB" w:rsidRDefault="00A066BB" w:rsidP="0028030F">
            <w:pPr>
              <w:rPr>
                <w:lang w:val="fr-FR"/>
              </w:rPr>
            </w:pPr>
            <w:r w:rsidRPr="00A066BB">
              <w:rPr>
                <w:lang w:val="fr-FR"/>
              </w:rPr>
              <w:t>Abroger, remplacé par la</w:t>
            </w:r>
            <w:r w:rsidR="004647DB" w:rsidRPr="00A066BB">
              <w:rPr>
                <w:lang w:val="fr-FR"/>
              </w:rPr>
              <w:t xml:space="preserve"> </w:t>
            </w:r>
            <w:r w:rsidR="00B402A3" w:rsidRPr="00A066BB">
              <w:rPr>
                <w:lang w:val="fr-FR"/>
              </w:rPr>
              <w:t>Recommandation</w:t>
            </w:r>
            <w:r w:rsidR="004647DB" w:rsidRPr="00A066BB">
              <w:rPr>
                <w:lang w:val="fr-FR"/>
              </w:rPr>
              <w:t xml:space="preserve"> 9.4</w:t>
            </w:r>
          </w:p>
        </w:tc>
      </w:tr>
      <w:tr w:rsidR="004647DB" w:rsidRPr="000749B4" w14:paraId="5ABE26E8" w14:textId="77777777" w:rsidTr="00135DBE">
        <w:tc>
          <w:tcPr>
            <w:tcW w:w="6737" w:type="dxa"/>
            <w:shd w:val="clear" w:color="auto" w:fill="auto"/>
          </w:tcPr>
          <w:p w14:paraId="3CD8E3E9" w14:textId="77777777" w:rsidR="006E62C6" w:rsidRPr="00EE7072" w:rsidRDefault="00074DA7" w:rsidP="005B58B5">
            <w:pPr>
              <w:widowControl/>
              <w:autoSpaceDE/>
              <w:autoSpaceDN/>
              <w:adjustRightInd/>
              <w:jc w:val="both"/>
              <w:rPr>
                <w:szCs w:val="17"/>
                <w:lang w:val="fr-FR"/>
              </w:rPr>
            </w:pPr>
            <w:r w:rsidRPr="00EE7072">
              <w:rPr>
                <w:strike/>
                <w:szCs w:val="17"/>
                <w:lang w:val="fr-FR"/>
              </w:rPr>
              <w:t>1. Adopte</w:t>
            </w:r>
            <w:r w:rsidRPr="00EE7072">
              <w:rPr>
                <w:szCs w:val="17"/>
                <w:lang w:val="fr-FR"/>
              </w:rPr>
              <w:t xml:space="preserve"> </w:t>
            </w:r>
          </w:p>
          <w:p w14:paraId="61E8C97A" w14:textId="40A62B17" w:rsidR="006E62C6" w:rsidRPr="00EE7072" w:rsidRDefault="006E62C6" w:rsidP="005B58B5">
            <w:pPr>
              <w:widowControl/>
              <w:autoSpaceDE/>
              <w:autoSpaceDN/>
              <w:adjustRightInd/>
              <w:jc w:val="both"/>
              <w:rPr>
                <w:szCs w:val="17"/>
                <w:lang w:val="fr-FR"/>
              </w:rPr>
            </w:pPr>
            <w:r w:rsidRPr="00EE7072">
              <w:rPr>
                <w:szCs w:val="17"/>
                <w:lang w:val="fr-FR"/>
              </w:rPr>
              <w:t>Mammifères marins</w:t>
            </w:r>
          </w:p>
          <w:p w14:paraId="49930ACE" w14:textId="77777777" w:rsidR="006E62C6" w:rsidRPr="00EE7072" w:rsidRDefault="006E62C6" w:rsidP="005B58B5">
            <w:pPr>
              <w:widowControl/>
              <w:autoSpaceDE/>
              <w:autoSpaceDN/>
              <w:adjustRightInd/>
              <w:jc w:val="both"/>
              <w:rPr>
                <w:szCs w:val="17"/>
                <w:lang w:val="fr-FR"/>
              </w:rPr>
            </w:pPr>
          </w:p>
          <w:p w14:paraId="229C5B70" w14:textId="67AC332A" w:rsidR="004647DB" w:rsidRPr="00EE7072" w:rsidRDefault="00074DA7" w:rsidP="005B58B5">
            <w:pPr>
              <w:widowControl/>
              <w:autoSpaceDE/>
              <w:autoSpaceDN/>
              <w:adjustRightInd/>
              <w:jc w:val="both"/>
              <w:rPr>
                <w:szCs w:val="17"/>
                <w:lang w:val="fr-FR"/>
              </w:rPr>
            </w:pPr>
            <w:r w:rsidRPr="00EE7072">
              <w:rPr>
                <w:szCs w:val="17"/>
                <w:lang w:val="fr-FR"/>
              </w:rPr>
              <w:t>Perrin W.F., Wursig B et Thewissen J.G.M (Editors), (2008), encyclopédie des</w:t>
            </w:r>
            <w:r w:rsidR="005B58B5" w:rsidRPr="00EE7072">
              <w:rPr>
                <w:szCs w:val="17"/>
                <w:lang w:val="fr-FR"/>
              </w:rPr>
              <w:t xml:space="preserve"> </w:t>
            </w:r>
            <w:r w:rsidRPr="00EE7072">
              <w:rPr>
                <w:szCs w:val="17"/>
                <w:lang w:val="fr-FR"/>
              </w:rPr>
              <w:t xml:space="preserve">mammifères marins, deuxième édition, Presse académique </w:t>
            </w:r>
            <w:r w:rsidRPr="00EE7072">
              <w:rPr>
                <w:strike/>
                <w:szCs w:val="17"/>
                <w:lang w:val="fr-FR"/>
              </w:rPr>
              <w:t>en tant que nomenclature de référence</w:t>
            </w:r>
            <w:r w:rsidR="005B58B5" w:rsidRPr="00EE7072">
              <w:rPr>
                <w:strike/>
                <w:szCs w:val="17"/>
                <w:lang w:val="fr-FR"/>
              </w:rPr>
              <w:t xml:space="preserve"> </w:t>
            </w:r>
            <w:r w:rsidRPr="00EE7072">
              <w:rPr>
                <w:strike/>
                <w:szCs w:val="17"/>
                <w:lang w:val="fr-FR"/>
              </w:rPr>
              <w:t>standardisée pour les mammifères marins comme recommandé par la 15</w:t>
            </w:r>
            <w:r w:rsidRPr="00EE7072">
              <w:rPr>
                <w:strike/>
                <w:szCs w:val="11"/>
                <w:lang w:val="fr-FR"/>
              </w:rPr>
              <w:t xml:space="preserve">ième </w:t>
            </w:r>
            <w:r w:rsidRPr="00EE7072">
              <w:rPr>
                <w:strike/>
                <w:szCs w:val="17"/>
                <w:lang w:val="fr-FR"/>
              </w:rPr>
              <w:t>réunion du Conseil</w:t>
            </w:r>
            <w:r w:rsidR="005B58B5" w:rsidRPr="00EE7072">
              <w:rPr>
                <w:strike/>
                <w:szCs w:val="17"/>
                <w:lang w:val="fr-FR"/>
              </w:rPr>
              <w:t xml:space="preserve"> </w:t>
            </w:r>
            <w:r w:rsidRPr="00EE7072">
              <w:rPr>
                <w:strike/>
                <w:szCs w:val="17"/>
                <w:lang w:val="fr-FR"/>
              </w:rPr>
              <w:t>scientifique</w:t>
            </w:r>
            <w:r w:rsidRPr="00EE7072">
              <w:rPr>
                <w:szCs w:val="17"/>
                <w:lang w:val="fr-FR"/>
              </w:rPr>
              <w:t>;</w:t>
            </w:r>
          </w:p>
        </w:tc>
        <w:tc>
          <w:tcPr>
            <w:tcW w:w="2336" w:type="dxa"/>
            <w:shd w:val="clear" w:color="auto" w:fill="auto"/>
          </w:tcPr>
          <w:p w14:paraId="636CA9E2" w14:textId="4D42F0B1" w:rsidR="004647DB" w:rsidRPr="000749B4" w:rsidRDefault="00B402A3" w:rsidP="0028030F">
            <w:r>
              <w:t>Recommandation</w:t>
            </w:r>
            <w:r w:rsidR="004647DB" w:rsidRPr="000749B4">
              <w:t xml:space="preserve"> 9.4</w:t>
            </w:r>
          </w:p>
        </w:tc>
      </w:tr>
      <w:tr w:rsidR="004647DB" w:rsidRPr="000749B4" w14:paraId="768C7EAC" w14:textId="77777777" w:rsidTr="00135DBE">
        <w:tc>
          <w:tcPr>
            <w:tcW w:w="6737" w:type="dxa"/>
            <w:shd w:val="clear" w:color="auto" w:fill="auto"/>
          </w:tcPr>
          <w:p w14:paraId="41CFD71D" w14:textId="7029DF1D" w:rsidR="006E62C6" w:rsidRPr="00EE7072" w:rsidRDefault="00074DA7" w:rsidP="005B58B5">
            <w:pPr>
              <w:widowControl/>
              <w:autoSpaceDE/>
              <w:autoSpaceDN/>
              <w:adjustRightInd/>
              <w:jc w:val="both"/>
              <w:rPr>
                <w:szCs w:val="17"/>
                <w:lang w:val="fr-FR"/>
              </w:rPr>
            </w:pPr>
            <w:r w:rsidRPr="00EE7072">
              <w:rPr>
                <w:strike/>
                <w:szCs w:val="17"/>
                <w:lang w:val="fr-FR"/>
              </w:rPr>
              <w:t>2. Adopte</w:t>
            </w:r>
            <w:r w:rsidRPr="00EE7072">
              <w:rPr>
                <w:szCs w:val="17"/>
                <w:lang w:val="fr-FR"/>
              </w:rPr>
              <w:t xml:space="preserve"> </w:t>
            </w:r>
          </w:p>
          <w:p w14:paraId="4D4DED3C" w14:textId="5CD5CCC1" w:rsidR="006E62C6" w:rsidRPr="00EE7072" w:rsidRDefault="006E62C6" w:rsidP="005B58B5">
            <w:pPr>
              <w:widowControl/>
              <w:autoSpaceDE/>
              <w:autoSpaceDN/>
              <w:adjustRightInd/>
              <w:jc w:val="both"/>
              <w:rPr>
                <w:szCs w:val="17"/>
                <w:lang w:val="fr-FR"/>
              </w:rPr>
            </w:pPr>
            <w:r w:rsidRPr="00EE7072">
              <w:rPr>
                <w:szCs w:val="17"/>
                <w:lang w:val="fr-FR"/>
              </w:rPr>
              <w:t>Mammifères terrestres</w:t>
            </w:r>
          </w:p>
          <w:p w14:paraId="377A76BC" w14:textId="77777777" w:rsidR="006E62C6" w:rsidRPr="00EE7072" w:rsidRDefault="006E62C6" w:rsidP="005B58B5">
            <w:pPr>
              <w:widowControl/>
              <w:autoSpaceDE/>
              <w:autoSpaceDN/>
              <w:adjustRightInd/>
              <w:jc w:val="both"/>
              <w:rPr>
                <w:szCs w:val="17"/>
                <w:lang w:val="fr-FR"/>
              </w:rPr>
            </w:pPr>
          </w:p>
          <w:p w14:paraId="7FC8BF46" w14:textId="5D7C517E" w:rsidR="004647DB" w:rsidRPr="00EE7072" w:rsidRDefault="00074DA7" w:rsidP="005B58B5">
            <w:pPr>
              <w:widowControl/>
              <w:autoSpaceDE/>
              <w:autoSpaceDN/>
              <w:adjustRightInd/>
              <w:jc w:val="both"/>
              <w:rPr>
                <w:szCs w:val="17"/>
                <w:lang w:val="fr-FR"/>
              </w:rPr>
            </w:pPr>
            <w:r w:rsidRPr="00635720">
              <w:rPr>
                <w:szCs w:val="17"/>
              </w:rPr>
              <w:t xml:space="preserve">Wilson, D. E. &amp; Reeder, D. M. (ed.) </w:t>
            </w:r>
            <w:r w:rsidRPr="00EE7072">
              <w:rPr>
                <w:szCs w:val="17"/>
                <w:lang w:val="fr-FR"/>
              </w:rPr>
              <w:t>(2005): mammifères du monde. Une référence</w:t>
            </w:r>
            <w:r w:rsidR="005B58B5" w:rsidRPr="00EE7072">
              <w:rPr>
                <w:szCs w:val="17"/>
                <w:lang w:val="fr-FR"/>
              </w:rPr>
              <w:t xml:space="preserve"> </w:t>
            </w:r>
            <w:r w:rsidRPr="00EE7072">
              <w:rPr>
                <w:szCs w:val="17"/>
                <w:lang w:val="fr-FR"/>
              </w:rPr>
              <w:t xml:space="preserve">taxonomique et géographique. Troisième édition, Presse Universitaire John Hopkins </w:t>
            </w:r>
            <w:r w:rsidRPr="00EE7072">
              <w:rPr>
                <w:strike/>
                <w:szCs w:val="17"/>
                <w:lang w:val="fr-FR"/>
              </w:rPr>
              <w:t>comme</w:t>
            </w:r>
            <w:r w:rsidR="005B58B5" w:rsidRPr="00EE7072">
              <w:rPr>
                <w:strike/>
                <w:szCs w:val="17"/>
                <w:lang w:val="fr-FR"/>
              </w:rPr>
              <w:t xml:space="preserve"> </w:t>
            </w:r>
            <w:r w:rsidRPr="00EE7072">
              <w:rPr>
                <w:strike/>
                <w:szCs w:val="17"/>
                <w:lang w:val="fr-FR"/>
              </w:rPr>
              <w:t>nomenclature de référence standardisée pour les mammifères terrestres,</w:t>
            </w:r>
            <w:r w:rsidRPr="00EE7072">
              <w:rPr>
                <w:szCs w:val="17"/>
                <w:lang w:val="fr-FR"/>
              </w:rPr>
              <w:t xml:space="preserve"> </w:t>
            </w:r>
            <w:r w:rsidRPr="00EE7072">
              <w:rPr>
                <w:strike/>
                <w:szCs w:val="17"/>
                <w:lang w:val="fr-FR"/>
              </w:rPr>
              <w:t>comme recommandé par la</w:t>
            </w:r>
            <w:r w:rsidR="005B58B5" w:rsidRPr="00EE7072">
              <w:rPr>
                <w:strike/>
                <w:szCs w:val="17"/>
                <w:lang w:val="fr-FR"/>
              </w:rPr>
              <w:t xml:space="preserve"> </w:t>
            </w:r>
            <w:r w:rsidRPr="00EE7072">
              <w:rPr>
                <w:strike/>
                <w:szCs w:val="17"/>
                <w:lang w:val="fr-FR"/>
              </w:rPr>
              <w:t>14</w:t>
            </w:r>
            <w:r w:rsidRPr="00EE7072">
              <w:rPr>
                <w:strike/>
                <w:szCs w:val="11"/>
                <w:lang w:val="fr-FR"/>
              </w:rPr>
              <w:t xml:space="preserve">ième </w:t>
            </w:r>
            <w:r w:rsidRPr="00EE7072">
              <w:rPr>
                <w:strike/>
                <w:szCs w:val="17"/>
                <w:lang w:val="fr-FR"/>
              </w:rPr>
              <w:t>réunion du Conseil scientifique</w:t>
            </w:r>
            <w:r w:rsidRPr="00EE7072">
              <w:rPr>
                <w:szCs w:val="17"/>
                <w:lang w:val="fr-FR"/>
              </w:rPr>
              <w:t>;</w:t>
            </w:r>
          </w:p>
        </w:tc>
        <w:tc>
          <w:tcPr>
            <w:tcW w:w="2336" w:type="dxa"/>
            <w:shd w:val="clear" w:color="auto" w:fill="auto"/>
          </w:tcPr>
          <w:p w14:paraId="535ECA87" w14:textId="74D76CD3" w:rsidR="004647DB" w:rsidRPr="000749B4" w:rsidRDefault="00B402A3" w:rsidP="0028030F">
            <w:r>
              <w:t>Recommandation</w:t>
            </w:r>
            <w:r w:rsidR="004647DB" w:rsidRPr="000749B4">
              <w:t xml:space="preserve"> 9.4</w:t>
            </w:r>
          </w:p>
        </w:tc>
      </w:tr>
      <w:tr w:rsidR="004647DB" w:rsidRPr="000749B4" w14:paraId="6473CAE8" w14:textId="77777777" w:rsidTr="00135DBE">
        <w:tc>
          <w:tcPr>
            <w:tcW w:w="6737" w:type="dxa"/>
            <w:shd w:val="clear" w:color="auto" w:fill="auto"/>
          </w:tcPr>
          <w:p w14:paraId="4F1872D8" w14:textId="462180E6" w:rsidR="004647DB" w:rsidRPr="007F3AEC" w:rsidRDefault="003C2826" w:rsidP="00507639">
            <w:pPr>
              <w:widowControl/>
              <w:autoSpaceDE/>
              <w:autoSpaceDN/>
              <w:adjustRightInd/>
              <w:jc w:val="both"/>
              <w:rPr>
                <w:i/>
                <w:szCs w:val="17"/>
              </w:rPr>
            </w:pPr>
            <w:r w:rsidRPr="007F3AEC">
              <w:rPr>
                <w:i/>
                <w:szCs w:val="17"/>
              </w:rPr>
              <w:t>Oiseaux</w:t>
            </w:r>
          </w:p>
        </w:tc>
        <w:tc>
          <w:tcPr>
            <w:tcW w:w="2336" w:type="dxa"/>
            <w:shd w:val="clear" w:color="auto" w:fill="auto"/>
          </w:tcPr>
          <w:p w14:paraId="77FA9D5C" w14:textId="77777777" w:rsidR="004647DB" w:rsidRPr="000749B4" w:rsidRDefault="004647DB" w:rsidP="0028030F"/>
        </w:tc>
      </w:tr>
      <w:tr w:rsidR="004647DB" w:rsidRPr="000749B4" w14:paraId="12DE87C5" w14:textId="77777777" w:rsidTr="00135DBE">
        <w:tc>
          <w:tcPr>
            <w:tcW w:w="6737" w:type="dxa"/>
            <w:shd w:val="clear" w:color="auto" w:fill="auto"/>
          </w:tcPr>
          <w:p w14:paraId="1B8D3E9F" w14:textId="77777777" w:rsidR="005B58B5" w:rsidRPr="00EE7072" w:rsidRDefault="005A19CC" w:rsidP="00507639">
            <w:pPr>
              <w:widowControl/>
              <w:autoSpaceDE/>
              <w:autoSpaceDN/>
              <w:adjustRightInd/>
              <w:jc w:val="both"/>
              <w:rPr>
                <w:szCs w:val="17"/>
                <w:lang w:val="fr-FR"/>
              </w:rPr>
            </w:pPr>
            <w:r w:rsidRPr="00EE7072">
              <w:rPr>
                <w:strike/>
                <w:szCs w:val="17"/>
                <w:lang w:val="fr-FR"/>
              </w:rPr>
              <w:t xml:space="preserve">1. </w:t>
            </w:r>
            <w:r w:rsidRPr="00EE7072">
              <w:rPr>
                <w:i/>
                <w:iCs/>
                <w:strike/>
                <w:szCs w:val="17"/>
                <w:lang w:val="fr-FR"/>
              </w:rPr>
              <w:t xml:space="preserve">Adopte </w:t>
            </w:r>
            <w:r w:rsidRPr="00EE7072">
              <w:rPr>
                <w:strike/>
                <w:szCs w:val="17"/>
                <w:lang w:val="fr-FR"/>
              </w:rPr>
              <w:t>la référence proposée par la 18</w:t>
            </w:r>
            <w:r w:rsidRPr="00EE7072">
              <w:rPr>
                <w:strike/>
                <w:szCs w:val="12"/>
                <w:lang w:val="fr-FR"/>
              </w:rPr>
              <w:t xml:space="preserve">ème </w:t>
            </w:r>
            <w:r w:rsidRPr="00EE7072">
              <w:rPr>
                <w:strike/>
                <w:szCs w:val="17"/>
                <w:lang w:val="fr-FR"/>
              </w:rPr>
              <w:t>réunion du Conseil scientifique de la CMS comme la référence normalisée de la CMS pour la taxonomie et la nomenclature pour</w:t>
            </w:r>
            <w:r w:rsidRPr="00EE7072">
              <w:rPr>
                <w:szCs w:val="17"/>
                <w:lang w:val="fr-FR"/>
              </w:rPr>
              <w:t xml:space="preserve"> les espèces d’oiseaux non-passereaux:</w:t>
            </w:r>
          </w:p>
          <w:p w14:paraId="4ADC3D59" w14:textId="14A80F0A" w:rsidR="005A19CC" w:rsidRPr="00EE7072" w:rsidRDefault="005A19CC" w:rsidP="00507639">
            <w:pPr>
              <w:widowControl/>
              <w:autoSpaceDE/>
              <w:autoSpaceDN/>
              <w:adjustRightInd/>
              <w:jc w:val="both"/>
              <w:rPr>
                <w:szCs w:val="17"/>
                <w:lang w:val="fr-FR"/>
              </w:rPr>
            </w:pPr>
            <w:r w:rsidRPr="00EE7072">
              <w:rPr>
                <w:szCs w:val="17"/>
                <w:lang w:val="fr-FR"/>
              </w:rPr>
              <w:t> </w:t>
            </w:r>
          </w:p>
          <w:p w14:paraId="0F2913D8" w14:textId="16E55A37" w:rsidR="004647DB" w:rsidRPr="000749B4" w:rsidRDefault="005A19CC" w:rsidP="00507639">
            <w:pPr>
              <w:widowControl/>
              <w:autoSpaceDE/>
              <w:autoSpaceDN/>
              <w:adjustRightInd/>
              <w:jc w:val="both"/>
              <w:rPr>
                <w:szCs w:val="17"/>
              </w:rPr>
            </w:pPr>
            <w:r w:rsidRPr="000749B4">
              <w:rPr>
                <w:szCs w:val="17"/>
              </w:rPr>
              <w:t xml:space="preserve">Manuel des oiseaux du monde intitulé Handbook of the Birds of the World/BirdLife International Illustrated Checklist of the Birds of the World, Volume 1: Non-passerines de Josep del Hoyo, Nigel J. </w:t>
            </w:r>
            <w:r w:rsidRPr="000749B4">
              <w:rPr>
                <w:szCs w:val="17"/>
              </w:rPr>
              <w:lastRenderedPageBreak/>
              <w:t>Collar, David A. Christie, Andrew Elliot et Lincoln D.C. Fishpool (2014); </w:t>
            </w:r>
          </w:p>
        </w:tc>
        <w:tc>
          <w:tcPr>
            <w:tcW w:w="2336" w:type="dxa"/>
            <w:shd w:val="clear" w:color="auto" w:fill="auto"/>
          </w:tcPr>
          <w:p w14:paraId="216895D4" w14:textId="4D591AE9" w:rsidR="004647DB" w:rsidRPr="000749B4" w:rsidRDefault="00B402A3" w:rsidP="0028030F">
            <w:r>
              <w:lastRenderedPageBreak/>
              <w:t>Résolution</w:t>
            </w:r>
            <w:r w:rsidR="004647DB" w:rsidRPr="000749B4">
              <w:t xml:space="preserve"> 11.19</w:t>
            </w:r>
          </w:p>
          <w:p w14:paraId="4448B943" w14:textId="77777777" w:rsidR="004647DB" w:rsidRPr="000749B4" w:rsidRDefault="004647DB" w:rsidP="0028030F"/>
          <w:p w14:paraId="35EAFC51" w14:textId="18538F51" w:rsidR="004647DB" w:rsidRPr="000749B4" w:rsidRDefault="00210C67" w:rsidP="0028030F">
            <w:r>
              <w:t>Conserver</w:t>
            </w:r>
          </w:p>
        </w:tc>
      </w:tr>
      <w:tr w:rsidR="004647DB" w:rsidRPr="000749B4" w14:paraId="18B028B9" w14:textId="77777777" w:rsidTr="00135DBE">
        <w:tc>
          <w:tcPr>
            <w:tcW w:w="6737" w:type="dxa"/>
            <w:shd w:val="clear" w:color="auto" w:fill="auto"/>
          </w:tcPr>
          <w:p w14:paraId="7A378E07" w14:textId="4EC7D0FD" w:rsidR="005B58B5" w:rsidRPr="00EE7072" w:rsidRDefault="005A19CC" w:rsidP="00507639">
            <w:pPr>
              <w:widowControl/>
              <w:autoSpaceDE/>
              <w:autoSpaceDN/>
              <w:adjustRightInd/>
              <w:jc w:val="both"/>
              <w:rPr>
                <w:szCs w:val="17"/>
                <w:lang w:val="fr-FR"/>
              </w:rPr>
            </w:pPr>
            <w:r w:rsidRPr="00EE7072">
              <w:rPr>
                <w:strike/>
                <w:szCs w:val="17"/>
                <w:lang w:val="fr-FR"/>
              </w:rPr>
              <w:t xml:space="preserve">2 </w:t>
            </w:r>
            <w:r w:rsidRPr="00EE7072">
              <w:rPr>
                <w:i/>
                <w:iCs/>
                <w:strike/>
                <w:szCs w:val="17"/>
                <w:lang w:val="fr-FR"/>
              </w:rPr>
              <w:t xml:space="preserve">Confirme </w:t>
            </w:r>
            <w:r w:rsidRPr="00EE7072">
              <w:rPr>
                <w:strike/>
                <w:szCs w:val="17"/>
                <w:lang w:val="fr-FR"/>
              </w:rPr>
              <w:t>que pour</w:t>
            </w:r>
            <w:r w:rsidRPr="00EE7072">
              <w:rPr>
                <w:szCs w:val="17"/>
                <w:lang w:val="fr-FR"/>
              </w:rPr>
              <w:t xml:space="preserve"> </w:t>
            </w:r>
            <w:r w:rsidR="00A066BB">
              <w:rPr>
                <w:szCs w:val="17"/>
                <w:lang w:val="fr-FR"/>
              </w:rPr>
              <w:t xml:space="preserve">les </w:t>
            </w:r>
            <w:r w:rsidR="00A066BB" w:rsidRPr="00A066BB">
              <w:rPr>
                <w:szCs w:val="17"/>
                <w:u w:val="single"/>
                <w:lang w:val="fr-FR"/>
              </w:rPr>
              <w:t>espèces</w:t>
            </w:r>
            <w:r w:rsidRPr="00EE7072">
              <w:rPr>
                <w:szCs w:val="17"/>
                <w:lang w:val="fr-FR"/>
              </w:rPr>
              <w:t xml:space="preserve"> </w:t>
            </w:r>
            <w:r w:rsidRPr="00A066BB">
              <w:rPr>
                <w:strike/>
                <w:szCs w:val="17"/>
                <w:lang w:val="fr-FR"/>
              </w:rPr>
              <w:t>oiseaux</w:t>
            </w:r>
            <w:r w:rsidRPr="00EE7072">
              <w:rPr>
                <w:szCs w:val="17"/>
                <w:lang w:val="fr-FR"/>
              </w:rPr>
              <w:t xml:space="preserve"> passereaux, </w:t>
            </w:r>
            <w:r w:rsidRPr="00EE7072">
              <w:rPr>
                <w:strike/>
                <w:szCs w:val="17"/>
                <w:lang w:val="fr-FR"/>
              </w:rPr>
              <w:t>les références standards pour la taxonomie et la nomenclature restent pour le moment comme indiqué d</w:t>
            </w:r>
            <w:r w:rsidR="005B58B5" w:rsidRPr="00EE7072">
              <w:rPr>
                <w:strike/>
                <w:szCs w:val="17"/>
                <w:lang w:val="fr-FR"/>
              </w:rPr>
              <w:t>ans la Résolution 6.1, à savoir</w:t>
            </w:r>
            <w:r w:rsidRPr="00EE7072">
              <w:rPr>
                <w:strike/>
                <w:szCs w:val="17"/>
                <w:lang w:val="fr-FR"/>
              </w:rPr>
              <w:t>:</w:t>
            </w:r>
          </w:p>
          <w:p w14:paraId="6DFD793A" w14:textId="40509063" w:rsidR="005A19CC" w:rsidRPr="00EE7072" w:rsidRDefault="005A19CC" w:rsidP="00507639">
            <w:pPr>
              <w:widowControl/>
              <w:autoSpaceDE/>
              <w:autoSpaceDN/>
              <w:adjustRightInd/>
              <w:jc w:val="both"/>
              <w:rPr>
                <w:szCs w:val="17"/>
                <w:lang w:val="fr-FR"/>
              </w:rPr>
            </w:pPr>
            <w:r w:rsidRPr="00EE7072">
              <w:rPr>
                <w:szCs w:val="17"/>
                <w:lang w:val="fr-FR"/>
              </w:rPr>
              <w:t> </w:t>
            </w:r>
          </w:p>
          <w:p w14:paraId="7B6EC05D" w14:textId="77777777" w:rsidR="005B58B5" w:rsidRPr="00EE7072" w:rsidRDefault="005A19CC" w:rsidP="00507639">
            <w:pPr>
              <w:widowControl/>
              <w:autoSpaceDE/>
              <w:autoSpaceDN/>
              <w:adjustRightInd/>
              <w:jc w:val="both"/>
              <w:rPr>
                <w:szCs w:val="17"/>
                <w:lang w:val="fr-FR"/>
              </w:rPr>
            </w:pPr>
            <w:r w:rsidRPr="00EE7072">
              <w:rPr>
                <w:szCs w:val="17"/>
                <w:lang w:val="fr-FR"/>
              </w:rPr>
              <w:t>Pour la taxonomie et la nomenclature au niveau des ordres et des familles:</w:t>
            </w:r>
          </w:p>
          <w:p w14:paraId="432B60B0" w14:textId="18FECE04" w:rsidR="00935245" w:rsidRPr="00A066BB" w:rsidRDefault="005A19CC" w:rsidP="00507639">
            <w:pPr>
              <w:widowControl/>
              <w:autoSpaceDE/>
              <w:autoSpaceDN/>
              <w:adjustRightInd/>
              <w:jc w:val="both"/>
              <w:rPr>
                <w:szCs w:val="17"/>
              </w:rPr>
            </w:pPr>
            <w:r w:rsidRPr="00193B81">
              <w:rPr>
                <w:szCs w:val="17"/>
                <w:lang w:val="fr-FR"/>
              </w:rPr>
              <w:t> </w:t>
            </w:r>
            <w:r w:rsidRPr="000749B4">
              <w:rPr>
                <w:szCs w:val="17"/>
              </w:rPr>
              <w:t>Morony, J.J., Bock, W.J. and Farrand, J. (1975). Reference List of the Birds of the World. Department of Ornithology, American Museum of Natural History, New York, New York </w:t>
            </w:r>
          </w:p>
          <w:p w14:paraId="0993D34D" w14:textId="38986315" w:rsidR="005A19CC" w:rsidRPr="00EE7072" w:rsidRDefault="005A19CC" w:rsidP="00507639">
            <w:pPr>
              <w:widowControl/>
              <w:autoSpaceDE/>
              <w:autoSpaceDN/>
              <w:adjustRightInd/>
              <w:jc w:val="both"/>
              <w:rPr>
                <w:szCs w:val="17"/>
                <w:lang w:val="fr-FR"/>
              </w:rPr>
            </w:pPr>
            <w:r w:rsidRPr="00EE7072">
              <w:rPr>
                <w:szCs w:val="17"/>
                <w:lang w:val="fr-FR"/>
              </w:rPr>
              <w:t xml:space="preserve">Pour la taxonomie et la nomenclature </w:t>
            </w:r>
            <w:r w:rsidR="005B58B5" w:rsidRPr="00EE7072">
              <w:rPr>
                <w:szCs w:val="17"/>
                <w:lang w:val="fr-FR"/>
              </w:rPr>
              <w:t>au niveau des genres et espèces</w:t>
            </w:r>
            <w:r w:rsidRPr="00EE7072">
              <w:rPr>
                <w:szCs w:val="17"/>
                <w:lang w:val="fr-FR"/>
              </w:rPr>
              <w:t>: </w:t>
            </w:r>
          </w:p>
          <w:p w14:paraId="217E59B1" w14:textId="04AD503D" w:rsidR="004647DB" w:rsidRPr="000749B4" w:rsidRDefault="005A19CC" w:rsidP="00507639">
            <w:pPr>
              <w:widowControl/>
              <w:autoSpaceDE/>
              <w:autoSpaceDN/>
              <w:adjustRightInd/>
              <w:jc w:val="both"/>
              <w:rPr>
                <w:szCs w:val="17"/>
              </w:rPr>
            </w:pPr>
            <w:r w:rsidRPr="000749B4">
              <w:rPr>
                <w:szCs w:val="17"/>
              </w:rPr>
              <w:t>Sibley, C.G. and Monroe, B.L. (1990). Distribution and taxonomy of birds of the world. Yale University Press, New Haven. </w:t>
            </w:r>
          </w:p>
          <w:p w14:paraId="20D8C5F3" w14:textId="2F59549F" w:rsidR="005A19CC" w:rsidRPr="000749B4" w:rsidRDefault="005A19CC" w:rsidP="00507639">
            <w:pPr>
              <w:widowControl/>
              <w:autoSpaceDE/>
              <w:autoSpaceDN/>
              <w:adjustRightInd/>
              <w:jc w:val="both"/>
              <w:rPr>
                <w:szCs w:val="17"/>
              </w:rPr>
            </w:pPr>
            <w:r w:rsidRPr="000749B4">
              <w:rPr>
                <w:szCs w:val="17"/>
              </w:rPr>
              <w:t>Sibley, C.G. and Monroe, B.L. (1993). A supplement to distribution and taxonomy of birds of the world. Yale University Press, New Haven. </w:t>
            </w:r>
          </w:p>
        </w:tc>
        <w:tc>
          <w:tcPr>
            <w:tcW w:w="2336" w:type="dxa"/>
            <w:shd w:val="clear" w:color="auto" w:fill="auto"/>
          </w:tcPr>
          <w:p w14:paraId="2BC87872" w14:textId="7BAAA55D" w:rsidR="004647DB" w:rsidRPr="000749B4" w:rsidRDefault="00B402A3" w:rsidP="0028030F">
            <w:r>
              <w:t>Résolution</w:t>
            </w:r>
            <w:r w:rsidR="004647DB" w:rsidRPr="000749B4">
              <w:t xml:space="preserve"> 11.19</w:t>
            </w:r>
          </w:p>
          <w:p w14:paraId="44C18109" w14:textId="77777777" w:rsidR="004647DB" w:rsidRPr="000749B4" w:rsidRDefault="004647DB" w:rsidP="0028030F"/>
          <w:p w14:paraId="372EC7B4" w14:textId="20A597E2" w:rsidR="004647DB" w:rsidRPr="000749B4" w:rsidRDefault="00210C67" w:rsidP="0028030F">
            <w:r>
              <w:t>Conserver</w:t>
            </w:r>
          </w:p>
        </w:tc>
      </w:tr>
      <w:tr w:rsidR="004647DB" w:rsidRPr="000749B4" w14:paraId="2DA1DC87" w14:textId="77777777" w:rsidTr="00135DBE">
        <w:tc>
          <w:tcPr>
            <w:tcW w:w="6737" w:type="dxa"/>
            <w:shd w:val="clear" w:color="auto" w:fill="auto"/>
          </w:tcPr>
          <w:p w14:paraId="78D7D814" w14:textId="14B27007" w:rsidR="00935245" w:rsidRPr="00EE7072" w:rsidRDefault="00935245" w:rsidP="005B58B5">
            <w:pPr>
              <w:widowControl/>
              <w:autoSpaceDE/>
              <w:autoSpaceDN/>
              <w:adjustRightInd/>
              <w:jc w:val="both"/>
              <w:rPr>
                <w:szCs w:val="17"/>
                <w:u w:val="single"/>
                <w:lang w:val="fr-FR"/>
              </w:rPr>
            </w:pPr>
            <w:r w:rsidRPr="00EE7072">
              <w:rPr>
                <w:szCs w:val="17"/>
                <w:u w:val="single"/>
                <w:lang w:val="fr-FR"/>
              </w:rPr>
              <w:t>l’albatros et le grand petrel</w:t>
            </w:r>
          </w:p>
          <w:p w14:paraId="31B0BFD3" w14:textId="77777777" w:rsidR="00935245" w:rsidRPr="00EE7072" w:rsidRDefault="00935245" w:rsidP="005B58B5">
            <w:pPr>
              <w:widowControl/>
              <w:autoSpaceDE/>
              <w:autoSpaceDN/>
              <w:adjustRightInd/>
              <w:jc w:val="both"/>
              <w:rPr>
                <w:szCs w:val="17"/>
                <w:lang w:val="fr-FR"/>
              </w:rPr>
            </w:pPr>
          </w:p>
          <w:p w14:paraId="2A5EE1E5" w14:textId="28831246" w:rsidR="007A4206" w:rsidRPr="00EE7072" w:rsidRDefault="007A4206" w:rsidP="005B58B5">
            <w:pPr>
              <w:widowControl/>
              <w:autoSpaceDE/>
              <w:autoSpaceDN/>
              <w:adjustRightInd/>
              <w:jc w:val="both"/>
              <w:rPr>
                <w:szCs w:val="17"/>
                <w:lang w:val="fr-FR"/>
              </w:rPr>
            </w:pPr>
            <w:r w:rsidRPr="00EE7072">
              <w:rPr>
                <w:strike/>
                <w:szCs w:val="17"/>
                <w:lang w:val="fr-FR"/>
              </w:rPr>
              <w:t xml:space="preserve">1. </w:t>
            </w:r>
            <w:r w:rsidRPr="00EE7072">
              <w:rPr>
                <w:i/>
                <w:iCs/>
                <w:strike/>
                <w:szCs w:val="17"/>
                <w:lang w:val="fr-FR"/>
              </w:rPr>
              <w:t>Adopte</w:t>
            </w:r>
            <w:r w:rsidRPr="00EE7072">
              <w:rPr>
                <w:i/>
                <w:iCs/>
                <w:szCs w:val="17"/>
                <w:lang w:val="fr-FR"/>
              </w:rPr>
              <w:t xml:space="preserve"> </w:t>
            </w:r>
            <w:r w:rsidRPr="00EE7072">
              <w:rPr>
                <w:szCs w:val="17"/>
                <w:lang w:val="fr-FR"/>
              </w:rPr>
              <w:t xml:space="preserve">la taxonomie utilisée par l’ACAP </w:t>
            </w:r>
            <w:r w:rsidRPr="00EE7072">
              <w:rPr>
                <w:strike/>
                <w:szCs w:val="17"/>
                <w:lang w:val="fr-FR"/>
              </w:rPr>
              <w:t xml:space="preserve">comme référence </w:t>
            </w:r>
            <w:r w:rsidR="005B58B5" w:rsidRPr="00EE7072">
              <w:rPr>
                <w:strike/>
                <w:szCs w:val="17"/>
                <w:lang w:val="fr-FR"/>
              </w:rPr>
              <w:t>n</w:t>
            </w:r>
            <w:r w:rsidRPr="00EE7072">
              <w:rPr>
                <w:strike/>
                <w:szCs w:val="17"/>
                <w:lang w:val="fr-FR"/>
              </w:rPr>
              <w:t>omenclaturale standard de la Convention pour l’albatros et le grand pétrel</w:t>
            </w:r>
            <w:r w:rsidRPr="00EE7072">
              <w:rPr>
                <w:szCs w:val="17"/>
                <w:lang w:val="fr-FR"/>
              </w:rPr>
              <w:t>; </w:t>
            </w:r>
          </w:p>
          <w:p w14:paraId="6598C723" w14:textId="77777777" w:rsidR="004647DB" w:rsidRPr="00EE7072" w:rsidRDefault="004647DB" w:rsidP="005B58B5">
            <w:pPr>
              <w:widowControl/>
              <w:autoSpaceDE/>
              <w:autoSpaceDN/>
              <w:adjustRightInd/>
              <w:jc w:val="both"/>
              <w:rPr>
                <w:szCs w:val="17"/>
                <w:lang w:val="fr-FR"/>
              </w:rPr>
            </w:pPr>
          </w:p>
        </w:tc>
        <w:tc>
          <w:tcPr>
            <w:tcW w:w="2336" w:type="dxa"/>
            <w:shd w:val="clear" w:color="auto" w:fill="auto"/>
          </w:tcPr>
          <w:p w14:paraId="204D66FC" w14:textId="208A7AF5" w:rsidR="004647DB" w:rsidRPr="000749B4" w:rsidRDefault="00B402A3" w:rsidP="0028030F">
            <w:r>
              <w:t>Résolution</w:t>
            </w:r>
            <w:r w:rsidR="004647DB" w:rsidRPr="000749B4">
              <w:t xml:space="preserve"> 10.13</w:t>
            </w:r>
          </w:p>
          <w:p w14:paraId="5474A70A" w14:textId="77777777" w:rsidR="004647DB" w:rsidRPr="000749B4" w:rsidRDefault="004647DB" w:rsidP="0028030F"/>
          <w:p w14:paraId="311C8187" w14:textId="70E13220" w:rsidR="004647DB" w:rsidRPr="000749B4" w:rsidRDefault="00210C67" w:rsidP="0028030F">
            <w:r>
              <w:t>Conserver</w:t>
            </w:r>
          </w:p>
        </w:tc>
      </w:tr>
      <w:tr w:rsidR="004647DB" w:rsidRPr="000749B4" w14:paraId="39AE5EE5" w14:textId="77777777" w:rsidTr="00135DBE">
        <w:tc>
          <w:tcPr>
            <w:tcW w:w="6737" w:type="dxa"/>
            <w:shd w:val="clear" w:color="auto" w:fill="auto"/>
          </w:tcPr>
          <w:p w14:paraId="658F82F2" w14:textId="4760DCC6" w:rsidR="003C2826" w:rsidRPr="00EE7072" w:rsidRDefault="003C2826" w:rsidP="005B58B5">
            <w:pPr>
              <w:widowControl/>
              <w:autoSpaceDE/>
              <w:autoSpaceDN/>
              <w:adjustRightInd/>
              <w:jc w:val="both"/>
              <w:rPr>
                <w:strike/>
                <w:szCs w:val="17"/>
                <w:lang w:val="fr-FR"/>
              </w:rPr>
            </w:pPr>
            <w:r w:rsidRPr="00EE7072">
              <w:rPr>
                <w:strike/>
                <w:szCs w:val="17"/>
                <w:lang w:val="fr-FR"/>
              </w:rPr>
              <w:t>Pour la taxonomie et la nomenclature au niveau des ordres et des familles:</w:t>
            </w:r>
          </w:p>
          <w:p w14:paraId="75581463" w14:textId="4F2B2249" w:rsidR="003C2826" w:rsidRPr="00935245" w:rsidRDefault="003C2826" w:rsidP="005B58B5">
            <w:pPr>
              <w:widowControl/>
              <w:autoSpaceDE/>
              <w:autoSpaceDN/>
              <w:adjustRightInd/>
              <w:jc w:val="both"/>
              <w:rPr>
                <w:strike/>
                <w:szCs w:val="17"/>
              </w:rPr>
            </w:pPr>
            <w:r w:rsidRPr="00935245">
              <w:rPr>
                <w:strike/>
                <w:szCs w:val="17"/>
              </w:rPr>
              <w:t>c) Morony, J.J., Bock. W.J. and Farrand, J. (1975). Reference List of the Birds of the World.</w:t>
            </w:r>
            <w:r w:rsidR="005B58B5" w:rsidRPr="00935245">
              <w:rPr>
                <w:strike/>
                <w:szCs w:val="17"/>
              </w:rPr>
              <w:t xml:space="preserve"> </w:t>
            </w:r>
            <w:r w:rsidRPr="00935245">
              <w:rPr>
                <w:strike/>
                <w:szCs w:val="17"/>
              </w:rPr>
              <w:t>Department of Ornithology, American Museum of Natural History, New York, New York.</w:t>
            </w:r>
          </w:p>
          <w:p w14:paraId="7A2F8B9B" w14:textId="77777777" w:rsidR="005B58B5" w:rsidRPr="00935245" w:rsidRDefault="005B58B5" w:rsidP="005B58B5">
            <w:pPr>
              <w:widowControl/>
              <w:autoSpaceDE/>
              <w:autoSpaceDN/>
              <w:adjustRightInd/>
              <w:jc w:val="both"/>
              <w:rPr>
                <w:strike/>
                <w:szCs w:val="17"/>
              </w:rPr>
            </w:pPr>
          </w:p>
          <w:p w14:paraId="6DB914AE" w14:textId="6A026D7F" w:rsidR="003C2826" w:rsidRPr="00EE7072" w:rsidRDefault="003C2826" w:rsidP="005B58B5">
            <w:pPr>
              <w:widowControl/>
              <w:autoSpaceDE/>
              <w:autoSpaceDN/>
              <w:adjustRightInd/>
              <w:jc w:val="both"/>
              <w:rPr>
                <w:strike/>
                <w:szCs w:val="17"/>
                <w:lang w:val="fr-FR"/>
              </w:rPr>
            </w:pPr>
            <w:r w:rsidRPr="00EE7072">
              <w:rPr>
                <w:strike/>
                <w:szCs w:val="17"/>
                <w:lang w:val="fr-FR"/>
              </w:rPr>
              <w:t>Pour la taxonomie et la nomenclature au niveau des genres et des espèces:</w:t>
            </w:r>
          </w:p>
          <w:p w14:paraId="0D0BBDC9" w14:textId="77777777" w:rsidR="005B58B5" w:rsidRPr="00EE7072" w:rsidRDefault="005B58B5" w:rsidP="005B58B5">
            <w:pPr>
              <w:widowControl/>
              <w:autoSpaceDE/>
              <w:autoSpaceDN/>
              <w:adjustRightInd/>
              <w:jc w:val="both"/>
              <w:rPr>
                <w:strike/>
                <w:szCs w:val="17"/>
                <w:lang w:val="fr-FR"/>
              </w:rPr>
            </w:pPr>
          </w:p>
          <w:p w14:paraId="77023F9F" w14:textId="323A6BAE" w:rsidR="003C2826" w:rsidRPr="00935245" w:rsidRDefault="003C2826" w:rsidP="005B58B5">
            <w:pPr>
              <w:widowControl/>
              <w:autoSpaceDE/>
              <w:autoSpaceDN/>
              <w:adjustRightInd/>
              <w:jc w:val="both"/>
              <w:rPr>
                <w:strike/>
                <w:szCs w:val="17"/>
              </w:rPr>
            </w:pPr>
            <w:r w:rsidRPr="00935245">
              <w:rPr>
                <w:strike/>
                <w:szCs w:val="17"/>
              </w:rPr>
              <w:t>d) Sibley, C.G. and Monroe, B.L. (1990). Distribution and taxonomy of birds of the world. Yale</w:t>
            </w:r>
            <w:r w:rsidR="005B58B5" w:rsidRPr="00935245">
              <w:rPr>
                <w:strike/>
                <w:szCs w:val="17"/>
              </w:rPr>
              <w:t xml:space="preserve"> </w:t>
            </w:r>
            <w:r w:rsidRPr="00935245">
              <w:rPr>
                <w:strike/>
                <w:szCs w:val="17"/>
              </w:rPr>
              <w:t>University Press, New Haven.</w:t>
            </w:r>
          </w:p>
          <w:p w14:paraId="08A03B3B" w14:textId="25605ED8" w:rsidR="004647DB" w:rsidRPr="000749B4" w:rsidRDefault="003C2826" w:rsidP="005B58B5">
            <w:pPr>
              <w:widowControl/>
              <w:autoSpaceDE/>
              <w:autoSpaceDN/>
              <w:adjustRightInd/>
              <w:jc w:val="both"/>
              <w:rPr>
                <w:szCs w:val="17"/>
              </w:rPr>
            </w:pPr>
            <w:r w:rsidRPr="00935245">
              <w:rPr>
                <w:strike/>
                <w:szCs w:val="17"/>
              </w:rPr>
              <w:t>e) Sibley, C.G. and Monroe, B.L. (1993). A supplement to Distribution and taxonomy of birds</w:t>
            </w:r>
            <w:r w:rsidR="005B58B5" w:rsidRPr="00935245">
              <w:rPr>
                <w:strike/>
                <w:szCs w:val="17"/>
              </w:rPr>
              <w:t xml:space="preserve"> </w:t>
            </w:r>
            <w:r w:rsidRPr="00935245">
              <w:rPr>
                <w:strike/>
                <w:szCs w:val="17"/>
              </w:rPr>
              <w:t>of the world. Yale University Press, New Haven.</w:t>
            </w:r>
          </w:p>
        </w:tc>
        <w:tc>
          <w:tcPr>
            <w:tcW w:w="2336" w:type="dxa"/>
            <w:shd w:val="clear" w:color="auto" w:fill="auto"/>
          </w:tcPr>
          <w:p w14:paraId="19E036F3" w14:textId="75ED72EC" w:rsidR="004647DB" w:rsidRPr="000749B4" w:rsidRDefault="00B402A3" w:rsidP="0028030F">
            <w:r>
              <w:t>Recommandation</w:t>
            </w:r>
            <w:r w:rsidR="004647DB" w:rsidRPr="000749B4">
              <w:t xml:space="preserve"> 6.1</w:t>
            </w:r>
          </w:p>
          <w:p w14:paraId="49A8C0C6" w14:textId="77777777" w:rsidR="004647DB" w:rsidRPr="000749B4" w:rsidRDefault="004647DB" w:rsidP="0028030F"/>
          <w:p w14:paraId="060CF20C" w14:textId="1C72C0CE" w:rsidR="004647DB" w:rsidRPr="000749B4" w:rsidRDefault="00E468D0" w:rsidP="0028030F">
            <w:r>
              <w:t>Abroger</w:t>
            </w:r>
            <w:r w:rsidR="00210C67">
              <w:t xml:space="preserve"> ; </w:t>
            </w:r>
            <w:r>
              <w:t>redondant</w:t>
            </w:r>
          </w:p>
        </w:tc>
      </w:tr>
      <w:tr w:rsidR="004647DB" w:rsidRPr="000749B4" w14:paraId="42F559AC" w14:textId="77777777" w:rsidTr="00135DBE">
        <w:tc>
          <w:tcPr>
            <w:tcW w:w="6737" w:type="dxa"/>
            <w:shd w:val="clear" w:color="auto" w:fill="auto"/>
          </w:tcPr>
          <w:p w14:paraId="1B20BF41" w14:textId="4A4BA1F8" w:rsidR="004647DB" w:rsidRPr="005B58B5" w:rsidRDefault="003C2826" w:rsidP="003C2826">
            <w:pPr>
              <w:widowControl/>
              <w:autoSpaceDE/>
              <w:autoSpaceDN/>
              <w:adjustRightInd/>
              <w:rPr>
                <w:i/>
                <w:szCs w:val="17"/>
              </w:rPr>
            </w:pPr>
            <w:r w:rsidRPr="005B58B5">
              <w:rPr>
                <w:i/>
                <w:szCs w:val="17"/>
              </w:rPr>
              <w:t>Tortues marines</w:t>
            </w:r>
          </w:p>
        </w:tc>
        <w:tc>
          <w:tcPr>
            <w:tcW w:w="2336" w:type="dxa"/>
            <w:shd w:val="clear" w:color="auto" w:fill="auto"/>
          </w:tcPr>
          <w:p w14:paraId="5255DC68" w14:textId="77777777" w:rsidR="004647DB" w:rsidRPr="000749B4" w:rsidRDefault="004647DB" w:rsidP="0028030F"/>
        </w:tc>
      </w:tr>
      <w:tr w:rsidR="004647DB" w:rsidRPr="000749B4" w14:paraId="5479BFB6" w14:textId="77777777" w:rsidTr="00135DBE">
        <w:tc>
          <w:tcPr>
            <w:tcW w:w="6737" w:type="dxa"/>
            <w:shd w:val="clear" w:color="auto" w:fill="auto"/>
          </w:tcPr>
          <w:p w14:paraId="76D9186E" w14:textId="549AE732" w:rsidR="004647DB" w:rsidRPr="000749B4" w:rsidRDefault="003C2826" w:rsidP="007F3AEC">
            <w:pPr>
              <w:widowControl/>
              <w:autoSpaceDE/>
              <w:autoSpaceDN/>
              <w:adjustRightInd/>
              <w:jc w:val="both"/>
              <w:rPr>
                <w:szCs w:val="17"/>
              </w:rPr>
            </w:pPr>
            <w:r w:rsidRPr="005B58B5">
              <w:rPr>
                <w:strike/>
                <w:szCs w:val="17"/>
              </w:rPr>
              <w:t>f)</w:t>
            </w:r>
            <w:r w:rsidRPr="000749B4">
              <w:rPr>
                <w:szCs w:val="17"/>
              </w:rPr>
              <w:t xml:space="preserve"> Eckert, K.L., Bjorndal, K.A., Abreu-Grobois, F.A. and Donnelly, M. (Eds) (1999). Research</w:t>
            </w:r>
            <w:r w:rsidR="007F3AEC">
              <w:rPr>
                <w:szCs w:val="17"/>
              </w:rPr>
              <w:t xml:space="preserve"> </w:t>
            </w:r>
            <w:r w:rsidRPr="000749B4">
              <w:rPr>
                <w:szCs w:val="17"/>
              </w:rPr>
              <w:t>and management techniques for the conservation of sea turtles. IUCN/SSC Marine Turtle</w:t>
            </w:r>
            <w:r w:rsidR="007F3AEC">
              <w:rPr>
                <w:szCs w:val="17"/>
              </w:rPr>
              <w:t xml:space="preserve"> </w:t>
            </w:r>
            <w:r w:rsidRPr="000749B4">
              <w:rPr>
                <w:szCs w:val="17"/>
              </w:rPr>
              <w:t>Specialist Group Publication No. 4.</w:t>
            </w:r>
          </w:p>
        </w:tc>
        <w:tc>
          <w:tcPr>
            <w:tcW w:w="2336" w:type="dxa"/>
            <w:shd w:val="clear" w:color="auto" w:fill="auto"/>
          </w:tcPr>
          <w:p w14:paraId="018B34EB" w14:textId="183261AA" w:rsidR="004647DB" w:rsidRPr="000749B4" w:rsidRDefault="00B402A3" w:rsidP="0028030F">
            <w:r>
              <w:t>Recommandation</w:t>
            </w:r>
            <w:r w:rsidR="004647DB" w:rsidRPr="000749B4">
              <w:t xml:space="preserve"> 6.1</w:t>
            </w:r>
          </w:p>
        </w:tc>
      </w:tr>
      <w:tr w:rsidR="004647DB" w:rsidRPr="000749B4" w14:paraId="0E70F3D3" w14:textId="77777777" w:rsidTr="00135DBE">
        <w:tc>
          <w:tcPr>
            <w:tcW w:w="6737" w:type="dxa"/>
            <w:shd w:val="clear" w:color="auto" w:fill="auto"/>
          </w:tcPr>
          <w:p w14:paraId="36835118" w14:textId="111F8A2F" w:rsidR="004647DB" w:rsidRPr="005B58B5" w:rsidRDefault="003C2826" w:rsidP="007F3AEC">
            <w:pPr>
              <w:widowControl/>
              <w:autoSpaceDE/>
              <w:autoSpaceDN/>
              <w:adjustRightInd/>
              <w:jc w:val="both"/>
              <w:rPr>
                <w:i/>
                <w:szCs w:val="17"/>
              </w:rPr>
            </w:pPr>
            <w:r w:rsidRPr="005B58B5">
              <w:rPr>
                <w:i/>
                <w:szCs w:val="17"/>
              </w:rPr>
              <w:t>Poissons</w:t>
            </w:r>
          </w:p>
        </w:tc>
        <w:tc>
          <w:tcPr>
            <w:tcW w:w="2336" w:type="dxa"/>
            <w:shd w:val="clear" w:color="auto" w:fill="auto"/>
          </w:tcPr>
          <w:p w14:paraId="66CAD597" w14:textId="77777777" w:rsidR="004647DB" w:rsidRPr="000749B4" w:rsidRDefault="004647DB" w:rsidP="0028030F"/>
        </w:tc>
      </w:tr>
      <w:tr w:rsidR="004647DB" w:rsidRPr="000749B4" w14:paraId="32CA38AB" w14:textId="77777777" w:rsidTr="00135DBE">
        <w:tc>
          <w:tcPr>
            <w:tcW w:w="6737" w:type="dxa"/>
            <w:shd w:val="clear" w:color="auto" w:fill="auto"/>
          </w:tcPr>
          <w:p w14:paraId="5BB7775E" w14:textId="41697F7F" w:rsidR="004647DB" w:rsidRPr="000749B4" w:rsidRDefault="003C2826" w:rsidP="007F3AEC">
            <w:pPr>
              <w:widowControl/>
              <w:autoSpaceDE/>
              <w:autoSpaceDN/>
              <w:adjustRightInd/>
              <w:jc w:val="both"/>
              <w:rPr>
                <w:szCs w:val="17"/>
              </w:rPr>
            </w:pPr>
            <w:r w:rsidRPr="005B58B5">
              <w:rPr>
                <w:strike/>
                <w:szCs w:val="17"/>
              </w:rPr>
              <w:t>g)</w:t>
            </w:r>
            <w:r w:rsidRPr="000749B4">
              <w:rPr>
                <w:szCs w:val="17"/>
              </w:rPr>
              <w:t xml:space="preserve"> Eschmeyer, W.N. (1990). Catalogue of the Genera of Recent Fishes. California Academy of</w:t>
            </w:r>
            <w:r w:rsidR="005B58B5">
              <w:rPr>
                <w:szCs w:val="17"/>
              </w:rPr>
              <w:t xml:space="preserve"> </w:t>
            </w:r>
            <w:r w:rsidRPr="000749B4">
              <w:rPr>
                <w:szCs w:val="17"/>
              </w:rPr>
              <w:t>Sciences, San Francisco, California.</w:t>
            </w:r>
          </w:p>
        </w:tc>
        <w:tc>
          <w:tcPr>
            <w:tcW w:w="2336" w:type="dxa"/>
            <w:shd w:val="clear" w:color="auto" w:fill="auto"/>
          </w:tcPr>
          <w:p w14:paraId="286B2DD6" w14:textId="345CDF7E" w:rsidR="004647DB" w:rsidRPr="00E468D0" w:rsidRDefault="00B402A3" w:rsidP="0028030F">
            <w:r w:rsidRPr="00E468D0">
              <w:t>Recommandation</w:t>
            </w:r>
            <w:r w:rsidR="004647DB" w:rsidRPr="00E468D0">
              <w:t xml:space="preserve"> 6.1</w:t>
            </w:r>
          </w:p>
        </w:tc>
      </w:tr>
    </w:tbl>
    <w:p w14:paraId="4025EFA9" w14:textId="77777777" w:rsidR="00593041" w:rsidRPr="000749B4" w:rsidRDefault="00593041" w:rsidP="00593041">
      <w:pPr>
        <w:jc w:val="both"/>
      </w:pPr>
    </w:p>
    <w:p w14:paraId="0A67EE54" w14:textId="77777777" w:rsidR="00593041" w:rsidRPr="000749B4"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sectPr w:rsidR="00593041" w:rsidRPr="000749B4" w:rsidSect="0028030F">
          <w:headerReference w:type="even" r:id="rId19"/>
          <w:headerReference w:type="default" r:id="rId20"/>
          <w:headerReference w:type="first" r:id="rId21"/>
          <w:footerReference w:type="first" r:id="rId22"/>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0749B4"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r w:rsidRPr="000749B4">
        <w:rPr>
          <w:b/>
          <w:caps/>
          <w:lang w:val="en-GB"/>
        </w:rPr>
        <w:lastRenderedPageBreak/>
        <w:t>AnnexE 2</w:t>
      </w:r>
    </w:p>
    <w:p w14:paraId="2EB02C1E" w14:textId="77777777" w:rsidR="00593041" w:rsidRPr="000749B4"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p>
    <w:p w14:paraId="1F79E1F1" w14:textId="1992E738" w:rsidR="00EE6091" w:rsidRPr="00E468D0" w:rsidRDefault="00E468D0" w:rsidP="00EE6091">
      <w:pPr>
        <w:jc w:val="center"/>
      </w:pPr>
      <w:r w:rsidRPr="00E468D0">
        <w:rPr>
          <w:caps/>
        </w:rPr>
        <w:t xml:space="preserve">PROJET DE </w:t>
      </w:r>
      <w:r w:rsidR="00593041" w:rsidRPr="00E468D0">
        <w:rPr>
          <w:caps/>
        </w:rPr>
        <w:t>r</w:t>
      </w:r>
      <w:r w:rsidR="00593041" w:rsidRPr="00E468D0">
        <w:rPr>
          <w:caps/>
          <w:color w:val="000000" w:themeColor="text1"/>
        </w:rPr>
        <w:t>é</w:t>
      </w:r>
      <w:r w:rsidR="00593041" w:rsidRPr="00E468D0">
        <w:rPr>
          <w:caps/>
        </w:rPr>
        <w:t xml:space="preserve">solution </w:t>
      </w:r>
    </w:p>
    <w:p w14:paraId="21DDA8DA" w14:textId="77777777" w:rsidR="00EE6091" w:rsidRPr="000749B4" w:rsidRDefault="00EE6091" w:rsidP="00EE6091">
      <w:pPr>
        <w:jc w:val="center"/>
        <w:rPr>
          <w:b/>
        </w:rPr>
      </w:pPr>
    </w:p>
    <w:p w14:paraId="4FA385EA" w14:textId="48E6035E" w:rsidR="00EE6091" w:rsidRPr="000749B4" w:rsidRDefault="00876ED1" w:rsidP="00EE6091">
      <w:pPr>
        <w:jc w:val="center"/>
        <w:rPr>
          <w:b/>
        </w:rPr>
      </w:pPr>
      <w:r w:rsidRPr="000749B4">
        <w:rPr>
          <w:b/>
          <w:szCs w:val="15"/>
        </w:rPr>
        <w:t>TAXONOMIE ET NOMENCLATURE</w:t>
      </w:r>
    </w:p>
    <w:p w14:paraId="180277FC" w14:textId="30976E2F" w:rsidR="00567B14" w:rsidRPr="000749B4" w:rsidRDefault="00567B14" w:rsidP="00567B14">
      <w:pPr>
        <w:widowControl/>
        <w:tabs>
          <w:tab w:val="left" w:pos="1860"/>
        </w:tabs>
        <w:autoSpaceDE/>
        <w:autoSpaceDN/>
        <w:adjustRightInd/>
        <w:jc w:val="both"/>
        <w:rPr>
          <w:szCs w:val="17"/>
        </w:rPr>
      </w:pPr>
    </w:p>
    <w:p w14:paraId="501F7553" w14:textId="7474C06F" w:rsidR="00C3737D" w:rsidRDefault="00E468D0" w:rsidP="00567B14">
      <w:pPr>
        <w:widowControl/>
        <w:autoSpaceDE/>
        <w:autoSpaceDN/>
        <w:adjustRightInd/>
        <w:jc w:val="both"/>
        <w:rPr>
          <w:lang w:val="fr-FR"/>
        </w:rPr>
      </w:pPr>
      <w:r w:rsidRPr="00E468D0">
        <w:rPr>
          <w:i/>
          <w:lang w:val="fr-FR"/>
        </w:rPr>
        <w:t xml:space="preserve">Rappelant </w:t>
      </w:r>
      <w:r w:rsidRPr="00E468D0">
        <w:rPr>
          <w:lang w:val="fr-FR"/>
        </w:rPr>
        <w:t>qu’avec la Recommandation 6.1, la Recommandation 9.4, la Résolution 10.13, et la Résolution 11.19, la Conférence des Parties a adopté des références normalisées pour être reconnues et utilisées comme les bases sur lesquelles les Annexes de la CMS et tous leurs amendements, doivent être préparés </w:t>
      </w:r>
    </w:p>
    <w:p w14:paraId="3E0759D6" w14:textId="77777777" w:rsidR="00E468D0" w:rsidRPr="00E468D0" w:rsidRDefault="00E468D0" w:rsidP="00567B14">
      <w:pPr>
        <w:widowControl/>
        <w:autoSpaceDE/>
        <w:autoSpaceDN/>
        <w:adjustRightInd/>
        <w:jc w:val="both"/>
        <w:rPr>
          <w:i/>
          <w:iCs/>
          <w:szCs w:val="17"/>
          <w:lang w:val="fr-FR"/>
        </w:rPr>
      </w:pPr>
    </w:p>
    <w:p w14:paraId="44122A4E" w14:textId="77777777" w:rsidR="00567B14" w:rsidRPr="00EE7072" w:rsidRDefault="00567B14" w:rsidP="00567B14">
      <w:pPr>
        <w:widowControl/>
        <w:autoSpaceDE/>
        <w:autoSpaceDN/>
        <w:adjustRightInd/>
        <w:jc w:val="both"/>
        <w:rPr>
          <w:szCs w:val="17"/>
          <w:lang w:val="fr-FR"/>
        </w:rPr>
      </w:pPr>
      <w:r w:rsidRPr="00EE7072">
        <w:rPr>
          <w:i/>
          <w:iCs/>
          <w:szCs w:val="17"/>
          <w:lang w:val="fr-FR"/>
        </w:rPr>
        <w:t xml:space="preserve">Rappelant </w:t>
      </w:r>
      <w:r w:rsidRPr="00EE7072">
        <w:rPr>
          <w:szCs w:val="17"/>
          <w:lang w:val="fr-FR"/>
        </w:rPr>
        <w:t>la résolution 10.13 sur la Nomenclature normalisée des oiseaux figurant aux annexes de la CMS qui demande au Président du Conseil scientifique de se mettre en rapport avec les présidents des organes consultatifs scientifiques des conventions relatives à la biodiversité, les Secrétariats des AEM concernés et les organisations internationales pertinentes, incluant l’UICN, BirdLife International, Wetlands International et le PNUE-WCMC, dans le but d’évaluer la possibilité d’adopter une nomenclature et une taxonomie uniques pour les oiseaux, et d’informer le Conseil scientifique lors de sa dix-huitième réunion en vue de l’adoption d’une résolution appropriée à la COP11;</w:t>
      </w:r>
    </w:p>
    <w:p w14:paraId="61E4C37F" w14:textId="77777777" w:rsidR="00C3737D" w:rsidRPr="00EE7072" w:rsidRDefault="00C3737D" w:rsidP="00567B14">
      <w:pPr>
        <w:widowControl/>
        <w:autoSpaceDE/>
        <w:autoSpaceDN/>
        <w:adjustRightInd/>
        <w:jc w:val="both"/>
        <w:rPr>
          <w:szCs w:val="17"/>
          <w:lang w:val="fr-FR"/>
        </w:rPr>
      </w:pPr>
    </w:p>
    <w:p w14:paraId="07EDCBE1" w14:textId="77777777" w:rsidR="00567B14" w:rsidRPr="00EE7072" w:rsidRDefault="00567B14" w:rsidP="00567B14">
      <w:pPr>
        <w:widowControl/>
        <w:autoSpaceDE/>
        <w:autoSpaceDN/>
        <w:adjustRightInd/>
        <w:jc w:val="both"/>
        <w:rPr>
          <w:szCs w:val="17"/>
          <w:lang w:val="fr-FR"/>
        </w:rPr>
      </w:pPr>
      <w:r w:rsidRPr="00EE7072">
        <w:rPr>
          <w:i/>
          <w:szCs w:val="17"/>
          <w:lang w:val="fr-FR"/>
        </w:rPr>
        <w:t>Rappelant</w:t>
      </w:r>
      <w:r w:rsidRPr="00EE7072">
        <w:rPr>
          <w:szCs w:val="17"/>
          <w:lang w:val="fr-FR"/>
        </w:rPr>
        <w:t xml:space="preserve"> que, dans la Résolution 3.1 (Genève, 1991) concernant l'inscription d'espèces aux annexes de la Convention, la Conférence des Parties a décidé que tout autre ajout aux Annexes de la Convention devrait être limité aux espèces ou taxons inférieurs et que les espèces migratrices couvertes par les listes de taxons supérieurs déjà inscrites à l'Annexe II n'ont besoin que d'être identifiées lorsque des accords sont préparés,</w:t>
      </w:r>
    </w:p>
    <w:p w14:paraId="202CD0E1" w14:textId="77777777" w:rsidR="00C3737D" w:rsidRPr="00EE7072" w:rsidRDefault="00C3737D" w:rsidP="00567B14">
      <w:pPr>
        <w:widowControl/>
        <w:autoSpaceDE/>
        <w:autoSpaceDN/>
        <w:adjustRightInd/>
        <w:jc w:val="both"/>
        <w:rPr>
          <w:szCs w:val="17"/>
          <w:lang w:val="fr-FR"/>
        </w:rPr>
      </w:pPr>
    </w:p>
    <w:p w14:paraId="48B32C89" w14:textId="77777777" w:rsidR="00567B14" w:rsidRPr="00EE7072" w:rsidRDefault="00567B14" w:rsidP="00567B14">
      <w:pPr>
        <w:widowControl/>
        <w:autoSpaceDE/>
        <w:autoSpaceDN/>
        <w:adjustRightInd/>
        <w:jc w:val="both"/>
        <w:rPr>
          <w:szCs w:val="17"/>
          <w:lang w:val="fr-FR"/>
        </w:rPr>
      </w:pPr>
      <w:r w:rsidRPr="00EE7072">
        <w:rPr>
          <w:i/>
          <w:iCs/>
          <w:szCs w:val="17"/>
          <w:lang w:val="fr-FR"/>
        </w:rPr>
        <w:t xml:space="preserve">Notant </w:t>
      </w:r>
      <w:r w:rsidRPr="00EE7072">
        <w:rPr>
          <w:szCs w:val="17"/>
          <w:lang w:val="fr-FR"/>
        </w:rPr>
        <w:t>que la taxonomie et la nomenclature biologiques sont dynamiques; </w:t>
      </w:r>
    </w:p>
    <w:p w14:paraId="7256173C" w14:textId="77777777" w:rsidR="00C3737D" w:rsidRPr="00EE7072" w:rsidRDefault="00C3737D" w:rsidP="00567B14">
      <w:pPr>
        <w:widowControl/>
        <w:autoSpaceDE/>
        <w:autoSpaceDN/>
        <w:adjustRightInd/>
        <w:jc w:val="both"/>
        <w:rPr>
          <w:i/>
          <w:iCs/>
          <w:szCs w:val="17"/>
          <w:lang w:val="fr-FR"/>
        </w:rPr>
      </w:pPr>
    </w:p>
    <w:p w14:paraId="686FFB09" w14:textId="77777777" w:rsidR="00567B14" w:rsidRPr="00EE7072" w:rsidRDefault="00567B14" w:rsidP="00567B14">
      <w:pPr>
        <w:widowControl/>
        <w:autoSpaceDE/>
        <w:autoSpaceDN/>
        <w:adjustRightInd/>
        <w:jc w:val="both"/>
        <w:rPr>
          <w:szCs w:val="17"/>
          <w:lang w:val="fr-FR"/>
        </w:rPr>
      </w:pPr>
      <w:r w:rsidRPr="00EE7072">
        <w:rPr>
          <w:i/>
          <w:iCs/>
          <w:szCs w:val="17"/>
          <w:lang w:val="fr-FR"/>
        </w:rPr>
        <w:t xml:space="preserve">Consciente </w:t>
      </w:r>
      <w:r w:rsidRPr="00EE7072">
        <w:rPr>
          <w:szCs w:val="17"/>
          <w:lang w:val="fr-FR"/>
        </w:rPr>
        <w:t>que les efforts internationaux pour prendre des mesures cohérentes afin de conserver et utiliser durablement la diversité biologique au niveau des espèces peuvent être considérablement entravés s’il n’y a pas de compréhension commune au sujet des animaux ou des plantes correspondant à chaque nom d’espèce, et que ce manque de compréhension peut poser des problèmes particuliers pour des activités telles que la mise en oeuvre des conventions ayant potentiellement des implications juridiques </w:t>
      </w:r>
    </w:p>
    <w:p w14:paraId="6BC64E48" w14:textId="77777777" w:rsidR="00C3737D" w:rsidRPr="00EE7072" w:rsidRDefault="00C3737D" w:rsidP="00567B14">
      <w:pPr>
        <w:widowControl/>
        <w:autoSpaceDE/>
        <w:autoSpaceDN/>
        <w:adjustRightInd/>
        <w:jc w:val="both"/>
        <w:rPr>
          <w:i/>
          <w:iCs/>
          <w:szCs w:val="17"/>
          <w:lang w:val="fr-FR"/>
        </w:rPr>
      </w:pPr>
    </w:p>
    <w:p w14:paraId="01B52ACC" w14:textId="458013D2" w:rsidR="00567B14" w:rsidRPr="00EE7072" w:rsidRDefault="00567B14" w:rsidP="00567B14">
      <w:pPr>
        <w:widowControl/>
        <w:autoSpaceDE/>
        <w:autoSpaceDN/>
        <w:adjustRightInd/>
        <w:jc w:val="both"/>
        <w:rPr>
          <w:szCs w:val="17"/>
          <w:lang w:val="fr-FR"/>
        </w:rPr>
      </w:pPr>
      <w:r w:rsidRPr="00EE7072">
        <w:rPr>
          <w:i/>
          <w:iCs/>
          <w:szCs w:val="17"/>
          <w:lang w:val="fr-FR"/>
        </w:rPr>
        <w:t xml:space="preserve">Reconnaissant </w:t>
      </w:r>
      <w:r w:rsidRPr="00EE7072">
        <w:rPr>
          <w:szCs w:val="17"/>
          <w:lang w:val="fr-FR"/>
        </w:rPr>
        <w:t>que lors de la 4</w:t>
      </w:r>
      <w:r w:rsidRPr="00EE7072">
        <w:rPr>
          <w:szCs w:val="12"/>
          <w:lang w:val="fr-FR"/>
        </w:rPr>
        <w:t xml:space="preserve">ème </w:t>
      </w:r>
      <w:r w:rsidRPr="00EE7072">
        <w:rPr>
          <w:szCs w:val="17"/>
          <w:lang w:val="fr-FR"/>
        </w:rPr>
        <w:t>réunion des présidents des organismes scientifiques consultatifs (Chairs of the Scientific Advisory Bodies - CSAB) des Conventions liées à la biodiversité (Gland, Suisse, le 13 février 2011), le CSAB a approuvé l’idée de s’orienter vers une harmonisation de la nomenclature et de la taxonomie au niveau des listes d’espèces utilisées par les différentes conventions apparentées à la biodiversité et a salué le processus d’harmonisation entrepris par la CITES et la CMS</w:t>
      </w:r>
      <w:r w:rsidR="00C3737D" w:rsidRPr="00EE7072">
        <w:rPr>
          <w:szCs w:val="17"/>
          <w:lang w:val="fr-FR"/>
        </w:rPr>
        <w:t>;</w:t>
      </w:r>
      <w:r w:rsidRPr="00EE7072">
        <w:rPr>
          <w:szCs w:val="17"/>
          <w:lang w:val="fr-FR"/>
        </w:rPr>
        <w:t> </w:t>
      </w:r>
    </w:p>
    <w:p w14:paraId="31B6192B" w14:textId="77777777" w:rsidR="00C3737D" w:rsidRPr="00EE7072" w:rsidRDefault="00C3737D" w:rsidP="00567B14">
      <w:pPr>
        <w:widowControl/>
        <w:autoSpaceDE/>
        <w:autoSpaceDN/>
        <w:adjustRightInd/>
        <w:jc w:val="both"/>
        <w:rPr>
          <w:i/>
          <w:iCs/>
          <w:szCs w:val="17"/>
          <w:lang w:val="fr-FR"/>
        </w:rPr>
      </w:pPr>
    </w:p>
    <w:p w14:paraId="1E3774B5" w14:textId="31F04796" w:rsidR="00567B14" w:rsidRPr="00EE7072" w:rsidRDefault="00567B14" w:rsidP="00567B14">
      <w:pPr>
        <w:widowControl/>
        <w:autoSpaceDE/>
        <w:autoSpaceDN/>
        <w:adjustRightInd/>
        <w:jc w:val="both"/>
        <w:rPr>
          <w:szCs w:val="17"/>
          <w:lang w:val="fr-FR"/>
        </w:rPr>
      </w:pPr>
      <w:r w:rsidRPr="00EE7072">
        <w:rPr>
          <w:i/>
          <w:iCs/>
          <w:szCs w:val="17"/>
          <w:lang w:val="fr-FR"/>
        </w:rPr>
        <w:t xml:space="preserve">Reconnaissant </w:t>
      </w:r>
      <w:r w:rsidRPr="00EE7072">
        <w:rPr>
          <w:szCs w:val="17"/>
          <w:lang w:val="fr-FR"/>
        </w:rPr>
        <w:t>qu’afin de renforcer l'effort global consistant à répondre aux objectifs de biodiversité Aichi (Aichi Biodiversity Targets) en vue de réduire les pertes de biodiversité en 2020, il faudrait tenter d’assurer une plus grande harmonisation entre les différents accords environnementaux, multilatéraux, portant sur la biodiversité dans le domaine de la taxonomie et de la nomenclature; </w:t>
      </w:r>
    </w:p>
    <w:p w14:paraId="5D854A96" w14:textId="77777777" w:rsidR="00C3737D" w:rsidRPr="00EE7072" w:rsidRDefault="00C3737D" w:rsidP="00567B14">
      <w:pPr>
        <w:widowControl/>
        <w:autoSpaceDE/>
        <w:autoSpaceDN/>
        <w:adjustRightInd/>
        <w:jc w:val="both"/>
        <w:rPr>
          <w:i/>
          <w:iCs/>
          <w:szCs w:val="17"/>
          <w:lang w:val="fr-FR"/>
        </w:rPr>
      </w:pPr>
    </w:p>
    <w:p w14:paraId="18219A35" w14:textId="739596BD" w:rsidR="00567B14" w:rsidRPr="00EE7072" w:rsidRDefault="00567B14" w:rsidP="00567B14">
      <w:pPr>
        <w:widowControl/>
        <w:autoSpaceDE/>
        <w:autoSpaceDN/>
        <w:adjustRightInd/>
        <w:jc w:val="both"/>
        <w:rPr>
          <w:szCs w:val="17"/>
          <w:lang w:val="fr-FR"/>
        </w:rPr>
      </w:pPr>
      <w:r w:rsidRPr="00EE7072">
        <w:rPr>
          <w:i/>
          <w:iCs/>
          <w:szCs w:val="17"/>
          <w:lang w:val="fr-FR"/>
        </w:rPr>
        <w:t xml:space="preserve">Notant par ailleurs </w:t>
      </w:r>
      <w:r w:rsidRPr="00EE7072">
        <w:rPr>
          <w:szCs w:val="17"/>
          <w:lang w:val="fr-FR"/>
        </w:rPr>
        <w:t>qu’une telle harmonisation est devenue d’autant plus indispensable que sur 124 Parties de la CMS, seule</w:t>
      </w:r>
      <w:r w:rsidR="00CB6498">
        <w:rPr>
          <w:szCs w:val="17"/>
          <w:lang w:val="fr-FR"/>
        </w:rPr>
        <w:t xml:space="preserve"> une n’est pas également membre de la CITES ;</w:t>
      </w:r>
    </w:p>
    <w:p w14:paraId="5D8B3A87" w14:textId="77777777" w:rsidR="00C3737D" w:rsidRPr="00EE7072" w:rsidRDefault="00C3737D" w:rsidP="00567B14">
      <w:pPr>
        <w:widowControl/>
        <w:autoSpaceDE/>
        <w:autoSpaceDN/>
        <w:adjustRightInd/>
        <w:jc w:val="both"/>
        <w:rPr>
          <w:i/>
          <w:iCs/>
          <w:strike/>
          <w:szCs w:val="17"/>
          <w:lang w:val="fr-FR"/>
        </w:rPr>
      </w:pPr>
    </w:p>
    <w:p w14:paraId="2914559B" w14:textId="77777777" w:rsidR="00567B14" w:rsidRPr="00EE7072" w:rsidRDefault="00567B14" w:rsidP="00567B14">
      <w:pPr>
        <w:widowControl/>
        <w:autoSpaceDE/>
        <w:autoSpaceDN/>
        <w:adjustRightInd/>
        <w:jc w:val="both"/>
        <w:rPr>
          <w:szCs w:val="17"/>
          <w:lang w:val="fr-FR"/>
        </w:rPr>
      </w:pPr>
      <w:r w:rsidRPr="00EE7072">
        <w:rPr>
          <w:i/>
          <w:iCs/>
          <w:szCs w:val="17"/>
          <w:lang w:val="fr-FR"/>
        </w:rPr>
        <w:t xml:space="preserve">Reconnaissant </w:t>
      </w:r>
      <w:r w:rsidRPr="00EE7072">
        <w:rPr>
          <w:szCs w:val="17"/>
          <w:lang w:val="fr-FR"/>
        </w:rPr>
        <w:t>que l’harmonisation de la nomenclature peut conduire à un processus plus intégré, à une réduction des duplications et à un meilleur partage de l’information entre les différents Accords Multilatéraux sur l’Environnement relatives à la biodiversité (AME); </w:t>
      </w:r>
    </w:p>
    <w:p w14:paraId="6111207D" w14:textId="77777777" w:rsidR="00C3737D" w:rsidRPr="00EE7072" w:rsidRDefault="00C3737D" w:rsidP="00567B14">
      <w:pPr>
        <w:widowControl/>
        <w:autoSpaceDE/>
        <w:autoSpaceDN/>
        <w:adjustRightInd/>
        <w:jc w:val="both"/>
        <w:rPr>
          <w:szCs w:val="17"/>
          <w:lang w:val="fr-FR"/>
        </w:rPr>
      </w:pPr>
    </w:p>
    <w:p w14:paraId="0C24F4B4" w14:textId="77777777" w:rsidR="00567B14" w:rsidRPr="00EE7072" w:rsidRDefault="00567B14" w:rsidP="00567B14">
      <w:pPr>
        <w:widowControl/>
        <w:autoSpaceDE/>
        <w:autoSpaceDN/>
        <w:adjustRightInd/>
        <w:jc w:val="both"/>
        <w:rPr>
          <w:szCs w:val="17"/>
          <w:lang w:val="fr-FR"/>
        </w:rPr>
      </w:pPr>
      <w:r w:rsidRPr="00EE7072">
        <w:rPr>
          <w:i/>
          <w:iCs/>
          <w:szCs w:val="17"/>
          <w:lang w:val="fr-FR"/>
        </w:rPr>
        <w:t xml:space="preserve">Rappelant </w:t>
      </w:r>
      <w:r w:rsidRPr="00EE7072">
        <w:rPr>
          <w:szCs w:val="17"/>
          <w:lang w:val="fr-FR"/>
        </w:rPr>
        <w:t>que cet objectif a été pris en compte dans la 6</w:t>
      </w:r>
      <w:r w:rsidRPr="00EE7072">
        <w:rPr>
          <w:szCs w:val="12"/>
          <w:lang w:val="fr-FR"/>
        </w:rPr>
        <w:t xml:space="preserve">ème </w:t>
      </w:r>
      <w:r w:rsidRPr="00EE7072">
        <w:rPr>
          <w:szCs w:val="17"/>
          <w:lang w:val="fr-FR"/>
        </w:rPr>
        <w:t xml:space="preserve">réunion du groupe de liaison des Conventions liées à la biodiversité (Bonn, mai 2008), et qu’il figure donc dans la liste des </w:t>
      </w:r>
      <w:r w:rsidRPr="00EE7072">
        <w:rPr>
          <w:szCs w:val="17"/>
          <w:lang w:val="fr-FR"/>
        </w:rPr>
        <w:lastRenderedPageBreak/>
        <w:t>activités communes de la CITES/CMS adoptée lors de la 34</w:t>
      </w:r>
      <w:r w:rsidRPr="00EE7072">
        <w:rPr>
          <w:szCs w:val="12"/>
          <w:lang w:val="fr-FR"/>
        </w:rPr>
        <w:t xml:space="preserve">ème </w:t>
      </w:r>
      <w:r w:rsidRPr="00EE7072">
        <w:rPr>
          <w:szCs w:val="17"/>
          <w:lang w:val="fr-FR"/>
        </w:rPr>
        <w:t>réunion du comité permanent de la CMS (Rome, novembre 2008) , et le plan de travail commun 2012-2014 entre la CMS et la CITES adopté par la 38</w:t>
      </w:r>
      <w:r w:rsidRPr="00EE7072">
        <w:rPr>
          <w:szCs w:val="12"/>
          <w:lang w:val="fr-FR"/>
        </w:rPr>
        <w:t xml:space="preserve">ème </w:t>
      </w:r>
      <w:r w:rsidRPr="00EE7072">
        <w:rPr>
          <w:szCs w:val="17"/>
          <w:lang w:val="fr-FR"/>
        </w:rPr>
        <w:t>réunion du Comité permanent (Bergen, Novembre 2011);</w:t>
      </w:r>
    </w:p>
    <w:p w14:paraId="69183E9D" w14:textId="77777777" w:rsidR="00C3737D" w:rsidRPr="00EE7072" w:rsidRDefault="00C3737D" w:rsidP="00567B14">
      <w:pPr>
        <w:widowControl/>
        <w:autoSpaceDE/>
        <w:autoSpaceDN/>
        <w:adjustRightInd/>
        <w:jc w:val="both"/>
        <w:rPr>
          <w:szCs w:val="17"/>
          <w:lang w:val="fr-FR"/>
        </w:rPr>
      </w:pPr>
    </w:p>
    <w:p w14:paraId="00CC4542" w14:textId="77777777" w:rsidR="00567B14" w:rsidRPr="00EE7072" w:rsidRDefault="00567B14" w:rsidP="00567B14">
      <w:pPr>
        <w:pStyle w:val="p1"/>
        <w:jc w:val="both"/>
        <w:rPr>
          <w:sz w:val="22"/>
          <w:lang w:val="fr-FR"/>
        </w:rPr>
      </w:pPr>
      <w:r w:rsidRPr="00EE7072">
        <w:rPr>
          <w:i/>
          <w:iCs/>
          <w:sz w:val="22"/>
          <w:lang w:val="fr-FR"/>
        </w:rPr>
        <w:t xml:space="preserve">Sachant en outre </w:t>
      </w:r>
      <w:r w:rsidRPr="00EE7072">
        <w:rPr>
          <w:sz w:val="22"/>
          <w:lang w:val="fr-FR"/>
        </w:rPr>
        <w:t>que l’harmonisation de la taxonomie et de la nomenclature des oiseaux entre les AEM et les autres partenaires, tels que la CMS, la CITES, Ramsar, l’UICN, BirdLife International, Wetlands International et le PNUE-WCMC, peut améliorer les synergies au bénéfice de la conservation des espèces migratrices et d’une meilleure mise en oeuvre des instruments de la Famille CMS; </w:t>
      </w:r>
    </w:p>
    <w:p w14:paraId="6226F9C1" w14:textId="77777777" w:rsidR="00C3737D" w:rsidRPr="00EE7072" w:rsidRDefault="00C3737D" w:rsidP="00567B14">
      <w:pPr>
        <w:pStyle w:val="p1"/>
        <w:jc w:val="both"/>
        <w:rPr>
          <w:sz w:val="22"/>
          <w:lang w:val="fr-FR"/>
        </w:rPr>
      </w:pPr>
    </w:p>
    <w:p w14:paraId="37899A5E" w14:textId="77777777" w:rsidR="00567B14" w:rsidRPr="00EE7072" w:rsidRDefault="00567B14" w:rsidP="00567B14">
      <w:pPr>
        <w:widowControl/>
        <w:autoSpaceDE/>
        <w:autoSpaceDN/>
        <w:adjustRightInd/>
        <w:jc w:val="both"/>
        <w:rPr>
          <w:szCs w:val="17"/>
          <w:lang w:val="fr-FR"/>
        </w:rPr>
      </w:pPr>
      <w:r w:rsidRPr="00EE7072">
        <w:rPr>
          <w:i/>
          <w:iCs/>
          <w:szCs w:val="17"/>
          <w:lang w:val="fr-FR"/>
        </w:rPr>
        <w:t xml:space="preserve">Reconnaissant </w:t>
      </w:r>
      <w:r w:rsidRPr="00EE7072">
        <w:rPr>
          <w:szCs w:val="17"/>
          <w:lang w:val="fr-FR"/>
        </w:rPr>
        <w:t>que les présidents des organes consultatifs scientifiques des conventions relatives à la biodiversité (CSAB - Chairs of the Scientific Advisory Bodies of the Biodiversity-related Conventions) ont à plusieurs reprises exprimé leur soutien à l’idée de progresser vers une harmonisation de la nomenclature et de la taxonomie utilisées dans les listes d’espèces, et ont demandé une coopération renforcée entre les AEM vers cet objectif; </w:t>
      </w:r>
    </w:p>
    <w:p w14:paraId="0C485076" w14:textId="77777777" w:rsidR="00C3737D" w:rsidRPr="00EE7072" w:rsidRDefault="00C3737D" w:rsidP="00567B14">
      <w:pPr>
        <w:widowControl/>
        <w:autoSpaceDE/>
        <w:autoSpaceDN/>
        <w:adjustRightInd/>
        <w:jc w:val="both"/>
        <w:rPr>
          <w:szCs w:val="17"/>
          <w:lang w:val="fr-FR"/>
        </w:rPr>
      </w:pPr>
    </w:p>
    <w:p w14:paraId="091DBBFA" w14:textId="77777777" w:rsidR="00567B14" w:rsidRPr="00EE7072" w:rsidRDefault="00567B14" w:rsidP="00567B14">
      <w:pPr>
        <w:widowControl/>
        <w:autoSpaceDE/>
        <w:autoSpaceDN/>
        <w:adjustRightInd/>
        <w:jc w:val="both"/>
        <w:rPr>
          <w:szCs w:val="17"/>
          <w:lang w:val="fr-FR"/>
        </w:rPr>
      </w:pPr>
      <w:r w:rsidRPr="00EE7072">
        <w:rPr>
          <w:i/>
          <w:iCs/>
          <w:szCs w:val="17"/>
          <w:lang w:val="fr-FR"/>
        </w:rPr>
        <w:t xml:space="preserve">Prenant note </w:t>
      </w:r>
      <w:r w:rsidRPr="00EE7072">
        <w:rPr>
          <w:szCs w:val="17"/>
          <w:lang w:val="fr-FR"/>
        </w:rPr>
        <w:t xml:space="preserve">du rapport de la réunion ad hoc sur l’harmonisation de la taxonomie des oiseaux qui a eu lieu à Formia (Italie) le 8 octobre 2013 (PNUE/CMS/ScC18/Inf.9.1), et </w:t>
      </w:r>
      <w:r w:rsidRPr="00EE7072">
        <w:rPr>
          <w:i/>
          <w:iCs/>
          <w:szCs w:val="17"/>
          <w:lang w:val="fr-FR"/>
        </w:rPr>
        <w:t xml:space="preserve">remerciant </w:t>
      </w:r>
      <w:r w:rsidRPr="00EE7072">
        <w:rPr>
          <w:szCs w:val="17"/>
          <w:lang w:val="fr-FR"/>
        </w:rPr>
        <w:t>le Président du Conseil scientifique pour la tenue de cette réunion; </w:t>
      </w:r>
    </w:p>
    <w:p w14:paraId="2F0DB113" w14:textId="77777777" w:rsidR="00C3737D" w:rsidRPr="00EE7072" w:rsidRDefault="00C3737D" w:rsidP="00567B14">
      <w:pPr>
        <w:widowControl/>
        <w:autoSpaceDE/>
        <w:autoSpaceDN/>
        <w:adjustRightInd/>
        <w:jc w:val="both"/>
        <w:rPr>
          <w:szCs w:val="17"/>
          <w:lang w:val="fr-FR"/>
        </w:rPr>
      </w:pPr>
    </w:p>
    <w:p w14:paraId="54C10BF5" w14:textId="77777777" w:rsidR="00567B14" w:rsidRPr="00EE7072" w:rsidRDefault="00567B14" w:rsidP="00567B14">
      <w:pPr>
        <w:widowControl/>
        <w:autoSpaceDE/>
        <w:autoSpaceDN/>
        <w:adjustRightInd/>
        <w:jc w:val="both"/>
        <w:rPr>
          <w:szCs w:val="17"/>
          <w:lang w:val="fr-FR"/>
        </w:rPr>
      </w:pPr>
      <w:r w:rsidRPr="00EE7072">
        <w:rPr>
          <w:i/>
          <w:iCs/>
          <w:szCs w:val="17"/>
          <w:lang w:val="fr-FR"/>
        </w:rPr>
        <w:t xml:space="preserve">Prenant également note </w:t>
      </w:r>
      <w:r w:rsidRPr="00EE7072">
        <w:rPr>
          <w:szCs w:val="17"/>
          <w:lang w:val="fr-FR"/>
        </w:rPr>
        <w:t>du rapport du Comité pour les animaux de la CITES qui s’est réuni à Veracruz (Mexique) du 28 avril au 3 mai 2014; </w:t>
      </w:r>
    </w:p>
    <w:p w14:paraId="3B4EEC8F" w14:textId="77777777" w:rsidR="00C3737D" w:rsidRPr="00EE7072" w:rsidRDefault="00C3737D" w:rsidP="00567B14">
      <w:pPr>
        <w:widowControl/>
        <w:autoSpaceDE/>
        <w:autoSpaceDN/>
        <w:adjustRightInd/>
        <w:jc w:val="both"/>
        <w:rPr>
          <w:szCs w:val="17"/>
          <w:lang w:val="fr-FR"/>
        </w:rPr>
      </w:pPr>
    </w:p>
    <w:p w14:paraId="0CF4A14E" w14:textId="77777777" w:rsidR="00567B14" w:rsidRPr="00EE7072" w:rsidRDefault="00567B14" w:rsidP="00567B14">
      <w:pPr>
        <w:widowControl/>
        <w:autoSpaceDE/>
        <w:autoSpaceDN/>
        <w:adjustRightInd/>
        <w:jc w:val="both"/>
        <w:rPr>
          <w:szCs w:val="17"/>
          <w:lang w:val="fr-FR"/>
        </w:rPr>
      </w:pPr>
      <w:r w:rsidRPr="00EE7072">
        <w:rPr>
          <w:i/>
          <w:iCs/>
          <w:szCs w:val="17"/>
          <w:lang w:val="fr-FR"/>
        </w:rPr>
        <w:t xml:space="preserve">Soulignant </w:t>
      </w:r>
      <w:r w:rsidRPr="00EE7072">
        <w:rPr>
          <w:szCs w:val="17"/>
          <w:lang w:val="fr-FR"/>
        </w:rPr>
        <w:t>qu’en dépit de l’adoption, pour des raisons pratiques concernant les références de nomenclature standard au niveau des espèces, la diversité biologique à tous les niveaux taxonomiques doit être valorisée, préservée et utilisée de manière durable; </w:t>
      </w:r>
    </w:p>
    <w:p w14:paraId="5DD60ECD" w14:textId="77777777" w:rsidR="00C3737D" w:rsidRPr="00EE7072" w:rsidRDefault="00C3737D" w:rsidP="00567B14">
      <w:pPr>
        <w:widowControl/>
        <w:autoSpaceDE/>
        <w:autoSpaceDN/>
        <w:adjustRightInd/>
        <w:jc w:val="both"/>
        <w:rPr>
          <w:szCs w:val="17"/>
          <w:lang w:val="fr-FR"/>
        </w:rPr>
      </w:pPr>
    </w:p>
    <w:p w14:paraId="1FDCE503" w14:textId="7802BB0A" w:rsidR="00567B14" w:rsidRPr="00EE7072" w:rsidRDefault="00567B14" w:rsidP="00567B14">
      <w:pPr>
        <w:widowControl/>
        <w:autoSpaceDE/>
        <w:autoSpaceDN/>
        <w:adjustRightInd/>
        <w:jc w:val="both"/>
        <w:rPr>
          <w:szCs w:val="17"/>
          <w:lang w:val="fr-FR"/>
        </w:rPr>
      </w:pPr>
      <w:r w:rsidRPr="00EE7072">
        <w:rPr>
          <w:i/>
          <w:szCs w:val="17"/>
          <w:lang w:val="fr-FR"/>
        </w:rPr>
        <w:t>Prenant note</w:t>
      </w:r>
      <w:r w:rsidRPr="00EE7072">
        <w:rPr>
          <w:szCs w:val="17"/>
          <w:lang w:val="fr-FR"/>
        </w:rPr>
        <w:t xml:space="preserve"> des Recommandations de la 15éme réunion du Conseil Scientifique de la CMS (Rome, 27-28 novembre 2008) concernant la révision de la nomenclature de référence pour des espèces de mammifères terrestres et aquatiques, inscrites dans les Annexes de la CMS; </w:t>
      </w:r>
    </w:p>
    <w:p w14:paraId="1BCE7668" w14:textId="77777777" w:rsidR="00C3737D" w:rsidRPr="00EE7072" w:rsidRDefault="00C3737D" w:rsidP="00567B14">
      <w:pPr>
        <w:widowControl/>
        <w:autoSpaceDE/>
        <w:autoSpaceDN/>
        <w:adjustRightInd/>
        <w:jc w:val="both"/>
        <w:rPr>
          <w:szCs w:val="17"/>
          <w:lang w:val="fr-FR"/>
        </w:rPr>
      </w:pPr>
    </w:p>
    <w:p w14:paraId="55A9DDC0" w14:textId="77777777" w:rsidR="00C3737D" w:rsidRPr="00EE7072" w:rsidRDefault="00567B14" w:rsidP="00567B14">
      <w:pPr>
        <w:widowControl/>
        <w:autoSpaceDE/>
        <w:autoSpaceDN/>
        <w:adjustRightInd/>
        <w:jc w:val="both"/>
        <w:rPr>
          <w:szCs w:val="17"/>
          <w:lang w:val="fr-FR"/>
        </w:rPr>
      </w:pPr>
      <w:r w:rsidRPr="00EE7072">
        <w:rPr>
          <w:i/>
          <w:iCs/>
          <w:szCs w:val="17"/>
          <w:lang w:val="fr-FR"/>
        </w:rPr>
        <w:t xml:space="preserve">Notant </w:t>
      </w:r>
      <w:r w:rsidRPr="00EE7072">
        <w:rPr>
          <w:szCs w:val="17"/>
          <w:lang w:val="fr-FR"/>
        </w:rPr>
        <w:t>la recommandation formulée par le Conseil scientifique de la CMS lors de sa 18</w:t>
      </w:r>
      <w:r w:rsidRPr="00EE7072">
        <w:rPr>
          <w:szCs w:val="12"/>
          <w:lang w:val="fr-FR"/>
        </w:rPr>
        <w:t xml:space="preserve">ème </w:t>
      </w:r>
      <w:r w:rsidRPr="00EE7072">
        <w:rPr>
          <w:szCs w:val="17"/>
          <w:lang w:val="fr-FR"/>
        </w:rPr>
        <w:t xml:space="preserve">réunion (Bonn, 1-3 juillet 2014), sur une référence de nomenclature normalisée </w:t>
      </w:r>
      <w:r w:rsidR="00C3737D" w:rsidRPr="00EE7072">
        <w:rPr>
          <w:szCs w:val="17"/>
          <w:lang w:val="fr-FR"/>
        </w:rPr>
        <w:t>pour les oiseaux non-passereaux</w:t>
      </w:r>
      <w:r w:rsidRPr="00EE7072">
        <w:rPr>
          <w:szCs w:val="17"/>
          <w:lang w:val="fr-FR"/>
        </w:rPr>
        <w:t>;</w:t>
      </w:r>
    </w:p>
    <w:p w14:paraId="784A55FD" w14:textId="70ACFE8A" w:rsidR="00567B14" w:rsidRPr="00EE7072" w:rsidRDefault="00567B14" w:rsidP="00567B14">
      <w:pPr>
        <w:widowControl/>
        <w:autoSpaceDE/>
        <w:autoSpaceDN/>
        <w:adjustRightInd/>
        <w:jc w:val="both"/>
        <w:rPr>
          <w:szCs w:val="17"/>
          <w:lang w:val="fr-FR"/>
        </w:rPr>
      </w:pPr>
      <w:r w:rsidRPr="00EE7072">
        <w:rPr>
          <w:szCs w:val="17"/>
          <w:lang w:val="fr-FR"/>
        </w:rPr>
        <w:t> </w:t>
      </w:r>
    </w:p>
    <w:p w14:paraId="56D1CA10" w14:textId="77777777" w:rsidR="00567B14" w:rsidRPr="00EE7072" w:rsidRDefault="00567B14" w:rsidP="00567B14">
      <w:pPr>
        <w:widowControl/>
        <w:autoSpaceDE/>
        <w:autoSpaceDN/>
        <w:adjustRightInd/>
        <w:jc w:val="both"/>
        <w:rPr>
          <w:szCs w:val="17"/>
          <w:lang w:val="fr-FR"/>
        </w:rPr>
      </w:pPr>
      <w:r w:rsidRPr="00EE7072">
        <w:rPr>
          <w:i/>
          <w:iCs/>
          <w:szCs w:val="17"/>
          <w:lang w:val="fr-FR"/>
        </w:rPr>
        <w:t xml:space="preserve">Notant </w:t>
      </w:r>
      <w:r w:rsidRPr="00EE7072">
        <w:rPr>
          <w:szCs w:val="17"/>
          <w:lang w:val="fr-FR"/>
        </w:rPr>
        <w:t>qu’en ce qui concerne les albatros et les pétrels, la COP10 a adopté la taxonomie utilisée par l’ACAP comme référence de nomenclature normalisée de la Convention, et que l’ACAP tient compte des plus récentes informations taxonomiques sur les espèces d’albatros et de petrels; </w:t>
      </w:r>
    </w:p>
    <w:p w14:paraId="37ADF4A3" w14:textId="77777777" w:rsidR="00C3737D" w:rsidRPr="00EE7072" w:rsidRDefault="00C3737D" w:rsidP="00567B14">
      <w:pPr>
        <w:widowControl/>
        <w:autoSpaceDE/>
        <w:autoSpaceDN/>
        <w:adjustRightInd/>
        <w:jc w:val="both"/>
        <w:rPr>
          <w:szCs w:val="17"/>
          <w:lang w:val="fr-FR"/>
        </w:rPr>
      </w:pPr>
    </w:p>
    <w:p w14:paraId="3AF4557C" w14:textId="2E1369D5" w:rsidR="00567B14" w:rsidRPr="00EE7072" w:rsidRDefault="00567B14" w:rsidP="00567B14">
      <w:pPr>
        <w:widowControl/>
        <w:autoSpaceDE/>
        <w:autoSpaceDN/>
        <w:adjustRightInd/>
        <w:jc w:val="both"/>
        <w:rPr>
          <w:szCs w:val="17"/>
          <w:lang w:val="fr-FR"/>
        </w:rPr>
      </w:pPr>
      <w:r w:rsidRPr="00EE7072">
        <w:rPr>
          <w:i/>
          <w:iCs/>
          <w:szCs w:val="17"/>
          <w:lang w:val="fr-FR"/>
        </w:rPr>
        <w:t xml:space="preserve">Reconnaissant </w:t>
      </w:r>
      <w:r w:rsidRPr="00EE7072">
        <w:rPr>
          <w:szCs w:val="17"/>
          <w:lang w:val="fr-FR"/>
        </w:rPr>
        <w:t xml:space="preserve">que l’adoption d’une nouvelle référence peut impliquer des cas de synonymie, de regroupement (fusion) et/ou de division d’espèces, et que la CMS a convenu de règles sur la façon d’agir dans de tels cas et de leurs implications pour les annexes; </w:t>
      </w:r>
    </w:p>
    <w:p w14:paraId="39CFDBFB" w14:textId="77777777" w:rsidR="00C3737D" w:rsidRPr="00EE7072" w:rsidRDefault="00C3737D" w:rsidP="00567B14">
      <w:pPr>
        <w:widowControl/>
        <w:autoSpaceDE/>
        <w:autoSpaceDN/>
        <w:adjustRightInd/>
        <w:jc w:val="both"/>
        <w:rPr>
          <w:szCs w:val="17"/>
          <w:lang w:val="fr-FR"/>
        </w:rPr>
      </w:pPr>
    </w:p>
    <w:p w14:paraId="4A80597A" w14:textId="77777777" w:rsidR="00567B14" w:rsidRPr="00EE7072" w:rsidRDefault="00567B14" w:rsidP="00567B14">
      <w:pPr>
        <w:widowControl/>
        <w:autoSpaceDE/>
        <w:autoSpaceDN/>
        <w:adjustRightInd/>
        <w:jc w:val="both"/>
        <w:rPr>
          <w:szCs w:val="17"/>
          <w:lang w:val="fr-FR"/>
        </w:rPr>
      </w:pPr>
      <w:r w:rsidRPr="00EE7072">
        <w:rPr>
          <w:i/>
          <w:iCs/>
          <w:szCs w:val="17"/>
          <w:lang w:val="fr-FR"/>
        </w:rPr>
        <w:t xml:space="preserve">Notant </w:t>
      </w:r>
      <w:r w:rsidRPr="00EE7072">
        <w:rPr>
          <w:szCs w:val="17"/>
          <w:lang w:val="fr-FR"/>
        </w:rPr>
        <w:t>l’avis du Conseil scientifique de la CMS lors de sa 17</w:t>
      </w:r>
      <w:r w:rsidRPr="00EE7072">
        <w:rPr>
          <w:szCs w:val="12"/>
          <w:lang w:val="fr-FR"/>
        </w:rPr>
        <w:t xml:space="preserve">ème </w:t>
      </w:r>
      <w:r w:rsidRPr="00EE7072">
        <w:rPr>
          <w:szCs w:val="17"/>
          <w:lang w:val="fr-FR"/>
        </w:rPr>
        <w:t>réunion (Bergen, novembre 2011); </w:t>
      </w:r>
    </w:p>
    <w:p w14:paraId="76371096" w14:textId="77777777" w:rsidR="00C3737D" w:rsidRPr="00EE7072" w:rsidRDefault="00C3737D" w:rsidP="00567B14">
      <w:pPr>
        <w:widowControl/>
        <w:autoSpaceDE/>
        <w:autoSpaceDN/>
        <w:adjustRightInd/>
        <w:jc w:val="both"/>
        <w:rPr>
          <w:szCs w:val="17"/>
          <w:lang w:val="fr-FR"/>
        </w:rPr>
      </w:pPr>
    </w:p>
    <w:p w14:paraId="38F57895" w14:textId="77777777" w:rsidR="00567B14" w:rsidRPr="00EE7072" w:rsidRDefault="00567B14" w:rsidP="00567B14">
      <w:pPr>
        <w:widowControl/>
        <w:autoSpaceDE/>
        <w:autoSpaceDN/>
        <w:adjustRightInd/>
        <w:jc w:val="both"/>
        <w:rPr>
          <w:szCs w:val="17"/>
          <w:lang w:val="fr-FR"/>
        </w:rPr>
      </w:pPr>
      <w:r w:rsidRPr="00EE7072">
        <w:rPr>
          <w:i/>
          <w:iCs/>
          <w:szCs w:val="17"/>
          <w:lang w:val="fr-FR"/>
        </w:rPr>
        <w:t xml:space="preserve">Soulignant </w:t>
      </w:r>
      <w:r w:rsidRPr="00EE7072">
        <w:rPr>
          <w:szCs w:val="17"/>
          <w:lang w:val="fr-FR"/>
        </w:rPr>
        <w:t>que la stabilité au fil du temps de la taxonomie et de la nomenclature des espèces listées sous CMS est essentielle pour assurer une sécurité juridique au niveau de la mise en oeuvre de la Convention; et</w:t>
      </w:r>
    </w:p>
    <w:p w14:paraId="3984339E" w14:textId="77777777" w:rsidR="00C3737D" w:rsidRPr="00EE7072" w:rsidRDefault="00C3737D" w:rsidP="00567B14">
      <w:pPr>
        <w:widowControl/>
        <w:autoSpaceDE/>
        <w:autoSpaceDN/>
        <w:adjustRightInd/>
        <w:jc w:val="both"/>
        <w:rPr>
          <w:szCs w:val="17"/>
          <w:lang w:val="fr-FR"/>
        </w:rPr>
      </w:pPr>
    </w:p>
    <w:p w14:paraId="3C1FCF1C" w14:textId="77777777" w:rsidR="00567B14" w:rsidRPr="00EE7072" w:rsidRDefault="00567B14" w:rsidP="00567B14">
      <w:pPr>
        <w:widowControl/>
        <w:autoSpaceDE/>
        <w:autoSpaceDN/>
        <w:adjustRightInd/>
        <w:jc w:val="both"/>
        <w:rPr>
          <w:szCs w:val="17"/>
          <w:lang w:val="fr-FR"/>
        </w:rPr>
      </w:pPr>
      <w:r w:rsidRPr="00EE7072">
        <w:rPr>
          <w:i/>
          <w:szCs w:val="17"/>
          <w:lang w:val="fr-FR"/>
        </w:rPr>
        <w:t>Reconnaissant</w:t>
      </w:r>
      <w:r w:rsidRPr="00EE7072">
        <w:rPr>
          <w:szCs w:val="17"/>
          <w:lang w:val="fr-FR"/>
        </w:rPr>
        <w:t xml:space="preserve"> que la taxonomie utilisée dans les Annexes à la Convention sera plus utile aux Parties si elle est normalisée par des références de nomenclature;</w:t>
      </w:r>
    </w:p>
    <w:p w14:paraId="179D5EFD" w14:textId="23D3D2C4" w:rsidR="00897321" w:rsidRDefault="00897321" w:rsidP="00567B14">
      <w:pPr>
        <w:widowControl/>
        <w:autoSpaceDE/>
        <w:autoSpaceDN/>
        <w:adjustRightInd/>
        <w:jc w:val="both"/>
        <w:rPr>
          <w:szCs w:val="17"/>
          <w:lang w:val="fr-FR"/>
        </w:rPr>
      </w:pPr>
      <w:r>
        <w:rPr>
          <w:szCs w:val="17"/>
          <w:lang w:val="fr-FR"/>
        </w:rPr>
        <w:br w:type="page"/>
      </w:r>
    </w:p>
    <w:p w14:paraId="10496D04" w14:textId="77777777" w:rsidR="000C0E42" w:rsidRPr="00EE7072" w:rsidRDefault="000C0E42" w:rsidP="00567B14">
      <w:pPr>
        <w:widowControl/>
        <w:autoSpaceDE/>
        <w:autoSpaceDN/>
        <w:adjustRightInd/>
        <w:jc w:val="both"/>
        <w:rPr>
          <w:szCs w:val="17"/>
          <w:lang w:val="fr-FR"/>
        </w:rPr>
      </w:pPr>
    </w:p>
    <w:p w14:paraId="2B593CFD" w14:textId="77777777" w:rsidR="00567B14" w:rsidRDefault="00567B14" w:rsidP="00567B14">
      <w:pPr>
        <w:jc w:val="center"/>
        <w:rPr>
          <w:i/>
          <w:lang w:val="fr-FR"/>
        </w:rPr>
      </w:pPr>
      <w:r w:rsidRPr="000749B4">
        <w:rPr>
          <w:i/>
          <w:lang w:val="fr-FR"/>
        </w:rPr>
        <w:t>La Conférence des Parties à la Convention sur la conservation des espèces migratrices appartenant à la faune sauvage</w:t>
      </w:r>
    </w:p>
    <w:p w14:paraId="0B51DCF1" w14:textId="77777777" w:rsidR="000C0E42" w:rsidRPr="00EE7072" w:rsidRDefault="000C0E42" w:rsidP="00567B14">
      <w:pPr>
        <w:jc w:val="center"/>
        <w:rPr>
          <w:lang w:val="fr-FR"/>
        </w:rPr>
      </w:pPr>
    </w:p>
    <w:p w14:paraId="28435777" w14:textId="16490EE8" w:rsidR="00897321" w:rsidRPr="00897321" w:rsidRDefault="00897321" w:rsidP="00193B81">
      <w:pPr>
        <w:pStyle w:val="ListParagraph"/>
        <w:widowControl/>
        <w:numPr>
          <w:ilvl w:val="0"/>
          <w:numId w:val="6"/>
        </w:numPr>
        <w:autoSpaceDE/>
        <w:autoSpaceDN/>
        <w:adjustRightInd/>
        <w:ind w:left="360"/>
        <w:jc w:val="both"/>
        <w:rPr>
          <w:szCs w:val="17"/>
          <w:lang w:val="fr-FR"/>
        </w:rPr>
      </w:pPr>
      <w:r w:rsidRPr="00897321">
        <w:rPr>
          <w:i/>
          <w:szCs w:val="17"/>
          <w:lang w:val="fr-FR"/>
        </w:rPr>
        <w:t>Adopte</w:t>
      </w:r>
      <w:r w:rsidR="00567B14" w:rsidRPr="00897321">
        <w:rPr>
          <w:szCs w:val="17"/>
          <w:lang w:val="fr-FR"/>
        </w:rPr>
        <w:t xml:space="preserve"> la liste ci-après de références normalisées</w:t>
      </w:r>
      <w:r w:rsidR="00567B14" w:rsidRPr="00897321">
        <w:rPr>
          <w:rStyle w:val="FootnoteReference"/>
          <w:szCs w:val="17"/>
          <w:vertAlign w:val="superscript"/>
          <w:lang w:val="fr-FR"/>
        </w:rPr>
        <w:footnoteReference w:customMarkFollows="1" w:id="2"/>
        <w:t>1</w:t>
      </w:r>
      <w:r w:rsidR="00567B14" w:rsidRPr="00897321">
        <w:rPr>
          <w:szCs w:val="11"/>
          <w:lang w:val="fr-FR"/>
        </w:rPr>
        <w:t xml:space="preserve"> </w:t>
      </w:r>
      <w:r w:rsidRPr="00897321">
        <w:rPr>
          <w:szCs w:val="11"/>
          <w:lang w:val="fr-FR"/>
        </w:rPr>
        <w:t xml:space="preserve">figurant dans l’annexe, a être </w:t>
      </w:r>
      <w:r w:rsidR="00567B14" w:rsidRPr="00897321">
        <w:rPr>
          <w:szCs w:val="17"/>
          <w:lang w:val="fr-FR"/>
        </w:rPr>
        <w:t>retenue et utilisée dans la préparation de propositions pour amender les annexes à la CMS;</w:t>
      </w:r>
      <w:r w:rsidRPr="00897321">
        <w:rPr>
          <w:lang w:val="fr-FR"/>
        </w:rPr>
        <w:t xml:space="preserve"> </w:t>
      </w:r>
    </w:p>
    <w:p w14:paraId="0BCDA596" w14:textId="77777777" w:rsidR="00897321" w:rsidRPr="00897321" w:rsidRDefault="00897321" w:rsidP="00897321">
      <w:pPr>
        <w:pStyle w:val="ListParagraph"/>
        <w:widowControl/>
        <w:autoSpaceDE/>
        <w:autoSpaceDN/>
        <w:adjustRightInd/>
        <w:ind w:left="360"/>
        <w:jc w:val="both"/>
        <w:rPr>
          <w:szCs w:val="17"/>
          <w:lang w:val="fr-FR"/>
        </w:rPr>
      </w:pPr>
    </w:p>
    <w:p w14:paraId="7D82704E" w14:textId="0EA29897" w:rsidR="00567B14" w:rsidRPr="00EE7072" w:rsidRDefault="00567B14" w:rsidP="00E468D0">
      <w:pPr>
        <w:pStyle w:val="ListParagraph"/>
        <w:widowControl/>
        <w:numPr>
          <w:ilvl w:val="0"/>
          <w:numId w:val="6"/>
        </w:numPr>
        <w:autoSpaceDE/>
        <w:autoSpaceDN/>
        <w:adjustRightInd/>
        <w:ind w:left="360"/>
        <w:jc w:val="both"/>
        <w:rPr>
          <w:szCs w:val="17"/>
          <w:lang w:val="fr-FR"/>
        </w:rPr>
      </w:pPr>
      <w:r w:rsidRPr="00EE7072">
        <w:rPr>
          <w:i/>
          <w:iCs/>
          <w:szCs w:val="17"/>
          <w:lang w:val="fr-FR"/>
        </w:rPr>
        <w:t xml:space="preserve">Réaffirme </w:t>
      </w:r>
      <w:r w:rsidRPr="00EE7072">
        <w:rPr>
          <w:szCs w:val="17"/>
          <w:lang w:val="fr-FR"/>
        </w:rPr>
        <w:t>les règles adoptées par la Convention pour le traitement des cas de synonymie, de séparation d’espèces et de regroupement (fusion) d’espèces résultant d’un changement de référence de nomenclature normalisée, comme suit: </w:t>
      </w:r>
    </w:p>
    <w:p w14:paraId="101B5B5F" w14:textId="77777777" w:rsidR="00567B14" w:rsidRPr="00EE7072" w:rsidRDefault="00567B14" w:rsidP="00567B14">
      <w:pPr>
        <w:widowControl/>
        <w:autoSpaceDE/>
        <w:autoSpaceDN/>
        <w:adjustRightInd/>
        <w:jc w:val="both"/>
        <w:rPr>
          <w:szCs w:val="17"/>
          <w:lang w:val="fr-FR"/>
        </w:rPr>
      </w:pPr>
    </w:p>
    <w:p w14:paraId="048D08E2" w14:textId="13E94B29" w:rsidR="00567B14" w:rsidRPr="00EE7072" w:rsidRDefault="00567B14" w:rsidP="000C0E42">
      <w:pPr>
        <w:widowControl/>
        <w:autoSpaceDE/>
        <w:autoSpaceDN/>
        <w:adjustRightInd/>
        <w:ind w:left="1440" w:hanging="720"/>
        <w:jc w:val="both"/>
        <w:rPr>
          <w:szCs w:val="17"/>
          <w:lang w:val="fr-FR"/>
        </w:rPr>
      </w:pPr>
      <w:r w:rsidRPr="000749B4">
        <w:rPr>
          <w:szCs w:val="17"/>
        </w:rPr>
        <w:sym w:font="Symbol" w:char="F0B7"/>
      </w:r>
      <w:r w:rsidRPr="00EE7072">
        <w:rPr>
          <w:szCs w:val="17"/>
          <w:lang w:val="fr-FR"/>
        </w:rPr>
        <w:t xml:space="preserve"> </w:t>
      </w:r>
      <w:r w:rsidR="000C0E42" w:rsidRPr="00EE7072">
        <w:rPr>
          <w:szCs w:val="17"/>
          <w:lang w:val="fr-FR"/>
        </w:rPr>
        <w:tab/>
      </w:r>
      <w:r w:rsidRPr="00EE7072">
        <w:rPr>
          <w:szCs w:val="17"/>
          <w:lang w:val="fr-FR"/>
        </w:rPr>
        <w:t>Synonymie: les corrections peuvent être faites automatiquement comme il n’y a pas de changement concernant le statut des populations inscrites; </w:t>
      </w:r>
    </w:p>
    <w:p w14:paraId="319A7083" w14:textId="77777777" w:rsidR="00567B14" w:rsidRPr="00EE7072" w:rsidRDefault="00567B14" w:rsidP="000C0E42">
      <w:pPr>
        <w:widowControl/>
        <w:autoSpaceDE/>
        <w:autoSpaceDN/>
        <w:adjustRightInd/>
        <w:ind w:left="1440" w:hanging="720"/>
        <w:jc w:val="both"/>
        <w:rPr>
          <w:szCs w:val="17"/>
          <w:lang w:val="fr-FR"/>
        </w:rPr>
      </w:pPr>
    </w:p>
    <w:p w14:paraId="0CDB2417" w14:textId="77F51A97" w:rsidR="00567B14" w:rsidRPr="00EE7072" w:rsidRDefault="00567B14" w:rsidP="000C0E42">
      <w:pPr>
        <w:widowControl/>
        <w:autoSpaceDE/>
        <w:autoSpaceDN/>
        <w:adjustRightInd/>
        <w:ind w:left="1440" w:hanging="720"/>
        <w:jc w:val="both"/>
        <w:rPr>
          <w:szCs w:val="17"/>
          <w:lang w:val="fr-FR"/>
        </w:rPr>
      </w:pPr>
      <w:r w:rsidRPr="000749B4">
        <w:rPr>
          <w:szCs w:val="17"/>
        </w:rPr>
        <w:sym w:font="Symbol" w:char="F0B7"/>
      </w:r>
      <w:r w:rsidRPr="00EE7072">
        <w:rPr>
          <w:szCs w:val="17"/>
          <w:lang w:val="fr-FR"/>
        </w:rPr>
        <w:t xml:space="preserve"> </w:t>
      </w:r>
      <w:r w:rsidR="000C0E42" w:rsidRPr="00EE7072">
        <w:rPr>
          <w:szCs w:val="17"/>
          <w:lang w:val="fr-FR"/>
        </w:rPr>
        <w:tab/>
      </w:r>
      <w:r w:rsidRPr="00EE7072">
        <w:rPr>
          <w:szCs w:val="17"/>
          <w:lang w:val="fr-FR"/>
        </w:rPr>
        <w:t>Division: quand un taxon est divisé en deux ou plus, chacun des taxons résultant de la division conserve le statut d’inscription de l’ancien taxon global; </w:t>
      </w:r>
    </w:p>
    <w:p w14:paraId="4E04394E" w14:textId="77777777" w:rsidR="00567B14" w:rsidRPr="00EE7072" w:rsidRDefault="00567B14" w:rsidP="000C0E42">
      <w:pPr>
        <w:widowControl/>
        <w:autoSpaceDE/>
        <w:autoSpaceDN/>
        <w:adjustRightInd/>
        <w:ind w:left="1440" w:hanging="720"/>
        <w:jc w:val="both"/>
        <w:rPr>
          <w:szCs w:val="17"/>
          <w:lang w:val="fr-FR"/>
        </w:rPr>
      </w:pPr>
    </w:p>
    <w:p w14:paraId="1673C3DA" w14:textId="110A03A0" w:rsidR="000C0E42" w:rsidRPr="00EE7072" w:rsidRDefault="00567B14" w:rsidP="000C0E42">
      <w:pPr>
        <w:widowControl/>
        <w:autoSpaceDE/>
        <w:autoSpaceDN/>
        <w:adjustRightInd/>
        <w:ind w:left="1440" w:hanging="720"/>
        <w:jc w:val="both"/>
        <w:rPr>
          <w:szCs w:val="17"/>
          <w:lang w:val="fr-FR"/>
        </w:rPr>
      </w:pPr>
      <w:r w:rsidRPr="000749B4">
        <w:rPr>
          <w:szCs w:val="17"/>
        </w:rPr>
        <w:sym w:font="Symbol" w:char="F0B7"/>
      </w:r>
      <w:r w:rsidRPr="00EE7072">
        <w:rPr>
          <w:szCs w:val="17"/>
          <w:lang w:val="fr-FR"/>
        </w:rPr>
        <w:t xml:space="preserve"> </w:t>
      </w:r>
      <w:r w:rsidR="000C0E42" w:rsidRPr="00EE7072">
        <w:rPr>
          <w:szCs w:val="17"/>
          <w:lang w:val="fr-FR"/>
        </w:rPr>
        <w:tab/>
      </w:r>
      <w:r w:rsidRPr="00EE7072">
        <w:rPr>
          <w:szCs w:val="17"/>
          <w:lang w:val="fr-FR"/>
        </w:rPr>
        <w:t>Regroupement (fusion): si un taxon figurant à l’Annexe I ou à l’Annexe II de la Convention est fusionné avec un ou plusieurs taxons non-inscrits aux annexes, sous son nom ou celui de l’un des taxons non-inscrits, l’ensemble du taxon regroupé figurera à l’Annexe à laquelle figurait à l’origine le taxon plus précis, dans les cas où l’entité non-inscrite ainsi ajoutée présente le même état de conservation, ou un état moins bon, que celui du taxon précédemment inscrit. Dans tous les autres cas, une restriction taxonomique ou géographique sera introduite, dans l’attente d’un examen par le Conseil scientifique et la Conférence des Parties des nouvelles inscriptions aux annexes; </w:t>
      </w:r>
    </w:p>
    <w:p w14:paraId="4D7EE17D" w14:textId="77777777" w:rsidR="000C0E42" w:rsidRPr="00EE7072" w:rsidRDefault="000C0E42" w:rsidP="00567B14">
      <w:pPr>
        <w:widowControl/>
        <w:autoSpaceDE/>
        <w:autoSpaceDN/>
        <w:adjustRightInd/>
        <w:jc w:val="both"/>
        <w:rPr>
          <w:szCs w:val="17"/>
          <w:lang w:val="fr-FR"/>
        </w:rPr>
      </w:pPr>
    </w:p>
    <w:p w14:paraId="0C8A29E3" w14:textId="61E948D5" w:rsidR="00567B14" w:rsidRPr="00EE7072" w:rsidRDefault="00567B14" w:rsidP="00E468D0">
      <w:pPr>
        <w:pStyle w:val="ListParagraph"/>
        <w:widowControl/>
        <w:numPr>
          <w:ilvl w:val="0"/>
          <w:numId w:val="6"/>
        </w:numPr>
        <w:autoSpaceDE/>
        <w:autoSpaceDN/>
        <w:adjustRightInd/>
        <w:ind w:left="360"/>
        <w:jc w:val="both"/>
        <w:rPr>
          <w:szCs w:val="17"/>
          <w:lang w:val="fr-FR"/>
        </w:rPr>
      </w:pPr>
      <w:r w:rsidRPr="00EE7072">
        <w:rPr>
          <w:i/>
          <w:iCs/>
          <w:szCs w:val="17"/>
          <w:lang w:val="fr-FR"/>
        </w:rPr>
        <w:t xml:space="preserve">Prie instamment </w:t>
      </w:r>
      <w:r w:rsidRPr="00EE7072">
        <w:rPr>
          <w:szCs w:val="17"/>
          <w:lang w:val="fr-FR"/>
        </w:rPr>
        <w:t>les autres AEM d’adopter la même référence taxonomique normalisée;</w:t>
      </w:r>
    </w:p>
    <w:p w14:paraId="020D55A5" w14:textId="29A94DCD" w:rsidR="00567B14" w:rsidRPr="00EE7072" w:rsidRDefault="00567B14" w:rsidP="00567B14">
      <w:pPr>
        <w:widowControl/>
        <w:autoSpaceDE/>
        <w:autoSpaceDN/>
        <w:adjustRightInd/>
        <w:jc w:val="both"/>
        <w:rPr>
          <w:strike/>
          <w:szCs w:val="17"/>
          <w:lang w:val="fr-FR"/>
        </w:rPr>
      </w:pPr>
    </w:p>
    <w:p w14:paraId="549B4859" w14:textId="0763465B" w:rsidR="00567B14" w:rsidRPr="000C0E42" w:rsidRDefault="00567B14" w:rsidP="00E468D0">
      <w:pPr>
        <w:pStyle w:val="ListParagraph"/>
        <w:widowControl/>
        <w:numPr>
          <w:ilvl w:val="0"/>
          <w:numId w:val="6"/>
        </w:numPr>
        <w:autoSpaceDE/>
        <w:autoSpaceDN/>
        <w:adjustRightInd/>
        <w:ind w:left="360"/>
        <w:jc w:val="both"/>
        <w:rPr>
          <w:szCs w:val="17"/>
        </w:rPr>
      </w:pPr>
      <w:r w:rsidRPr="000C0E42">
        <w:rPr>
          <w:i/>
          <w:szCs w:val="17"/>
        </w:rPr>
        <w:t xml:space="preserve">Abroge </w:t>
      </w:r>
    </w:p>
    <w:p w14:paraId="64335B05" w14:textId="77777777" w:rsidR="00567B14" w:rsidRDefault="00567B14" w:rsidP="00567B14">
      <w:pPr>
        <w:widowControl/>
        <w:autoSpaceDE/>
        <w:autoSpaceDN/>
        <w:adjustRightInd/>
        <w:jc w:val="both"/>
        <w:rPr>
          <w:szCs w:val="17"/>
          <w:u w:val="single"/>
        </w:rPr>
      </w:pPr>
    </w:p>
    <w:p w14:paraId="2137B3BF" w14:textId="0FAFEBEB" w:rsidR="00567B14" w:rsidRPr="008B0844" w:rsidRDefault="00897321" w:rsidP="00E468D0">
      <w:pPr>
        <w:pStyle w:val="ListParagraph"/>
        <w:widowControl/>
        <w:numPr>
          <w:ilvl w:val="0"/>
          <w:numId w:val="5"/>
        </w:numPr>
        <w:autoSpaceDE/>
        <w:autoSpaceDN/>
        <w:adjustRightInd/>
        <w:ind w:hanging="720"/>
        <w:rPr>
          <w:rStyle w:val="file"/>
          <w:szCs w:val="24"/>
          <w:lang w:val="fr-FR"/>
        </w:rPr>
      </w:pPr>
      <w:r w:rsidRPr="008B0844">
        <w:rPr>
          <w:rStyle w:val="file"/>
          <w:lang w:val="fr-FR"/>
        </w:rPr>
        <w:t xml:space="preserve">La </w:t>
      </w:r>
      <w:r w:rsidR="00567B14" w:rsidRPr="008B0844">
        <w:rPr>
          <w:rStyle w:val="file"/>
          <w:lang w:val="fr-FR"/>
        </w:rPr>
        <w:t xml:space="preserve">Recommandation 6.1, </w:t>
      </w:r>
      <w:r w:rsidR="00567B14" w:rsidRPr="008B0844">
        <w:rPr>
          <w:rStyle w:val="file"/>
          <w:i/>
          <w:lang w:val="fr-FR"/>
        </w:rPr>
        <w:t>Nomenclature normalisée à utiliser pour les Annexes à la CMS</w:t>
      </w:r>
      <w:r w:rsidR="00567B14" w:rsidRPr="008B0844">
        <w:rPr>
          <w:rStyle w:val="file"/>
          <w:lang w:val="fr-FR"/>
        </w:rPr>
        <w:t xml:space="preserve">; </w:t>
      </w:r>
    </w:p>
    <w:p w14:paraId="70F7738F" w14:textId="77777777" w:rsidR="00567B14" w:rsidRPr="008B0844" w:rsidRDefault="00567B14" w:rsidP="000C0E42">
      <w:pPr>
        <w:pStyle w:val="ListParagraph"/>
        <w:widowControl/>
        <w:autoSpaceDE/>
        <w:autoSpaceDN/>
        <w:adjustRightInd/>
        <w:ind w:left="1440" w:hanging="720"/>
        <w:rPr>
          <w:rStyle w:val="file"/>
          <w:szCs w:val="24"/>
          <w:lang w:val="fr-FR"/>
        </w:rPr>
      </w:pPr>
    </w:p>
    <w:p w14:paraId="60193899" w14:textId="3C283E39" w:rsidR="00567B14" w:rsidRPr="008B0844" w:rsidRDefault="00897321" w:rsidP="00E468D0">
      <w:pPr>
        <w:pStyle w:val="ListParagraph"/>
        <w:widowControl/>
        <w:numPr>
          <w:ilvl w:val="0"/>
          <w:numId w:val="5"/>
        </w:numPr>
        <w:autoSpaceDE/>
        <w:autoSpaceDN/>
        <w:adjustRightInd/>
        <w:ind w:hanging="720"/>
        <w:rPr>
          <w:rStyle w:val="file"/>
          <w:szCs w:val="24"/>
          <w:lang w:val="fr-FR"/>
        </w:rPr>
      </w:pPr>
      <w:r w:rsidRPr="008B0844">
        <w:rPr>
          <w:rStyle w:val="file"/>
          <w:lang w:val="fr-FR"/>
        </w:rPr>
        <w:t xml:space="preserve">La </w:t>
      </w:r>
      <w:r w:rsidR="00567B14" w:rsidRPr="008B0844">
        <w:rPr>
          <w:rStyle w:val="file"/>
          <w:lang w:val="fr-FR"/>
        </w:rPr>
        <w:t xml:space="preserve">Recommandation 9.4, </w:t>
      </w:r>
      <w:r w:rsidR="00567B14" w:rsidRPr="008B0844">
        <w:rPr>
          <w:rStyle w:val="file"/>
          <w:i/>
          <w:lang w:val="fr-FR"/>
        </w:rPr>
        <w:t>Nomenclature standardisée pour les Annexes de la CMS</w:t>
      </w:r>
      <w:r w:rsidR="00567B14" w:rsidRPr="008B0844">
        <w:rPr>
          <w:rStyle w:val="file"/>
          <w:lang w:val="fr-FR"/>
        </w:rPr>
        <w:t xml:space="preserve">; </w:t>
      </w:r>
    </w:p>
    <w:p w14:paraId="429D24F7" w14:textId="77777777" w:rsidR="00567B14" w:rsidRPr="00EE7072" w:rsidRDefault="00567B14" w:rsidP="000C0E42">
      <w:pPr>
        <w:widowControl/>
        <w:autoSpaceDE/>
        <w:autoSpaceDN/>
        <w:adjustRightInd/>
        <w:ind w:hanging="720"/>
        <w:rPr>
          <w:rStyle w:val="file"/>
          <w:szCs w:val="24"/>
          <w:lang w:val="fr-FR"/>
        </w:rPr>
      </w:pPr>
    </w:p>
    <w:p w14:paraId="219FFA57" w14:textId="62555756" w:rsidR="00567B14" w:rsidRPr="00EE7072" w:rsidRDefault="00897321" w:rsidP="00E468D0">
      <w:pPr>
        <w:pStyle w:val="ListParagraph"/>
        <w:widowControl/>
        <w:numPr>
          <w:ilvl w:val="0"/>
          <w:numId w:val="5"/>
        </w:numPr>
        <w:autoSpaceDE/>
        <w:autoSpaceDN/>
        <w:adjustRightInd/>
        <w:ind w:hanging="720"/>
        <w:rPr>
          <w:rStyle w:val="file"/>
          <w:szCs w:val="24"/>
          <w:lang w:val="fr-FR"/>
        </w:rPr>
      </w:pPr>
      <w:r>
        <w:rPr>
          <w:rStyle w:val="file"/>
          <w:lang w:val="fr-FR"/>
        </w:rPr>
        <w:t xml:space="preserve">La </w:t>
      </w:r>
      <w:r w:rsidR="00567B14" w:rsidRPr="00EE7072">
        <w:rPr>
          <w:rStyle w:val="file"/>
          <w:lang w:val="fr-FR"/>
        </w:rPr>
        <w:t xml:space="preserve">Résolution 10.13, </w:t>
      </w:r>
      <w:r w:rsidR="00567B14" w:rsidRPr="00EE7072">
        <w:rPr>
          <w:rStyle w:val="file"/>
          <w:i/>
          <w:lang w:val="fr-FR"/>
        </w:rPr>
        <w:t>Nomenclature normalisée des oiseaux figurant aux annexes de la CMS</w:t>
      </w:r>
      <w:r w:rsidR="00567B14" w:rsidRPr="00EE7072">
        <w:rPr>
          <w:rStyle w:val="file"/>
          <w:lang w:val="fr-FR"/>
        </w:rPr>
        <w:t>; et</w:t>
      </w:r>
    </w:p>
    <w:p w14:paraId="11539095" w14:textId="77777777" w:rsidR="00567B14" w:rsidRPr="00EE7072" w:rsidRDefault="00567B14" w:rsidP="000C0E42">
      <w:pPr>
        <w:widowControl/>
        <w:autoSpaceDE/>
        <w:autoSpaceDN/>
        <w:adjustRightInd/>
        <w:ind w:hanging="720"/>
        <w:rPr>
          <w:szCs w:val="24"/>
          <w:lang w:val="fr-FR"/>
        </w:rPr>
      </w:pPr>
    </w:p>
    <w:p w14:paraId="4DDE67B7" w14:textId="2A695BE0" w:rsidR="00567B14" w:rsidRPr="00FB73FA" w:rsidRDefault="00897321" w:rsidP="00E468D0">
      <w:pPr>
        <w:pStyle w:val="ListParagraph"/>
        <w:widowControl/>
        <w:numPr>
          <w:ilvl w:val="0"/>
          <w:numId w:val="5"/>
        </w:numPr>
        <w:autoSpaceDE/>
        <w:autoSpaceDN/>
        <w:adjustRightInd/>
        <w:ind w:hanging="720"/>
        <w:rPr>
          <w:i/>
          <w:szCs w:val="24"/>
          <w:lang w:val="fr-FR"/>
        </w:rPr>
      </w:pPr>
      <w:r>
        <w:rPr>
          <w:rStyle w:val="file"/>
          <w:lang w:val="fr-FR"/>
        </w:rPr>
        <w:t xml:space="preserve">La </w:t>
      </w:r>
      <w:r w:rsidR="00567B14" w:rsidRPr="00EE7072">
        <w:rPr>
          <w:rStyle w:val="file"/>
          <w:lang w:val="fr-FR"/>
        </w:rPr>
        <w:t xml:space="preserve">Résolution 11.19: </w:t>
      </w:r>
      <w:r w:rsidR="00567B14" w:rsidRPr="00FB73FA">
        <w:rPr>
          <w:rStyle w:val="file"/>
          <w:i/>
          <w:lang w:val="fr-FR"/>
        </w:rPr>
        <w:t>Taxonomie et nomenclature des oiseaux figurant aux annexes de la CMS</w:t>
      </w:r>
      <w:r w:rsidR="00567B14" w:rsidRPr="00FB73FA">
        <w:rPr>
          <w:i/>
          <w:szCs w:val="24"/>
          <w:lang w:val="fr-FR"/>
        </w:rPr>
        <w:t>.</w:t>
      </w:r>
    </w:p>
    <w:p w14:paraId="0B73BB40" w14:textId="7911F30D" w:rsidR="00567B14" w:rsidRPr="00EE7072" w:rsidRDefault="00897321" w:rsidP="00567B14">
      <w:pPr>
        <w:widowControl/>
        <w:autoSpaceDE/>
        <w:autoSpaceDN/>
        <w:adjustRightInd/>
        <w:jc w:val="both"/>
        <w:rPr>
          <w:szCs w:val="17"/>
          <w:u w:val="single"/>
          <w:lang w:val="fr-FR"/>
        </w:rPr>
      </w:pPr>
      <w:r>
        <w:rPr>
          <w:szCs w:val="17"/>
          <w:u w:val="single"/>
          <w:lang w:val="fr-FR"/>
        </w:rPr>
        <w:br w:type="page"/>
      </w:r>
    </w:p>
    <w:p w14:paraId="20DCB311" w14:textId="22E8C9B7" w:rsidR="00567B14" w:rsidRPr="00897321" w:rsidRDefault="00897321" w:rsidP="00897321">
      <w:pPr>
        <w:widowControl/>
        <w:autoSpaceDE/>
        <w:autoSpaceDN/>
        <w:adjustRightInd/>
        <w:jc w:val="right"/>
        <w:rPr>
          <w:b/>
          <w:szCs w:val="17"/>
          <w:lang w:val="fr-FR"/>
        </w:rPr>
      </w:pPr>
      <w:r w:rsidRPr="00897321">
        <w:rPr>
          <w:b/>
          <w:szCs w:val="17"/>
          <w:lang w:val="fr-FR"/>
        </w:rPr>
        <w:lastRenderedPageBreak/>
        <w:t>ANNEXE Á LA RÉSOLUTION</w:t>
      </w:r>
    </w:p>
    <w:p w14:paraId="4DCE6539" w14:textId="77777777" w:rsidR="00567B14" w:rsidRPr="00897321" w:rsidRDefault="00567B14" w:rsidP="0073784B">
      <w:pPr>
        <w:widowControl/>
        <w:autoSpaceDE/>
        <w:autoSpaceDN/>
        <w:adjustRightInd/>
        <w:jc w:val="center"/>
        <w:rPr>
          <w:b/>
          <w:szCs w:val="17"/>
          <w:lang w:val="fr-FR"/>
        </w:rPr>
      </w:pPr>
    </w:p>
    <w:p w14:paraId="37D61037" w14:textId="77777777" w:rsidR="00FB73FA" w:rsidRDefault="00FB73FA" w:rsidP="00897321">
      <w:pPr>
        <w:widowControl/>
        <w:autoSpaceDE/>
        <w:autoSpaceDN/>
        <w:adjustRightInd/>
        <w:jc w:val="center"/>
        <w:rPr>
          <w:b/>
          <w:szCs w:val="17"/>
          <w:lang w:val="fr-FR"/>
        </w:rPr>
      </w:pPr>
      <w:r>
        <w:rPr>
          <w:b/>
          <w:szCs w:val="17"/>
          <w:lang w:val="fr-FR"/>
        </w:rPr>
        <w:t xml:space="preserve">LISTE DES RÉFÉRENCES STANDARDISÉES ADOPTÉES PAR </w:t>
      </w:r>
    </w:p>
    <w:p w14:paraId="0F9BA6CD" w14:textId="3A2851C7" w:rsidR="00F953DA" w:rsidRPr="00897321" w:rsidRDefault="00FB73FA" w:rsidP="00897321">
      <w:pPr>
        <w:widowControl/>
        <w:autoSpaceDE/>
        <w:autoSpaceDN/>
        <w:adjustRightInd/>
        <w:jc w:val="center"/>
        <w:rPr>
          <w:b/>
          <w:i/>
          <w:szCs w:val="17"/>
          <w:lang w:val="fr-FR"/>
        </w:rPr>
      </w:pPr>
      <w:r>
        <w:rPr>
          <w:b/>
          <w:szCs w:val="17"/>
          <w:lang w:val="fr-FR"/>
        </w:rPr>
        <w:t>LA CONFÉ</w:t>
      </w:r>
      <w:r w:rsidRPr="00897321">
        <w:rPr>
          <w:b/>
          <w:szCs w:val="17"/>
          <w:lang w:val="fr-FR"/>
        </w:rPr>
        <w:t>RENCE DES PARTIES</w:t>
      </w:r>
    </w:p>
    <w:p w14:paraId="478CF804" w14:textId="77777777" w:rsidR="00FB73FA" w:rsidRDefault="00FB73FA" w:rsidP="00567B14">
      <w:pPr>
        <w:widowControl/>
        <w:autoSpaceDE/>
        <w:autoSpaceDN/>
        <w:adjustRightInd/>
        <w:jc w:val="both"/>
        <w:rPr>
          <w:i/>
          <w:szCs w:val="17"/>
          <w:lang w:val="fr-FR"/>
        </w:rPr>
      </w:pPr>
    </w:p>
    <w:p w14:paraId="70C51462" w14:textId="025D1220" w:rsidR="00567B14" w:rsidRPr="00FB73FA" w:rsidRDefault="00567B14" w:rsidP="00567B14">
      <w:pPr>
        <w:widowControl/>
        <w:autoSpaceDE/>
        <w:autoSpaceDN/>
        <w:adjustRightInd/>
        <w:jc w:val="both"/>
        <w:rPr>
          <w:i/>
          <w:lang w:val="fr-FR"/>
        </w:rPr>
      </w:pPr>
      <w:r w:rsidRPr="00FB73FA">
        <w:rPr>
          <w:i/>
          <w:lang w:val="fr-FR"/>
        </w:rPr>
        <w:t>Mammifères</w:t>
      </w:r>
    </w:p>
    <w:p w14:paraId="7643D48F" w14:textId="0FC7BC4F" w:rsidR="00567B14" w:rsidRPr="00FB73FA" w:rsidRDefault="00567B14" w:rsidP="00567B14">
      <w:pPr>
        <w:widowControl/>
        <w:autoSpaceDE/>
        <w:autoSpaceDN/>
        <w:adjustRightInd/>
        <w:jc w:val="both"/>
        <w:rPr>
          <w:lang w:val="fr-FR"/>
        </w:rPr>
      </w:pPr>
    </w:p>
    <w:p w14:paraId="233E63FE" w14:textId="77777777" w:rsidR="00567B14" w:rsidRPr="00FB73FA" w:rsidRDefault="00567B14" w:rsidP="00F953DA">
      <w:pPr>
        <w:widowControl/>
        <w:autoSpaceDE/>
        <w:autoSpaceDN/>
        <w:adjustRightInd/>
        <w:ind w:firstLine="720"/>
        <w:jc w:val="both"/>
        <w:rPr>
          <w:lang w:val="fr-FR"/>
        </w:rPr>
      </w:pPr>
      <w:r w:rsidRPr="00FB73FA">
        <w:rPr>
          <w:lang w:val="fr-FR"/>
        </w:rPr>
        <w:t>Mammifères marins</w:t>
      </w:r>
    </w:p>
    <w:p w14:paraId="2B8ECC6F" w14:textId="77777777" w:rsidR="00567B14" w:rsidRPr="00FB73FA" w:rsidRDefault="00567B14" w:rsidP="00567B14">
      <w:pPr>
        <w:widowControl/>
        <w:autoSpaceDE/>
        <w:autoSpaceDN/>
        <w:adjustRightInd/>
        <w:jc w:val="both"/>
        <w:rPr>
          <w:sz w:val="20"/>
          <w:szCs w:val="20"/>
          <w:lang w:val="fr-FR"/>
        </w:rPr>
      </w:pPr>
    </w:p>
    <w:p w14:paraId="26EE8BD2" w14:textId="63879E9B" w:rsidR="00567B14" w:rsidRPr="00FB73FA" w:rsidRDefault="00567B14" w:rsidP="00FB73FA">
      <w:pPr>
        <w:widowControl/>
        <w:autoSpaceDE/>
        <w:autoSpaceDN/>
        <w:adjustRightInd/>
        <w:ind w:left="284" w:hanging="284"/>
        <w:jc w:val="both"/>
        <w:rPr>
          <w:sz w:val="20"/>
          <w:szCs w:val="20"/>
          <w:lang w:val="fr-FR"/>
        </w:rPr>
      </w:pPr>
      <w:r w:rsidRPr="00FB73FA">
        <w:rPr>
          <w:sz w:val="20"/>
          <w:szCs w:val="20"/>
          <w:lang w:val="fr-FR"/>
        </w:rPr>
        <w:t>Perrin W.F., Wursig B et Thewissen J.G.M (Editors), (2008), encyclopédie des mammifères marins, deux</w:t>
      </w:r>
      <w:r w:rsidR="0073784B" w:rsidRPr="00FB73FA">
        <w:rPr>
          <w:sz w:val="20"/>
          <w:szCs w:val="20"/>
          <w:lang w:val="fr-FR"/>
        </w:rPr>
        <w:t>ième édition, Presse académique.</w:t>
      </w:r>
    </w:p>
    <w:p w14:paraId="6DE5D0C2" w14:textId="77777777" w:rsidR="00F953DA" w:rsidRPr="00FB73FA" w:rsidRDefault="00F953DA" w:rsidP="00F953DA">
      <w:pPr>
        <w:widowControl/>
        <w:autoSpaceDE/>
        <w:autoSpaceDN/>
        <w:adjustRightInd/>
        <w:jc w:val="both"/>
        <w:rPr>
          <w:sz w:val="20"/>
          <w:szCs w:val="20"/>
          <w:lang w:val="fr-FR"/>
        </w:rPr>
      </w:pPr>
    </w:p>
    <w:p w14:paraId="2876D134" w14:textId="77777777" w:rsidR="00567B14" w:rsidRPr="00FB73FA" w:rsidRDefault="00567B14" w:rsidP="00F953DA">
      <w:pPr>
        <w:widowControl/>
        <w:autoSpaceDE/>
        <w:autoSpaceDN/>
        <w:adjustRightInd/>
        <w:ind w:firstLine="720"/>
        <w:jc w:val="both"/>
      </w:pPr>
      <w:r w:rsidRPr="00FB73FA">
        <w:t>Mammifères terrestres</w:t>
      </w:r>
    </w:p>
    <w:p w14:paraId="71449087" w14:textId="77777777" w:rsidR="00567B14" w:rsidRPr="00FB73FA" w:rsidRDefault="00567B14" w:rsidP="00567B14">
      <w:pPr>
        <w:widowControl/>
        <w:autoSpaceDE/>
        <w:autoSpaceDN/>
        <w:adjustRightInd/>
        <w:jc w:val="both"/>
        <w:rPr>
          <w:sz w:val="20"/>
          <w:szCs w:val="20"/>
        </w:rPr>
      </w:pPr>
    </w:p>
    <w:p w14:paraId="59D15957" w14:textId="77777777" w:rsidR="00F953DA" w:rsidRPr="00FB73FA" w:rsidRDefault="00567B14" w:rsidP="00FB73FA">
      <w:pPr>
        <w:widowControl/>
        <w:autoSpaceDE/>
        <w:autoSpaceDN/>
        <w:adjustRightInd/>
        <w:ind w:left="284" w:hanging="284"/>
        <w:jc w:val="both"/>
        <w:rPr>
          <w:sz w:val="20"/>
          <w:szCs w:val="20"/>
          <w:lang w:val="fr-FR"/>
        </w:rPr>
      </w:pPr>
      <w:r w:rsidRPr="00FB73FA">
        <w:rPr>
          <w:sz w:val="20"/>
          <w:szCs w:val="20"/>
        </w:rPr>
        <w:t xml:space="preserve">Wilson, D. E. &amp; Reeder, D. M. (ed.) </w:t>
      </w:r>
      <w:r w:rsidRPr="00FB73FA">
        <w:rPr>
          <w:sz w:val="20"/>
          <w:szCs w:val="20"/>
          <w:lang w:val="fr-FR"/>
        </w:rPr>
        <w:t>(2005): mammifères du monde. Une référence taxonomique et géographique. Troisième édition, Presse Universitaire John Hopkins</w:t>
      </w:r>
      <w:r w:rsidR="00F953DA" w:rsidRPr="00FB73FA">
        <w:rPr>
          <w:sz w:val="20"/>
          <w:szCs w:val="20"/>
          <w:lang w:val="fr-FR"/>
        </w:rPr>
        <w:t>.</w:t>
      </w:r>
    </w:p>
    <w:p w14:paraId="6E6986AC" w14:textId="5E45DD71" w:rsidR="00567B14" w:rsidRPr="00FB73FA" w:rsidRDefault="00567B14" w:rsidP="00567B14">
      <w:pPr>
        <w:widowControl/>
        <w:autoSpaceDE/>
        <w:autoSpaceDN/>
        <w:adjustRightInd/>
        <w:jc w:val="both"/>
        <w:rPr>
          <w:sz w:val="20"/>
          <w:szCs w:val="20"/>
          <w:lang w:val="fr-FR"/>
        </w:rPr>
      </w:pPr>
    </w:p>
    <w:p w14:paraId="61606998" w14:textId="77777777" w:rsidR="00567B14" w:rsidRPr="00FB73FA" w:rsidRDefault="00567B14" w:rsidP="00567B14">
      <w:pPr>
        <w:widowControl/>
        <w:autoSpaceDE/>
        <w:autoSpaceDN/>
        <w:adjustRightInd/>
        <w:jc w:val="both"/>
        <w:rPr>
          <w:i/>
          <w:lang w:val="fr-FR"/>
        </w:rPr>
      </w:pPr>
      <w:r w:rsidRPr="00FB73FA">
        <w:rPr>
          <w:i/>
          <w:lang w:val="fr-FR"/>
        </w:rPr>
        <w:t>Oiseaux</w:t>
      </w:r>
    </w:p>
    <w:p w14:paraId="5593D1AE" w14:textId="77777777" w:rsidR="00F953DA" w:rsidRPr="00FB73FA" w:rsidRDefault="00F953DA" w:rsidP="00567B14">
      <w:pPr>
        <w:widowControl/>
        <w:autoSpaceDE/>
        <w:autoSpaceDN/>
        <w:adjustRightInd/>
        <w:jc w:val="both"/>
        <w:rPr>
          <w:lang w:val="fr-FR"/>
        </w:rPr>
      </w:pPr>
    </w:p>
    <w:p w14:paraId="4ABFE8D3" w14:textId="668FE7F4" w:rsidR="00567B14" w:rsidRPr="00FB73FA" w:rsidRDefault="00FB73FA" w:rsidP="00F953DA">
      <w:pPr>
        <w:widowControl/>
        <w:autoSpaceDE/>
        <w:autoSpaceDN/>
        <w:adjustRightInd/>
        <w:ind w:firstLine="720"/>
        <w:jc w:val="both"/>
        <w:rPr>
          <w:lang w:val="fr-FR"/>
        </w:rPr>
      </w:pPr>
      <w:r>
        <w:rPr>
          <w:lang w:val="fr-FR"/>
        </w:rPr>
        <w:t>E</w:t>
      </w:r>
      <w:r w:rsidR="00C22FBA" w:rsidRPr="00FB73FA">
        <w:rPr>
          <w:lang w:val="fr-FR"/>
        </w:rPr>
        <w:t>spèces d’oiseaux non-passereaux</w:t>
      </w:r>
    </w:p>
    <w:p w14:paraId="3F53C31D" w14:textId="77777777" w:rsidR="00567B14" w:rsidRPr="00FB73FA" w:rsidRDefault="00567B14" w:rsidP="00567B14">
      <w:pPr>
        <w:widowControl/>
        <w:autoSpaceDE/>
        <w:autoSpaceDN/>
        <w:adjustRightInd/>
        <w:jc w:val="both"/>
        <w:rPr>
          <w:sz w:val="20"/>
          <w:szCs w:val="20"/>
          <w:lang w:val="fr-FR"/>
        </w:rPr>
      </w:pPr>
      <w:r w:rsidRPr="00FB73FA">
        <w:rPr>
          <w:sz w:val="20"/>
          <w:szCs w:val="20"/>
          <w:lang w:val="fr-FR"/>
        </w:rPr>
        <w:t> </w:t>
      </w:r>
    </w:p>
    <w:p w14:paraId="0B710EEC" w14:textId="37A313EA" w:rsidR="00567B14" w:rsidRPr="00635720" w:rsidRDefault="00567B14" w:rsidP="00FB73FA">
      <w:pPr>
        <w:widowControl/>
        <w:autoSpaceDE/>
        <w:autoSpaceDN/>
        <w:adjustRightInd/>
        <w:ind w:left="284" w:hanging="284"/>
        <w:jc w:val="both"/>
        <w:rPr>
          <w:sz w:val="20"/>
          <w:szCs w:val="20"/>
        </w:rPr>
      </w:pPr>
      <w:r w:rsidRPr="00635720">
        <w:rPr>
          <w:sz w:val="20"/>
          <w:szCs w:val="20"/>
        </w:rPr>
        <w:t>Manuel des oiseaux du monde intitulé Handbook of the Birds of the World/BirdLife International Illustrated Checklist of the Birds of the World, Volume 1: Non-passerines de Josep del Hoyo, Nigel J. Collar, David A. Christie, Andrew Elliot e</w:t>
      </w:r>
      <w:r w:rsidR="00F953DA" w:rsidRPr="00635720">
        <w:rPr>
          <w:sz w:val="20"/>
          <w:szCs w:val="20"/>
        </w:rPr>
        <w:t>t Lincoln D.C. Fishpool (2014).</w:t>
      </w:r>
    </w:p>
    <w:p w14:paraId="01807206" w14:textId="77777777" w:rsidR="00F953DA" w:rsidRPr="00635720" w:rsidRDefault="00F953DA" w:rsidP="00567B14">
      <w:pPr>
        <w:widowControl/>
        <w:autoSpaceDE/>
        <w:autoSpaceDN/>
        <w:adjustRightInd/>
        <w:jc w:val="both"/>
        <w:rPr>
          <w:sz w:val="20"/>
          <w:szCs w:val="20"/>
        </w:rPr>
      </w:pPr>
    </w:p>
    <w:p w14:paraId="0B562FFB" w14:textId="6E048B72" w:rsidR="00567B14" w:rsidRPr="00FB73FA" w:rsidRDefault="00FB73FA" w:rsidP="00F953DA">
      <w:pPr>
        <w:widowControl/>
        <w:autoSpaceDE/>
        <w:autoSpaceDN/>
        <w:adjustRightInd/>
        <w:ind w:firstLine="720"/>
        <w:jc w:val="both"/>
        <w:rPr>
          <w:lang w:val="fr-FR"/>
        </w:rPr>
      </w:pPr>
      <w:r w:rsidRPr="00FB73FA">
        <w:rPr>
          <w:lang w:val="fr-FR"/>
        </w:rPr>
        <w:t>Espèces d’</w:t>
      </w:r>
      <w:r w:rsidR="00F953DA" w:rsidRPr="00FB73FA">
        <w:rPr>
          <w:lang w:val="fr-FR"/>
        </w:rPr>
        <w:t>oiseaux passereaux</w:t>
      </w:r>
    </w:p>
    <w:p w14:paraId="047B6529" w14:textId="77777777" w:rsidR="00567B14" w:rsidRPr="00FB73FA" w:rsidRDefault="00567B14" w:rsidP="00567B14">
      <w:pPr>
        <w:widowControl/>
        <w:autoSpaceDE/>
        <w:autoSpaceDN/>
        <w:adjustRightInd/>
        <w:jc w:val="both"/>
        <w:rPr>
          <w:sz w:val="20"/>
          <w:szCs w:val="20"/>
          <w:lang w:val="fr-FR"/>
        </w:rPr>
      </w:pPr>
      <w:r w:rsidRPr="00FB73FA">
        <w:rPr>
          <w:sz w:val="20"/>
          <w:szCs w:val="20"/>
          <w:lang w:val="fr-FR"/>
        </w:rPr>
        <w:t> </w:t>
      </w:r>
    </w:p>
    <w:p w14:paraId="0CE4997C" w14:textId="77777777" w:rsidR="00567B14" w:rsidRPr="00FB73FA" w:rsidRDefault="00567B14" w:rsidP="00567B14">
      <w:pPr>
        <w:widowControl/>
        <w:autoSpaceDE/>
        <w:autoSpaceDN/>
        <w:adjustRightInd/>
        <w:jc w:val="both"/>
        <w:rPr>
          <w:lang w:val="fr-FR"/>
        </w:rPr>
      </w:pPr>
      <w:r w:rsidRPr="00FB73FA">
        <w:rPr>
          <w:lang w:val="fr-FR"/>
        </w:rPr>
        <w:t>Pour la taxonomie et la nomenclature au niveau des ordres et des familles:</w:t>
      </w:r>
    </w:p>
    <w:p w14:paraId="38E0D761" w14:textId="77777777" w:rsidR="00567B14" w:rsidRPr="00FB73FA" w:rsidRDefault="00567B14" w:rsidP="00567B14">
      <w:pPr>
        <w:widowControl/>
        <w:autoSpaceDE/>
        <w:autoSpaceDN/>
        <w:adjustRightInd/>
        <w:jc w:val="both"/>
        <w:rPr>
          <w:sz w:val="20"/>
          <w:szCs w:val="20"/>
          <w:lang w:val="fr-FR"/>
        </w:rPr>
      </w:pPr>
      <w:r w:rsidRPr="00FB73FA">
        <w:rPr>
          <w:sz w:val="20"/>
          <w:szCs w:val="20"/>
          <w:lang w:val="fr-FR"/>
        </w:rPr>
        <w:t> </w:t>
      </w:r>
    </w:p>
    <w:p w14:paraId="24B379F5" w14:textId="7CDCDBE1" w:rsidR="00567B14" w:rsidRPr="00FB73FA" w:rsidRDefault="00567B14" w:rsidP="00FB73FA">
      <w:pPr>
        <w:widowControl/>
        <w:autoSpaceDE/>
        <w:autoSpaceDN/>
        <w:adjustRightInd/>
        <w:ind w:left="284" w:hanging="284"/>
        <w:jc w:val="both"/>
        <w:rPr>
          <w:sz w:val="20"/>
          <w:szCs w:val="20"/>
        </w:rPr>
      </w:pPr>
      <w:r w:rsidRPr="00FB73FA">
        <w:rPr>
          <w:sz w:val="20"/>
          <w:szCs w:val="20"/>
        </w:rPr>
        <w:t>Morony, J.J., Bock, W.J. and Farrand, J. (1975). Reference List of the Birds of the World. Department of Ornithology, American Museum of Natu</w:t>
      </w:r>
      <w:r w:rsidR="0073784B" w:rsidRPr="00FB73FA">
        <w:rPr>
          <w:sz w:val="20"/>
          <w:szCs w:val="20"/>
        </w:rPr>
        <w:t>ral History, New York, New York.</w:t>
      </w:r>
    </w:p>
    <w:p w14:paraId="145A7E0E" w14:textId="77777777" w:rsidR="00567B14" w:rsidRPr="00FB73FA" w:rsidRDefault="00567B14" w:rsidP="00567B14">
      <w:pPr>
        <w:widowControl/>
        <w:autoSpaceDE/>
        <w:autoSpaceDN/>
        <w:adjustRightInd/>
        <w:jc w:val="both"/>
        <w:rPr>
          <w:sz w:val="20"/>
          <w:szCs w:val="20"/>
        </w:rPr>
      </w:pPr>
    </w:p>
    <w:p w14:paraId="6EA28E97" w14:textId="77777777" w:rsidR="00567B14" w:rsidRPr="00FB73FA" w:rsidRDefault="00567B14" w:rsidP="00567B14">
      <w:pPr>
        <w:widowControl/>
        <w:autoSpaceDE/>
        <w:autoSpaceDN/>
        <w:adjustRightInd/>
        <w:jc w:val="both"/>
        <w:rPr>
          <w:lang w:val="fr-FR"/>
        </w:rPr>
      </w:pPr>
      <w:r w:rsidRPr="00FB73FA">
        <w:rPr>
          <w:lang w:val="fr-FR"/>
        </w:rPr>
        <w:t>Pour la taxonomie et la nomenclature au niveau des genres et espèces:</w:t>
      </w:r>
    </w:p>
    <w:p w14:paraId="6D4516D6" w14:textId="77777777" w:rsidR="00567B14" w:rsidRPr="00FB73FA" w:rsidRDefault="00567B14" w:rsidP="00567B14">
      <w:pPr>
        <w:widowControl/>
        <w:autoSpaceDE/>
        <w:autoSpaceDN/>
        <w:adjustRightInd/>
        <w:jc w:val="both"/>
        <w:rPr>
          <w:sz w:val="20"/>
          <w:szCs w:val="20"/>
          <w:lang w:val="fr-FR"/>
        </w:rPr>
      </w:pPr>
      <w:r w:rsidRPr="00FB73FA">
        <w:rPr>
          <w:sz w:val="20"/>
          <w:szCs w:val="20"/>
          <w:lang w:val="fr-FR"/>
        </w:rPr>
        <w:t> </w:t>
      </w:r>
    </w:p>
    <w:p w14:paraId="0E8A03CF" w14:textId="77777777" w:rsidR="00567B14" w:rsidRPr="00FB73FA" w:rsidRDefault="00567B14" w:rsidP="00FB73FA">
      <w:pPr>
        <w:widowControl/>
        <w:autoSpaceDE/>
        <w:autoSpaceDN/>
        <w:adjustRightInd/>
        <w:ind w:left="284" w:hanging="284"/>
        <w:jc w:val="both"/>
        <w:rPr>
          <w:sz w:val="20"/>
          <w:szCs w:val="20"/>
        </w:rPr>
      </w:pPr>
      <w:r w:rsidRPr="00FB73FA">
        <w:rPr>
          <w:sz w:val="20"/>
          <w:szCs w:val="20"/>
        </w:rPr>
        <w:t>Sibley, C.G. and Monroe, B.L. (1990). Distribution and taxonomy of birds of the world. Yale University Press, New Haven. </w:t>
      </w:r>
    </w:p>
    <w:p w14:paraId="5FC0DD9C" w14:textId="77777777" w:rsidR="00567B14" w:rsidRPr="00FB73FA" w:rsidRDefault="00567B14" w:rsidP="00FB73FA">
      <w:pPr>
        <w:widowControl/>
        <w:autoSpaceDE/>
        <w:autoSpaceDN/>
        <w:adjustRightInd/>
        <w:ind w:left="284" w:hanging="284"/>
        <w:jc w:val="both"/>
        <w:rPr>
          <w:sz w:val="20"/>
          <w:szCs w:val="20"/>
        </w:rPr>
      </w:pPr>
    </w:p>
    <w:p w14:paraId="05029978" w14:textId="77777777" w:rsidR="00567B14" w:rsidRPr="00FB73FA" w:rsidRDefault="00567B14" w:rsidP="00FB73FA">
      <w:pPr>
        <w:widowControl/>
        <w:autoSpaceDE/>
        <w:autoSpaceDN/>
        <w:adjustRightInd/>
        <w:ind w:left="284" w:hanging="284"/>
        <w:jc w:val="both"/>
        <w:rPr>
          <w:sz w:val="20"/>
          <w:szCs w:val="20"/>
          <w:lang w:val="fr-FR"/>
        </w:rPr>
      </w:pPr>
      <w:r w:rsidRPr="00FB73FA">
        <w:rPr>
          <w:sz w:val="20"/>
          <w:szCs w:val="20"/>
        </w:rPr>
        <w:t xml:space="preserve">Sibley, C.G. and Monroe, B.L. (1993). A supplement to distribution and taxonomy of birds of the world. </w:t>
      </w:r>
      <w:r w:rsidRPr="00FB73FA">
        <w:rPr>
          <w:sz w:val="20"/>
          <w:szCs w:val="20"/>
          <w:lang w:val="fr-FR"/>
        </w:rPr>
        <w:t>Yale University Press, New Haven. </w:t>
      </w:r>
    </w:p>
    <w:p w14:paraId="1EB95C80" w14:textId="77777777" w:rsidR="00F953DA" w:rsidRPr="00FB73FA" w:rsidRDefault="00F953DA" w:rsidP="00567B14">
      <w:pPr>
        <w:widowControl/>
        <w:autoSpaceDE/>
        <w:autoSpaceDN/>
        <w:adjustRightInd/>
        <w:jc w:val="both"/>
        <w:rPr>
          <w:sz w:val="20"/>
          <w:szCs w:val="20"/>
          <w:lang w:val="fr-FR"/>
        </w:rPr>
      </w:pPr>
    </w:p>
    <w:p w14:paraId="4FC6445E" w14:textId="4D7FC30B" w:rsidR="00567B14" w:rsidRPr="00FB73FA" w:rsidRDefault="00F953DA" w:rsidP="00F953DA">
      <w:pPr>
        <w:widowControl/>
        <w:autoSpaceDE/>
        <w:autoSpaceDN/>
        <w:adjustRightInd/>
        <w:ind w:firstLine="720"/>
        <w:jc w:val="both"/>
        <w:rPr>
          <w:lang w:val="fr-FR"/>
        </w:rPr>
      </w:pPr>
      <w:r w:rsidRPr="00FB73FA">
        <w:rPr>
          <w:lang w:val="fr-FR"/>
        </w:rPr>
        <w:t>L</w:t>
      </w:r>
      <w:r w:rsidR="00567B14" w:rsidRPr="00FB73FA">
        <w:rPr>
          <w:lang w:val="fr-FR"/>
        </w:rPr>
        <w:t>’albatros et le grand petrel</w:t>
      </w:r>
    </w:p>
    <w:p w14:paraId="0439B7B3" w14:textId="77777777" w:rsidR="00567B14" w:rsidRPr="00FB73FA" w:rsidRDefault="00567B14" w:rsidP="00567B14">
      <w:pPr>
        <w:widowControl/>
        <w:autoSpaceDE/>
        <w:autoSpaceDN/>
        <w:adjustRightInd/>
        <w:jc w:val="both"/>
        <w:rPr>
          <w:lang w:val="fr-FR"/>
        </w:rPr>
      </w:pPr>
    </w:p>
    <w:p w14:paraId="459CD9C7" w14:textId="172C368F" w:rsidR="00B22874" w:rsidRPr="00FB73FA" w:rsidRDefault="00B22874" w:rsidP="00567B14">
      <w:pPr>
        <w:widowControl/>
        <w:autoSpaceDE/>
        <w:autoSpaceDN/>
        <w:adjustRightInd/>
        <w:jc w:val="both"/>
        <w:rPr>
          <w:lang w:val="fr-FR"/>
        </w:rPr>
      </w:pPr>
      <w:r w:rsidRPr="00FB73FA">
        <w:rPr>
          <w:lang w:val="fr-FR"/>
        </w:rPr>
        <w:t>La taxonomie utilisée par l’ACAP</w:t>
      </w:r>
    </w:p>
    <w:p w14:paraId="396A617A" w14:textId="77777777" w:rsidR="00F953DA" w:rsidRPr="00FB73FA" w:rsidRDefault="00F953DA" w:rsidP="00567B14">
      <w:pPr>
        <w:widowControl/>
        <w:autoSpaceDE/>
        <w:autoSpaceDN/>
        <w:adjustRightInd/>
        <w:jc w:val="both"/>
        <w:rPr>
          <w:sz w:val="20"/>
          <w:szCs w:val="20"/>
          <w:lang w:val="fr-FR"/>
        </w:rPr>
      </w:pPr>
    </w:p>
    <w:p w14:paraId="4DE92539" w14:textId="77777777" w:rsidR="00567B14" w:rsidRPr="00FB73FA" w:rsidRDefault="00567B14" w:rsidP="00567B14">
      <w:pPr>
        <w:widowControl/>
        <w:autoSpaceDE/>
        <w:autoSpaceDN/>
        <w:adjustRightInd/>
        <w:rPr>
          <w:i/>
        </w:rPr>
      </w:pPr>
      <w:r w:rsidRPr="00FB73FA">
        <w:rPr>
          <w:i/>
        </w:rPr>
        <w:t>Tortues marines</w:t>
      </w:r>
    </w:p>
    <w:p w14:paraId="7A5A7415" w14:textId="77777777" w:rsidR="00567B14" w:rsidRPr="00FB73FA" w:rsidRDefault="00567B14" w:rsidP="00567B14">
      <w:pPr>
        <w:widowControl/>
        <w:autoSpaceDE/>
        <w:autoSpaceDN/>
        <w:adjustRightInd/>
        <w:jc w:val="both"/>
        <w:rPr>
          <w:sz w:val="20"/>
          <w:szCs w:val="20"/>
        </w:rPr>
      </w:pPr>
    </w:p>
    <w:p w14:paraId="0445C85D" w14:textId="426D68CE" w:rsidR="00567B14" w:rsidRPr="00FB73FA" w:rsidRDefault="00567B14" w:rsidP="00FB73FA">
      <w:pPr>
        <w:widowControl/>
        <w:autoSpaceDE/>
        <w:autoSpaceDN/>
        <w:adjustRightInd/>
        <w:ind w:left="284" w:hanging="284"/>
        <w:jc w:val="both"/>
        <w:rPr>
          <w:sz w:val="20"/>
          <w:szCs w:val="20"/>
        </w:rPr>
      </w:pPr>
      <w:r w:rsidRPr="00FB73FA">
        <w:rPr>
          <w:sz w:val="20"/>
          <w:szCs w:val="20"/>
        </w:rPr>
        <w:t>Eckert, K.L., Bjorndal, K.A., Abreu-Grobois, F.A. and Donnelly, M. (Eds) (1999). Research and management techniques for the conservation of sea turtles. IUCN/SSC Marine Turtle Specialist Group Publication No. 4.</w:t>
      </w:r>
    </w:p>
    <w:p w14:paraId="7B24543E" w14:textId="77777777" w:rsidR="00567B14" w:rsidRPr="00FB73FA" w:rsidRDefault="00567B14" w:rsidP="00567B14">
      <w:pPr>
        <w:widowControl/>
        <w:autoSpaceDE/>
        <w:autoSpaceDN/>
        <w:adjustRightInd/>
        <w:jc w:val="both"/>
        <w:rPr>
          <w:i/>
          <w:sz w:val="20"/>
          <w:szCs w:val="20"/>
        </w:rPr>
      </w:pPr>
    </w:p>
    <w:p w14:paraId="0424444C" w14:textId="77777777" w:rsidR="00567B14" w:rsidRPr="00FB73FA" w:rsidRDefault="00567B14" w:rsidP="00567B14">
      <w:pPr>
        <w:widowControl/>
        <w:autoSpaceDE/>
        <w:autoSpaceDN/>
        <w:adjustRightInd/>
        <w:jc w:val="both"/>
        <w:rPr>
          <w:i/>
        </w:rPr>
      </w:pPr>
      <w:r w:rsidRPr="00FB73FA">
        <w:rPr>
          <w:i/>
        </w:rPr>
        <w:t>Poissons</w:t>
      </w:r>
    </w:p>
    <w:p w14:paraId="6DFD4354" w14:textId="77777777" w:rsidR="00567B14" w:rsidRPr="00FB73FA" w:rsidRDefault="00567B14" w:rsidP="00567B14">
      <w:pPr>
        <w:widowControl/>
        <w:autoSpaceDE/>
        <w:autoSpaceDN/>
        <w:adjustRightInd/>
        <w:jc w:val="both"/>
        <w:rPr>
          <w:sz w:val="20"/>
          <w:szCs w:val="20"/>
        </w:rPr>
      </w:pPr>
    </w:p>
    <w:p w14:paraId="7E5CC709" w14:textId="151F549A" w:rsidR="00567B14" w:rsidRPr="00FB73FA" w:rsidRDefault="00567B14" w:rsidP="00FB73FA">
      <w:pPr>
        <w:widowControl/>
        <w:autoSpaceDE/>
        <w:autoSpaceDN/>
        <w:adjustRightInd/>
        <w:ind w:left="284" w:hanging="284"/>
        <w:jc w:val="both"/>
        <w:rPr>
          <w:sz w:val="20"/>
          <w:szCs w:val="20"/>
          <w:lang w:val="fr-FR"/>
        </w:rPr>
      </w:pPr>
      <w:r w:rsidRPr="00FB73FA">
        <w:rPr>
          <w:sz w:val="20"/>
          <w:szCs w:val="20"/>
        </w:rPr>
        <w:t xml:space="preserve">Eschmeyer, W.N. (1990). Catalogue of the Genera of Recent Fishes. </w:t>
      </w:r>
      <w:r w:rsidRPr="00FB73FA">
        <w:rPr>
          <w:sz w:val="20"/>
          <w:szCs w:val="20"/>
          <w:lang w:val="fr-FR"/>
        </w:rPr>
        <w:t>California Academy of Sciences, San Francisco, California.</w:t>
      </w:r>
    </w:p>
    <w:p w14:paraId="1F838F33" w14:textId="77777777" w:rsidR="00FB73FA" w:rsidRDefault="00FB73FA" w:rsidP="00FB73FA">
      <w:pPr>
        <w:ind w:left="284" w:hanging="284"/>
        <w:rPr>
          <w:sz w:val="20"/>
          <w:szCs w:val="20"/>
          <w:lang w:val="fr-FR"/>
        </w:rPr>
        <w:sectPr w:rsidR="00FB73FA" w:rsidSect="0052082F">
          <w:headerReference w:type="even" r:id="rId23"/>
          <w:headerReference w:type="default" r:id="rId24"/>
          <w:headerReference w:type="first" r:id="rId25"/>
          <w:footerReference w:type="first" r:id="rId26"/>
          <w:endnotePr>
            <w:numFmt w:val="decimal"/>
          </w:endnotePr>
          <w:pgSz w:w="11905" w:h="16837" w:code="9"/>
          <w:pgMar w:top="1008" w:right="1411" w:bottom="1152" w:left="1411" w:header="432" w:footer="432" w:gutter="0"/>
          <w:cols w:space="720"/>
          <w:noEndnote/>
          <w:titlePg/>
          <w:docGrid w:linePitch="272"/>
        </w:sectPr>
      </w:pPr>
    </w:p>
    <w:p w14:paraId="24FA0AF5" w14:textId="760E5944" w:rsidR="009F798D" w:rsidRPr="00FB73FA" w:rsidRDefault="009F798D" w:rsidP="00FB73FA">
      <w:pPr>
        <w:ind w:left="284" w:hanging="284"/>
        <w:rPr>
          <w:sz w:val="20"/>
          <w:szCs w:val="20"/>
          <w:lang w:val="fr-FR"/>
        </w:rPr>
      </w:pPr>
    </w:p>
    <w:p w14:paraId="65A437F5" w14:textId="5C4C24E8" w:rsidR="009F798D" w:rsidRPr="00EE7072" w:rsidRDefault="009F798D" w:rsidP="009F798D">
      <w:pPr>
        <w:jc w:val="right"/>
        <w:rPr>
          <w:b/>
          <w:lang w:val="fr-FR"/>
        </w:rPr>
      </w:pPr>
      <w:r w:rsidRPr="00EE7072">
        <w:rPr>
          <w:b/>
          <w:lang w:val="fr-FR"/>
        </w:rPr>
        <w:t>ANNEXE 3</w:t>
      </w:r>
    </w:p>
    <w:p w14:paraId="1090A3F9" w14:textId="77777777" w:rsidR="009F798D" w:rsidRPr="00EE7072" w:rsidRDefault="009F798D" w:rsidP="009F798D">
      <w:pPr>
        <w:rPr>
          <w:lang w:val="fr-FR"/>
        </w:rPr>
      </w:pPr>
    </w:p>
    <w:p w14:paraId="42FFFA84" w14:textId="17891BC6" w:rsidR="009F798D" w:rsidRPr="00EE7072" w:rsidRDefault="003909DD" w:rsidP="009F798D">
      <w:pPr>
        <w:spacing w:before="100" w:beforeAutospacing="1" w:after="100" w:afterAutospacing="1"/>
        <w:jc w:val="center"/>
        <w:rPr>
          <w:b/>
          <w:color w:val="000000" w:themeColor="text1"/>
          <w:lang w:val="fr-FR"/>
        </w:rPr>
      </w:pPr>
      <w:r>
        <w:rPr>
          <w:b/>
          <w:lang w:val="fr-FR"/>
        </w:rPr>
        <w:t>PROJET</w:t>
      </w:r>
      <w:r w:rsidR="009F798D" w:rsidRPr="00EE7072">
        <w:rPr>
          <w:b/>
          <w:lang w:val="fr-FR"/>
        </w:rPr>
        <w:t xml:space="preserve"> DE DÉCIS</w:t>
      </w:r>
      <w:r w:rsidR="00FB73FA">
        <w:rPr>
          <w:b/>
          <w:lang w:val="fr-FR"/>
        </w:rPr>
        <w:t>ION</w:t>
      </w:r>
    </w:p>
    <w:p w14:paraId="40259E9E" w14:textId="77777777" w:rsidR="00AB3543" w:rsidRDefault="00AB3543" w:rsidP="009F798D">
      <w:pPr>
        <w:rPr>
          <w:b/>
          <w:bCs/>
          <w:i/>
          <w:iCs/>
          <w:lang w:val="fr-FR"/>
        </w:rPr>
      </w:pPr>
    </w:p>
    <w:p w14:paraId="0891F0F0" w14:textId="19D94B2C" w:rsidR="009F798D" w:rsidRPr="00EE7072" w:rsidRDefault="009F798D" w:rsidP="009F798D">
      <w:pPr>
        <w:rPr>
          <w:b/>
          <w:bCs/>
          <w:i/>
          <w:iCs/>
          <w:lang w:val="fr-FR"/>
        </w:rPr>
      </w:pPr>
      <w:r w:rsidRPr="00EE7072">
        <w:rPr>
          <w:b/>
          <w:bCs/>
          <w:i/>
          <w:iCs/>
          <w:lang w:val="fr-FR"/>
        </w:rPr>
        <w:t>À l’adresse du Secrétariat</w:t>
      </w:r>
    </w:p>
    <w:p w14:paraId="248E6917" w14:textId="77777777" w:rsidR="009F798D" w:rsidRPr="00EE7072" w:rsidRDefault="009F798D" w:rsidP="009F798D">
      <w:pPr>
        <w:rPr>
          <w:lang w:val="fr-FR"/>
        </w:rPr>
      </w:pPr>
    </w:p>
    <w:p w14:paraId="5169A0D6" w14:textId="11F9122E" w:rsidR="009F798D" w:rsidRPr="00FB73FA" w:rsidRDefault="009F798D" w:rsidP="009F798D">
      <w:pPr>
        <w:ind w:left="720" w:hanging="720"/>
        <w:jc w:val="both"/>
        <w:rPr>
          <w:u w:val="single"/>
          <w:lang w:val="fr-FR"/>
        </w:rPr>
      </w:pPr>
      <w:r w:rsidRPr="00EE7072">
        <w:rPr>
          <w:lang w:val="fr-FR"/>
        </w:rPr>
        <w:t>12.AA</w:t>
      </w:r>
      <w:r w:rsidRPr="00EE7072">
        <w:rPr>
          <w:lang w:val="fr-FR"/>
        </w:rPr>
        <w:tab/>
      </w:r>
      <w:r w:rsidRPr="00EE7072">
        <w:rPr>
          <w:i/>
          <w:iCs/>
          <w:strike/>
          <w:szCs w:val="17"/>
          <w:lang w:val="fr-FR"/>
        </w:rPr>
        <w:t>Charge</w:t>
      </w:r>
      <w:r w:rsidRPr="00EE7072">
        <w:rPr>
          <w:i/>
          <w:iCs/>
          <w:szCs w:val="17"/>
          <w:lang w:val="fr-FR"/>
        </w:rPr>
        <w:t xml:space="preserve"> </w:t>
      </w:r>
      <w:r w:rsidR="003953AC" w:rsidRPr="00EE7072">
        <w:rPr>
          <w:szCs w:val="17"/>
          <w:lang w:val="fr-FR"/>
        </w:rPr>
        <w:t>L</w:t>
      </w:r>
      <w:r w:rsidRPr="00EE7072">
        <w:rPr>
          <w:szCs w:val="17"/>
          <w:lang w:val="fr-FR"/>
        </w:rPr>
        <w:t>e Secrétariat, en consultation avec le Conseil sc</w:t>
      </w:r>
      <w:r w:rsidR="00FB73FA">
        <w:rPr>
          <w:szCs w:val="17"/>
          <w:lang w:val="fr-FR"/>
        </w:rPr>
        <w:t>ientifique et le dépositaire, adapte les A</w:t>
      </w:r>
      <w:r w:rsidRPr="00EE7072">
        <w:rPr>
          <w:szCs w:val="17"/>
          <w:lang w:val="fr-FR"/>
        </w:rPr>
        <w:t xml:space="preserve">nnexes de la CMS en fonction de la nouvelle référence adoptée pour les oiseaux et des règles </w:t>
      </w:r>
      <w:r w:rsidRPr="00FB73FA">
        <w:rPr>
          <w:strike/>
          <w:szCs w:val="17"/>
          <w:lang w:val="fr-FR"/>
        </w:rPr>
        <w:t>décrites ci-dessus</w:t>
      </w:r>
      <w:r w:rsidR="00FB73FA">
        <w:rPr>
          <w:szCs w:val="17"/>
          <w:lang w:val="fr-FR"/>
        </w:rPr>
        <w:t xml:space="preserve"> </w:t>
      </w:r>
      <w:r w:rsidR="00AB3543">
        <w:rPr>
          <w:szCs w:val="17"/>
          <w:u w:val="single"/>
          <w:lang w:val="fr-FR"/>
        </w:rPr>
        <w:t>de la Résolution 12X</w:t>
      </w:r>
      <w:r w:rsidR="00FB73FA" w:rsidRPr="00FB73FA">
        <w:rPr>
          <w:szCs w:val="17"/>
          <w:u w:val="single"/>
          <w:lang w:val="fr-FR"/>
        </w:rPr>
        <w:t xml:space="preserve"> sur la taxonomie et la nomenclature.</w:t>
      </w:r>
      <w:r w:rsidRPr="00FB73FA">
        <w:rPr>
          <w:szCs w:val="17"/>
          <w:u w:val="single"/>
          <w:lang w:val="fr-FR"/>
        </w:rPr>
        <w:t>; </w:t>
      </w:r>
    </w:p>
    <w:p w14:paraId="17EF4653" w14:textId="77777777" w:rsidR="009F798D" w:rsidRPr="00EE7072" w:rsidRDefault="009F798D" w:rsidP="009F798D">
      <w:pPr>
        <w:rPr>
          <w:lang w:val="fr-FR"/>
        </w:rPr>
      </w:pPr>
      <w:bookmarkStart w:id="0" w:name="_GoBack"/>
      <w:bookmarkEnd w:id="0"/>
    </w:p>
    <w:sectPr w:rsidR="009F798D" w:rsidRPr="00EE7072" w:rsidSect="0052082F">
      <w:headerReference w:type="first" r:id="rId27"/>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5EE99" w14:textId="77777777" w:rsidR="00193B81" w:rsidRDefault="00193B81">
      <w:r>
        <w:separator/>
      </w:r>
    </w:p>
  </w:endnote>
  <w:endnote w:type="continuationSeparator" w:id="0">
    <w:p w14:paraId="608404D8" w14:textId="77777777" w:rsidR="00193B81" w:rsidRDefault="0019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484C190B" w:rsidR="00193B81" w:rsidRPr="00922791" w:rsidRDefault="00193B81"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3909DD">
      <w:rPr>
        <w:noProof/>
        <w:sz w:val="18"/>
        <w:szCs w:val="18"/>
      </w:rPr>
      <w:t>10</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772E935B" w:rsidR="00193B81" w:rsidRPr="00922791" w:rsidRDefault="00193B81"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3909DD">
      <w:rPr>
        <w:noProof/>
        <w:sz w:val="18"/>
        <w:szCs w:val="18"/>
      </w:rPr>
      <w:t>15</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0A4B" w14:textId="77777777" w:rsidR="00F91925" w:rsidRDefault="00F919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77664D2E" w:rsidR="00193B81" w:rsidRPr="00332843" w:rsidRDefault="00193B81" w:rsidP="0028030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3909DD">
      <w:rPr>
        <w:noProof/>
        <w:sz w:val="18"/>
        <w:szCs w:val="18"/>
      </w:rPr>
      <w:t>3</w:t>
    </w:r>
    <w:r w:rsidRPr="00332843">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2A4C7F4B" w:rsidR="00193B81" w:rsidRPr="00D605A4" w:rsidRDefault="00193B81">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3909DD">
      <w:rPr>
        <w:noProof/>
        <w:sz w:val="18"/>
        <w:szCs w:val="18"/>
      </w:rPr>
      <w:t>16</w:t>
    </w:r>
    <w:r w:rsidRPr="00D605A4">
      <w:rPr>
        <w:noProof/>
        <w:sz w:val="18"/>
        <w:szCs w:val="18"/>
      </w:rPr>
      <w:fldChar w:fldCharType="end"/>
    </w:r>
  </w:p>
  <w:p w14:paraId="3B018E79" w14:textId="77777777" w:rsidR="00193B81" w:rsidRPr="00D605A4" w:rsidRDefault="00193B81"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4FBC6" w14:textId="77777777" w:rsidR="00193B81" w:rsidRDefault="00193B81">
      <w:r>
        <w:separator/>
      </w:r>
    </w:p>
  </w:footnote>
  <w:footnote w:type="continuationSeparator" w:id="0">
    <w:p w14:paraId="56F14C40" w14:textId="77777777" w:rsidR="00193B81" w:rsidRDefault="00193B81">
      <w:r>
        <w:continuationSeparator/>
      </w:r>
    </w:p>
  </w:footnote>
  <w:footnote w:id="1">
    <w:p w14:paraId="021445C2" w14:textId="77777777" w:rsidR="00193B81" w:rsidRPr="006E269E" w:rsidRDefault="00193B81" w:rsidP="00F10CDB">
      <w:pPr>
        <w:pStyle w:val="p1"/>
        <w:rPr>
          <w:sz w:val="18"/>
          <w:szCs w:val="18"/>
          <w:lang w:val="fr-FR"/>
        </w:rPr>
      </w:pPr>
      <w:r w:rsidRPr="006E269E">
        <w:rPr>
          <w:rStyle w:val="FootnoteReference"/>
          <w:rFonts w:cs="Arial"/>
          <w:sz w:val="18"/>
          <w:szCs w:val="18"/>
          <w:vertAlign w:val="superscript"/>
          <w:lang w:val="fr-FR"/>
        </w:rPr>
        <w:t>1</w:t>
      </w:r>
      <w:r w:rsidRPr="006E269E">
        <w:rPr>
          <w:sz w:val="18"/>
          <w:szCs w:val="18"/>
          <w:vertAlign w:val="superscript"/>
          <w:lang w:val="fr-FR"/>
        </w:rPr>
        <w:t xml:space="preserve"> </w:t>
      </w:r>
      <w:r w:rsidRPr="006E269E">
        <w:rPr>
          <w:sz w:val="18"/>
          <w:szCs w:val="18"/>
          <w:lang w:val="fr-FR"/>
        </w:rPr>
        <w:t> Il n'a pas été nécessaire pour l'instant d'établir des références taxonomiques normalisées pour les insectes et les</w:t>
      </w:r>
    </w:p>
    <w:p w14:paraId="6DF04574" w14:textId="402F438C" w:rsidR="00193B81" w:rsidRPr="006E269E" w:rsidRDefault="00193B81" w:rsidP="00F10CDB">
      <w:pPr>
        <w:widowControl/>
        <w:autoSpaceDE/>
        <w:autoSpaceDN/>
        <w:adjustRightInd/>
        <w:rPr>
          <w:rFonts w:ascii="Times" w:hAnsi="Times" w:cs="Times New Roman"/>
          <w:sz w:val="18"/>
          <w:szCs w:val="18"/>
          <w:lang w:val="fr-FR"/>
        </w:rPr>
      </w:pPr>
      <w:r w:rsidRPr="006E269E">
        <w:rPr>
          <w:sz w:val="18"/>
          <w:szCs w:val="18"/>
          <w:lang w:val="fr-FR"/>
        </w:rPr>
        <w:t>reptiles.</w:t>
      </w:r>
    </w:p>
  </w:footnote>
  <w:footnote w:id="2">
    <w:p w14:paraId="52CE9454" w14:textId="66E1E1E3" w:rsidR="00193B81" w:rsidRPr="00FB73FA" w:rsidRDefault="00193B81" w:rsidP="003B7EA1">
      <w:pPr>
        <w:pStyle w:val="p1"/>
        <w:rPr>
          <w:sz w:val="18"/>
          <w:szCs w:val="18"/>
          <w:lang w:val="fr-FR"/>
        </w:rPr>
      </w:pPr>
      <w:r w:rsidRPr="00FB73FA">
        <w:rPr>
          <w:rStyle w:val="FootnoteReference"/>
          <w:rFonts w:cs="Arial"/>
          <w:sz w:val="18"/>
          <w:szCs w:val="18"/>
          <w:vertAlign w:val="superscript"/>
          <w:lang w:val="fr-FR"/>
        </w:rPr>
        <w:t>1</w:t>
      </w:r>
      <w:r w:rsidRPr="00FB73FA">
        <w:rPr>
          <w:sz w:val="18"/>
          <w:szCs w:val="18"/>
          <w:vertAlign w:val="superscript"/>
          <w:lang w:val="fr-FR"/>
        </w:rPr>
        <w:t xml:space="preserve"> </w:t>
      </w:r>
      <w:r w:rsidRPr="00FB73FA">
        <w:rPr>
          <w:sz w:val="18"/>
          <w:szCs w:val="18"/>
          <w:lang w:val="fr-FR"/>
        </w:rPr>
        <w:t> Il n'a pas été nécessaire pour l'instant d'établir des références taxonomiques normalisées pour les insectes et les reptiles.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654D9C3E" w:rsidR="00193B81" w:rsidRPr="00922791" w:rsidRDefault="00193B81"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UNEP/CMS/COP12/Doc.</w:t>
    </w:r>
    <w:r>
      <w:rPr>
        <w:b w:val="0"/>
        <w:i/>
        <w:sz w:val="18"/>
        <w:szCs w:val="18"/>
        <w:lang w:val="en-US"/>
      </w:rPr>
      <w:t>21.2.2</w:t>
    </w:r>
    <w:r w:rsidR="00F91925">
      <w:rPr>
        <w:b w:val="0"/>
        <w:i/>
        <w:sz w:val="18"/>
        <w:szCs w:val="18"/>
        <w:lang w:val="en-US"/>
      </w:rPr>
      <w:t>/Rev.1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924D4" w14:textId="0224E5E0" w:rsidR="00AB3543" w:rsidRPr="00EE7072" w:rsidRDefault="00AB3543" w:rsidP="00D605A4">
    <w:pPr>
      <w:pStyle w:val="Header"/>
      <w:pBdr>
        <w:bottom w:val="single" w:sz="4" w:space="1" w:color="auto"/>
      </w:pBdr>
      <w:rPr>
        <w:i/>
        <w:sz w:val="18"/>
        <w:szCs w:val="18"/>
        <w:lang w:val="fr-FR"/>
      </w:rPr>
    </w:pPr>
    <w:r>
      <w:rPr>
        <w:i/>
        <w:sz w:val="18"/>
        <w:szCs w:val="18"/>
        <w:lang w:val="fr-FR"/>
      </w:rPr>
      <w:t>UNEP</w:t>
    </w:r>
    <w:r w:rsidRPr="00EE7072">
      <w:rPr>
        <w:i/>
        <w:sz w:val="18"/>
        <w:szCs w:val="18"/>
        <w:lang w:val="fr-FR"/>
      </w:rPr>
      <w:t>/CMS/COP12/Doc.21.2.2</w:t>
    </w:r>
    <w:r>
      <w:rPr>
        <w:i/>
        <w:sz w:val="18"/>
        <w:szCs w:val="18"/>
        <w:lang w:val="fr-FR"/>
      </w:rPr>
      <w:t>/</w:t>
    </w:r>
    <w:r w:rsidR="00635720">
      <w:rPr>
        <w:i/>
        <w:sz w:val="18"/>
        <w:szCs w:val="18"/>
        <w:lang w:val="fr-FR"/>
      </w:rPr>
      <w:t>Rev.1</w:t>
    </w:r>
    <w:r w:rsidR="00F91925">
      <w:rPr>
        <w:i/>
        <w:sz w:val="18"/>
        <w:szCs w:val="18"/>
        <w:lang w:val="fr-FR"/>
      </w:rPr>
      <w:t>/</w:t>
    </w:r>
    <w:r>
      <w:rPr>
        <w:i/>
        <w:sz w:val="18"/>
        <w:szCs w:val="18"/>
        <w:lang w:val="fr-FR"/>
      </w:rPr>
      <w:t>Annexe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193B81" w:rsidRPr="00922791" w:rsidRDefault="00193B8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UNEP/CMS/COP11/Doc.6.1</w:t>
    </w:r>
  </w:p>
  <w:p w14:paraId="1CA60BF5" w14:textId="77777777" w:rsidR="00193B81" w:rsidRPr="00354A9C" w:rsidRDefault="00193B8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193B81" w:rsidRDefault="00193B81">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5" name="Picture 5"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60CE1B3B" w:rsidR="00193B81" w:rsidRPr="00922791" w:rsidRDefault="00193B81" w:rsidP="0028030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.21.2.2/</w:t>
    </w:r>
    <w:r w:rsidR="00F91925">
      <w:rPr>
        <w:b w:val="0"/>
        <w:i/>
        <w:sz w:val="18"/>
        <w:szCs w:val="18"/>
        <w:lang w:val="en-US"/>
      </w:rPr>
      <w:t>Rev.1/</w:t>
    </w:r>
    <w:r>
      <w:rPr>
        <w:b w:val="0"/>
        <w:i/>
        <w:sz w:val="18"/>
        <w:szCs w:val="18"/>
        <w:lang w:val="en-US"/>
      </w:rPr>
      <w:t>Annexe 1</w:t>
    </w:r>
  </w:p>
  <w:p w14:paraId="72E845B4" w14:textId="77777777" w:rsidR="00193B81" w:rsidRPr="00332843" w:rsidRDefault="00193B81" w:rsidP="002803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654E6551" w:rsidR="00193B81" w:rsidRPr="00EE7072" w:rsidRDefault="00193B81" w:rsidP="0028030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EE7072">
      <w:rPr>
        <w:b w:val="0"/>
        <w:i/>
        <w:sz w:val="18"/>
        <w:szCs w:val="18"/>
        <w:lang w:val="fr-FR"/>
      </w:rPr>
      <w:t>/CMS/COP12/Doc.21.2.</w:t>
    </w:r>
    <w:r>
      <w:rPr>
        <w:b w:val="0"/>
        <w:i/>
        <w:sz w:val="18"/>
        <w:szCs w:val="18"/>
        <w:lang w:val="fr-FR"/>
      </w:rPr>
      <w:t>2/</w:t>
    </w:r>
    <w:r w:rsidR="00F91925">
      <w:rPr>
        <w:b w:val="0"/>
        <w:i/>
        <w:sz w:val="18"/>
        <w:szCs w:val="18"/>
        <w:lang w:val="fr-FR"/>
      </w:rPr>
      <w:t>Rev.1/</w:t>
    </w:r>
    <w:r>
      <w:rPr>
        <w:b w:val="0"/>
        <w:i/>
        <w:sz w:val="18"/>
        <w:szCs w:val="18"/>
        <w:lang w:val="fr-FR"/>
      </w:rPr>
      <w:t>Annexe 1</w:t>
    </w:r>
  </w:p>
  <w:p w14:paraId="48343EFA" w14:textId="77777777" w:rsidR="00193B81" w:rsidRPr="00EE7072" w:rsidRDefault="00193B81" w:rsidP="0028030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1527396C" w:rsidR="00193B81" w:rsidRPr="00EE7072" w:rsidRDefault="00193B81" w:rsidP="0028030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EE7072">
      <w:rPr>
        <w:b w:val="0"/>
        <w:i/>
        <w:sz w:val="18"/>
        <w:szCs w:val="18"/>
        <w:lang w:val="fr-FR"/>
      </w:rPr>
      <w:t>/CMS/COP12/Doc.21.2.2/</w:t>
    </w:r>
    <w:r w:rsidR="00F91925">
      <w:rPr>
        <w:b w:val="0"/>
        <w:i/>
        <w:sz w:val="18"/>
        <w:szCs w:val="18"/>
        <w:lang w:val="fr-FR"/>
      </w:rPr>
      <w:t>Rev.1/</w:t>
    </w:r>
    <w:r w:rsidRPr="00EE7072">
      <w:rPr>
        <w:b w:val="0"/>
        <w:i/>
        <w:sz w:val="18"/>
        <w:szCs w:val="18"/>
        <w:lang w:val="fr-FR"/>
      </w:rPr>
      <w:t>Annexe 1</w:t>
    </w:r>
  </w:p>
  <w:p w14:paraId="35CB1B5B" w14:textId="77777777" w:rsidR="00193B81" w:rsidRPr="00EE7072" w:rsidRDefault="00193B81" w:rsidP="0028030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4D59" w14:textId="0C11B80A" w:rsidR="008B0844" w:rsidRPr="00922791" w:rsidRDefault="008B0844" w:rsidP="0028030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.21.2.2/</w:t>
    </w:r>
    <w:r w:rsidR="00635720">
      <w:rPr>
        <w:b w:val="0"/>
        <w:i/>
        <w:sz w:val="18"/>
        <w:szCs w:val="18"/>
        <w:lang w:val="en-US"/>
      </w:rPr>
      <w:t>Rev.1</w:t>
    </w:r>
    <w:r w:rsidR="00F91925">
      <w:rPr>
        <w:b w:val="0"/>
        <w:i/>
        <w:sz w:val="18"/>
        <w:szCs w:val="18"/>
        <w:lang w:val="en-US"/>
      </w:rPr>
      <w:t>/</w:t>
    </w:r>
    <w:r>
      <w:rPr>
        <w:b w:val="0"/>
        <w:i/>
        <w:sz w:val="18"/>
        <w:szCs w:val="18"/>
        <w:lang w:val="en-US"/>
      </w:rPr>
      <w:t>Annexe 2</w:t>
    </w:r>
  </w:p>
  <w:p w14:paraId="273C3E74" w14:textId="77777777" w:rsidR="008B0844" w:rsidRPr="00332843" w:rsidRDefault="008B0844" w:rsidP="002803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FC5F" w14:textId="03AD976C" w:rsidR="008B0844" w:rsidRPr="00EE7072" w:rsidRDefault="008B0844" w:rsidP="0028030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EE7072">
      <w:rPr>
        <w:b w:val="0"/>
        <w:i/>
        <w:sz w:val="18"/>
        <w:szCs w:val="18"/>
        <w:lang w:val="fr-FR"/>
      </w:rPr>
      <w:t>/CMS/COP12/Doc.21.2.</w:t>
    </w:r>
    <w:r>
      <w:rPr>
        <w:b w:val="0"/>
        <w:i/>
        <w:sz w:val="18"/>
        <w:szCs w:val="18"/>
        <w:lang w:val="fr-FR"/>
      </w:rPr>
      <w:t>2/</w:t>
    </w:r>
    <w:r w:rsidR="00635720">
      <w:rPr>
        <w:b w:val="0"/>
        <w:i/>
        <w:sz w:val="18"/>
        <w:szCs w:val="18"/>
        <w:lang w:val="fr-FR"/>
      </w:rPr>
      <w:t>Rev.1</w:t>
    </w:r>
    <w:r w:rsidR="00F91925">
      <w:rPr>
        <w:b w:val="0"/>
        <w:i/>
        <w:sz w:val="18"/>
        <w:szCs w:val="18"/>
        <w:lang w:val="fr-FR"/>
      </w:rPr>
      <w:t>/</w:t>
    </w:r>
    <w:r>
      <w:rPr>
        <w:b w:val="0"/>
        <w:i/>
        <w:sz w:val="18"/>
        <w:szCs w:val="18"/>
        <w:lang w:val="fr-FR"/>
      </w:rPr>
      <w:t>Annexe 2</w:t>
    </w:r>
  </w:p>
  <w:p w14:paraId="4FF6892D" w14:textId="77777777" w:rsidR="008B0844" w:rsidRPr="00EE7072" w:rsidRDefault="008B0844" w:rsidP="0028030F">
    <w:pPr>
      <w:jc w:val="right"/>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2DC9B086" w:rsidR="00193B81" w:rsidRPr="00EE7072" w:rsidRDefault="00193B81" w:rsidP="00D605A4">
    <w:pPr>
      <w:pStyle w:val="Header"/>
      <w:pBdr>
        <w:bottom w:val="single" w:sz="4" w:space="1" w:color="auto"/>
      </w:pBdr>
      <w:rPr>
        <w:i/>
        <w:sz w:val="18"/>
        <w:szCs w:val="18"/>
        <w:lang w:val="fr-FR"/>
      </w:rPr>
    </w:pPr>
    <w:r>
      <w:rPr>
        <w:i/>
        <w:sz w:val="18"/>
        <w:szCs w:val="18"/>
        <w:lang w:val="fr-FR"/>
      </w:rPr>
      <w:t>UNEP</w:t>
    </w:r>
    <w:r w:rsidRPr="00EE7072">
      <w:rPr>
        <w:i/>
        <w:sz w:val="18"/>
        <w:szCs w:val="18"/>
        <w:lang w:val="fr-FR"/>
      </w:rPr>
      <w:t>/CMS/COP12/Doc.21.2.2</w:t>
    </w:r>
    <w:r w:rsidR="008B0844">
      <w:rPr>
        <w:i/>
        <w:sz w:val="18"/>
        <w:szCs w:val="18"/>
        <w:lang w:val="fr-FR"/>
      </w:rPr>
      <w:t>/</w:t>
    </w:r>
    <w:r w:rsidR="00635720">
      <w:rPr>
        <w:i/>
        <w:sz w:val="18"/>
        <w:szCs w:val="18"/>
        <w:lang w:val="fr-FR"/>
      </w:rPr>
      <w:t>Rev.1</w:t>
    </w:r>
    <w:r w:rsidR="00F91925">
      <w:rPr>
        <w:i/>
        <w:sz w:val="18"/>
        <w:szCs w:val="18"/>
        <w:lang w:val="fr-FR"/>
      </w:rPr>
      <w:t>/</w:t>
    </w:r>
    <w:r w:rsidR="008B0844">
      <w:rPr>
        <w:i/>
        <w:sz w:val="18"/>
        <w:szCs w:val="18"/>
        <w:lang w:val="fr-FR"/>
      </w:rPr>
      <w:t>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E5F06FF"/>
    <w:multiLevelType w:val="hybridMultilevel"/>
    <w:tmpl w:val="4C2A77E0"/>
    <w:lvl w:ilvl="0" w:tplc="89AE47C0">
      <w:start w:val="2"/>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DD6C81"/>
    <w:multiLevelType w:val="hybridMultilevel"/>
    <w:tmpl w:val="70E450D0"/>
    <w:lvl w:ilvl="0" w:tplc="E13A259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43B732F"/>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321151"/>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1007A0"/>
    <w:multiLevelType w:val="hybridMultilevel"/>
    <w:tmpl w:val="143ED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90FB3"/>
    <w:multiLevelType w:val="hybridMultilevel"/>
    <w:tmpl w:val="922E7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5"/>
  </w:num>
  <w:num w:numId="4">
    <w:abstractNumId w:val="6"/>
  </w:num>
  <w:num w:numId="5">
    <w:abstractNumId w:val="4"/>
  </w:num>
  <w:num w:numId="6">
    <w:abstractNumId w:val="7"/>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2FB6"/>
    <w:rsid w:val="00007296"/>
    <w:rsid w:val="00015815"/>
    <w:rsid w:val="000254DF"/>
    <w:rsid w:val="00033415"/>
    <w:rsid w:val="00036C53"/>
    <w:rsid w:val="000518C2"/>
    <w:rsid w:val="00056DC1"/>
    <w:rsid w:val="00060156"/>
    <w:rsid w:val="00061F63"/>
    <w:rsid w:val="00070B93"/>
    <w:rsid w:val="00070BBC"/>
    <w:rsid w:val="00073C92"/>
    <w:rsid w:val="000749B4"/>
    <w:rsid w:val="00074DA7"/>
    <w:rsid w:val="00080F03"/>
    <w:rsid w:val="000900E1"/>
    <w:rsid w:val="0009076A"/>
    <w:rsid w:val="000B6220"/>
    <w:rsid w:val="000C0E42"/>
    <w:rsid w:val="000C21B1"/>
    <w:rsid w:val="000C3C87"/>
    <w:rsid w:val="000C7460"/>
    <w:rsid w:val="000D4CDB"/>
    <w:rsid w:val="000E01C1"/>
    <w:rsid w:val="000F1156"/>
    <w:rsid w:val="000F52BA"/>
    <w:rsid w:val="001151A3"/>
    <w:rsid w:val="0012294F"/>
    <w:rsid w:val="001245DF"/>
    <w:rsid w:val="00130BFD"/>
    <w:rsid w:val="00135DBE"/>
    <w:rsid w:val="001419C7"/>
    <w:rsid w:val="00150AC4"/>
    <w:rsid w:val="00161CC6"/>
    <w:rsid w:val="00162D88"/>
    <w:rsid w:val="00166ABA"/>
    <w:rsid w:val="001743FD"/>
    <w:rsid w:val="001764E6"/>
    <w:rsid w:val="001808F1"/>
    <w:rsid w:val="00183DCB"/>
    <w:rsid w:val="0018677A"/>
    <w:rsid w:val="00193B81"/>
    <w:rsid w:val="001A28EB"/>
    <w:rsid w:val="001A33B6"/>
    <w:rsid w:val="001A61C8"/>
    <w:rsid w:val="001C3800"/>
    <w:rsid w:val="001C6038"/>
    <w:rsid w:val="001F60A1"/>
    <w:rsid w:val="001F7416"/>
    <w:rsid w:val="00200A67"/>
    <w:rsid w:val="00201F88"/>
    <w:rsid w:val="00202332"/>
    <w:rsid w:val="00205B63"/>
    <w:rsid w:val="00210C67"/>
    <w:rsid w:val="002210F4"/>
    <w:rsid w:val="002218C5"/>
    <w:rsid w:val="00234857"/>
    <w:rsid w:val="00254721"/>
    <w:rsid w:val="00260772"/>
    <w:rsid w:val="00263159"/>
    <w:rsid w:val="00275105"/>
    <w:rsid w:val="002779F7"/>
    <w:rsid w:val="0028030F"/>
    <w:rsid w:val="002C0807"/>
    <w:rsid w:val="002C187A"/>
    <w:rsid w:val="002C20F1"/>
    <w:rsid w:val="002D2863"/>
    <w:rsid w:val="002D5EC0"/>
    <w:rsid w:val="002E16B9"/>
    <w:rsid w:val="002E3DEA"/>
    <w:rsid w:val="002E7CC2"/>
    <w:rsid w:val="002F6F9B"/>
    <w:rsid w:val="0033063D"/>
    <w:rsid w:val="003331C6"/>
    <w:rsid w:val="00345044"/>
    <w:rsid w:val="00351095"/>
    <w:rsid w:val="00354A9C"/>
    <w:rsid w:val="0035546C"/>
    <w:rsid w:val="003639E2"/>
    <w:rsid w:val="00364973"/>
    <w:rsid w:val="00372347"/>
    <w:rsid w:val="003741E8"/>
    <w:rsid w:val="00374421"/>
    <w:rsid w:val="003779D4"/>
    <w:rsid w:val="00382398"/>
    <w:rsid w:val="003909DD"/>
    <w:rsid w:val="003909E4"/>
    <w:rsid w:val="003953AC"/>
    <w:rsid w:val="003A0D8F"/>
    <w:rsid w:val="003A3E30"/>
    <w:rsid w:val="003A70FE"/>
    <w:rsid w:val="003B0C35"/>
    <w:rsid w:val="003B219E"/>
    <w:rsid w:val="003B7EA1"/>
    <w:rsid w:val="003C2826"/>
    <w:rsid w:val="003E21B3"/>
    <w:rsid w:val="003E3744"/>
    <w:rsid w:val="003F0CC0"/>
    <w:rsid w:val="00411E65"/>
    <w:rsid w:val="00420040"/>
    <w:rsid w:val="00423388"/>
    <w:rsid w:val="00426D73"/>
    <w:rsid w:val="00436CD2"/>
    <w:rsid w:val="00445546"/>
    <w:rsid w:val="00446037"/>
    <w:rsid w:val="00454913"/>
    <w:rsid w:val="00457441"/>
    <w:rsid w:val="004579F6"/>
    <w:rsid w:val="004600BB"/>
    <w:rsid w:val="004647DB"/>
    <w:rsid w:val="004656D0"/>
    <w:rsid w:val="00473ABD"/>
    <w:rsid w:val="00480B52"/>
    <w:rsid w:val="00482DCA"/>
    <w:rsid w:val="00496B06"/>
    <w:rsid w:val="004B6CFD"/>
    <w:rsid w:val="004C204D"/>
    <w:rsid w:val="004C2682"/>
    <w:rsid w:val="004D0436"/>
    <w:rsid w:val="004D06D4"/>
    <w:rsid w:val="004D0936"/>
    <w:rsid w:val="004F121F"/>
    <w:rsid w:val="004F243D"/>
    <w:rsid w:val="004F3D8D"/>
    <w:rsid w:val="00507639"/>
    <w:rsid w:val="005076F1"/>
    <w:rsid w:val="00512B91"/>
    <w:rsid w:val="005158EB"/>
    <w:rsid w:val="0052082F"/>
    <w:rsid w:val="00542FCC"/>
    <w:rsid w:val="00553795"/>
    <w:rsid w:val="0055762E"/>
    <w:rsid w:val="005612BD"/>
    <w:rsid w:val="005642CF"/>
    <w:rsid w:val="00565445"/>
    <w:rsid w:val="00566AF2"/>
    <w:rsid w:val="00567B14"/>
    <w:rsid w:val="00575334"/>
    <w:rsid w:val="005817C0"/>
    <w:rsid w:val="00585947"/>
    <w:rsid w:val="00593041"/>
    <w:rsid w:val="00593736"/>
    <w:rsid w:val="005A19CC"/>
    <w:rsid w:val="005B0F06"/>
    <w:rsid w:val="005B58B5"/>
    <w:rsid w:val="005B6141"/>
    <w:rsid w:val="005C0A7F"/>
    <w:rsid w:val="005C3F15"/>
    <w:rsid w:val="005E4313"/>
    <w:rsid w:val="005F3989"/>
    <w:rsid w:val="005F4303"/>
    <w:rsid w:val="005F6BB2"/>
    <w:rsid w:val="00601B52"/>
    <w:rsid w:val="0060280B"/>
    <w:rsid w:val="00604422"/>
    <w:rsid w:val="006226F2"/>
    <w:rsid w:val="0063226E"/>
    <w:rsid w:val="00632540"/>
    <w:rsid w:val="00635720"/>
    <w:rsid w:val="00644060"/>
    <w:rsid w:val="00646B0A"/>
    <w:rsid w:val="00651341"/>
    <w:rsid w:val="00667726"/>
    <w:rsid w:val="006815B2"/>
    <w:rsid w:val="00682B31"/>
    <w:rsid w:val="006864E1"/>
    <w:rsid w:val="006B1037"/>
    <w:rsid w:val="006E269E"/>
    <w:rsid w:val="006E56AD"/>
    <w:rsid w:val="006E5763"/>
    <w:rsid w:val="006E62C6"/>
    <w:rsid w:val="006F6A33"/>
    <w:rsid w:val="00700F71"/>
    <w:rsid w:val="00702632"/>
    <w:rsid w:val="007101BB"/>
    <w:rsid w:val="00712CA9"/>
    <w:rsid w:val="00713308"/>
    <w:rsid w:val="00716D8C"/>
    <w:rsid w:val="0072788F"/>
    <w:rsid w:val="00727E01"/>
    <w:rsid w:val="0073784B"/>
    <w:rsid w:val="00757614"/>
    <w:rsid w:val="007641A9"/>
    <w:rsid w:val="007656CB"/>
    <w:rsid w:val="007728B4"/>
    <w:rsid w:val="0077622E"/>
    <w:rsid w:val="00777913"/>
    <w:rsid w:val="00777FE4"/>
    <w:rsid w:val="0079075D"/>
    <w:rsid w:val="007A4206"/>
    <w:rsid w:val="007A5777"/>
    <w:rsid w:val="007C1468"/>
    <w:rsid w:val="007C41D7"/>
    <w:rsid w:val="007D583B"/>
    <w:rsid w:val="007D706F"/>
    <w:rsid w:val="007F16FB"/>
    <w:rsid w:val="007F1BBA"/>
    <w:rsid w:val="007F3AEC"/>
    <w:rsid w:val="0081600F"/>
    <w:rsid w:val="0082722D"/>
    <w:rsid w:val="008274F7"/>
    <w:rsid w:val="008441F9"/>
    <w:rsid w:val="00846A99"/>
    <w:rsid w:val="008641D1"/>
    <w:rsid w:val="00872F67"/>
    <w:rsid w:val="00876ED1"/>
    <w:rsid w:val="00883A7F"/>
    <w:rsid w:val="00887584"/>
    <w:rsid w:val="00893346"/>
    <w:rsid w:val="00897321"/>
    <w:rsid w:val="008977D0"/>
    <w:rsid w:val="008A0D8D"/>
    <w:rsid w:val="008A2722"/>
    <w:rsid w:val="008A3AC6"/>
    <w:rsid w:val="008B0844"/>
    <w:rsid w:val="008B1A69"/>
    <w:rsid w:val="008B6630"/>
    <w:rsid w:val="008C1A39"/>
    <w:rsid w:val="008E7DFB"/>
    <w:rsid w:val="008F7327"/>
    <w:rsid w:val="008F76F8"/>
    <w:rsid w:val="00902CB0"/>
    <w:rsid w:val="00905E5D"/>
    <w:rsid w:val="009076C8"/>
    <w:rsid w:val="00915BBE"/>
    <w:rsid w:val="00921D62"/>
    <w:rsid w:val="00922791"/>
    <w:rsid w:val="00926175"/>
    <w:rsid w:val="00926953"/>
    <w:rsid w:val="00927CD6"/>
    <w:rsid w:val="00933572"/>
    <w:rsid w:val="00935245"/>
    <w:rsid w:val="009355AE"/>
    <w:rsid w:val="00935D03"/>
    <w:rsid w:val="009363C7"/>
    <w:rsid w:val="00945FFB"/>
    <w:rsid w:val="00971F31"/>
    <w:rsid w:val="00972D36"/>
    <w:rsid w:val="00980406"/>
    <w:rsid w:val="009A2C8F"/>
    <w:rsid w:val="009A4CD2"/>
    <w:rsid w:val="009A7B65"/>
    <w:rsid w:val="009D2AD6"/>
    <w:rsid w:val="009D3A07"/>
    <w:rsid w:val="009D4711"/>
    <w:rsid w:val="009D4F4C"/>
    <w:rsid w:val="009D5DA6"/>
    <w:rsid w:val="009E3A84"/>
    <w:rsid w:val="009E7ACC"/>
    <w:rsid w:val="009F450E"/>
    <w:rsid w:val="009F54DA"/>
    <w:rsid w:val="009F798D"/>
    <w:rsid w:val="00A066BB"/>
    <w:rsid w:val="00A06984"/>
    <w:rsid w:val="00A1324E"/>
    <w:rsid w:val="00A27BE3"/>
    <w:rsid w:val="00A339B9"/>
    <w:rsid w:val="00A40EDF"/>
    <w:rsid w:val="00A4481D"/>
    <w:rsid w:val="00A568DF"/>
    <w:rsid w:val="00A65B6F"/>
    <w:rsid w:val="00A73A79"/>
    <w:rsid w:val="00A91596"/>
    <w:rsid w:val="00A93C52"/>
    <w:rsid w:val="00A948C0"/>
    <w:rsid w:val="00A9743E"/>
    <w:rsid w:val="00AA7368"/>
    <w:rsid w:val="00AA7A90"/>
    <w:rsid w:val="00AB3543"/>
    <w:rsid w:val="00AB4FF9"/>
    <w:rsid w:val="00AC206B"/>
    <w:rsid w:val="00AD2F0A"/>
    <w:rsid w:val="00AE7B21"/>
    <w:rsid w:val="00AF1980"/>
    <w:rsid w:val="00AF2021"/>
    <w:rsid w:val="00B04144"/>
    <w:rsid w:val="00B22874"/>
    <w:rsid w:val="00B402A3"/>
    <w:rsid w:val="00B408EF"/>
    <w:rsid w:val="00B428EE"/>
    <w:rsid w:val="00B471BD"/>
    <w:rsid w:val="00B50C2D"/>
    <w:rsid w:val="00B64904"/>
    <w:rsid w:val="00B67DB0"/>
    <w:rsid w:val="00B96468"/>
    <w:rsid w:val="00BA60CE"/>
    <w:rsid w:val="00BA7E03"/>
    <w:rsid w:val="00BC5607"/>
    <w:rsid w:val="00BE0D1D"/>
    <w:rsid w:val="00BE2448"/>
    <w:rsid w:val="00BE24D4"/>
    <w:rsid w:val="00BF2BE7"/>
    <w:rsid w:val="00C04519"/>
    <w:rsid w:val="00C05102"/>
    <w:rsid w:val="00C13FA6"/>
    <w:rsid w:val="00C169ED"/>
    <w:rsid w:val="00C22FBA"/>
    <w:rsid w:val="00C3737D"/>
    <w:rsid w:val="00C5484D"/>
    <w:rsid w:val="00C618F2"/>
    <w:rsid w:val="00C63A47"/>
    <w:rsid w:val="00C6433A"/>
    <w:rsid w:val="00C73207"/>
    <w:rsid w:val="00C7602A"/>
    <w:rsid w:val="00C82ED9"/>
    <w:rsid w:val="00C8458A"/>
    <w:rsid w:val="00C87D68"/>
    <w:rsid w:val="00C9281B"/>
    <w:rsid w:val="00CA367A"/>
    <w:rsid w:val="00CB1799"/>
    <w:rsid w:val="00CB1D26"/>
    <w:rsid w:val="00CB6498"/>
    <w:rsid w:val="00CC4C21"/>
    <w:rsid w:val="00CC57AD"/>
    <w:rsid w:val="00CE5B83"/>
    <w:rsid w:val="00CF6EDD"/>
    <w:rsid w:val="00D05922"/>
    <w:rsid w:val="00D154E5"/>
    <w:rsid w:val="00D21720"/>
    <w:rsid w:val="00D34292"/>
    <w:rsid w:val="00D42AE1"/>
    <w:rsid w:val="00D51596"/>
    <w:rsid w:val="00D605A4"/>
    <w:rsid w:val="00D61B13"/>
    <w:rsid w:val="00D7746A"/>
    <w:rsid w:val="00D82E48"/>
    <w:rsid w:val="00D8376F"/>
    <w:rsid w:val="00D838FE"/>
    <w:rsid w:val="00D8406F"/>
    <w:rsid w:val="00D859C7"/>
    <w:rsid w:val="00D9021F"/>
    <w:rsid w:val="00DA1080"/>
    <w:rsid w:val="00DA12C2"/>
    <w:rsid w:val="00DA35FD"/>
    <w:rsid w:val="00DB30A6"/>
    <w:rsid w:val="00DB735D"/>
    <w:rsid w:val="00DD6A9E"/>
    <w:rsid w:val="00DE4235"/>
    <w:rsid w:val="00DF20AB"/>
    <w:rsid w:val="00E23367"/>
    <w:rsid w:val="00E30B00"/>
    <w:rsid w:val="00E31B92"/>
    <w:rsid w:val="00E468D0"/>
    <w:rsid w:val="00E475D4"/>
    <w:rsid w:val="00E74D1C"/>
    <w:rsid w:val="00E8526A"/>
    <w:rsid w:val="00E8776E"/>
    <w:rsid w:val="00E9237A"/>
    <w:rsid w:val="00E9446A"/>
    <w:rsid w:val="00EA0B88"/>
    <w:rsid w:val="00EB2285"/>
    <w:rsid w:val="00EC4294"/>
    <w:rsid w:val="00EC4891"/>
    <w:rsid w:val="00EC681E"/>
    <w:rsid w:val="00ED02D3"/>
    <w:rsid w:val="00ED5E31"/>
    <w:rsid w:val="00EE6091"/>
    <w:rsid w:val="00EE64C1"/>
    <w:rsid w:val="00EE7072"/>
    <w:rsid w:val="00EE77F7"/>
    <w:rsid w:val="00EF193B"/>
    <w:rsid w:val="00F05AA0"/>
    <w:rsid w:val="00F061CB"/>
    <w:rsid w:val="00F10CDB"/>
    <w:rsid w:val="00F24050"/>
    <w:rsid w:val="00F248AA"/>
    <w:rsid w:val="00F31539"/>
    <w:rsid w:val="00F444EC"/>
    <w:rsid w:val="00F45FE3"/>
    <w:rsid w:val="00F54D03"/>
    <w:rsid w:val="00F55FDA"/>
    <w:rsid w:val="00F6347A"/>
    <w:rsid w:val="00F7503A"/>
    <w:rsid w:val="00F817C6"/>
    <w:rsid w:val="00F81FEF"/>
    <w:rsid w:val="00F901E4"/>
    <w:rsid w:val="00F91925"/>
    <w:rsid w:val="00F953DA"/>
    <w:rsid w:val="00F978B9"/>
    <w:rsid w:val="00FA61AF"/>
    <w:rsid w:val="00FB0CC7"/>
    <w:rsid w:val="00FB0E0A"/>
    <w:rsid w:val="00FB70A2"/>
    <w:rsid w:val="00FB73FA"/>
    <w:rsid w:val="00FC6DD9"/>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6ED1"/>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269">
      <w:bodyDiv w:val="1"/>
      <w:marLeft w:val="0"/>
      <w:marRight w:val="0"/>
      <w:marTop w:val="0"/>
      <w:marBottom w:val="0"/>
      <w:divBdr>
        <w:top w:val="none" w:sz="0" w:space="0" w:color="auto"/>
        <w:left w:val="none" w:sz="0" w:space="0" w:color="auto"/>
        <w:bottom w:val="none" w:sz="0" w:space="0" w:color="auto"/>
        <w:right w:val="none" w:sz="0" w:space="0" w:color="auto"/>
      </w:divBdr>
    </w:div>
    <w:div w:id="87704210">
      <w:bodyDiv w:val="1"/>
      <w:marLeft w:val="0"/>
      <w:marRight w:val="0"/>
      <w:marTop w:val="0"/>
      <w:marBottom w:val="0"/>
      <w:divBdr>
        <w:top w:val="none" w:sz="0" w:space="0" w:color="auto"/>
        <w:left w:val="none" w:sz="0" w:space="0" w:color="auto"/>
        <w:bottom w:val="none" w:sz="0" w:space="0" w:color="auto"/>
        <w:right w:val="none" w:sz="0" w:space="0" w:color="auto"/>
      </w:divBdr>
    </w:div>
    <w:div w:id="93595697">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150103357">
      <w:bodyDiv w:val="1"/>
      <w:marLeft w:val="0"/>
      <w:marRight w:val="0"/>
      <w:marTop w:val="0"/>
      <w:marBottom w:val="0"/>
      <w:divBdr>
        <w:top w:val="none" w:sz="0" w:space="0" w:color="auto"/>
        <w:left w:val="none" w:sz="0" w:space="0" w:color="auto"/>
        <w:bottom w:val="none" w:sz="0" w:space="0" w:color="auto"/>
        <w:right w:val="none" w:sz="0" w:space="0" w:color="auto"/>
      </w:divBdr>
    </w:div>
    <w:div w:id="164976929">
      <w:bodyDiv w:val="1"/>
      <w:marLeft w:val="0"/>
      <w:marRight w:val="0"/>
      <w:marTop w:val="0"/>
      <w:marBottom w:val="0"/>
      <w:divBdr>
        <w:top w:val="none" w:sz="0" w:space="0" w:color="auto"/>
        <w:left w:val="none" w:sz="0" w:space="0" w:color="auto"/>
        <w:bottom w:val="none" w:sz="0" w:space="0" w:color="auto"/>
        <w:right w:val="none" w:sz="0" w:space="0" w:color="auto"/>
      </w:divBdr>
    </w:div>
    <w:div w:id="189614526">
      <w:bodyDiv w:val="1"/>
      <w:marLeft w:val="0"/>
      <w:marRight w:val="0"/>
      <w:marTop w:val="0"/>
      <w:marBottom w:val="0"/>
      <w:divBdr>
        <w:top w:val="none" w:sz="0" w:space="0" w:color="auto"/>
        <w:left w:val="none" w:sz="0" w:space="0" w:color="auto"/>
        <w:bottom w:val="none" w:sz="0" w:space="0" w:color="auto"/>
        <w:right w:val="none" w:sz="0" w:space="0" w:color="auto"/>
      </w:divBdr>
    </w:div>
    <w:div w:id="198011295">
      <w:bodyDiv w:val="1"/>
      <w:marLeft w:val="0"/>
      <w:marRight w:val="0"/>
      <w:marTop w:val="0"/>
      <w:marBottom w:val="0"/>
      <w:divBdr>
        <w:top w:val="none" w:sz="0" w:space="0" w:color="auto"/>
        <w:left w:val="none" w:sz="0" w:space="0" w:color="auto"/>
        <w:bottom w:val="none" w:sz="0" w:space="0" w:color="auto"/>
        <w:right w:val="none" w:sz="0" w:space="0" w:color="auto"/>
      </w:divBdr>
    </w:div>
    <w:div w:id="208496189">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47202817">
      <w:bodyDiv w:val="1"/>
      <w:marLeft w:val="0"/>
      <w:marRight w:val="0"/>
      <w:marTop w:val="0"/>
      <w:marBottom w:val="0"/>
      <w:divBdr>
        <w:top w:val="none" w:sz="0" w:space="0" w:color="auto"/>
        <w:left w:val="none" w:sz="0" w:space="0" w:color="auto"/>
        <w:bottom w:val="none" w:sz="0" w:space="0" w:color="auto"/>
        <w:right w:val="none" w:sz="0" w:space="0" w:color="auto"/>
      </w:divBdr>
    </w:div>
    <w:div w:id="252395261">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339237102">
      <w:bodyDiv w:val="1"/>
      <w:marLeft w:val="0"/>
      <w:marRight w:val="0"/>
      <w:marTop w:val="0"/>
      <w:marBottom w:val="0"/>
      <w:divBdr>
        <w:top w:val="none" w:sz="0" w:space="0" w:color="auto"/>
        <w:left w:val="none" w:sz="0" w:space="0" w:color="auto"/>
        <w:bottom w:val="none" w:sz="0" w:space="0" w:color="auto"/>
        <w:right w:val="none" w:sz="0" w:space="0" w:color="auto"/>
      </w:divBdr>
    </w:div>
    <w:div w:id="393822841">
      <w:bodyDiv w:val="1"/>
      <w:marLeft w:val="0"/>
      <w:marRight w:val="0"/>
      <w:marTop w:val="0"/>
      <w:marBottom w:val="0"/>
      <w:divBdr>
        <w:top w:val="none" w:sz="0" w:space="0" w:color="auto"/>
        <w:left w:val="none" w:sz="0" w:space="0" w:color="auto"/>
        <w:bottom w:val="none" w:sz="0" w:space="0" w:color="auto"/>
        <w:right w:val="none" w:sz="0" w:space="0" w:color="auto"/>
      </w:divBdr>
    </w:div>
    <w:div w:id="398794207">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14983149">
      <w:bodyDiv w:val="1"/>
      <w:marLeft w:val="0"/>
      <w:marRight w:val="0"/>
      <w:marTop w:val="0"/>
      <w:marBottom w:val="0"/>
      <w:divBdr>
        <w:top w:val="none" w:sz="0" w:space="0" w:color="auto"/>
        <w:left w:val="none" w:sz="0" w:space="0" w:color="auto"/>
        <w:bottom w:val="none" w:sz="0" w:space="0" w:color="auto"/>
        <w:right w:val="none" w:sz="0" w:space="0" w:color="auto"/>
      </w:divBdr>
    </w:div>
    <w:div w:id="461004358">
      <w:bodyDiv w:val="1"/>
      <w:marLeft w:val="0"/>
      <w:marRight w:val="0"/>
      <w:marTop w:val="0"/>
      <w:marBottom w:val="0"/>
      <w:divBdr>
        <w:top w:val="none" w:sz="0" w:space="0" w:color="auto"/>
        <w:left w:val="none" w:sz="0" w:space="0" w:color="auto"/>
        <w:bottom w:val="none" w:sz="0" w:space="0" w:color="auto"/>
        <w:right w:val="none" w:sz="0" w:space="0" w:color="auto"/>
      </w:divBdr>
    </w:div>
    <w:div w:id="466242536">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41402879">
      <w:bodyDiv w:val="1"/>
      <w:marLeft w:val="0"/>
      <w:marRight w:val="0"/>
      <w:marTop w:val="0"/>
      <w:marBottom w:val="0"/>
      <w:divBdr>
        <w:top w:val="none" w:sz="0" w:space="0" w:color="auto"/>
        <w:left w:val="none" w:sz="0" w:space="0" w:color="auto"/>
        <w:bottom w:val="none" w:sz="0" w:space="0" w:color="auto"/>
        <w:right w:val="none" w:sz="0" w:space="0" w:color="auto"/>
      </w:divBdr>
    </w:div>
    <w:div w:id="546457704">
      <w:bodyDiv w:val="1"/>
      <w:marLeft w:val="0"/>
      <w:marRight w:val="0"/>
      <w:marTop w:val="0"/>
      <w:marBottom w:val="0"/>
      <w:divBdr>
        <w:top w:val="none" w:sz="0" w:space="0" w:color="auto"/>
        <w:left w:val="none" w:sz="0" w:space="0" w:color="auto"/>
        <w:bottom w:val="none" w:sz="0" w:space="0" w:color="auto"/>
        <w:right w:val="none" w:sz="0" w:space="0" w:color="auto"/>
      </w:divBdr>
    </w:div>
    <w:div w:id="578752473">
      <w:bodyDiv w:val="1"/>
      <w:marLeft w:val="0"/>
      <w:marRight w:val="0"/>
      <w:marTop w:val="0"/>
      <w:marBottom w:val="0"/>
      <w:divBdr>
        <w:top w:val="none" w:sz="0" w:space="0" w:color="auto"/>
        <w:left w:val="none" w:sz="0" w:space="0" w:color="auto"/>
        <w:bottom w:val="none" w:sz="0" w:space="0" w:color="auto"/>
        <w:right w:val="none" w:sz="0" w:space="0" w:color="auto"/>
      </w:divBdr>
    </w:div>
    <w:div w:id="600334839">
      <w:bodyDiv w:val="1"/>
      <w:marLeft w:val="0"/>
      <w:marRight w:val="0"/>
      <w:marTop w:val="0"/>
      <w:marBottom w:val="0"/>
      <w:divBdr>
        <w:top w:val="none" w:sz="0" w:space="0" w:color="auto"/>
        <w:left w:val="none" w:sz="0" w:space="0" w:color="auto"/>
        <w:bottom w:val="none" w:sz="0" w:space="0" w:color="auto"/>
        <w:right w:val="none" w:sz="0" w:space="0" w:color="auto"/>
      </w:divBdr>
    </w:div>
    <w:div w:id="621424433">
      <w:bodyDiv w:val="1"/>
      <w:marLeft w:val="0"/>
      <w:marRight w:val="0"/>
      <w:marTop w:val="0"/>
      <w:marBottom w:val="0"/>
      <w:divBdr>
        <w:top w:val="none" w:sz="0" w:space="0" w:color="auto"/>
        <w:left w:val="none" w:sz="0" w:space="0" w:color="auto"/>
        <w:bottom w:val="none" w:sz="0" w:space="0" w:color="auto"/>
        <w:right w:val="none" w:sz="0" w:space="0" w:color="auto"/>
      </w:divBdr>
    </w:div>
    <w:div w:id="632490086">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64238566">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718866613">
      <w:bodyDiv w:val="1"/>
      <w:marLeft w:val="0"/>
      <w:marRight w:val="0"/>
      <w:marTop w:val="0"/>
      <w:marBottom w:val="0"/>
      <w:divBdr>
        <w:top w:val="none" w:sz="0" w:space="0" w:color="auto"/>
        <w:left w:val="none" w:sz="0" w:space="0" w:color="auto"/>
        <w:bottom w:val="none" w:sz="0" w:space="0" w:color="auto"/>
        <w:right w:val="none" w:sz="0" w:space="0" w:color="auto"/>
      </w:divBdr>
    </w:div>
    <w:div w:id="737091092">
      <w:bodyDiv w:val="1"/>
      <w:marLeft w:val="0"/>
      <w:marRight w:val="0"/>
      <w:marTop w:val="0"/>
      <w:marBottom w:val="0"/>
      <w:divBdr>
        <w:top w:val="none" w:sz="0" w:space="0" w:color="auto"/>
        <w:left w:val="none" w:sz="0" w:space="0" w:color="auto"/>
        <w:bottom w:val="none" w:sz="0" w:space="0" w:color="auto"/>
        <w:right w:val="none" w:sz="0" w:space="0" w:color="auto"/>
      </w:divBdr>
    </w:div>
    <w:div w:id="737367015">
      <w:bodyDiv w:val="1"/>
      <w:marLeft w:val="0"/>
      <w:marRight w:val="0"/>
      <w:marTop w:val="0"/>
      <w:marBottom w:val="0"/>
      <w:divBdr>
        <w:top w:val="none" w:sz="0" w:space="0" w:color="auto"/>
        <w:left w:val="none" w:sz="0" w:space="0" w:color="auto"/>
        <w:bottom w:val="none" w:sz="0" w:space="0" w:color="auto"/>
        <w:right w:val="none" w:sz="0" w:space="0" w:color="auto"/>
      </w:divBdr>
    </w:div>
    <w:div w:id="813379034">
      <w:bodyDiv w:val="1"/>
      <w:marLeft w:val="0"/>
      <w:marRight w:val="0"/>
      <w:marTop w:val="0"/>
      <w:marBottom w:val="0"/>
      <w:divBdr>
        <w:top w:val="none" w:sz="0" w:space="0" w:color="auto"/>
        <w:left w:val="none" w:sz="0" w:space="0" w:color="auto"/>
        <w:bottom w:val="none" w:sz="0" w:space="0" w:color="auto"/>
        <w:right w:val="none" w:sz="0" w:space="0" w:color="auto"/>
      </w:divBdr>
    </w:div>
    <w:div w:id="826628898">
      <w:bodyDiv w:val="1"/>
      <w:marLeft w:val="0"/>
      <w:marRight w:val="0"/>
      <w:marTop w:val="0"/>
      <w:marBottom w:val="0"/>
      <w:divBdr>
        <w:top w:val="none" w:sz="0" w:space="0" w:color="auto"/>
        <w:left w:val="none" w:sz="0" w:space="0" w:color="auto"/>
        <w:bottom w:val="none" w:sz="0" w:space="0" w:color="auto"/>
        <w:right w:val="none" w:sz="0" w:space="0" w:color="auto"/>
      </w:divBdr>
    </w:div>
    <w:div w:id="828180579">
      <w:bodyDiv w:val="1"/>
      <w:marLeft w:val="0"/>
      <w:marRight w:val="0"/>
      <w:marTop w:val="0"/>
      <w:marBottom w:val="0"/>
      <w:divBdr>
        <w:top w:val="none" w:sz="0" w:space="0" w:color="auto"/>
        <w:left w:val="none" w:sz="0" w:space="0" w:color="auto"/>
        <w:bottom w:val="none" w:sz="0" w:space="0" w:color="auto"/>
        <w:right w:val="none" w:sz="0" w:space="0" w:color="auto"/>
      </w:divBdr>
    </w:div>
    <w:div w:id="855313425">
      <w:bodyDiv w:val="1"/>
      <w:marLeft w:val="0"/>
      <w:marRight w:val="0"/>
      <w:marTop w:val="0"/>
      <w:marBottom w:val="0"/>
      <w:divBdr>
        <w:top w:val="none" w:sz="0" w:space="0" w:color="auto"/>
        <w:left w:val="none" w:sz="0" w:space="0" w:color="auto"/>
        <w:bottom w:val="none" w:sz="0" w:space="0" w:color="auto"/>
        <w:right w:val="none" w:sz="0" w:space="0" w:color="auto"/>
      </w:divBdr>
    </w:div>
    <w:div w:id="913585998">
      <w:bodyDiv w:val="1"/>
      <w:marLeft w:val="0"/>
      <w:marRight w:val="0"/>
      <w:marTop w:val="0"/>
      <w:marBottom w:val="0"/>
      <w:divBdr>
        <w:top w:val="none" w:sz="0" w:space="0" w:color="auto"/>
        <w:left w:val="none" w:sz="0" w:space="0" w:color="auto"/>
        <w:bottom w:val="none" w:sz="0" w:space="0" w:color="auto"/>
        <w:right w:val="none" w:sz="0" w:space="0" w:color="auto"/>
      </w:divBdr>
    </w:div>
    <w:div w:id="923805245">
      <w:bodyDiv w:val="1"/>
      <w:marLeft w:val="0"/>
      <w:marRight w:val="0"/>
      <w:marTop w:val="0"/>
      <w:marBottom w:val="0"/>
      <w:divBdr>
        <w:top w:val="none" w:sz="0" w:space="0" w:color="auto"/>
        <w:left w:val="none" w:sz="0" w:space="0" w:color="auto"/>
        <w:bottom w:val="none" w:sz="0" w:space="0" w:color="auto"/>
        <w:right w:val="none" w:sz="0" w:space="0" w:color="auto"/>
      </w:divBdr>
    </w:div>
    <w:div w:id="924873735">
      <w:bodyDiv w:val="1"/>
      <w:marLeft w:val="0"/>
      <w:marRight w:val="0"/>
      <w:marTop w:val="0"/>
      <w:marBottom w:val="0"/>
      <w:divBdr>
        <w:top w:val="none" w:sz="0" w:space="0" w:color="auto"/>
        <w:left w:val="none" w:sz="0" w:space="0" w:color="auto"/>
        <w:bottom w:val="none" w:sz="0" w:space="0" w:color="auto"/>
        <w:right w:val="none" w:sz="0" w:space="0" w:color="auto"/>
      </w:divBdr>
    </w:div>
    <w:div w:id="942684127">
      <w:bodyDiv w:val="1"/>
      <w:marLeft w:val="0"/>
      <w:marRight w:val="0"/>
      <w:marTop w:val="0"/>
      <w:marBottom w:val="0"/>
      <w:divBdr>
        <w:top w:val="none" w:sz="0" w:space="0" w:color="auto"/>
        <w:left w:val="none" w:sz="0" w:space="0" w:color="auto"/>
        <w:bottom w:val="none" w:sz="0" w:space="0" w:color="auto"/>
        <w:right w:val="none" w:sz="0" w:space="0" w:color="auto"/>
      </w:divBdr>
    </w:div>
    <w:div w:id="960842904">
      <w:bodyDiv w:val="1"/>
      <w:marLeft w:val="0"/>
      <w:marRight w:val="0"/>
      <w:marTop w:val="0"/>
      <w:marBottom w:val="0"/>
      <w:divBdr>
        <w:top w:val="none" w:sz="0" w:space="0" w:color="auto"/>
        <w:left w:val="none" w:sz="0" w:space="0" w:color="auto"/>
        <w:bottom w:val="none" w:sz="0" w:space="0" w:color="auto"/>
        <w:right w:val="none" w:sz="0" w:space="0" w:color="auto"/>
      </w:divBdr>
    </w:div>
    <w:div w:id="970134093">
      <w:bodyDiv w:val="1"/>
      <w:marLeft w:val="0"/>
      <w:marRight w:val="0"/>
      <w:marTop w:val="0"/>
      <w:marBottom w:val="0"/>
      <w:divBdr>
        <w:top w:val="none" w:sz="0" w:space="0" w:color="auto"/>
        <w:left w:val="none" w:sz="0" w:space="0" w:color="auto"/>
        <w:bottom w:val="none" w:sz="0" w:space="0" w:color="auto"/>
        <w:right w:val="none" w:sz="0" w:space="0" w:color="auto"/>
      </w:divBdr>
    </w:div>
    <w:div w:id="982930395">
      <w:bodyDiv w:val="1"/>
      <w:marLeft w:val="0"/>
      <w:marRight w:val="0"/>
      <w:marTop w:val="0"/>
      <w:marBottom w:val="0"/>
      <w:divBdr>
        <w:top w:val="none" w:sz="0" w:space="0" w:color="auto"/>
        <w:left w:val="none" w:sz="0" w:space="0" w:color="auto"/>
        <w:bottom w:val="none" w:sz="0" w:space="0" w:color="auto"/>
        <w:right w:val="none" w:sz="0" w:space="0" w:color="auto"/>
      </w:divBdr>
    </w:div>
    <w:div w:id="1021515243">
      <w:bodyDiv w:val="1"/>
      <w:marLeft w:val="0"/>
      <w:marRight w:val="0"/>
      <w:marTop w:val="0"/>
      <w:marBottom w:val="0"/>
      <w:divBdr>
        <w:top w:val="none" w:sz="0" w:space="0" w:color="auto"/>
        <w:left w:val="none" w:sz="0" w:space="0" w:color="auto"/>
        <w:bottom w:val="none" w:sz="0" w:space="0" w:color="auto"/>
        <w:right w:val="none" w:sz="0" w:space="0" w:color="auto"/>
      </w:divBdr>
    </w:div>
    <w:div w:id="1027877773">
      <w:bodyDiv w:val="1"/>
      <w:marLeft w:val="0"/>
      <w:marRight w:val="0"/>
      <w:marTop w:val="0"/>
      <w:marBottom w:val="0"/>
      <w:divBdr>
        <w:top w:val="none" w:sz="0" w:space="0" w:color="auto"/>
        <w:left w:val="none" w:sz="0" w:space="0" w:color="auto"/>
        <w:bottom w:val="none" w:sz="0" w:space="0" w:color="auto"/>
        <w:right w:val="none" w:sz="0" w:space="0" w:color="auto"/>
      </w:divBdr>
    </w:div>
    <w:div w:id="1080374885">
      <w:bodyDiv w:val="1"/>
      <w:marLeft w:val="0"/>
      <w:marRight w:val="0"/>
      <w:marTop w:val="0"/>
      <w:marBottom w:val="0"/>
      <w:divBdr>
        <w:top w:val="none" w:sz="0" w:space="0" w:color="auto"/>
        <w:left w:val="none" w:sz="0" w:space="0" w:color="auto"/>
        <w:bottom w:val="none" w:sz="0" w:space="0" w:color="auto"/>
        <w:right w:val="none" w:sz="0" w:space="0" w:color="auto"/>
      </w:divBdr>
    </w:div>
    <w:div w:id="1092311141">
      <w:bodyDiv w:val="1"/>
      <w:marLeft w:val="0"/>
      <w:marRight w:val="0"/>
      <w:marTop w:val="0"/>
      <w:marBottom w:val="0"/>
      <w:divBdr>
        <w:top w:val="none" w:sz="0" w:space="0" w:color="auto"/>
        <w:left w:val="none" w:sz="0" w:space="0" w:color="auto"/>
        <w:bottom w:val="none" w:sz="0" w:space="0" w:color="auto"/>
        <w:right w:val="none" w:sz="0" w:space="0" w:color="auto"/>
      </w:divBdr>
    </w:div>
    <w:div w:id="1094932820">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00624620">
      <w:bodyDiv w:val="1"/>
      <w:marLeft w:val="0"/>
      <w:marRight w:val="0"/>
      <w:marTop w:val="0"/>
      <w:marBottom w:val="0"/>
      <w:divBdr>
        <w:top w:val="none" w:sz="0" w:space="0" w:color="auto"/>
        <w:left w:val="none" w:sz="0" w:space="0" w:color="auto"/>
        <w:bottom w:val="none" w:sz="0" w:space="0" w:color="auto"/>
        <w:right w:val="none" w:sz="0" w:space="0" w:color="auto"/>
      </w:divBdr>
    </w:div>
    <w:div w:id="1204752700">
      <w:bodyDiv w:val="1"/>
      <w:marLeft w:val="0"/>
      <w:marRight w:val="0"/>
      <w:marTop w:val="0"/>
      <w:marBottom w:val="0"/>
      <w:divBdr>
        <w:top w:val="none" w:sz="0" w:space="0" w:color="auto"/>
        <w:left w:val="none" w:sz="0" w:space="0" w:color="auto"/>
        <w:bottom w:val="none" w:sz="0" w:space="0" w:color="auto"/>
        <w:right w:val="none" w:sz="0" w:space="0" w:color="auto"/>
      </w:divBdr>
    </w:div>
    <w:div w:id="1210605926">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257907504">
      <w:bodyDiv w:val="1"/>
      <w:marLeft w:val="0"/>
      <w:marRight w:val="0"/>
      <w:marTop w:val="0"/>
      <w:marBottom w:val="0"/>
      <w:divBdr>
        <w:top w:val="none" w:sz="0" w:space="0" w:color="auto"/>
        <w:left w:val="none" w:sz="0" w:space="0" w:color="auto"/>
        <w:bottom w:val="none" w:sz="0" w:space="0" w:color="auto"/>
        <w:right w:val="none" w:sz="0" w:space="0" w:color="auto"/>
      </w:divBdr>
    </w:div>
    <w:div w:id="1327854720">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56287508">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55850530">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09770318">
      <w:bodyDiv w:val="1"/>
      <w:marLeft w:val="0"/>
      <w:marRight w:val="0"/>
      <w:marTop w:val="0"/>
      <w:marBottom w:val="0"/>
      <w:divBdr>
        <w:top w:val="none" w:sz="0" w:space="0" w:color="auto"/>
        <w:left w:val="none" w:sz="0" w:space="0" w:color="auto"/>
        <w:bottom w:val="none" w:sz="0" w:space="0" w:color="auto"/>
        <w:right w:val="none" w:sz="0" w:space="0" w:color="auto"/>
      </w:divBdr>
    </w:div>
    <w:div w:id="1617327774">
      <w:bodyDiv w:val="1"/>
      <w:marLeft w:val="0"/>
      <w:marRight w:val="0"/>
      <w:marTop w:val="0"/>
      <w:marBottom w:val="0"/>
      <w:divBdr>
        <w:top w:val="none" w:sz="0" w:space="0" w:color="auto"/>
        <w:left w:val="none" w:sz="0" w:space="0" w:color="auto"/>
        <w:bottom w:val="none" w:sz="0" w:space="0" w:color="auto"/>
        <w:right w:val="none" w:sz="0" w:space="0" w:color="auto"/>
      </w:divBdr>
    </w:div>
    <w:div w:id="1623883046">
      <w:bodyDiv w:val="1"/>
      <w:marLeft w:val="0"/>
      <w:marRight w:val="0"/>
      <w:marTop w:val="0"/>
      <w:marBottom w:val="0"/>
      <w:divBdr>
        <w:top w:val="none" w:sz="0" w:space="0" w:color="auto"/>
        <w:left w:val="none" w:sz="0" w:space="0" w:color="auto"/>
        <w:bottom w:val="none" w:sz="0" w:space="0" w:color="auto"/>
        <w:right w:val="none" w:sz="0" w:space="0" w:color="auto"/>
      </w:divBdr>
    </w:div>
    <w:div w:id="1636762797">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682468967">
      <w:bodyDiv w:val="1"/>
      <w:marLeft w:val="0"/>
      <w:marRight w:val="0"/>
      <w:marTop w:val="0"/>
      <w:marBottom w:val="0"/>
      <w:divBdr>
        <w:top w:val="none" w:sz="0" w:space="0" w:color="auto"/>
        <w:left w:val="none" w:sz="0" w:space="0" w:color="auto"/>
        <w:bottom w:val="none" w:sz="0" w:space="0" w:color="auto"/>
        <w:right w:val="none" w:sz="0" w:space="0" w:color="auto"/>
      </w:divBdr>
    </w:div>
    <w:div w:id="1682588716">
      <w:bodyDiv w:val="1"/>
      <w:marLeft w:val="0"/>
      <w:marRight w:val="0"/>
      <w:marTop w:val="0"/>
      <w:marBottom w:val="0"/>
      <w:divBdr>
        <w:top w:val="none" w:sz="0" w:space="0" w:color="auto"/>
        <w:left w:val="none" w:sz="0" w:space="0" w:color="auto"/>
        <w:bottom w:val="none" w:sz="0" w:space="0" w:color="auto"/>
        <w:right w:val="none" w:sz="0" w:space="0" w:color="auto"/>
      </w:divBdr>
    </w:div>
    <w:div w:id="1701052421">
      <w:bodyDiv w:val="1"/>
      <w:marLeft w:val="0"/>
      <w:marRight w:val="0"/>
      <w:marTop w:val="0"/>
      <w:marBottom w:val="0"/>
      <w:divBdr>
        <w:top w:val="none" w:sz="0" w:space="0" w:color="auto"/>
        <w:left w:val="none" w:sz="0" w:space="0" w:color="auto"/>
        <w:bottom w:val="none" w:sz="0" w:space="0" w:color="auto"/>
        <w:right w:val="none" w:sz="0" w:space="0" w:color="auto"/>
      </w:divBdr>
    </w:div>
    <w:div w:id="1707633566">
      <w:bodyDiv w:val="1"/>
      <w:marLeft w:val="0"/>
      <w:marRight w:val="0"/>
      <w:marTop w:val="0"/>
      <w:marBottom w:val="0"/>
      <w:divBdr>
        <w:top w:val="none" w:sz="0" w:space="0" w:color="auto"/>
        <w:left w:val="none" w:sz="0" w:space="0" w:color="auto"/>
        <w:bottom w:val="none" w:sz="0" w:space="0" w:color="auto"/>
        <w:right w:val="none" w:sz="0" w:space="0" w:color="auto"/>
      </w:divBdr>
    </w:div>
    <w:div w:id="1749183424">
      <w:bodyDiv w:val="1"/>
      <w:marLeft w:val="0"/>
      <w:marRight w:val="0"/>
      <w:marTop w:val="0"/>
      <w:marBottom w:val="0"/>
      <w:divBdr>
        <w:top w:val="none" w:sz="0" w:space="0" w:color="auto"/>
        <w:left w:val="none" w:sz="0" w:space="0" w:color="auto"/>
        <w:bottom w:val="none" w:sz="0" w:space="0" w:color="auto"/>
        <w:right w:val="none" w:sz="0" w:space="0" w:color="auto"/>
      </w:divBdr>
    </w:div>
    <w:div w:id="1752579044">
      <w:bodyDiv w:val="1"/>
      <w:marLeft w:val="0"/>
      <w:marRight w:val="0"/>
      <w:marTop w:val="0"/>
      <w:marBottom w:val="0"/>
      <w:divBdr>
        <w:top w:val="none" w:sz="0" w:space="0" w:color="auto"/>
        <w:left w:val="none" w:sz="0" w:space="0" w:color="auto"/>
        <w:bottom w:val="none" w:sz="0" w:space="0" w:color="auto"/>
        <w:right w:val="none" w:sz="0" w:space="0" w:color="auto"/>
      </w:divBdr>
    </w:div>
    <w:div w:id="1762022880">
      <w:bodyDiv w:val="1"/>
      <w:marLeft w:val="0"/>
      <w:marRight w:val="0"/>
      <w:marTop w:val="0"/>
      <w:marBottom w:val="0"/>
      <w:divBdr>
        <w:top w:val="none" w:sz="0" w:space="0" w:color="auto"/>
        <w:left w:val="none" w:sz="0" w:space="0" w:color="auto"/>
        <w:bottom w:val="none" w:sz="0" w:space="0" w:color="auto"/>
        <w:right w:val="none" w:sz="0" w:space="0" w:color="auto"/>
      </w:divBdr>
    </w:div>
    <w:div w:id="1782652831">
      <w:bodyDiv w:val="1"/>
      <w:marLeft w:val="0"/>
      <w:marRight w:val="0"/>
      <w:marTop w:val="0"/>
      <w:marBottom w:val="0"/>
      <w:divBdr>
        <w:top w:val="none" w:sz="0" w:space="0" w:color="auto"/>
        <w:left w:val="none" w:sz="0" w:space="0" w:color="auto"/>
        <w:bottom w:val="none" w:sz="0" w:space="0" w:color="auto"/>
        <w:right w:val="none" w:sz="0" w:space="0" w:color="auto"/>
      </w:divBdr>
    </w:div>
    <w:div w:id="1783063350">
      <w:bodyDiv w:val="1"/>
      <w:marLeft w:val="0"/>
      <w:marRight w:val="0"/>
      <w:marTop w:val="0"/>
      <w:marBottom w:val="0"/>
      <w:divBdr>
        <w:top w:val="none" w:sz="0" w:space="0" w:color="auto"/>
        <w:left w:val="none" w:sz="0" w:space="0" w:color="auto"/>
        <w:bottom w:val="none" w:sz="0" w:space="0" w:color="auto"/>
        <w:right w:val="none" w:sz="0" w:space="0" w:color="auto"/>
      </w:divBdr>
    </w:div>
    <w:div w:id="1790053948">
      <w:bodyDiv w:val="1"/>
      <w:marLeft w:val="0"/>
      <w:marRight w:val="0"/>
      <w:marTop w:val="0"/>
      <w:marBottom w:val="0"/>
      <w:divBdr>
        <w:top w:val="none" w:sz="0" w:space="0" w:color="auto"/>
        <w:left w:val="none" w:sz="0" w:space="0" w:color="auto"/>
        <w:bottom w:val="none" w:sz="0" w:space="0" w:color="auto"/>
        <w:right w:val="none" w:sz="0" w:space="0" w:color="auto"/>
      </w:divBdr>
    </w:div>
    <w:div w:id="1803647727">
      <w:bodyDiv w:val="1"/>
      <w:marLeft w:val="0"/>
      <w:marRight w:val="0"/>
      <w:marTop w:val="0"/>
      <w:marBottom w:val="0"/>
      <w:divBdr>
        <w:top w:val="none" w:sz="0" w:space="0" w:color="auto"/>
        <w:left w:val="none" w:sz="0" w:space="0" w:color="auto"/>
        <w:bottom w:val="none" w:sz="0" w:space="0" w:color="auto"/>
        <w:right w:val="none" w:sz="0" w:space="0" w:color="auto"/>
      </w:divBdr>
    </w:div>
    <w:div w:id="1842550528">
      <w:bodyDiv w:val="1"/>
      <w:marLeft w:val="0"/>
      <w:marRight w:val="0"/>
      <w:marTop w:val="0"/>
      <w:marBottom w:val="0"/>
      <w:divBdr>
        <w:top w:val="none" w:sz="0" w:space="0" w:color="auto"/>
        <w:left w:val="none" w:sz="0" w:space="0" w:color="auto"/>
        <w:bottom w:val="none" w:sz="0" w:space="0" w:color="auto"/>
        <w:right w:val="none" w:sz="0" w:space="0" w:color="auto"/>
      </w:divBdr>
    </w:div>
    <w:div w:id="1898930839">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77761021">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2021542152">
      <w:bodyDiv w:val="1"/>
      <w:marLeft w:val="0"/>
      <w:marRight w:val="0"/>
      <w:marTop w:val="0"/>
      <w:marBottom w:val="0"/>
      <w:divBdr>
        <w:top w:val="none" w:sz="0" w:space="0" w:color="auto"/>
        <w:left w:val="none" w:sz="0" w:space="0" w:color="auto"/>
        <w:bottom w:val="none" w:sz="0" w:space="0" w:color="auto"/>
        <w:right w:val="none" w:sz="0" w:space="0" w:color="auto"/>
      </w:divBdr>
    </w:div>
    <w:div w:id="2089157941">
      <w:bodyDiv w:val="1"/>
      <w:marLeft w:val="0"/>
      <w:marRight w:val="0"/>
      <w:marTop w:val="0"/>
      <w:marBottom w:val="0"/>
      <w:divBdr>
        <w:top w:val="none" w:sz="0" w:space="0" w:color="auto"/>
        <w:left w:val="none" w:sz="0" w:space="0" w:color="auto"/>
        <w:bottom w:val="none" w:sz="0" w:space="0" w:color="auto"/>
        <w:right w:val="none" w:sz="0" w:space="0" w:color="auto"/>
      </w:divBdr>
    </w:div>
    <w:div w:id="2097245389">
      <w:bodyDiv w:val="1"/>
      <w:marLeft w:val="0"/>
      <w:marRight w:val="0"/>
      <w:marTop w:val="0"/>
      <w:marBottom w:val="0"/>
      <w:divBdr>
        <w:top w:val="none" w:sz="0" w:space="0" w:color="auto"/>
        <w:left w:val="none" w:sz="0" w:space="0" w:color="auto"/>
        <w:bottom w:val="none" w:sz="0" w:space="0" w:color="auto"/>
        <w:right w:val="none" w:sz="0" w:space="0" w:color="auto"/>
      </w:divBdr>
    </w:div>
    <w:div w:id="2106025306">
      <w:bodyDiv w:val="1"/>
      <w:marLeft w:val="0"/>
      <w:marRight w:val="0"/>
      <w:marTop w:val="0"/>
      <w:marBottom w:val="0"/>
      <w:divBdr>
        <w:top w:val="none" w:sz="0" w:space="0" w:color="auto"/>
        <w:left w:val="none" w:sz="0" w:space="0" w:color="auto"/>
        <w:bottom w:val="none" w:sz="0" w:space="0" w:color="auto"/>
        <w:right w:val="none" w:sz="0" w:space="0" w:color="auto"/>
      </w:divBdr>
    </w:div>
    <w:div w:id="2121072700">
      <w:bodyDiv w:val="1"/>
      <w:marLeft w:val="0"/>
      <w:marRight w:val="0"/>
      <w:marTop w:val="0"/>
      <w:marBottom w:val="0"/>
      <w:divBdr>
        <w:top w:val="none" w:sz="0" w:space="0" w:color="auto"/>
        <w:left w:val="none" w:sz="0" w:space="0" w:color="auto"/>
        <w:bottom w:val="none" w:sz="0" w:space="0" w:color="auto"/>
        <w:right w:val="none" w:sz="0" w:space="0" w:color="auto"/>
      </w:divBdr>
    </w:div>
    <w:div w:id="21211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cms.int/sites/default/files/document/Res_11_19_Taxonomie_Nomenclature_oiseaux_F.pdf"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s.int/sites/default/files/document/10_13_nomenclature_f_0_0.pdf"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http://www.cms.int/sites/default/files/document/Rec_9_04_Nomenclature_Fr_0.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cms.int/sites/default/files/document/Rec6.1_F_0_0.pdf"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0.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2717-A0C1-43AF-8A91-D65750DB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4</TotalTime>
  <Pages>16</Pages>
  <Words>5824</Words>
  <Characters>33198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38945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5</cp:revision>
  <cp:lastPrinted>2017-06-19T06:41:00Z</cp:lastPrinted>
  <dcterms:created xsi:type="dcterms:W3CDTF">2017-06-19T06:40:00Z</dcterms:created>
  <dcterms:modified xsi:type="dcterms:W3CDTF">2017-06-19T07:02:00Z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