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7C3B56">
        <w:rPr>
          <w:b/>
          <w:sz w:val="22"/>
          <w:szCs w:val="22"/>
          <w:lang w:val="en-GB"/>
        </w:rPr>
        <w:t xml:space="preserve"> Version</w:t>
      </w: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ScC-SC2) </w:t>
      </w:r>
      <w:bookmarkStart w:id="0" w:name="_GoBack"/>
      <w:bookmarkEnd w:id="0"/>
    </w:p>
    <w:p w:rsidR="00BF42FC" w:rsidRPr="00BF42FC" w:rsidRDefault="00BF42FC" w:rsidP="00BF42FC">
      <w:pPr>
        <w:rPr>
          <w:lang w:val="en-GB"/>
        </w:rPr>
      </w:pPr>
    </w:p>
    <w:p w:rsidR="00BF42F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F38F9" w:rsidRPr="007C3B56" w:rsidRDefault="008009F2" w:rsidP="00DF38F9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RECREATIONAL IN-WATER INTERACTION WITH AQUATIC MAMMALS</w:t>
      </w:r>
    </w:p>
    <w:p w:rsidR="000F1354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7C3B56">
        <w:rPr>
          <w:rFonts w:cs="Arial"/>
          <w:sz w:val="22"/>
          <w:szCs w:val="22"/>
          <w:lang w:val="en-GB"/>
        </w:rPr>
        <w:t>UNEP/CMS/COP12/DOC.</w:t>
      </w:r>
      <w:r w:rsidR="003D4255">
        <w:rPr>
          <w:rFonts w:cs="Arial"/>
          <w:sz w:val="22"/>
          <w:szCs w:val="22"/>
          <w:lang w:val="en-GB"/>
        </w:rPr>
        <w:t>24.2.</w:t>
      </w:r>
      <w:r w:rsidR="008009F2">
        <w:rPr>
          <w:rFonts w:cs="Arial"/>
          <w:sz w:val="22"/>
          <w:szCs w:val="22"/>
          <w:lang w:val="en-GB"/>
        </w:rPr>
        <w:t>5</w:t>
      </w:r>
    </w:p>
    <w:p w:rsidR="00BF42FC" w:rsidRPr="00BF42F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E45FB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135D14" w:rsidRDefault="00796FE6" w:rsidP="0008052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Council agrees this is an e</w:t>
      </w:r>
      <w:r w:rsidR="00135D14">
        <w:rPr>
          <w:rFonts w:cs="Arial"/>
          <w:sz w:val="22"/>
          <w:szCs w:val="22"/>
        </w:rPr>
        <w:t>merging issue, important that it is brought to the attention of Parties</w:t>
      </w:r>
      <w:r w:rsidR="002513AF">
        <w:rPr>
          <w:rFonts w:cs="Arial"/>
          <w:sz w:val="22"/>
          <w:szCs w:val="22"/>
        </w:rPr>
        <w:t>.</w:t>
      </w:r>
    </w:p>
    <w:p w:rsidR="006356C5" w:rsidRDefault="00E26FE7" w:rsidP="0008052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With reference to</w:t>
      </w:r>
      <w:proofErr w:type="gramEnd"/>
      <w:r>
        <w:rPr>
          <w:rFonts w:cs="Arial"/>
          <w:sz w:val="22"/>
          <w:szCs w:val="22"/>
        </w:rPr>
        <w:t xml:space="preserve"> paragraph 41 of the report (Annex 1), in addition,</w:t>
      </w:r>
      <w:r w:rsidR="00796FE6">
        <w:rPr>
          <w:rFonts w:cs="Arial"/>
          <w:sz w:val="22"/>
          <w:szCs w:val="22"/>
        </w:rPr>
        <w:t xml:space="preserve"> it should be noted that</w:t>
      </w:r>
      <w:r>
        <w:rPr>
          <w:rFonts w:cs="Arial"/>
          <w:sz w:val="22"/>
          <w:szCs w:val="22"/>
        </w:rPr>
        <w:t xml:space="preserve"> the ACCOBAMS High Quality Whale Watching label is only given to operators that don’t offer in-water interactions</w:t>
      </w:r>
      <w:r w:rsidR="002513AF">
        <w:rPr>
          <w:rFonts w:cs="Arial"/>
          <w:sz w:val="22"/>
          <w:szCs w:val="22"/>
        </w:rPr>
        <w:t>.</w:t>
      </w:r>
    </w:p>
    <w:p w:rsidR="006356C5" w:rsidRDefault="00850849" w:rsidP="0008052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Potential gap: swim-with programmes operating in international waters</w:t>
      </w:r>
      <w:r w:rsidR="002513AF">
        <w:rPr>
          <w:rFonts w:cs="Arial"/>
          <w:sz w:val="22"/>
          <w:szCs w:val="22"/>
        </w:rPr>
        <w:t>.</w:t>
      </w:r>
    </w:p>
    <w:p w:rsidR="006356C5" w:rsidRDefault="00796FE6" w:rsidP="0008052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</w:t>
      </w:r>
      <w:r w:rsidR="00850849">
        <w:rPr>
          <w:rFonts w:cs="Arial"/>
          <w:sz w:val="22"/>
          <w:szCs w:val="22"/>
        </w:rPr>
        <w:t>preadsheet gathering information on such programmes should be updated as information becomes available</w:t>
      </w:r>
      <w:r>
        <w:rPr>
          <w:rFonts w:cs="Arial"/>
          <w:sz w:val="22"/>
          <w:szCs w:val="22"/>
        </w:rPr>
        <w:t xml:space="preserve">. </w:t>
      </w:r>
    </w:p>
    <w:p w:rsidR="006356C5" w:rsidRPr="00080524" w:rsidRDefault="006356C5" w:rsidP="006356C5">
      <w:pPr>
        <w:tabs>
          <w:tab w:val="left" w:pos="1020"/>
        </w:tabs>
        <w:rPr>
          <w:rFonts w:cs="Arial"/>
          <w:sz w:val="22"/>
          <w:szCs w:val="22"/>
        </w:rPr>
      </w:pPr>
    </w:p>
    <w:p w:rsidR="00DF4423" w:rsidRPr="00080524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6356C5" w:rsidP="0008052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8F20D3" w:rsidRPr="008F20D3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8F20D3" w:rsidRDefault="008F20D3" w:rsidP="00080524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E26FE7">
        <w:rPr>
          <w:rFonts w:cs="Arial"/>
          <w:sz w:val="22"/>
          <w:szCs w:val="22"/>
        </w:rPr>
        <w:t>P</w:t>
      </w:r>
      <w:r w:rsidR="00AE45FB" w:rsidRPr="00E26FE7">
        <w:rPr>
          <w:rFonts w:cs="Arial"/>
          <w:sz w:val="22"/>
          <w:szCs w:val="22"/>
        </w:rPr>
        <w:t>age</w:t>
      </w:r>
      <w:r w:rsidRPr="00E26FE7">
        <w:rPr>
          <w:rFonts w:cs="Arial"/>
          <w:sz w:val="22"/>
          <w:szCs w:val="22"/>
        </w:rPr>
        <w:t xml:space="preserve"> </w:t>
      </w:r>
      <w:r w:rsidR="00E26FE7" w:rsidRPr="00E26FE7">
        <w:rPr>
          <w:rFonts w:cs="Arial"/>
          <w:sz w:val="22"/>
          <w:szCs w:val="22"/>
        </w:rPr>
        <w:t>17</w:t>
      </w:r>
      <w:r w:rsidRPr="00E26FE7">
        <w:rPr>
          <w:rFonts w:cs="Arial"/>
          <w:sz w:val="22"/>
          <w:szCs w:val="22"/>
        </w:rPr>
        <w:t xml:space="preserve">, </w:t>
      </w:r>
      <w:r w:rsidR="00796FE6">
        <w:rPr>
          <w:rFonts w:cs="Arial"/>
          <w:sz w:val="22"/>
          <w:szCs w:val="22"/>
        </w:rPr>
        <w:t xml:space="preserve">Resolution: </w:t>
      </w:r>
      <w:r w:rsidR="00E26FE7" w:rsidRPr="00E26FE7">
        <w:rPr>
          <w:rFonts w:cs="Arial"/>
          <w:sz w:val="22"/>
          <w:szCs w:val="22"/>
        </w:rPr>
        <w:t>1</w:t>
      </w:r>
      <w:r w:rsidR="00E26FE7" w:rsidRPr="00E26FE7">
        <w:rPr>
          <w:rFonts w:cs="Arial"/>
          <w:sz w:val="22"/>
          <w:szCs w:val="22"/>
          <w:vertAlign w:val="superscript"/>
        </w:rPr>
        <w:t>st</w:t>
      </w:r>
      <w:r w:rsidR="00E26FE7" w:rsidRPr="00E26FE7">
        <w:rPr>
          <w:rFonts w:cs="Arial"/>
          <w:sz w:val="22"/>
          <w:szCs w:val="22"/>
        </w:rPr>
        <w:t xml:space="preserve"> preambular</w:t>
      </w:r>
      <w:r w:rsidR="00796FE6">
        <w:rPr>
          <w:rFonts w:cs="Arial"/>
          <w:sz w:val="22"/>
          <w:szCs w:val="22"/>
        </w:rPr>
        <w:t xml:space="preserve"> paragraph:</w:t>
      </w:r>
    </w:p>
    <w:p w:rsidR="008F20D3" w:rsidRPr="00796FE6" w:rsidRDefault="00E26FE7" w:rsidP="0008052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 clarification that scope of resolution refers to non-captive animals in wild settings</w:t>
      </w:r>
      <w:r w:rsidR="002513AF">
        <w:rPr>
          <w:rFonts w:cs="Arial"/>
          <w:sz w:val="22"/>
          <w:szCs w:val="22"/>
        </w:rPr>
        <w:t>.</w:t>
      </w:r>
    </w:p>
    <w:p w:rsidR="008F20D3" w:rsidRDefault="008F20D3" w:rsidP="0008052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8F20D3" w:rsidRPr="008F20D3" w:rsidRDefault="008F20D3" w:rsidP="00080524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8F20D3">
        <w:rPr>
          <w:rFonts w:cs="Arial"/>
          <w:sz w:val="22"/>
          <w:szCs w:val="22"/>
        </w:rPr>
        <w:t xml:space="preserve">age </w:t>
      </w:r>
      <w:r w:rsidR="00850849">
        <w:rPr>
          <w:rFonts w:cs="Arial"/>
          <w:sz w:val="22"/>
          <w:szCs w:val="22"/>
        </w:rPr>
        <w:t>19</w:t>
      </w:r>
      <w:r w:rsidR="00AE45F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796FE6">
        <w:rPr>
          <w:rFonts w:cs="Arial"/>
          <w:sz w:val="22"/>
          <w:szCs w:val="22"/>
        </w:rPr>
        <w:t xml:space="preserve">Decision, paragraph </w:t>
      </w:r>
      <w:r w:rsidR="00850849">
        <w:rPr>
          <w:rFonts w:cs="Arial"/>
          <w:sz w:val="22"/>
          <w:szCs w:val="22"/>
        </w:rPr>
        <w:t>12.CC</w:t>
      </w:r>
      <w:r w:rsidR="002513AF">
        <w:rPr>
          <w:rFonts w:cs="Arial"/>
          <w:sz w:val="22"/>
          <w:szCs w:val="22"/>
        </w:rPr>
        <w:t>.</w:t>
      </w:r>
    </w:p>
    <w:p w:rsidR="008F20D3" w:rsidRPr="00796FE6" w:rsidRDefault="00850849" w:rsidP="00080524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Include instructions for </w:t>
      </w:r>
      <w:r w:rsidR="00796FE6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Secretariat to facilitate the diffusion and updating of the database on in-water interactions developed by the Aquatic Mammals Working Group</w:t>
      </w:r>
      <w:r w:rsidR="002513AF">
        <w:rPr>
          <w:rFonts w:cs="Arial"/>
          <w:sz w:val="22"/>
          <w:szCs w:val="22"/>
        </w:rPr>
        <w:t>.</w:t>
      </w:r>
    </w:p>
    <w:p w:rsidR="006356C5" w:rsidRPr="0008052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080524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COP12</w:t>
      </w:r>
    </w:p>
    <w:p w:rsidR="000F1354" w:rsidRPr="000F1354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6356C5" w:rsidRDefault="0064440A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Recommended for adoption</w:t>
      </w:r>
      <w:r w:rsidR="002513AF">
        <w:rPr>
          <w:rFonts w:cs="Arial"/>
          <w:sz w:val="22"/>
          <w:szCs w:val="22"/>
        </w:rPr>
        <w:t>.</w:t>
      </w:r>
    </w:p>
    <w:p w:rsidR="00397D2C" w:rsidRPr="00397D2C" w:rsidRDefault="00397D2C" w:rsidP="00397D2C">
      <w:pPr>
        <w:rPr>
          <w:rFonts w:cs="Arial"/>
          <w:sz w:val="22"/>
          <w:szCs w:val="22"/>
        </w:rPr>
      </w:pPr>
    </w:p>
    <w:sectPr w:rsidR="00397D2C" w:rsidRPr="00397D2C" w:rsidSect="00C22688">
      <w:headerReference w:type="even" r:id="rId8"/>
      <w:head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99" w:rsidRDefault="00182D99">
      <w:r>
        <w:separator/>
      </w:r>
    </w:p>
  </w:endnote>
  <w:endnote w:type="continuationSeparator" w:id="0">
    <w:p w:rsidR="00182D99" w:rsidRDefault="001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C22688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99" w:rsidRDefault="00182D99">
      <w:r>
        <w:separator/>
      </w:r>
    </w:p>
  </w:footnote>
  <w:footnote w:type="continuationSeparator" w:id="0">
    <w:p w:rsidR="00182D99" w:rsidRDefault="0018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  <w:jc w:val="right"/>
    </w:pPr>
    <w:r w:rsidRPr="008648EB">
      <w:rPr>
        <w:rFonts w:cs="Arial"/>
        <w:i/>
        <w:szCs w:val="18"/>
      </w:rPr>
      <w:t>UNEP/CMS/COP12/</w:t>
    </w:r>
    <w:r w:rsidRPr="007C3B56">
      <w:rPr>
        <w:rFonts w:cs="Arial"/>
        <w:i/>
        <w:szCs w:val="18"/>
      </w:rPr>
      <w:t>Doc.</w:t>
    </w:r>
    <w:r w:rsidR="007C3B56" w:rsidRPr="007C3B56">
      <w:rPr>
        <w:rFonts w:cs="Arial"/>
        <w:i/>
        <w:szCs w:val="18"/>
      </w:rPr>
      <w:t>24.2.</w:t>
    </w:r>
    <w:r w:rsidR="00A36AED">
      <w:rPr>
        <w:rFonts w:cs="Arial"/>
        <w:i/>
        <w:szCs w:val="18"/>
      </w:rPr>
      <w:t>5</w:t>
    </w:r>
    <w:r w:rsidRPr="007C3B56">
      <w:rPr>
        <w:rFonts w:cs="Arial"/>
        <w:i/>
        <w:szCs w:val="18"/>
      </w:rPr>
      <w:t>/Add.In-S.1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8" w:rsidRPr="00BF42FC" w:rsidRDefault="00C22688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</w:t>
    </w:r>
    <w:r w:rsidRPr="007C3B56">
      <w:rPr>
        <w:rFonts w:cs="Arial"/>
        <w:i/>
        <w:szCs w:val="18"/>
      </w:rPr>
      <w:t>COP12/Doc.</w:t>
    </w:r>
    <w:r w:rsidR="007C3B56" w:rsidRPr="007C3B56">
      <w:rPr>
        <w:rFonts w:cs="Arial"/>
        <w:i/>
        <w:szCs w:val="18"/>
      </w:rPr>
      <w:t>24.2.</w:t>
    </w:r>
    <w:r w:rsidR="008009F2">
      <w:rPr>
        <w:rFonts w:cs="Arial"/>
        <w:i/>
        <w:szCs w:val="18"/>
      </w:rPr>
      <w:t>5</w:t>
    </w:r>
    <w:r w:rsidRPr="007C3B56">
      <w:rPr>
        <w:rFonts w:cs="Arial"/>
        <w:i/>
        <w:szCs w:val="18"/>
      </w:rPr>
      <w:t>/Add.In-S.1</w:t>
    </w:r>
    <w:r w:rsidR="00080524">
      <w:rPr>
        <w:rFonts w:cs="Arial"/>
        <w:i/>
        <w:szCs w:val="18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C22688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.In-S.1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524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35D14"/>
    <w:rsid w:val="001419C7"/>
    <w:rsid w:val="00150AC4"/>
    <w:rsid w:val="00162D88"/>
    <w:rsid w:val="00166ABA"/>
    <w:rsid w:val="001743FD"/>
    <w:rsid w:val="001764E6"/>
    <w:rsid w:val="001808F1"/>
    <w:rsid w:val="00182D99"/>
    <w:rsid w:val="001A33B6"/>
    <w:rsid w:val="001B24A9"/>
    <w:rsid w:val="001C6038"/>
    <w:rsid w:val="001F60A1"/>
    <w:rsid w:val="00200A67"/>
    <w:rsid w:val="00201F88"/>
    <w:rsid w:val="00202332"/>
    <w:rsid w:val="002142EF"/>
    <w:rsid w:val="002210F4"/>
    <w:rsid w:val="00234857"/>
    <w:rsid w:val="002513AF"/>
    <w:rsid w:val="00254721"/>
    <w:rsid w:val="00260772"/>
    <w:rsid w:val="00263159"/>
    <w:rsid w:val="002779F7"/>
    <w:rsid w:val="002A048F"/>
    <w:rsid w:val="002C187A"/>
    <w:rsid w:val="002C20F1"/>
    <w:rsid w:val="002D2863"/>
    <w:rsid w:val="002D566F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55BD5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D1458"/>
    <w:rsid w:val="003D4255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4440A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6FE6"/>
    <w:rsid w:val="007C1468"/>
    <w:rsid w:val="007C3B56"/>
    <w:rsid w:val="007C41D7"/>
    <w:rsid w:val="007F16FB"/>
    <w:rsid w:val="007F1BBA"/>
    <w:rsid w:val="008009F2"/>
    <w:rsid w:val="0081600F"/>
    <w:rsid w:val="0082722D"/>
    <w:rsid w:val="008274F7"/>
    <w:rsid w:val="008441F9"/>
    <w:rsid w:val="00846A99"/>
    <w:rsid w:val="00850849"/>
    <w:rsid w:val="008641D1"/>
    <w:rsid w:val="008648EB"/>
    <w:rsid w:val="00872F67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36AED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BF42FC"/>
    <w:rsid w:val="00C05102"/>
    <w:rsid w:val="00C13FA6"/>
    <w:rsid w:val="00C169ED"/>
    <w:rsid w:val="00C22688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26FE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4760-2B9A-4470-8513-83B3E697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Ximena Cancino</cp:lastModifiedBy>
  <cp:revision>4</cp:revision>
  <cp:lastPrinted>2017-07-07T11:51:00Z</cp:lastPrinted>
  <dcterms:created xsi:type="dcterms:W3CDTF">2017-07-11T12:52:00Z</dcterms:created>
  <dcterms:modified xsi:type="dcterms:W3CDTF">2017-07-11T12:56:00Z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